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09"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157480</wp:posOffset>
            </wp:positionH>
            <wp:positionV relativeFrom="page">
              <wp:posOffset>963930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877570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jc w:val="center"/>
        <w:ind w:right="-39"/>
        <w:spacing w:after="0"/>
        <w:rPr>
          <w:sz w:val="20"/>
          <w:szCs w:val="20"/>
          <w:color w:val="auto"/>
        </w:rPr>
      </w:pPr>
      <w:r>
        <w:rPr>
          <w:rFonts w:ascii="Arial" w:cs="Arial" w:eastAsia="Arial" w:hAnsi="Arial"/>
          <w:sz w:val="32"/>
          <w:szCs w:val="32"/>
          <w:b w:val="1"/>
          <w:bCs w:val="1"/>
          <w:color w:val="auto"/>
        </w:rPr>
        <w:t>UNITED STATES</w:t>
      </w:r>
    </w:p>
    <w:p>
      <w:pPr>
        <w:spacing w:after="0" w:line="50" w:lineRule="exact"/>
        <w:rPr>
          <w:sz w:val="24"/>
          <w:szCs w:val="24"/>
          <w:color w:val="auto"/>
        </w:rPr>
      </w:pPr>
    </w:p>
    <w:p>
      <w:pPr>
        <w:jc w:val="center"/>
        <w:ind w:right="-39"/>
        <w:spacing w:after="0"/>
        <w:rPr>
          <w:sz w:val="20"/>
          <w:szCs w:val="20"/>
          <w:color w:val="auto"/>
        </w:rPr>
      </w:pPr>
      <w:r>
        <w:rPr>
          <w:rFonts w:ascii="Arial" w:cs="Arial" w:eastAsia="Arial" w:hAnsi="Arial"/>
          <w:sz w:val="32"/>
          <w:szCs w:val="32"/>
          <w:b w:val="1"/>
          <w:bCs w:val="1"/>
          <w:color w:val="auto"/>
        </w:rPr>
        <w:t>SECURITIES AND EXCHANGE COMMISSION</w:t>
      </w:r>
    </w:p>
    <w:p>
      <w:pPr>
        <w:spacing w:after="0" w:line="9"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Washington, D.C. 20549</w:t>
      </w:r>
    </w:p>
    <w:p>
      <w:pPr>
        <w:ind w:left="4420"/>
        <w:spacing w:after="0"/>
        <w:rPr>
          <w:sz w:val="20"/>
          <w:szCs w:val="20"/>
          <w:color w:val="auto"/>
        </w:rPr>
      </w:pPr>
      <w:r>
        <w:rPr>
          <w:rFonts w:ascii="Arial" w:cs="Arial" w:eastAsia="Arial" w:hAnsi="Arial"/>
          <w:sz w:val="18"/>
          <w:szCs w:val="18"/>
          <w:color w:val="auto"/>
        </w:rPr>
        <w:t>__________________________</w:t>
      </w:r>
    </w:p>
    <w:p>
      <w:pPr>
        <w:spacing w:after="0" w:line="10" w:lineRule="exact"/>
        <w:rPr>
          <w:sz w:val="24"/>
          <w:szCs w:val="24"/>
          <w:color w:val="auto"/>
        </w:rPr>
      </w:pPr>
    </w:p>
    <w:p>
      <w:pPr>
        <w:jc w:val="center"/>
        <w:ind w:right="-39"/>
        <w:spacing w:after="0"/>
        <w:rPr>
          <w:sz w:val="20"/>
          <w:szCs w:val="20"/>
          <w:color w:val="auto"/>
        </w:rPr>
      </w:pPr>
      <w:r>
        <w:rPr>
          <w:rFonts w:ascii="Arial" w:cs="Arial" w:eastAsia="Arial" w:hAnsi="Arial"/>
          <w:sz w:val="32"/>
          <w:szCs w:val="32"/>
          <w:b w:val="1"/>
          <w:bCs w:val="1"/>
          <w:color w:val="auto"/>
        </w:rPr>
        <w:t>FORM 10-Q</w:t>
      </w:r>
    </w:p>
    <w:p>
      <w:pPr>
        <w:spacing w:after="0" w:line="36" w:lineRule="exact"/>
        <w:rPr>
          <w:sz w:val="24"/>
          <w:szCs w:val="24"/>
          <w:color w:val="auto"/>
        </w:rPr>
      </w:pPr>
    </w:p>
    <w:p>
      <w:pPr>
        <w:spacing w:after="0"/>
        <w:rPr>
          <w:sz w:val="20"/>
          <w:szCs w:val="20"/>
          <w:color w:val="auto"/>
        </w:rPr>
      </w:pPr>
      <w:r>
        <w:rPr>
          <w:rFonts w:ascii="Arial" w:cs="Arial" w:eastAsia="Arial" w:hAnsi="Arial"/>
          <w:sz w:val="18"/>
          <w:szCs w:val="18"/>
          <w:color w:val="auto"/>
        </w:rPr>
        <w:t>(Mark One)</w:t>
      </w:r>
    </w:p>
    <w:p>
      <w:pPr>
        <w:spacing w:after="0" w:line="153" w:lineRule="exact"/>
        <w:rPr>
          <w:sz w:val="24"/>
          <w:szCs w:val="24"/>
          <w:color w:val="auto"/>
        </w:rPr>
      </w:pPr>
    </w:p>
    <w:p>
      <w:pPr>
        <w:ind w:left="720" w:hanging="685"/>
        <w:spacing w:after="0" w:line="250" w:lineRule="auto"/>
        <w:tabs>
          <w:tab w:leader="none" w:pos="720" w:val="left"/>
        </w:tabs>
        <w:numPr>
          <w:ilvl w:val="0"/>
          <w:numId w:val="1"/>
        </w:numPr>
        <w:rPr>
          <w:rFonts w:ascii="MS PGothic" w:cs="MS PGothic" w:eastAsia="MS PGothic" w:hAnsi="MS PGothic"/>
          <w:sz w:val="22"/>
          <w:szCs w:val="22"/>
          <w:color w:val="auto"/>
        </w:rPr>
      </w:pPr>
      <w:r>
        <w:rPr>
          <w:rFonts w:ascii="Arial" w:cs="Arial" w:eastAsia="Arial" w:hAnsi="Arial"/>
          <w:sz w:val="22"/>
          <w:szCs w:val="22"/>
          <w:b w:val="1"/>
          <w:bCs w:val="1"/>
          <w:color w:val="auto"/>
        </w:rPr>
        <w:t>QUARTERLY REPORT PURSUANT TO SECTION 13 OR 15(d) OF THE SECURITIES EXCHANGE ACT OF 1934</w:t>
      </w:r>
    </w:p>
    <w:p>
      <w:pPr>
        <w:spacing w:after="0" w:line="2" w:lineRule="exact"/>
        <w:rPr>
          <w:sz w:val="24"/>
          <w:szCs w:val="24"/>
          <w:color w:val="auto"/>
        </w:rPr>
      </w:pPr>
    </w:p>
    <w:p>
      <w:pPr>
        <w:ind w:left="3700"/>
        <w:spacing w:after="0"/>
        <w:rPr>
          <w:sz w:val="20"/>
          <w:szCs w:val="20"/>
          <w:color w:val="auto"/>
        </w:rPr>
      </w:pPr>
      <w:r>
        <w:rPr>
          <w:rFonts w:ascii="Arial" w:cs="Arial" w:eastAsia="Arial" w:hAnsi="Arial"/>
          <w:sz w:val="22"/>
          <w:szCs w:val="22"/>
          <w:b w:val="1"/>
          <w:bCs w:val="1"/>
          <w:color w:val="auto"/>
        </w:rPr>
        <w:t xml:space="preserve">For the quarterly period ended </w:t>
      </w:r>
      <w:r>
        <w:rPr>
          <w:rFonts w:ascii="Arial" w:cs="Arial" w:eastAsia="Arial" w:hAnsi="Arial"/>
          <w:sz w:val="22"/>
          <w:szCs w:val="22"/>
          <w:b w:val="1"/>
          <w:bCs w:val="1"/>
          <w:u w:val="single" w:color="auto"/>
          <w:color w:val="auto"/>
        </w:rPr>
        <w:t>April 30, 2018</w:t>
      </w:r>
    </w:p>
    <w:p>
      <w:pPr>
        <w:spacing w:after="0" w:line="28" w:lineRule="exact"/>
        <w:rPr>
          <w:sz w:val="24"/>
          <w:szCs w:val="24"/>
          <w:color w:val="auto"/>
        </w:rPr>
      </w:pPr>
    </w:p>
    <w:p>
      <w:pPr>
        <w:ind w:left="5620"/>
        <w:spacing w:after="0"/>
        <w:rPr>
          <w:sz w:val="20"/>
          <w:szCs w:val="20"/>
          <w:color w:val="auto"/>
        </w:rPr>
      </w:pPr>
      <w:r>
        <w:rPr>
          <w:rFonts w:ascii="Arial" w:cs="Arial" w:eastAsia="Arial" w:hAnsi="Arial"/>
          <w:sz w:val="22"/>
          <w:szCs w:val="22"/>
          <w:color w:val="auto"/>
        </w:rPr>
        <w:t>or</w:t>
      </w:r>
    </w:p>
    <w:p>
      <w:pPr>
        <w:spacing w:after="0" w:line="126" w:lineRule="exact"/>
        <w:rPr>
          <w:sz w:val="24"/>
          <w:szCs w:val="24"/>
          <w:color w:val="auto"/>
        </w:rPr>
      </w:pPr>
    </w:p>
    <w:p>
      <w:pPr>
        <w:ind w:left="720" w:hanging="685"/>
        <w:spacing w:after="0" w:line="261" w:lineRule="auto"/>
        <w:tabs>
          <w:tab w:leader="none" w:pos="720" w:val="left"/>
        </w:tabs>
        <w:numPr>
          <w:ilvl w:val="0"/>
          <w:numId w:val="2"/>
        </w:numPr>
        <w:rPr>
          <w:rFonts w:ascii="MS PGothic" w:cs="MS PGothic" w:eastAsia="MS PGothic" w:hAnsi="MS PGothic"/>
          <w:sz w:val="22"/>
          <w:szCs w:val="22"/>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27" w:lineRule="exact"/>
        <w:rPr>
          <w:sz w:val="24"/>
          <w:szCs w:val="24"/>
          <w:color w:val="auto"/>
        </w:rPr>
      </w:pPr>
    </w:p>
    <w:p>
      <w:pPr>
        <w:ind w:left="3680"/>
        <w:spacing w:after="0"/>
        <w:tabs>
          <w:tab w:leader="none" w:pos="690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6"/>
          <w:szCs w:val="16"/>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3980815</wp:posOffset>
            </wp:positionH>
            <wp:positionV relativeFrom="paragraph">
              <wp:posOffset>-5080</wp:posOffset>
            </wp:positionV>
            <wp:extent cx="9334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933450" cy="8890"/>
                    </a:xfrm>
                    <a:prstGeom prst="rect">
                      <a:avLst/>
                    </a:prstGeom>
                    <a:noFill/>
                  </pic:spPr>
                </pic:pic>
              </a:graphicData>
            </a:graphic>
          </wp:anchor>
        </w:drawing>
      </w:r>
    </w:p>
    <w:p>
      <w:pPr>
        <w:spacing w:after="0" w:line="15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 xml:space="preserve">Commission File Number: </w:t>
      </w:r>
      <w:r>
        <w:rPr>
          <w:rFonts w:ascii="Arial" w:cs="Arial" w:eastAsia="Arial" w:hAnsi="Arial"/>
          <w:sz w:val="18"/>
          <w:szCs w:val="18"/>
          <w:b w:val="1"/>
          <w:bCs w:val="1"/>
          <w:u w:val="single" w:color="auto"/>
          <w:color w:val="auto"/>
        </w:rPr>
        <w:t>1-8929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88900</wp:posOffset>
            </wp:positionV>
            <wp:extent cx="1449070" cy="83185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49070" cy="83185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90" w:lineRule="exact"/>
        <w:rPr>
          <w:sz w:val="24"/>
          <w:szCs w:val="24"/>
          <w:color w:val="auto"/>
        </w:rPr>
      </w:pPr>
    </w:p>
    <w:p>
      <w:pPr>
        <w:jc w:val="center"/>
        <w:ind w:right="-39"/>
        <w:spacing w:after="0"/>
        <w:rPr>
          <w:sz w:val="20"/>
          <w:szCs w:val="20"/>
          <w:color w:val="auto"/>
        </w:rPr>
      </w:pPr>
      <w:r>
        <w:rPr>
          <w:rFonts w:ascii="Arial" w:cs="Arial" w:eastAsia="Arial" w:hAnsi="Arial"/>
          <w:sz w:val="43"/>
          <w:szCs w:val="43"/>
          <w:b w:val="1"/>
          <w:bCs w:val="1"/>
          <w:color w:val="auto"/>
        </w:rPr>
        <w:t>ABM INDUSTRIES INCORPORATED</w:t>
      </w:r>
    </w:p>
    <w:p>
      <w:pPr>
        <w:spacing w:after="0" w:line="58" w:lineRule="exact"/>
        <w:rPr>
          <w:sz w:val="24"/>
          <w:szCs w:val="24"/>
          <w:color w:val="auto"/>
        </w:rPr>
      </w:pPr>
    </w:p>
    <w:p>
      <w:pPr>
        <w:jc w:val="center"/>
        <w:ind w:right="-39"/>
        <w:spacing w:after="0"/>
        <w:rPr>
          <w:sz w:val="20"/>
          <w:szCs w:val="20"/>
          <w:color w:val="auto"/>
        </w:rPr>
      </w:pPr>
      <w:r>
        <w:rPr>
          <w:rFonts w:ascii="Arial" w:cs="Arial" w:eastAsia="Arial" w:hAnsi="Arial"/>
          <w:sz w:val="18"/>
          <w:szCs w:val="18"/>
          <w:color w:val="auto"/>
        </w:rPr>
        <w:t>(Exact name of registrant as specified in its charter)</w:t>
      </w:r>
    </w:p>
    <w:p>
      <w:pPr>
        <w:spacing w:after="0" w:line="311" w:lineRule="exact"/>
        <w:rPr>
          <w:sz w:val="24"/>
          <w:szCs w:val="24"/>
          <w:color w:val="auto"/>
        </w:rPr>
      </w:pPr>
    </w:p>
    <w:tbl>
      <w:tblPr>
        <w:tblLayout w:type="fixed"/>
        <w:tblInd w:w="440" w:type="dxa"/>
        <w:tblCellMar>
          <w:top w:w="0" w:type="dxa"/>
          <w:left w:w="0" w:type="dxa"/>
          <w:bottom w:w="0" w:type="dxa"/>
          <w:right w:w="0" w:type="dxa"/>
        </w:tblCellMar>
      </w:tblPr>
      <w:tr>
        <w:trPr>
          <w:trHeight w:val="239"/>
        </w:trPr>
        <w:tc>
          <w:tcPr>
            <w:tcW w:w="2760" w:type="dxa"/>
            <w:vAlign w:val="bottom"/>
          </w:tcPr>
          <w:p>
            <w:pPr>
              <w:jc w:val="center"/>
              <w:ind w:right="330"/>
              <w:spacing w:after="0"/>
              <w:rPr>
                <w:sz w:val="20"/>
                <w:szCs w:val="20"/>
                <w:color w:val="auto"/>
              </w:rPr>
            </w:pPr>
            <w:r>
              <w:rPr>
                <w:rFonts w:ascii="Arial" w:cs="Arial" w:eastAsia="Arial" w:hAnsi="Arial"/>
                <w:sz w:val="18"/>
                <w:szCs w:val="18"/>
                <w:b w:val="1"/>
                <w:bCs w:val="1"/>
                <w:color w:val="auto"/>
                <w:w w:val="98"/>
              </w:rPr>
              <w:t>Delaware</w:t>
            </w:r>
          </w:p>
        </w:tc>
        <w:tc>
          <w:tcPr>
            <w:tcW w:w="7380" w:type="dxa"/>
            <w:vAlign w:val="bottom"/>
            <w:gridSpan w:val="3"/>
          </w:tcPr>
          <w:p>
            <w:pPr>
              <w:jc w:val="center"/>
              <w:ind w:left="5890"/>
              <w:spacing w:after="0"/>
              <w:rPr>
                <w:sz w:val="20"/>
                <w:szCs w:val="20"/>
                <w:color w:val="auto"/>
              </w:rPr>
            </w:pPr>
            <w:r>
              <w:rPr>
                <w:rFonts w:ascii="Arial" w:cs="Arial" w:eastAsia="Arial" w:hAnsi="Arial"/>
                <w:sz w:val="18"/>
                <w:szCs w:val="18"/>
                <w:b w:val="1"/>
                <w:bCs w:val="1"/>
                <w:color w:val="auto"/>
                <w:w w:val="99"/>
              </w:rPr>
              <w:t>94-1369354</w:t>
            </w:r>
          </w:p>
        </w:tc>
      </w:tr>
      <w:tr>
        <w:trPr>
          <w:trHeight w:val="391"/>
        </w:trPr>
        <w:tc>
          <w:tcPr>
            <w:tcW w:w="2760" w:type="dxa"/>
            <w:vAlign w:val="bottom"/>
          </w:tcPr>
          <w:p>
            <w:pPr>
              <w:jc w:val="center"/>
              <w:ind w:right="330"/>
              <w:spacing w:after="0"/>
              <w:rPr>
                <w:sz w:val="20"/>
                <w:szCs w:val="20"/>
                <w:color w:val="auto"/>
              </w:rPr>
            </w:pPr>
            <w:r>
              <w:rPr>
                <w:rFonts w:ascii="Arial" w:cs="Arial" w:eastAsia="Arial" w:hAnsi="Arial"/>
                <w:sz w:val="18"/>
                <w:szCs w:val="18"/>
                <w:color w:val="auto"/>
              </w:rPr>
              <w:t>(State or other jurisdiction of</w:t>
            </w:r>
          </w:p>
        </w:tc>
        <w:tc>
          <w:tcPr>
            <w:tcW w:w="19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4260" w:type="dxa"/>
            <w:vAlign w:val="bottom"/>
          </w:tcPr>
          <w:p>
            <w:pPr>
              <w:jc w:val="center"/>
              <w:ind w:left="2770"/>
              <w:spacing w:after="0"/>
              <w:rPr>
                <w:sz w:val="20"/>
                <w:szCs w:val="20"/>
                <w:color w:val="auto"/>
              </w:rPr>
            </w:pPr>
            <w:r>
              <w:rPr>
                <w:rFonts w:ascii="Arial" w:cs="Arial" w:eastAsia="Arial" w:hAnsi="Arial"/>
                <w:sz w:val="18"/>
                <w:szCs w:val="18"/>
                <w:color w:val="auto"/>
                <w:w w:val="99"/>
              </w:rPr>
              <w:t>(I.R.S. Employer</w:t>
            </w:r>
          </w:p>
        </w:tc>
      </w:tr>
      <w:tr>
        <w:trPr>
          <w:trHeight w:val="217"/>
        </w:trPr>
        <w:tc>
          <w:tcPr>
            <w:tcW w:w="2760" w:type="dxa"/>
            <w:vAlign w:val="bottom"/>
          </w:tcPr>
          <w:p>
            <w:pPr>
              <w:jc w:val="center"/>
              <w:ind w:right="330"/>
              <w:spacing w:after="0"/>
              <w:rPr>
                <w:sz w:val="20"/>
                <w:szCs w:val="20"/>
                <w:color w:val="auto"/>
              </w:rPr>
            </w:pPr>
            <w:r>
              <w:rPr>
                <w:rFonts w:ascii="Arial" w:cs="Arial" w:eastAsia="Arial" w:hAnsi="Arial"/>
                <w:sz w:val="18"/>
                <w:szCs w:val="18"/>
                <w:color w:val="auto"/>
                <w:w w:val="99"/>
              </w:rPr>
              <w:t>incorporation or organization)</w:t>
            </w:r>
          </w:p>
        </w:tc>
        <w:tc>
          <w:tcPr>
            <w:tcW w:w="19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4260" w:type="dxa"/>
            <w:vAlign w:val="bottom"/>
          </w:tcPr>
          <w:p>
            <w:pPr>
              <w:jc w:val="center"/>
              <w:ind w:left="2770"/>
              <w:spacing w:after="0"/>
              <w:rPr>
                <w:sz w:val="20"/>
                <w:szCs w:val="20"/>
                <w:color w:val="auto"/>
              </w:rPr>
            </w:pPr>
            <w:r>
              <w:rPr>
                <w:rFonts w:ascii="Arial" w:cs="Arial" w:eastAsia="Arial" w:hAnsi="Arial"/>
                <w:sz w:val="18"/>
                <w:szCs w:val="18"/>
                <w:color w:val="auto"/>
                <w:w w:val="99"/>
              </w:rPr>
              <w:t>Identification No.)</w:t>
            </w:r>
          </w:p>
        </w:tc>
      </w:tr>
      <w:tr>
        <w:trPr>
          <w:trHeight w:val="527"/>
        </w:trPr>
        <w:tc>
          <w:tcPr>
            <w:tcW w:w="2760" w:type="dxa"/>
            <w:vAlign w:val="bottom"/>
          </w:tcPr>
          <w:p>
            <w:pPr>
              <w:spacing w:after="0"/>
              <w:rPr>
                <w:sz w:val="24"/>
                <w:szCs w:val="24"/>
                <w:color w:val="auto"/>
              </w:rPr>
            </w:pPr>
          </w:p>
        </w:tc>
        <w:tc>
          <w:tcPr>
            <w:tcW w:w="7380" w:type="dxa"/>
            <w:vAlign w:val="bottom"/>
            <w:gridSpan w:val="3"/>
          </w:tcPr>
          <w:p>
            <w:pPr>
              <w:jc w:val="center"/>
              <w:ind w:right="2250"/>
              <w:spacing w:after="0"/>
              <w:rPr>
                <w:sz w:val="20"/>
                <w:szCs w:val="20"/>
                <w:color w:val="auto"/>
              </w:rPr>
            </w:pPr>
            <w:r>
              <w:rPr>
                <w:rFonts w:ascii="Arial" w:cs="Arial" w:eastAsia="Arial" w:hAnsi="Arial"/>
                <w:sz w:val="18"/>
                <w:szCs w:val="18"/>
                <w:color w:val="auto"/>
                <w:w w:val="99"/>
              </w:rPr>
              <w:t>__________________________</w:t>
            </w:r>
          </w:p>
        </w:tc>
      </w:tr>
      <w:tr>
        <w:trPr>
          <w:trHeight w:val="301"/>
        </w:trPr>
        <w:tc>
          <w:tcPr>
            <w:tcW w:w="2760" w:type="dxa"/>
            <w:vAlign w:val="bottom"/>
          </w:tcPr>
          <w:p>
            <w:pPr>
              <w:spacing w:after="0"/>
              <w:rPr>
                <w:sz w:val="24"/>
                <w:szCs w:val="24"/>
                <w:color w:val="auto"/>
              </w:rPr>
            </w:pPr>
          </w:p>
        </w:tc>
        <w:tc>
          <w:tcPr>
            <w:tcW w:w="7380" w:type="dxa"/>
            <w:vAlign w:val="bottom"/>
            <w:gridSpan w:val="3"/>
          </w:tcPr>
          <w:p>
            <w:pPr>
              <w:jc w:val="center"/>
              <w:ind w:right="2250"/>
              <w:spacing w:after="0"/>
              <w:rPr>
                <w:sz w:val="20"/>
                <w:szCs w:val="20"/>
                <w:color w:val="auto"/>
              </w:rPr>
            </w:pPr>
            <w:r>
              <w:rPr>
                <w:rFonts w:ascii="Arial" w:cs="Arial" w:eastAsia="Arial" w:hAnsi="Arial"/>
                <w:sz w:val="18"/>
                <w:szCs w:val="18"/>
                <w:b w:val="1"/>
                <w:bCs w:val="1"/>
                <w:color w:val="auto"/>
                <w:w w:val="99"/>
              </w:rPr>
              <w:t>One Liberty Plaza, 7</w:t>
            </w:r>
            <w:r>
              <w:rPr>
                <w:rFonts w:ascii="Arial" w:cs="Arial" w:eastAsia="Arial" w:hAnsi="Arial"/>
                <w:sz w:val="21"/>
                <w:szCs w:val="21"/>
                <w:b w:val="1"/>
                <w:bCs w:val="1"/>
                <w:color w:val="auto"/>
                <w:w w:val="99"/>
                <w:vertAlign w:val="superscript"/>
              </w:rPr>
              <w:t>th</w:t>
            </w:r>
            <w:r>
              <w:rPr>
                <w:rFonts w:ascii="Arial" w:cs="Arial" w:eastAsia="Arial" w:hAnsi="Arial"/>
                <w:sz w:val="18"/>
                <w:szCs w:val="18"/>
                <w:b w:val="1"/>
                <w:bCs w:val="1"/>
                <w:color w:val="auto"/>
                <w:w w:val="99"/>
              </w:rPr>
              <w:t xml:space="preserve"> Floor</w:t>
            </w:r>
          </w:p>
        </w:tc>
      </w:tr>
      <w:tr>
        <w:trPr>
          <w:trHeight w:val="239"/>
        </w:trPr>
        <w:tc>
          <w:tcPr>
            <w:tcW w:w="2760" w:type="dxa"/>
            <w:vAlign w:val="bottom"/>
          </w:tcPr>
          <w:p>
            <w:pPr>
              <w:spacing w:after="0"/>
              <w:rPr>
                <w:sz w:val="20"/>
                <w:szCs w:val="20"/>
                <w:color w:val="auto"/>
              </w:rPr>
            </w:pPr>
          </w:p>
        </w:tc>
        <w:tc>
          <w:tcPr>
            <w:tcW w:w="7380" w:type="dxa"/>
            <w:vAlign w:val="bottom"/>
            <w:gridSpan w:val="3"/>
          </w:tcPr>
          <w:p>
            <w:pPr>
              <w:jc w:val="center"/>
              <w:ind w:right="2270"/>
              <w:spacing w:after="0"/>
              <w:rPr>
                <w:sz w:val="20"/>
                <w:szCs w:val="20"/>
                <w:color w:val="auto"/>
              </w:rPr>
            </w:pPr>
            <w:r>
              <w:rPr>
                <w:rFonts w:ascii="Arial" w:cs="Arial" w:eastAsia="Arial" w:hAnsi="Arial"/>
                <w:sz w:val="18"/>
                <w:szCs w:val="18"/>
                <w:b w:val="1"/>
                <w:bCs w:val="1"/>
                <w:color w:val="auto"/>
                <w:w w:val="98"/>
              </w:rPr>
              <w:t>New York, New York 10006</w:t>
            </w:r>
          </w:p>
        </w:tc>
      </w:tr>
      <w:tr>
        <w:trPr>
          <w:trHeight w:val="324"/>
        </w:trPr>
        <w:tc>
          <w:tcPr>
            <w:tcW w:w="2760" w:type="dxa"/>
            <w:vAlign w:val="bottom"/>
          </w:tcPr>
          <w:p>
            <w:pPr>
              <w:spacing w:after="0"/>
              <w:rPr>
                <w:sz w:val="24"/>
                <w:szCs w:val="24"/>
                <w:color w:val="auto"/>
              </w:rPr>
            </w:pPr>
          </w:p>
        </w:tc>
        <w:tc>
          <w:tcPr>
            <w:tcW w:w="7380" w:type="dxa"/>
            <w:vAlign w:val="bottom"/>
            <w:gridSpan w:val="3"/>
          </w:tcPr>
          <w:p>
            <w:pPr>
              <w:jc w:val="center"/>
              <w:ind w:right="2250"/>
              <w:spacing w:after="0"/>
              <w:rPr>
                <w:sz w:val="20"/>
                <w:szCs w:val="20"/>
                <w:color w:val="auto"/>
              </w:rPr>
            </w:pPr>
            <w:r>
              <w:rPr>
                <w:rFonts w:ascii="Arial" w:cs="Arial" w:eastAsia="Arial" w:hAnsi="Arial"/>
                <w:sz w:val="18"/>
                <w:szCs w:val="18"/>
                <w:color w:val="auto"/>
                <w:w w:val="99"/>
              </w:rPr>
              <w:t>(Address of principal executive offices)</w:t>
            </w:r>
          </w:p>
        </w:tc>
      </w:tr>
      <w:tr>
        <w:trPr>
          <w:trHeight w:val="716"/>
        </w:trPr>
        <w:tc>
          <w:tcPr>
            <w:tcW w:w="2760" w:type="dxa"/>
            <w:vAlign w:val="bottom"/>
          </w:tcPr>
          <w:p>
            <w:pPr>
              <w:spacing w:after="0"/>
              <w:rPr>
                <w:sz w:val="24"/>
                <w:szCs w:val="24"/>
                <w:color w:val="auto"/>
              </w:rPr>
            </w:pPr>
          </w:p>
        </w:tc>
        <w:tc>
          <w:tcPr>
            <w:tcW w:w="3120" w:type="dxa"/>
            <w:vAlign w:val="bottom"/>
            <w:gridSpan w:val="2"/>
          </w:tcPr>
          <w:p>
            <w:pPr>
              <w:jc w:val="center"/>
              <w:ind w:left="1810"/>
              <w:spacing w:after="0"/>
              <w:rPr>
                <w:sz w:val="20"/>
                <w:szCs w:val="20"/>
                <w:color w:val="auto"/>
              </w:rPr>
            </w:pPr>
            <w:r>
              <w:rPr>
                <w:rFonts w:ascii="Arial" w:cs="Arial" w:eastAsia="Arial" w:hAnsi="Arial"/>
                <w:sz w:val="18"/>
                <w:szCs w:val="18"/>
                <w:b w:val="1"/>
                <w:bCs w:val="1"/>
                <w:color w:val="auto"/>
                <w:w w:val="99"/>
              </w:rPr>
              <w:t>(212) 297-0200</w:t>
            </w:r>
          </w:p>
        </w:tc>
        <w:tc>
          <w:tcPr>
            <w:tcW w:w="4260" w:type="dxa"/>
            <w:vAlign w:val="bottom"/>
          </w:tcPr>
          <w:p>
            <w:pPr>
              <w:spacing w:after="0"/>
              <w:rPr>
                <w:sz w:val="24"/>
                <w:szCs w:val="24"/>
                <w:color w:val="auto"/>
              </w:rPr>
            </w:pPr>
          </w:p>
        </w:tc>
      </w:tr>
      <w:tr>
        <w:trPr>
          <w:trHeight w:val="20"/>
        </w:trPr>
        <w:tc>
          <w:tcPr>
            <w:tcW w:w="276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4260" w:type="dxa"/>
            <w:vAlign w:val="bottom"/>
          </w:tcPr>
          <w:p>
            <w:pPr>
              <w:spacing w:after="0" w:line="20" w:lineRule="exact"/>
              <w:rPr>
                <w:sz w:val="1"/>
                <w:szCs w:val="1"/>
                <w:color w:val="auto"/>
              </w:rPr>
            </w:pPr>
          </w:p>
        </w:tc>
      </w:tr>
      <w:tr>
        <w:trPr>
          <w:trHeight w:val="399"/>
        </w:trPr>
        <w:tc>
          <w:tcPr>
            <w:tcW w:w="2760" w:type="dxa"/>
            <w:vAlign w:val="bottom"/>
          </w:tcPr>
          <w:p>
            <w:pPr>
              <w:spacing w:after="0"/>
              <w:rPr>
                <w:sz w:val="24"/>
                <w:szCs w:val="24"/>
                <w:color w:val="auto"/>
              </w:rPr>
            </w:pPr>
          </w:p>
        </w:tc>
        <w:tc>
          <w:tcPr>
            <w:tcW w:w="7380" w:type="dxa"/>
            <w:vAlign w:val="bottom"/>
            <w:gridSpan w:val="3"/>
          </w:tcPr>
          <w:p>
            <w:pPr>
              <w:jc w:val="center"/>
              <w:ind w:right="2270"/>
              <w:spacing w:after="0"/>
              <w:rPr>
                <w:sz w:val="20"/>
                <w:szCs w:val="20"/>
                <w:color w:val="auto"/>
              </w:rPr>
            </w:pPr>
            <w:r>
              <w:rPr>
                <w:rFonts w:ascii="Arial" w:cs="Arial" w:eastAsia="Arial" w:hAnsi="Arial"/>
                <w:sz w:val="18"/>
                <w:szCs w:val="18"/>
                <w:color w:val="auto"/>
                <w:w w:val="99"/>
              </w:rPr>
              <w:t>(Registrant’s telephone number, including area code)</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3315335</wp:posOffset>
            </wp:positionH>
            <wp:positionV relativeFrom="paragraph">
              <wp:posOffset>-2125980</wp:posOffset>
            </wp:positionV>
            <wp:extent cx="702945" cy="7029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2945" cy="702945"/>
                    </a:xfrm>
                    <a:prstGeom prst="rect">
                      <a:avLst/>
                    </a:prstGeom>
                    <a:noFill/>
                  </pic:spPr>
                </pic:pic>
              </a:graphicData>
            </a:graphic>
          </wp:anchor>
        </w:drawing>
      </w:r>
    </w:p>
    <w:p>
      <w:pPr>
        <w:spacing w:after="0" w:line="200" w:lineRule="exact"/>
        <w:rPr>
          <w:sz w:val="24"/>
          <w:szCs w:val="24"/>
          <w:color w:val="auto"/>
        </w:rPr>
      </w:pPr>
    </w:p>
    <w:p>
      <w:pPr>
        <w:spacing w:after="0" w:line="297"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None</w:t>
      </w:r>
    </w:p>
    <w:p>
      <w:pPr>
        <w:spacing w:after="0" w:line="193" w:lineRule="exact"/>
        <w:rPr>
          <w:sz w:val="24"/>
          <w:szCs w:val="24"/>
          <w:color w:val="auto"/>
        </w:rPr>
      </w:pPr>
    </w:p>
    <w:p>
      <w:pPr>
        <w:jc w:val="center"/>
        <w:ind w:right="-39"/>
        <w:spacing w:after="0"/>
        <w:rPr>
          <w:sz w:val="20"/>
          <w:szCs w:val="20"/>
          <w:color w:val="auto"/>
        </w:rPr>
      </w:pPr>
      <w:r>
        <w:rPr>
          <w:rFonts w:ascii="Arial" w:cs="Arial" w:eastAsia="Arial" w:hAnsi="Arial"/>
          <w:sz w:val="18"/>
          <w:szCs w:val="18"/>
          <w:color w:val="auto"/>
        </w:rPr>
        <w:t>(Former name, former address and former fiscal year, if changed since last report)</w:t>
      </w:r>
    </w:p>
    <w:p>
      <w:pPr>
        <w:spacing w:after="0" w:line="225" w:lineRule="exact"/>
        <w:rPr>
          <w:sz w:val="24"/>
          <w:szCs w:val="24"/>
          <w:color w:val="auto"/>
        </w:rPr>
      </w:pPr>
    </w:p>
    <w:p>
      <w:pPr>
        <w:ind w:left="4420"/>
        <w:spacing w:after="0"/>
        <w:rPr>
          <w:sz w:val="20"/>
          <w:szCs w:val="20"/>
          <w:color w:val="auto"/>
        </w:rPr>
      </w:pPr>
      <w:r>
        <w:rPr>
          <w:rFonts w:ascii="Arial" w:cs="Arial" w:eastAsia="Arial" w:hAnsi="Arial"/>
          <w:sz w:val="18"/>
          <w:szCs w:val="18"/>
          <w:color w:val="auto"/>
        </w:rPr>
        <w:t>__________________________</w:t>
      </w:r>
    </w:p>
    <w:p>
      <w:pPr>
        <w:sectPr>
          <w:pgSz w:w="11900" w:h="16838" w:orient="portrait"/>
          <w:cols w:equalWidth="0" w:num="1">
            <w:col w:w="11380"/>
          </w:cols>
          <w:pgMar w:left="240" w:top="1440" w:right="279" w:bottom="1440" w:gutter="0" w:footer="0" w:header="0"/>
        </w:sectPr>
      </w:pPr>
    </w:p>
    <w:bookmarkStart w:id="1" w:name="page2"/>
    <w:bookmarkEnd w:id="1"/>
    <w:p>
      <w:pPr>
        <w:jc w:val="both"/>
        <w:spacing w:after="0" w:line="223"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o</w:t>
      </w:r>
    </w:p>
    <w:p>
      <w:pPr>
        <w:spacing w:after="0" w:line="197" w:lineRule="exact"/>
        <w:rPr>
          <w:sz w:val="20"/>
          <w:szCs w:val="20"/>
          <w:color w:val="auto"/>
        </w:rPr>
      </w:pPr>
    </w:p>
    <w:p>
      <w:pPr>
        <w:jc w:val="both"/>
        <w:spacing w:after="0" w:line="223"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 232.405 of this chapter)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o</w:t>
      </w:r>
    </w:p>
    <w:p>
      <w:pPr>
        <w:spacing w:after="0" w:line="197"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105" w:lineRule="exact"/>
        <w:rPr>
          <w:sz w:val="20"/>
          <w:szCs w:val="20"/>
          <w:color w:val="auto"/>
        </w:rPr>
      </w:pPr>
    </w:p>
    <w:p>
      <w:pPr>
        <w:ind w:left="60"/>
        <w:spacing w:after="0" w:line="207" w:lineRule="exact"/>
        <w:tabs>
          <w:tab w:leader="none" w:pos="2300" w:val="left"/>
          <w:tab w:leader="none" w:pos="3760" w:val="left"/>
        </w:tabs>
        <w:rPr>
          <w:sz w:val="20"/>
          <w:szCs w:val="20"/>
          <w:color w:val="auto"/>
        </w:rPr>
      </w:pPr>
      <w:r>
        <w:rPr>
          <w:rFonts w:ascii="Arial" w:cs="Arial" w:eastAsia="Arial" w:hAnsi="Arial"/>
          <w:sz w:val="18"/>
          <w:szCs w:val="18"/>
          <w:color w:val="auto"/>
        </w:rPr>
        <w:t xml:space="preserve">Large accelerated filer  </w:t>
      </w:r>
      <w:r>
        <w:rPr>
          <w:rFonts w:ascii="MS PGothic" w:cs="MS PGothic" w:eastAsia="MS PGothic" w:hAnsi="MS PGothic"/>
          <w:sz w:val="18"/>
          <w:szCs w:val="18"/>
          <w:color w:val="auto"/>
        </w:rPr>
        <w:t>☑</w:t>
      </w:r>
      <w:r>
        <w:rPr>
          <w:rFonts w:ascii="Arial" w:cs="Arial" w:eastAsia="Arial" w:hAnsi="Arial"/>
          <w:sz w:val="18"/>
          <w:szCs w:val="18"/>
          <w:color w:val="auto"/>
        </w:rPr>
        <w:tab/>
        <w:t>Accelerated filer</w:t>
      </w:r>
      <w:r>
        <w:rPr>
          <w:sz w:val="20"/>
          <w:szCs w:val="20"/>
          <w:color w:val="auto"/>
        </w:rPr>
        <w:tab/>
      </w:r>
      <w:r>
        <w:rPr>
          <w:rFonts w:ascii="MS PGothic" w:cs="MS PGothic" w:eastAsia="MS PGothic" w:hAnsi="MS PGothic"/>
          <w:sz w:val="18"/>
          <w:szCs w:val="18"/>
          <w:color w:val="auto"/>
        </w:rPr>
        <w:t xml:space="preserve">☐  </w:t>
      </w:r>
      <w:r>
        <w:rPr>
          <w:rFonts w:ascii="Arial" w:cs="Arial" w:eastAsia="Arial" w:hAnsi="Arial"/>
          <w:sz w:val="18"/>
          <w:szCs w:val="18"/>
          <w:color w:val="auto"/>
        </w:rPr>
        <w:t>Non-accelerated filer</w:t>
      </w:r>
      <w:r>
        <w:rPr>
          <w:rFonts w:ascii="MS PGothic" w:cs="MS PGothic" w:eastAsia="MS PGothic" w:hAnsi="MS PGothic"/>
          <w:sz w:val="18"/>
          <w:szCs w:val="18"/>
          <w:color w:val="auto"/>
        </w:rPr>
        <w:t xml:space="preserve">  ☐ </w:t>
      </w:r>
      <w:r>
        <w:rPr>
          <w:rFonts w:ascii="Arial" w:cs="Arial" w:eastAsia="Arial" w:hAnsi="Arial"/>
          <w:sz w:val="18"/>
          <w:szCs w:val="18"/>
          <w:color w:val="auto"/>
        </w:rPr>
        <w:t>Smaller reporting company</w:t>
      </w:r>
      <w:r>
        <w:rPr>
          <w:rFonts w:ascii="MS PGothic" w:cs="MS PGothic" w:eastAsia="MS PGothic" w:hAnsi="MS PGothic"/>
          <w:sz w:val="18"/>
          <w:szCs w:val="18"/>
          <w:color w:val="auto"/>
        </w:rPr>
        <w:t xml:space="preserve">  ☐  </w:t>
      </w:r>
      <w:r>
        <w:rPr>
          <w:rFonts w:ascii="Arial" w:cs="Arial" w:eastAsia="Arial" w:hAnsi="Arial"/>
          <w:sz w:val="18"/>
          <w:szCs w:val="18"/>
          <w:color w:val="auto"/>
        </w:rPr>
        <w:t>Emerging growth company</w:t>
      </w:r>
      <w:r>
        <w:rPr>
          <w:rFonts w:ascii="MS PGothic" w:cs="MS PGothic" w:eastAsia="MS PGothic" w:hAnsi="MS PGothic"/>
          <w:sz w:val="18"/>
          <w:szCs w:val="18"/>
          <w:color w:val="auto"/>
        </w:rPr>
        <w:t xml:space="preserve">  ☐</w:t>
      </w:r>
    </w:p>
    <w:p>
      <w:pPr>
        <w:spacing w:after="0" w:line="241" w:lineRule="exact"/>
        <w:rPr>
          <w:sz w:val="20"/>
          <w:szCs w:val="20"/>
          <w:color w:val="auto"/>
        </w:rPr>
      </w:pPr>
    </w:p>
    <w:p>
      <w:pPr>
        <w:jc w:val="both"/>
        <w:spacing w:after="0" w:line="226"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96" w:lineRule="exact"/>
        <w:rPr>
          <w:sz w:val="20"/>
          <w:szCs w:val="20"/>
          <w:color w:val="auto"/>
        </w:rPr>
      </w:pPr>
    </w:p>
    <w:p>
      <w:pPr>
        <w:ind w:right="1200"/>
        <w:spacing w:after="0" w:line="320" w:lineRule="exact"/>
        <w:rPr>
          <w:sz w:val="20"/>
          <w:szCs w:val="20"/>
          <w:color w:val="auto"/>
        </w:rPr>
      </w:pPr>
      <w:r>
        <w:rPr>
          <w:rFonts w:ascii="Arial" w:cs="Arial" w:eastAsia="Arial" w:hAnsi="Arial"/>
          <w:sz w:val="18"/>
          <w:szCs w:val="18"/>
          <w:color w:val="auto"/>
        </w:rPr>
        <w:t xml:space="preserve">Indicate by check mark whether the registrant is a shell company (as defined in Rule 12b-2 of the Exchange Act). Yes o No </w:t>
      </w:r>
      <w:r>
        <w:rPr>
          <w:rFonts w:ascii="MS PGothic" w:cs="MS PGothic" w:eastAsia="MS PGothic" w:hAnsi="MS PGothic"/>
          <w:sz w:val="18"/>
          <w:szCs w:val="18"/>
          <w:color w:val="auto"/>
        </w:rPr>
        <w:t>☑</w:t>
      </w:r>
      <w:r>
        <w:rPr>
          <w:rFonts w:ascii="Arial" w:cs="Arial" w:eastAsia="Arial" w:hAnsi="Arial"/>
          <w:sz w:val="18"/>
          <w:szCs w:val="18"/>
          <w:color w:val="auto"/>
        </w:rPr>
        <w:t xml:space="preserve"> Number of shares of the registrant’s common stock outstanding as of June 1, 2018: 65,742,160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274955</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189230</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138" w:right="239" w:bottom="1440" w:gutter="0" w:footer="0" w:header="0"/>
        </w:sectPr>
      </w:pPr>
    </w:p>
    <w:bookmarkStart w:id="2" w:name="page3"/>
    <w:bookmarkEnd w:id="2"/>
    <w:p>
      <w:pPr>
        <w:jc w:val="center"/>
        <w:ind w:right="20"/>
        <w:spacing w:after="0"/>
        <w:rPr>
          <w:sz w:val="20"/>
          <w:szCs w:val="20"/>
          <w:color w:val="auto"/>
        </w:rPr>
      </w:pPr>
      <w:r>
        <w:rPr>
          <w:rFonts w:ascii="Arial" w:cs="Arial" w:eastAsia="Arial" w:hAnsi="Arial"/>
          <w:sz w:val="18"/>
          <w:szCs w:val="18"/>
          <w:b w:val="1"/>
          <w:bCs w:val="1"/>
          <w:color w:val="auto"/>
        </w:rPr>
        <w:t>ABM INDUSTRIES INCORPORATED AND SUBSIDIARIES</w:t>
      </w:r>
    </w:p>
    <w:p>
      <w:pPr>
        <w:spacing w:after="0" w:line="144"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TABLE OF CONTENTS</w:t>
      </w:r>
    </w:p>
    <w:p>
      <w:pPr>
        <w:spacing w:after="0" w:line="332"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11180" w:type="dxa"/>
            <w:vAlign w:val="bottom"/>
            <w:gridSpan w:val="2"/>
          </w:tcPr>
          <w:p>
            <w:pPr>
              <w:spacing w:after="0"/>
              <w:rPr>
                <w:sz w:val="20"/>
                <w:szCs w:val="20"/>
                <w:color w:val="auto"/>
              </w:rPr>
            </w:pPr>
            <w:r>
              <w:rPr>
                <w:rFonts w:ascii="Arial" w:cs="Arial" w:eastAsia="Arial" w:hAnsi="Arial"/>
                <w:sz w:val="14"/>
                <w:szCs w:val="14"/>
                <w:b w:val="1"/>
                <w:bCs w:val="1"/>
                <w:color w:val="auto"/>
              </w:rPr>
              <w:t>FORWARD-LOOKING STATEMENTS</w:t>
            </w:r>
          </w:p>
        </w:tc>
        <w:tc>
          <w:tcPr>
            <w:tcW w:w="80" w:type="dxa"/>
            <w:vAlign w:val="bottom"/>
          </w:tcPr>
          <w:p>
            <w:pPr>
              <w:spacing w:after="0"/>
              <w:rPr>
                <w:sz w:val="14"/>
                <w:szCs w:val="14"/>
                <w:color w:val="auto"/>
              </w:rPr>
            </w:pPr>
          </w:p>
        </w:tc>
        <w:tc>
          <w:tcPr>
            <w:tcW w:w="100" w:type="dxa"/>
            <w:vAlign w:val="bottom"/>
            <w:tcBorders>
              <w:bottom w:val="single" w:sz="8" w:color="0000EE"/>
            </w:tcBorders>
          </w:tcPr>
          <w:p>
            <w:pPr>
              <w:jc w:val="right"/>
              <w:spacing w:after="0"/>
              <w:rPr>
                <w:rFonts w:ascii="Arial" w:cs="Arial" w:eastAsia="Arial" w:hAnsi="Arial"/>
                <w:sz w:val="15"/>
                <w:szCs w:val="15"/>
                <w:color w:val="0000EE"/>
                <w:w w:val="95"/>
              </w:rPr>
            </w:pPr>
            <w:hyperlink w:anchor="page4">
              <w:r>
                <w:rPr>
                  <w:rFonts w:ascii="Arial" w:cs="Arial" w:eastAsia="Arial" w:hAnsi="Arial"/>
                  <w:sz w:val="15"/>
                  <w:szCs w:val="15"/>
                  <w:color w:val="0000EE"/>
                  <w:w w:val="95"/>
                </w:rPr>
                <w:t>1</w:t>
              </w:r>
            </w:hyperlink>
          </w:p>
        </w:tc>
      </w:tr>
      <w:tr>
        <w:trPr>
          <w:trHeight w:val="196"/>
        </w:trPr>
        <w:tc>
          <w:tcPr>
            <w:tcW w:w="11180" w:type="dxa"/>
            <w:vAlign w:val="bottom"/>
            <w:gridSpan w:val="2"/>
          </w:tcPr>
          <w:p>
            <w:pPr>
              <w:spacing w:after="0"/>
              <w:rPr>
                <w:sz w:val="20"/>
                <w:szCs w:val="20"/>
                <w:color w:val="auto"/>
              </w:rPr>
            </w:pPr>
            <w:r>
              <w:rPr>
                <w:rFonts w:ascii="Arial" w:cs="Arial" w:eastAsia="Arial" w:hAnsi="Arial"/>
                <w:sz w:val="14"/>
                <w:szCs w:val="14"/>
                <w:b w:val="1"/>
                <w:bCs w:val="1"/>
                <w:color w:val="auto"/>
              </w:rPr>
              <w:t>PART I. FINANCIAL INFORMATION</w:t>
            </w:r>
          </w:p>
        </w:tc>
        <w:tc>
          <w:tcPr>
            <w:tcW w:w="80" w:type="dxa"/>
            <w:vAlign w:val="bottom"/>
          </w:tcPr>
          <w:p>
            <w:pPr>
              <w:spacing w:after="0"/>
              <w:rPr>
                <w:sz w:val="17"/>
                <w:szCs w:val="17"/>
                <w:color w:val="auto"/>
              </w:rPr>
            </w:pPr>
          </w:p>
        </w:tc>
        <w:tc>
          <w:tcPr>
            <w:tcW w:w="100" w:type="dxa"/>
            <w:vAlign w:val="bottom"/>
            <w:tcBorders>
              <w:bottom w:val="single" w:sz="8" w:color="0000EE"/>
            </w:tcBorders>
          </w:tcPr>
          <w:p>
            <w:pPr>
              <w:jc w:val="right"/>
              <w:spacing w:after="0"/>
              <w:rPr>
                <w:rFonts w:ascii="Arial" w:cs="Arial" w:eastAsia="Arial" w:hAnsi="Arial"/>
                <w:sz w:val="15"/>
                <w:szCs w:val="15"/>
                <w:color w:val="0000EE"/>
                <w:w w:val="95"/>
              </w:rPr>
            </w:pPr>
            <w:hyperlink w:anchor="page6">
              <w:r>
                <w:rPr>
                  <w:rFonts w:ascii="Arial" w:cs="Arial" w:eastAsia="Arial" w:hAnsi="Arial"/>
                  <w:sz w:val="15"/>
                  <w:szCs w:val="15"/>
                  <w:color w:val="0000EE"/>
                  <w:w w:val="95"/>
                </w:rPr>
                <w:t>3</w:t>
              </w:r>
            </w:hyperlink>
          </w:p>
        </w:tc>
      </w:tr>
      <w:tr>
        <w:trPr>
          <w:trHeight w:val="196"/>
        </w:trPr>
        <w:tc>
          <w:tcPr>
            <w:tcW w:w="11180" w:type="dxa"/>
            <w:vAlign w:val="bottom"/>
            <w:gridSpan w:val="2"/>
          </w:tcPr>
          <w:p>
            <w:pPr>
              <w:spacing w:after="0"/>
              <w:rPr>
                <w:sz w:val="20"/>
                <w:szCs w:val="20"/>
                <w:color w:val="auto"/>
              </w:rPr>
            </w:pPr>
            <w:r>
              <w:rPr>
                <w:rFonts w:ascii="Arial" w:cs="Arial" w:eastAsia="Arial" w:hAnsi="Arial"/>
                <w:sz w:val="14"/>
                <w:szCs w:val="14"/>
                <w:color w:val="auto"/>
              </w:rPr>
              <w:t>Item 1. Consolidated Financial Statements</w:t>
            </w:r>
          </w:p>
        </w:tc>
        <w:tc>
          <w:tcPr>
            <w:tcW w:w="80" w:type="dxa"/>
            <w:vAlign w:val="bottom"/>
          </w:tcPr>
          <w:p>
            <w:pPr>
              <w:spacing w:after="0"/>
              <w:rPr>
                <w:sz w:val="17"/>
                <w:szCs w:val="17"/>
                <w:color w:val="auto"/>
              </w:rPr>
            </w:pPr>
          </w:p>
        </w:tc>
        <w:tc>
          <w:tcPr>
            <w:tcW w:w="100" w:type="dxa"/>
            <w:vAlign w:val="bottom"/>
            <w:tcBorders>
              <w:bottom w:val="single" w:sz="8" w:color="0000EE"/>
            </w:tcBorders>
          </w:tcPr>
          <w:p>
            <w:pPr>
              <w:jc w:val="right"/>
              <w:spacing w:after="0"/>
              <w:rPr>
                <w:rFonts w:ascii="Arial" w:cs="Arial" w:eastAsia="Arial" w:hAnsi="Arial"/>
                <w:sz w:val="15"/>
                <w:szCs w:val="15"/>
                <w:color w:val="0000EE"/>
                <w:w w:val="95"/>
              </w:rPr>
            </w:pPr>
            <w:hyperlink w:anchor="page6">
              <w:r>
                <w:rPr>
                  <w:rFonts w:ascii="Arial" w:cs="Arial" w:eastAsia="Arial" w:hAnsi="Arial"/>
                  <w:sz w:val="15"/>
                  <w:szCs w:val="15"/>
                  <w:color w:val="0000EE"/>
                  <w:w w:val="95"/>
                </w:rPr>
                <w:t>3</w:t>
              </w:r>
            </w:hyperlink>
          </w:p>
        </w:tc>
      </w:tr>
      <w:tr>
        <w:trPr>
          <w:trHeight w:val="196"/>
        </w:trPr>
        <w:tc>
          <w:tcPr>
            <w:tcW w:w="11180" w:type="dxa"/>
            <w:vAlign w:val="bottom"/>
            <w:gridSpan w:val="2"/>
          </w:tcPr>
          <w:p>
            <w:pPr>
              <w:spacing w:after="0"/>
              <w:rPr>
                <w:sz w:val="20"/>
                <w:szCs w:val="20"/>
                <w:color w:val="auto"/>
              </w:rPr>
            </w:pPr>
            <w:r>
              <w:rPr>
                <w:rFonts w:ascii="Arial" w:cs="Arial" w:eastAsia="Arial" w:hAnsi="Arial"/>
                <w:sz w:val="14"/>
                <w:szCs w:val="14"/>
                <w:color w:val="auto"/>
              </w:rPr>
              <w:t>Item 2. Management’s Discussion and Analysis of Financial Condition and Results of Operations</w:t>
            </w:r>
          </w:p>
        </w:tc>
        <w:tc>
          <w:tcPr>
            <w:tcW w:w="180" w:type="dxa"/>
            <w:vAlign w:val="bottom"/>
            <w:tcBorders>
              <w:bottom w:val="single" w:sz="8" w:color="0000EE"/>
            </w:tcBorders>
            <w:gridSpan w:val="2"/>
          </w:tcPr>
          <w:p>
            <w:pPr>
              <w:jc w:val="right"/>
              <w:spacing w:after="0"/>
              <w:rPr>
                <w:rFonts w:ascii="Arial" w:cs="Arial" w:eastAsia="Arial" w:hAnsi="Arial"/>
                <w:sz w:val="15"/>
                <w:szCs w:val="15"/>
                <w:color w:val="0000EE"/>
                <w:w w:val="95"/>
              </w:rPr>
            </w:pPr>
            <w:hyperlink w:anchor="page26">
              <w:r>
                <w:rPr>
                  <w:rFonts w:ascii="Arial" w:cs="Arial" w:eastAsia="Arial" w:hAnsi="Arial"/>
                  <w:sz w:val="15"/>
                  <w:szCs w:val="15"/>
                  <w:color w:val="0000EE"/>
                  <w:w w:val="95"/>
                </w:rPr>
                <w:t>23</w:t>
              </w:r>
            </w:hyperlink>
          </w:p>
        </w:tc>
      </w:tr>
      <w:tr>
        <w:trPr>
          <w:trHeight w:val="196"/>
        </w:trPr>
        <w:tc>
          <w:tcPr>
            <w:tcW w:w="11180" w:type="dxa"/>
            <w:vAlign w:val="bottom"/>
            <w:gridSpan w:val="2"/>
          </w:tcPr>
          <w:p>
            <w:pPr>
              <w:spacing w:after="0"/>
              <w:rPr>
                <w:sz w:val="20"/>
                <w:szCs w:val="20"/>
                <w:color w:val="auto"/>
              </w:rPr>
            </w:pPr>
            <w:r>
              <w:rPr>
                <w:rFonts w:ascii="Arial" w:cs="Arial" w:eastAsia="Arial" w:hAnsi="Arial"/>
                <w:sz w:val="14"/>
                <w:szCs w:val="14"/>
                <w:color w:val="auto"/>
              </w:rPr>
              <w:t>Item 3. Quantitative and Qualitative Disclosures About Market Risk</w:t>
            </w:r>
          </w:p>
        </w:tc>
        <w:tc>
          <w:tcPr>
            <w:tcW w:w="180" w:type="dxa"/>
            <w:vAlign w:val="bottom"/>
            <w:tcBorders>
              <w:bottom w:val="single" w:sz="8" w:color="0000EE"/>
            </w:tcBorders>
            <w:gridSpan w:val="2"/>
          </w:tcPr>
          <w:p>
            <w:pPr>
              <w:jc w:val="right"/>
              <w:spacing w:after="0"/>
              <w:rPr>
                <w:rFonts w:ascii="Arial" w:cs="Arial" w:eastAsia="Arial" w:hAnsi="Arial"/>
                <w:sz w:val="15"/>
                <w:szCs w:val="15"/>
                <w:color w:val="0000EE"/>
                <w:w w:val="95"/>
              </w:rPr>
            </w:pPr>
            <w:hyperlink w:anchor="page49">
              <w:r>
                <w:rPr>
                  <w:rFonts w:ascii="Arial" w:cs="Arial" w:eastAsia="Arial" w:hAnsi="Arial"/>
                  <w:sz w:val="15"/>
                  <w:szCs w:val="15"/>
                  <w:color w:val="0000EE"/>
                  <w:w w:val="95"/>
                </w:rPr>
                <w:t>46</w:t>
              </w:r>
            </w:hyperlink>
          </w:p>
        </w:tc>
      </w:tr>
      <w:tr>
        <w:trPr>
          <w:trHeight w:val="196"/>
        </w:trPr>
        <w:tc>
          <w:tcPr>
            <w:tcW w:w="11180" w:type="dxa"/>
            <w:vAlign w:val="bottom"/>
            <w:gridSpan w:val="2"/>
          </w:tcPr>
          <w:p>
            <w:pPr>
              <w:spacing w:after="0"/>
              <w:rPr>
                <w:sz w:val="20"/>
                <w:szCs w:val="20"/>
                <w:color w:val="auto"/>
              </w:rPr>
            </w:pPr>
            <w:r>
              <w:rPr>
                <w:rFonts w:ascii="Arial" w:cs="Arial" w:eastAsia="Arial" w:hAnsi="Arial"/>
                <w:sz w:val="14"/>
                <w:szCs w:val="14"/>
                <w:color w:val="auto"/>
              </w:rPr>
              <w:t>Item 4. Controls and Procedures</w:t>
            </w:r>
          </w:p>
        </w:tc>
        <w:tc>
          <w:tcPr>
            <w:tcW w:w="180" w:type="dxa"/>
            <w:vAlign w:val="bottom"/>
            <w:tcBorders>
              <w:bottom w:val="single" w:sz="8" w:color="0000EE"/>
            </w:tcBorders>
            <w:gridSpan w:val="2"/>
          </w:tcPr>
          <w:p>
            <w:pPr>
              <w:jc w:val="right"/>
              <w:spacing w:after="0"/>
              <w:rPr>
                <w:rFonts w:ascii="Arial" w:cs="Arial" w:eastAsia="Arial" w:hAnsi="Arial"/>
                <w:sz w:val="15"/>
                <w:szCs w:val="15"/>
                <w:color w:val="0000EE"/>
                <w:w w:val="95"/>
              </w:rPr>
            </w:pPr>
            <w:hyperlink w:anchor="page49">
              <w:r>
                <w:rPr>
                  <w:rFonts w:ascii="Arial" w:cs="Arial" w:eastAsia="Arial" w:hAnsi="Arial"/>
                  <w:sz w:val="15"/>
                  <w:szCs w:val="15"/>
                  <w:color w:val="0000EE"/>
                  <w:w w:val="95"/>
                </w:rPr>
                <w:t>46</w:t>
              </w:r>
            </w:hyperlink>
          </w:p>
        </w:tc>
      </w:tr>
      <w:tr>
        <w:trPr>
          <w:trHeight w:val="196"/>
        </w:trPr>
        <w:tc>
          <w:tcPr>
            <w:tcW w:w="11180" w:type="dxa"/>
            <w:vAlign w:val="bottom"/>
            <w:gridSpan w:val="2"/>
          </w:tcPr>
          <w:p>
            <w:pPr>
              <w:spacing w:after="0"/>
              <w:rPr>
                <w:sz w:val="20"/>
                <w:szCs w:val="20"/>
                <w:color w:val="auto"/>
              </w:rPr>
            </w:pPr>
            <w:r>
              <w:rPr>
                <w:rFonts w:ascii="Arial" w:cs="Arial" w:eastAsia="Arial" w:hAnsi="Arial"/>
                <w:sz w:val="14"/>
                <w:szCs w:val="14"/>
                <w:b w:val="1"/>
                <w:bCs w:val="1"/>
                <w:color w:val="auto"/>
              </w:rPr>
              <w:t>PART II. OTHER INFORMATION</w:t>
            </w:r>
          </w:p>
        </w:tc>
        <w:tc>
          <w:tcPr>
            <w:tcW w:w="180" w:type="dxa"/>
            <w:vAlign w:val="bottom"/>
            <w:tcBorders>
              <w:bottom w:val="single" w:sz="8" w:color="0000EE"/>
            </w:tcBorders>
            <w:gridSpan w:val="2"/>
          </w:tcPr>
          <w:p>
            <w:pPr>
              <w:jc w:val="right"/>
              <w:spacing w:after="0"/>
              <w:rPr>
                <w:rFonts w:ascii="Arial" w:cs="Arial" w:eastAsia="Arial" w:hAnsi="Arial"/>
                <w:sz w:val="15"/>
                <w:szCs w:val="15"/>
                <w:color w:val="0000EE"/>
                <w:w w:val="95"/>
              </w:rPr>
            </w:pPr>
            <w:hyperlink w:anchor="page49">
              <w:r>
                <w:rPr>
                  <w:rFonts w:ascii="Arial" w:cs="Arial" w:eastAsia="Arial" w:hAnsi="Arial"/>
                  <w:sz w:val="15"/>
                  <w:szCs w:val="15"/>
                  <w:color w:val="0000EE"/>
                  <w:w w:val="95"/>
                </w:rPr>
                <w:t>46</w:t>
              </w:r>
            </w:hyperlink>
          </w:p>
        </w:tc>
      </w:tr>
      <w:tr>
        <w:trPr>
          <w:trHeight w:val="196"/>
        </w:trPr>
        <w:tc>
          <w:tcPr>
            <w:tcW w:w="11180" w:type="dxa"/>
            <w:vAlign w:val="bottom"/>
            <w:gridSpan w:val="2"/>
          </w:tcPr>
          <w:p>
            <w:pPr>
              <w:spacing w:after="0"/>
              <w:rPr>
                <w:sz w:val="20"/>
                <w:szCs w:val="20"/>
                <w:color w:val="auto"/>
              </w:rPr>
            </w:pPr>
            <w:r>
              <w:rPr>
                <w:rFonts w:ascii="Arial" w:cs="Arial" w:eastAsia="Arial" w:hAnsi="Arial"/>
                <w:sz w:val="14"/>
                <w:szCs w:val="14"/>
                <w:color w:val="auto"/>
              </w:rPr>
              <w:t>Item 1. Legal Proceedings</w:t>
            </w:r>
          </w:p>
        </w:tc>
        <w:tc>
          <w:tcPr>
            <w:tcW w:w="180" w:type="dxa"/>
            <w:vAlign w:val="bottom"/>
            <w:tcBorders>
              <w:bottom w:val="single" w:sz="8" w:color="0000EE"/>
            </w:tcBorders>
            <w:gridSpan w:val="2"/>
          </w:tcPr>
          <w:p>
            <w:pPr>
              <w:jc w:val="right"/>
              <w:spacing w:after="0"/>
              <w:rPr>
                <w:rFonts w:ascii="Arial" w:cs="Arial" w:eastAsia="Arial" w:hAnsi="Arial"/>
                <w:sz w:val="15"/>
                <w:szCs w:val="15"/>
                <w:color w:val="0000EE"/>
                <w:w w:val="95"/>
              </w:rPr>
            </w:pPr>
            <w:hyperlink w:anchor="page49">
              <w:r>
                <w:rPr>
                  <w:rFonts w:ascii="Arial" w:cs="Arial" w:eastAsia="Arial" w:hAnsi="Arial"/>
                  <w:sz w:val="15"/>
                  <w:szCs w:val="15"/>
                  <w:color w:val="0000EE"/>
                  <w:w w:val="95"/>
                </w:rPr>
                <w:t>46</w:t>
              </w:r>
            </w:hyperlink>
          </w:p>
        </w:tc>
      </w:tr>
      <w:tr>
        <w:trPr>
          <w:trHeight w:val="196"/>
        </w:trPr>
        <w:tc>
          <w:tcPr>
            <w:tcW w:w="11180" w:type="dxa"/>
            <w:vAlign w:val="bottom"/>
            <w:gridSpan w:val="2"/>
          </w:tcPr>
          <w:p>
            <w:pPr>
              <w:spacing w:after="0"/>
              <w:rPr>
                <w:sz w:val="20"/>
                <w:szCs w:val="20"/>
                <w:color w:val="auto"/>
              </w:rPr>
            </w:pPr>
            <w:r>
              <w:rPr>
                <w:rFonts w:ascii="Arial" w:cs="Arial" w:eastAsia="Arial" w:hAnsi="Arial"/>
                <w:sz w:val="14"/>
                <w:szCs w:val="14"/>
                <w:color w:val="auto"/>
              </w:rPr>
              <w:t>Item 1A. Risk Factors</w:t>
            </w:r>
          </w:p>
        </w:tc>
        <w:tc>
          <w:tcPr>
            <w:tcW w:w="180" w:type="dxa"/>
            <w:vAlign w:val="bottom"/>
            <w:tcBorders>
              <w:bottom w:val="single" w:sz="8" w:color="0000EE"/>
            </w:tcBorders>
            <w:gridSpan w:val="2"/>
          </w:tcPr>
          <w:p>
            <w:pPr>
              <w:jc w:val="right"/>
              <w:spacing w:after="0"/>
              <w:rPr>
                <w:rFonts w:ascii="Arial" w:cs="Arial" w:eastAsia="Arial" w:hAnsi="Arial"/>
                <w:sz w:val="15"/>
                <w:szCs w:val="15"/>
                <w:color w:val="0000EE"/>
                <w:w w:val="95"/>
              </w:rPr>
            </w:pPr>
            <w:hyperlink w:anchor="page49">
              <w:r>
                <w:rPr>
                  <w:rFonts w:ascii="Arial" w:cs="Arial" w:eastAsia="Arial" w:hAnsi="Arial"/>
                  <w:sz w:val="15"/>
                  <w:szCs w:val="15"/>
                  <w:color w:val="0000EE"/>
                  <w:w w:val="95"/>
                </w:rPr>
                <w:t>46</w:t>
              </w:r>
            </w:hyperlink>
          </w:p>
        </w:tc>
      </w:tr>
      <w:tr>
        <w:trPr>
          <w:trHeight w:val="196"/>
        </w:trPr>
        <w:tc>
          <w:tcPr>
            <w:tcW w:w="11180" w:type="dxa"/>
            <w:vAlign w:val="bottom"/>
            <w:gridSpan w:val="2"/>
          </w:tcPr>
          <w:p>
            <w:pPr>
              <w:spacing w:after="0"/>
              <w:rPr>
                <w:sz w:val="20"/>
                <w:szCs w:val="20"/>
                <w:color w:val="auto"/>
              </w:rPr>
            </w:pPr>
            <w:r>
              <w:rPr>
                <w:rFonts w:ascii="Arial" w:cs="Arial" w:eastAsia="Arial" w:hAnsi="Arial"/>
                <w:sz w:val="14"/>
                <w:szCs w:val="14"/>
                <w:color w:val="auto"/>
              </w:rPr>
              <w:t>Item 2. Unregistered Sales of Equity Securities and Use of Proceeds</w:t>
            </w:r>
          </w:p>
        </w:tc>
        <w:tc>
          <w:tcPr>
            <w:tcW w:w="180" w:type="dxa"/>
            <w:vAlign w:val="bottom"/>
            <w:tcBorders>
              <w:bottom w:val="single" w:sz="8" w:color="0000EE"/>
            </w:tcBorders>
            <w:gridSpan w:val="2"/>
          </w:tcPr>
          <w:p>
            <w:pPr>
              <w:jc w:val="right"/>
              <w:spacing w:after="0"/>
              <w:rPr>
                <w:rFonts w:ascii="Arial" w:cs="Arial" w:eastAsia="Arial" w:hAnsi="Arial"/>
                <w:sz w:val="15"/>
                <w:szCs w:val="15"/>
                <w:color w:val="0000EE"/>
                <w:w w:val="95"/>
              </w:rPr>
            </w:pPr>
            <w:hyperlink w:anchor="page50">
              <w:r>
                <w:rPr>
                  <w:rFonts w:ascii="Arial" w:cs="Arial" w:eastAsia="Arial" w:hAnsi="Arial"/>
                  <w:sz w:val="15"/>
                  <w:szCs w:val="15"/>
                  <w:color w:val="0000EE"/>
                  <w:w w:val="95"/>
                </w:rPr>
                <w:t>47</w:t>
              </w:r>
            </w:hyperlink>
          </w:p>
        </w:tc>
      </w:tr>
      <w:tr>
        <w:trPr>
          <w:trHeight w:val="196"/>
        </w:trPr>
        <w:tc>
          <w:tcPr>
            <w:tcW w:w="460" w:type="dxa"/>
            <w:vAlign w:val="bottom"/>
          </w:tcPr>
          <w:p>
            <w:pPr>
              <w:spacing w:after="0"/>
              <w:rPr>
                <w:sz w:val="20"/>
                <w:szCs w:val="20"/>
                <w:color w:val="auto"/>
              </w:rPr>
            </w:pPr>
            <w:r>
              <w:rPr>
                <w:rFonts w:ascii="Arial" w:cs="Arial" w:eastAsia="Arial" w:hAnsi="Arial"/>
                <w:sz w:val="14"/>
                <w:szCs w:val="14"/>
                <w:color w:val="auto"/>
              </w:rPr>
              <w:t>Item 3.</w:t>
            </w:r>
          </w:p>
        </w:tc>
        <w:tc>
          <w:tcPr>
            <w:tcW w:w="10720" w:type="dxa"/>
            <w:vAlign w:val="bottom"/>
          </w:tcPr>
          <w:p>
            <w:pPr>
              <w:ind w:left="20"/>
              <w:spacing w:after="0"/>
              <w:rPr>
                <w:sz w:val="20"/>
                <w:szCs w:val="20"/>
                <w:color w:val="auto"/>
              </w:rPr>
            </w:pPr>
            <w:r>
              <w:rPr>
                <w:rFonts w:ascii="Arial" w:cs="Arial" w:eastAsia="Arial" w:hAnsi="Arial"/>
                <w:sz w:val="14"/>
                <w:szCs w:val="14"/>
                <w:color w:val="auto"/>
              </w:rPr>
              <w:t>Defaults Upon Senior Securities</w:t>
            </w:r>
          </w:p>
        </w:tc>
        <w:tc>
          <w:tcPr>
            <w:tcW w:w="180" w:type="dxa"/>
            <w:vAlign w:val="bottom"/>
            <w:tcBorders>
              <w:bottom w:val="single" w:sz="8" w:color="0000EE"/>
            </w:tcBorders>
            <w:gridSpan w:val="2"/>
          </w:tcPr>
          <w:p>
            <w:pPr>
              <w:jc w:val="right"/>
              <w:spacing w:after="0"/>
              <w:rPr>
                <w:rFonts w:ascii="Arial" w:cs="Arial" w:eastAsia="Arial" w:hAnsi="Arial"/>
                <w:sz w:val="15"/>
                <w:szCs w:val="15"/>
                <w:color w:val="0000EE"/>
                <w:w w:val="95"/>
              </w:rPr>
            </w:pPr>
            <w:hyperlink w:anchor="page50">
              <w:r>
                <w:rPr>
                  <w:rFonts w:ascii="Arial" w:cs="Arial" w:eastAsia="Arial" w:hAnsi="Arial"/>
                  <w:sz w:val="15"/>
                  <w:szCs w:val="15"/>
                  <w:color w:val="0000EE"/>
                  <w:w w:val="95"/>
                </w:rPr>
                <w:t>47</w:t>
              </w:r>
            </w:hyperlink>
          </w:p>
        </w:tc>
      </w:tr>
      <w:tr>
        <w:trPr>
          <w:trHeight w:val="196"/>
        </w:trPr>
        <w:tc>
          <w:tcPr>
            <w:tcW w:w="460" w:type="dxa"/>
            <w:vAlign w:val="bottom"/>
          </w:tcPr>
          <w:p>
            <w:pPr>
              <w:spacing w:after="0"/>
              <w:rPr>
                <w:sz w:val="20"/>
                <w:szCs w:val="20"/>
                <w:color w:val="auto"/>
              </w:rPr>
            </w:pPr>
            <w:r>
              <w:rPr>
                <w:rFonts w:ascii="Arial" w:cs="Arial" w:eastAsia="Arial" w:hAnsi="Arial"/>
                <w:sz w:val="14"/>
                <w:szCs w:val="14"/>
                <w:color w:val="auto"/>
              </w:rPr>
              <w:t>Item 4.</w:t>
            </w:r>
          </w:p>
        </w:tc>
        <w:tc>
          <w:tcPr>
            <w:tcW w:w="10720" w:type="dxa"/>
            <w:vAlign w:val="bottom"/>
          </w:tcPr>
          <w:p>
            <w:pPr>
              <w:ind w:left="20"/>
              <w:spacing w:after="0"/>
              <w:rPr>
                <w:sz w:val="20"/>
                <w:szCs w:val="20"/>
                <w:color w:val="auto"/>
              </w:rPr>
            </w:pPr>
            <w:r>
              <w:rPr>
                <w:rFonts w:ascii="Arial" w:cs="Arial" w:eastAsia="Arial" w:hAnsi="Arial"/>
                <w:sz w:val="14"/>
                <w:szCs w:val="14"/>
                <w:color w:val="auto"/>
              </w:rPr>
              <w:t>Mine Safety Disclosures</w:t>
            </w:r>
          </w:p>
        </w:tc>
        <w:tc>
          <w:tcPr>
            <w:tcW w:w="180" w:type="dxa"/>
            <w:vAlign w:val="bottom"/>
            <w:tcBorders>
              <w:bottom w:val="single" w:sz="8" w:color="0000EE"/>
            </w:tcBorders>
            <w:gridSpan w:val="2"/>
          </w:tcPr>
          <w:p>
            <w:pPr>
              <w:jc w:val="right"/>
              <w:spacing w:after="0"/>
              <w:rPr>
                <w:rFonts w:ascii="Arial" w:cs="Arial" w:eastAsia="Arial" w:hAnsi="Arial"/>
                <w:sz w:val="15"/>
                <w:szCs w:val="15"/>
                <w:color w:val="0000EE"/>
                <w:w w:val="95"/>
              </w:rPr>
            </w:pPr>
            <w:hyperlink w:anchor="page50">
              <w:r>
                <w:rPr>
                  <w:rFonts w:ascii="Arial" w:cs="Arial" w:eastAsia="Arial" w:hAnsi="Arial"/>
                  <w:sz w:val="15"/>
                  <w:szCs w:val="15"/>
                  <w:color w:val="0000EE"/>
                  <w:w w:val="95"/>
                </w:rPr>
                <w:t>47</w:t>
              </w:r>
            </w:hyperlink>
          </w:p>
        </w:tc>
      </w:tr>
      <w:tr>
        <w:trPr>
          <w:trHeight w:val="196"/>
        </w:trPr>
        <w:tc>
          <w:tcPr>
            <w:tcW w:w="460" w:type="dxa"/>
            <w:vAlign w:val="bottom"/>
          </w:tcPr>
          <w:p>
            <w:pPr>
              <w:spacing w:after="0"/>
              <w:rPr>
                <w:sz w:val="20"/>
                <w:szCs w:val="20"/>
                <w:color w:val="auto"/>
              </w:rPr>
            </w:pPr>
            <w:r>
              <w:rPr>
                <w:rFonts w:ascii="Arial" w:cs="Arial" w:eastAsia="Arial" w:hAnsi="Arial"/>
                <w:sz w:val="14"/>
                <w:szCs w:val="14"/>
                <w:color w:val="auto"/>
              </w:rPr>
              <w:t>Item 5.</w:t>
            </w:r>
          </w:p>
        </w:tc>
        <w:tc>
          <w:tcPr>
            <w:tcW w:w="10720" w:type="dxa"/>
            <w:vAlign w:val="bottom"/>
          </w:tcPr>
          <w:p>
            <w:pPr>
              <w:ind w:left="20"/>
              <w:spacing w:after="0"/>
              <w:rPr>
                <w:sz w:val="20"/>
                <w:szCs w:val="20"/>
                <w:color w:val="auto"/>
              </w:rPr>
            </w:pPr>
            <w:r>
              <w:rPr>
                <w:rFonts w:ascii="Arial" w:cs="Arial" w:eastAsia="Arial" w:hAnsi="Arial"/>
                <w:sz w:val="14"/>
                <w:szCs w:val="14"/>
                <w:color w:val="auto"/>
              </w:rPr>
              <w:t>Other Information</w:t>
            </w:r>
          </w:p>
        </w:tc>
        <w:tc>
          <w:tcPr>
            <w:tcW w:w="180" w:type="dxa"/>
            <w:vAlign w:val="bottom"/>
            <w:tcBorders>
              <w:bottom w:val="single" w:sz="8" w:color="0000EE"/>
            </w:tcBorders>
            <w:gridSpan w:val="2"/>
          </w:tcPr>
          <w:p>
            <w:pPr>
              <w:jc w:val="right"/>
              <w:spacing w:after="0"/>
              <w:rPr>
                <w:rFonts w:ascii="Arial" w:cs="Arial" w:eastAsia="Arial" w:hAnsi="Arial"/>
                <w:sz w:val="15"/>
                <w:szCs w:val="15"/>
                <w:color w:val="0000EE"/>
                <w:w w:val="95"/>
              </w:rPr>
            </w:pPr>
            <w:hyperlink w:anchor="page50">
              <w:r>
                <w:rPr>
                  <w:rFonts w:ascii="Arial" w:cs="Arial" w:eastAsia="Arial" w:hAnsi="Arial"/>
                  <w:sz w:val="15"/>
                  <w:szCs w:val="15"/>
                  <w:color w:val="0000EE"/>
                  <w:w w:val="95"/>
                </w:rPr>
                <w:t>47</w:t>
              </w:r>
            </w:hyperlink>
          </w:p>
        </w:tc>
      </w:tr>
      <w:tr>
        <w:trPr>
          <w:trHeight w:val="196"/>
        </w:trPr>
        <w:tc>
          <w:tcPr>
            <w:tcW w:w="460" w:type="dxa"/>
            <w:vAlign w:val="bottom"/>
          </w:tcPr>
          <w:p>
            <w:pPr>
              <w:spacing w:after="0"/>
              <w:rPr>
                <w:sz w:val="20"/>
                <w:szCs w:val="20"/>
                <w:color w:val="auto"/>
              </w:rPr>
            </w:pPr>
            <w:r>
              <w:rPr>
                <w:rFonts w:ascii="Arial" w:cs="Arial" w:eastAsia="Arial" w:hAnsi="Arial"/>
                <w:sz w:val="14"/>
                <w:szCs w:val="14"/>
                <w:color w:val="auto"/>
              </w:rPr>
              <w:t>Item 6.</w:t>
            </w:r>
          </w:p>
        </w:tc>
        <w:tc>
          <w:tcPr>
            <w:tcW w:w="10720" w:type="dxa"/>
            <w:vAlign w:val="bottom"/>
          </w:tcPr>
          <w:p>
            <w:pPr>
              <w:ind w:left="20"/>
              <w:spacing w:after="0"/>
              <w:rPr>
                <w:sz w:val="20"/>
                <w:szCs w:val="20"/>
                <w:color w:val="auto"/>
              </w:rPr>
            </w:pPr>
            <w:r>
              <w:rPr>
                <w:rFonts w:ascii="Arial" w:cs="Arial" w:eastAsia="Arial" w:hAnsi="Arial"/>
                <w:sz w:val="14"/>
                <w:szCs w:val="14"/>
                <w:color w:val="auto"/>
              </w:rPr>
              <w:t>Exhibits</w:t>
            </w:r>
          </w:p>
        </w:tc>
        <w:tc>
          <w:tcPr>
            <w:tcW w:w="180" w:type="dxa"/>
            <w:vAlign w:val="bottom"/>
            <w:tcBorders>
              <w:bottom w:val="single" w:sz="8" w:color="0000EE"/>
            </w:tcBorders>
            <w:gridSpan w:val="2"/>
          </w:tcPr>
          <w:p>
            <w:pPr>
              <w:jc w:val="right"/>
              <w:spacing w:after="0"/>
              <w:rPr>
                <w:rFonts w:ascii="Arial" w:cs="Arial" w:eastAsia="Arial" w:hAnsi="Arial"/>
                <w:sz w:val="15"/>
                <w:szCs w:val="15"/>
                <w:color w:val="0000EE"/>
                <w:w w:val="95"/>
              </w:rPr>
            </w:pPr>
            <w:hyperlink w:anchor="page51">
              <w:r>
                <w:rPr>
                  <w:rFonts w:ascii="Arial" w:cs="Arial" w:eastAsia="Arial" w:hAnsi="Arial"/>
                  <w:sz w:val="15"/>
                  <w:szCs w:val="15"/>
                  <w:color w:val="0000EE"/>
                  <w:w w:val="95"/>
                </w:rPr>
                <w:t>48</w:t>
              </w:r>
            </w:hyperlink>
          </w:p>
        </w:tc>
      </w:tr>
      <w:tr>
        <w:trPr>
          <w:trHeight w:val="196"/>
        </w:trPr>
        <w:tc>
          <w:tcPr>
            <w:tcW w:w="11180" w:type="dxa"/>
            <w:vAlign w:val="bottom"/>
            <w:gridSpan w:val="2"/>
          </w:tcPr>
          <w:p>
            <w:pPr>
              <w:spacing w:after="0"/>
              <w:rPr>
                <w:sz w:val="20"/>
                <w:szCs w:val="20"/>
                <w:color w:val="auto"/>
              </w:rPr>
            </w:pPr>
            <w:r>
              <w:rPr>
                <w:rFonts w:ascii="Arial" w:cs="Arial" w:eastAsia="Arial" w:hAnsi="Arial"/>
                <w:sz w:val="14"/>
                <w:szCs w:val="14"/>
                <w:b w:val="1"/>
                <w:bCs w:val="1"/>
                <w:color w:val="auto"/>
              </w:rPr>
              <w:t>SIGNATURES</w:t>
            </w:r>
          </w:p>
        </w:tc>
        <w:tc>
          <w:tcPr>
            <w:tcW w:w="180" w:type="dxa"/>
            <w:vAlign w:val="bottom"/>
            <w:tcBorders>
              <w:bottom w:val="single" w:sz="8" w:color="0000EE"/>
            </w:tcBorders>
            <w:gridSpan w:val="2"/>
          </w:tcPr>
          <w:p>
            <w:pPr>
              <w:jc w:val="right"/>
              <w:spacing w:after="0"/>
              <w:rPr>
                <w:rFonts w:ascii="Arial" w:cs="Arial" w:eastAsia="Arial" w:hAnsi="Arial"/>
                <w:sz w:val="15"/>
                <w:szCs w:val="15"/>
                <w:color w:val="0000EE"/>
                <w:w w:val="95"/>
              </w:rPr>
            </w:pPr>
            <w:hyperlink w:anchor="page52">
              <w:r>
                <w:rPr>
                  <w:rFonts w:ascii="Arial" w:cs="Arial" w:eastAsia="Arial" w:hAnsi="Arial"/>
                  <w:sz w:val="15"/>
                  <w:szCs w:val="15"/>
                  <w:color w:val="0000EE"/>
                  <w:w w:val="95"/>
                </w:rPr>
                <w:t>49</w:t>
              </w:r>
            </w:hyperlink>
          </w:p>
        </w:tc>
      </w:tr>
    </w:tbl>
    <w:p>
      <w:pPr>
        <w:sectPr>
          <w:pgSz w:w="11900" w:h="16838" w:orient="portrait"/>
          <w:cols w:equalWidth="0" w:num="1">
            <w:col w:w="11360"/>
          </w:cols>
          <w:pgMar w:left="280" w:top="495" w:right="259" w:bottom="1440" w:gutter="0" w:footer="0" w:header="0"/>
        </w:sectPr>
      </w:pPr>
    </w:p>
    <w:bookmarkStart w:id="3" w:name="page4"/>
    <w:bookmarkEnd w:id="3"/>
    <w:p>
      <w:pPr>
        <w:spacing w:after="0"/>
        <w:rPr>
          <w:sz w:val="20"/>
          <w:szCs w:val="20"/>
          <w:color w:val="auto"/>
        </w:rPr>
      </w:pPr>
      <w:r>
        <w:rPr>
          <w:rFonts w:ascii="Arial" w:cs="Arial" w:eastAsia="Arial" w:hAnsi="Arial"/>
          <w:sz w:val="18"/>
          <w:szCs w:val="18"/>
          <w:b w:val="1"/>
          <w:bCs w:val="1"/>
          <w:color w:val="0046AD"/>
        </w:rPr>
        <w:t>FORWARD-LOOKING STATEMENTS</w:t>
      </w:r>
    </w:p>
    <w:p>
      <w:pPr>
        <w:spacing w:after="0" w:line="193"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8"/>
          <w:szCs w:val="18"/>
          <w:color w:val="auto"/>
        </w:rPr>
        <w:t>This Form 10-Q contains both historical and forward-looking statements regarding ABM Industries Incorporated (“ABM”) and its subsidiaries (collectively referred to as “ABM,” “we,” “us,” “our,” or the “Company”). We make forward-looking statements related to future expectations, estimates, and projections that are uncertain and often contain words such as “anticipate,” “believe,” “could,” “estimate,” “expect,” “forecast,” “intend,” “likely,” “may,” “outlook,” “plan,” “predict,” “should,” “target,” or other similar words or phrases. These statements are not guarantees of future performance and are subject to known and unknown risks, uncertainties, and assumptions that are difficult to predict. Particular risks and uncertainties that could cause our actual results to be materially different from those expressed in our forward-looking statements include those listed below.</w:t>
      </w:r>
    </w:p>
    <w:p>
      <w:pPr>
        <w:spacing w:after="0" w:line="45" w:lineRule="exact"/>
        <w:rPr>
          <w:sz w:val="20"/>
          <w:szCs w:val="20"/>
          <w:color w:val="auto"/>
        </w:rPr>
      </w:pPr>
    </w:p>
    <w:p>
      <w:pPr>
        <w:ind w:left="660" w:hanging="328"/>
        <w:spacing w:after="0" w:line="262"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We may not realize the growth opportunities and cost synergies that are anticipated from the acquisition of GCA Services Group (“GCA”).</w:t>
      </w:r>
    </w:p>
    <w:p>
      <w:pPr>
        <w:spacing w:after="0" w:line="34" w:lineRule="exact"/>
        <w:rPr>
          <w:rFonts w:ascii="Arial" w:cs="Arial" w:eastAsia="Arial" w:hAnsi="Arial"/>
          <w:sz w:val="18"/>
          <w:szCs w:val="18"/>
          <w:color w:val="auto"/>
        </w:rPr>
      </w:pPr>
    </w:p>
    <w:p>
      <w:pPr>
        <w:jc w:val="both"/>
        <w:ind w:left="660" w:hanging="328"/>
        <w:spacing w:after="0" w:line="254"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We have incurred a substantial amount of debt to complete the acquisition of GCA. To service our debt we will require a significant amount of cash. Our ability to generate cash depends on many factors beyond our control. We also depend on the profitability of our subsidiaries to satisfy our cash needs. If we cannot generate the required cash, we may not be able to make the necessary payments required to service our indebtedness or we may be required to suspend certain discretionary payments, including our dividend.</w:t>
      </w:r>
    </w:p>
    <w:p>
      <w:pPr>
        <w:spacing w:after="0" w:line="20" w:lineRule="exact"/>
        <w:rPr>
          <w:rFonts w:ascii="Arial" w:cs="Arial" w:eastAsia="Arial" w:hAnsi="Arial"/>
          <w:sz w:val="18"/>
          <w:szCs w:val="18"/>
          <w:color w:val="auto"/>
        </w:rPr>
      </w:pPr>
    </w:p>
    <w:p>
      <w:pPr>
        <w:jc w:val="both"/>
        <w:ind w:left="660" w:hanging="328"/>
        <w:spacing w:after="0" w:line="269"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 xml:space="preserve">Changes to our businesses, operating structure, financial reporting structure, or personnel relating to the implementation of our </w:t>
      </w:r>
      <w:r>
        <w:rPr>
          <w:rFonts w:ascii="Arial" w:cs="Arial" w:eastAsia="Arial" w:hAnsi="Arial"/>
          <w:sz w:val="18"/>
          <w:szCs w:val="18"/>
          <w:b w:val="1"/>
          <w:bCs w:val="1"/>
          <w:color w:val="FF9900"/>
        </w:rPr>
        <w:t>2020</w:t>
      </w:r>
      <w:r>
        <w:rPr>
          <w:rFonts w:ascii="Arial" w:cs="Arial" w:eastAsia="Arial" w:hAnsi="Arial"/>
          <w:sz w:val="18"/>
          <w:szCs w:val="18"/>
          <w:color w:val="auto"/>
        </w:rPr>
        <w:t xml:space="preserve"> </w:t>
      </w:r>
      <w:r>
        <w:rPr>
          <w:rFonts w:ascii="Arial" w:cs="Arial" w:eastAsia="Arial" w:hAnsi="Arial"/>
          <w:sz w:val="18"/>
          <w:szCs w:val="18"/>
          <w:b w:val="1"/>
          <w:bCs w:val="1"/>
          <w:color w:val="0070C0"/>
        </w:rPr>
        <w:t xml:space="preserve">Vision </w:t>
      </w:r>
      <w:r>
        <w:rPr>
          <w:rFonts w:ascii="Arial" w:cs="Arial" w:eastAsia="Arial" w:hAnsi="Arial"/>
          <w:sz w:val="18"/>
          <w:szCs w:val="18"/>
          <w:color w:val="000000"/>
        </w:rPr>
        <w:t>strategic transformation initiative, including our move to our Enterprise Services Center, may not have the desired effects on our</w:t>
      </w:r>
      <w:r>
        <w:rPr>
          <w:rFonts w:ascii="Arial" w:cs="Arial" w:eastAsia="Arial" w:hAnsi="Arial"/>
          <w:sz w:val="18"/>
          <w:szCs w:val="18"/>
          <w:b w:val="1"/>
          <w:bCs w:val="1"/>
          <w:color w:val="0070C0"/>
        </w:rPr>
        <w:t xml:space="preserve"> </w:t>
      </w:r>
      <w:r>
        <w:rPr>
          <w:rFonts w:ascii="Arial" w:cs="Arial" w:eastAsia="Arial" w:hAnsi="Arial"/>
          <w:sz w:val="18"/>
          <w:szCs w:val="18"/>
          <w:color w:val="000000"/>
        </w:rPr>
        <w:t>financial condition and results of operations.</w:t>
      </w:r>
    </w:p>
    <w:p>
      <w:pPr>
        <w:spacing w:after="0" w:line="28" w:lineRule="exact"/>
        <w:rPr>
          <w:rFonts w:ascii="Arial" w:cs="Arial" w:eastAsia="Arial" w:hAnsi="Arial"/>
          <w:sz w:val="18"/>
          <w:szCs w:val="18"/>
          <w:color w:val="auto"/>
        </w:rPr>
      </w:pPr>
    </w:p>
    <w:p>
      <w:pPr>
        <w:ind w:left="660" w:hanging="328"/>
        <w:spacing w:after="0" w:line="262"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success depends on our ability to gain profitable business despite competitive pressures and to preserve long-term client relationships.</w:t>
      </w:r>
    </w:p>
    <w:p>
      <w:pPr>
        <w:spacing w:after="0" w:line="34"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business success depends on our ability to attract and retain qualified personnel and senior management.</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use of subcontractors or joint venture partners to perform work under customer contracts exposes us to liability and financial risk.</w:t>
      </w:r>
    </w:p>
    <w:p>
      <w:pPr>
        <w:spacing w:after="0" w:line="63" w:lineRule="exact"/>
        <w:rPr>
          <w:rFonts w:ascii="Arial" w:cs="Arial" w:eastAsia="Arial" w:hAnsi="Arial"/>
          <w:sz w:val="18"/>
          <w:szCs w:val="18"/>
          <w:color w:val="auto"/>
        </w:rPr>
      </w:pPr>
    </w:p>
    <w:p>
      <w:pPr>
        <w:ind w:left="660" w:hanging="328"/>
        <w:spacing w:after="0" w:line="262"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international business involves risks different from those we face in the United States that could have an effect on our results of operations and financial condition.</w:t>
      </w:r>
    </w:p>
    <w:p>
      <w:pPr>
        <w:spacing w:after="0" w:line="34" w:lineRule="exact"/>
        <w:rPr>
          <w:rFonts w:ascii="Arial" w:cs="Arial" w:eastAsia="Arial" w:hAnsi="Arial"/>
          <w:sz w:val="18"/>
          <w:szCs w:val="18"/>
          <w:color w:val="auto"/>
        </w:rPr>
      </w:pPr>
    </w:p>
    <w:p>
      <w:pPr>
        <w:ind w:left="660" w:hanging="328"/>
        <w:spacing w:after="0" w:line="262"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Unfavorable developments in our class and representative actions and other lawsuits alleging various claims could cause us to incur substantial liabilities.</w:t>
      </w:r>
    </w:p>
    <w:p>
      <w:pPr>
        <w:spacing w:after="0" w:line="34" w:lineRule="exact"/>
        <w:rPr>
          <w:rFonts w:ascii="Arial" w:cs="Arial" w:eastAsia="Arial" w:hAnsi="Arial"/>
          <w:sz w:val="18"/>
          <w:szCs w:val="18"/>
          <w:color w:val="auto"/>
        </w:rPr>
      </w:pPr>
    </w:p>
    <w:p>
      <w:pPr>
        <w:jc w:val="both"/>
        <w:ind w:left="660" w:hanging="328"/>
        <w:spacing w:after="0" w:line="256"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We insure our insurable risks through a combination of insurance and self-insurance and we retain a substantial portion of the risk associated with expected losses under these programs, which exposes us to volatility associated with those risks, including the possibility that changes in estimates of ultimate insurance losses could result in a material charge against our earnings.</w:t>
      </w:r>
    </w:p>
    <w:p>
      <w:pPr>
        <w:spacing w:after="0" w:line="39"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risk management and safety programs may not have the intended effect of reducing our liability for personal injury or property loss.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Impairment of goodwill and long-lived assets could have a material adverse effect on our financial condition and results of operations.</w:t>
      </w:r>
    </w:p>
    <w:p>
      <w:pPr>
        <w:spacing w:after="0" w:line="63" w:lineRule="exact"/>
        <w:rPr>
          <w:rFonts w:ascii="Arial" w:cs="Arial" w:eastAsia="Arial" w:hAnsi="Arial"/>
          <w:sz w:val="18"/>
          <w:szCs w:val="18"/>
          <w:color w:val="auto"/>
        </w:rPr>
      </w:pPr>
    </w:p>
    <w:p>
      <w:pPr>
        <w:jc w:val="both"/>
        <w:ind w:left="660" w:hanging="328"/>
        <w:spacing w:after="0" w:line="256"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Changes in general economic conditions, including changes in energy prices, government regulations, or changing consumer preferences, could reduce the demand for facility services and, as a result, reduce our earnings and adversely affect our financial condition.</w:t>
      </w:r>
    </w:p>
    <w:p>
      <w:pPr>
        <w:spacing w:after="0" w:line="39" w:lineRule="exact"/>
        <w:rPr>
          <w:rFonts w:ascii="Arial" w:cs="Arial" w:eastAsia="Arial" w:hAnsi="Arial"/>
          <w:sz w:val="18"/>
          <w:szCs w:val="18"/>
          <w:color w:val="auto"/>
        </w:rPr>
      </w:pPr>
    </w:p>
    <w:p>
      <w:pPr>
        <w:jc w:val="both"/>
        <w:ind w:left="660" w:hanging="328"/>
        <w:spacing w:after="0" w:line="256"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income tax provision and income tax liabilities could be adversely affected by the jurisdictional mix of earnings, changes in valuations of deferred tax assets and liabilities, and changes in tax treaties, laws, and regulations, including the U.S. Tax Cuts and Jobs Act of 2017, which effected significant changes to the U.S. corporate income tax system.</w:t>
      </w:r>
    </w:p>
    <w:p>
      <w:pPr>
        <w:spacing w:after="0" w:line="39"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We could be subject to cyber-security risks, information technology interruptions, and business continuity risks.</w:t>
      </w:r>
    </w:p>
    <w:p>
      <w:pPr>
        <w:spacing w:after="0" w:line="63" w:lineRule="exact"/>
        <w:rPr>
          <w:rFonts w:ascii="Arial" w:cs="Arial" w:eastAsia="Arial" w:hAnsi="Arial"/>
          <w:sz w:val="18"/>
          <w:szCs w:val="18"/>
          <w:color w:val="auto"/>
        </w:rPr>
      </w:pPr>
    </w:p>
    <w:p>
      <w:pPr>
        <w:jc w:val="both"/>
        <w:ind w:left="660" w:hanging="328"/>
        <w:spacing w:after="0" w:line="256"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A significant number of our employees are covered by collective bargaining agreements that could expose us to potential liabilities in relationship to our participation in multiemployer pension plans, requirements to make contributions to other benefit plans, and the potential for strikes, work slowdowns or similar activities, and union-organizing drives.</w:t>
      </w:r>
    </w:p>
    <w:p>
      <w:pPr>
        <w:spacing w:after="0" w:line="39" w:lineRule="exact"/>
        <w:rPr>
          <w:rFonts w:ascii="Arial" w:cs="Arial" w:eastAsia="Arial" w:hAnsi="Arial"/>
          <w:sz w:val="18"/>
          <w:szCs w:val="18"/>
          <w:color w:val="auto"/>
        </w:rPr>
      </w:pPr>
    </w:p>
    <w:p>
      <w:pPr>
        <w:jc w:val="both"/>
        <w:ind w:left="660" w:hanging="328"/>
        <w:spacing w:after="0" w:line="256"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If we fail to maintain proper and effective internal control over financial reporting in the future, our ability to produce accurate and timely financial statements could be negatively impacted, which could harm our operating results and investors’ perceptions of our company and, as a result, the value of our common stock.</w:t>
      </w:r>
    </w:p>
    <w:p>
      <w:pPr>
        <w:spacing w:after="0" w:line="39"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business may be negatively impacted by adverse weather conditions.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522" w:right="239" w:bottom="1440" w:gutter="0" w:footer="0" w:header="0"/>
        </w:sectPr>
      </w:pPr>
    </w:p>
    <w:bookmarkStart w:id="4" w:name="page5"/>
    <w:bookmarkEnd w:id="4"/>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Catastrophic events, disasters, and terrorist attacks could disrupt our services.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Actions of activist investors could disrupt our business.</w:t>
      </w:r>
    </w:p>
    <w:p>
      <w:pPr>
        <w:spacing w:after="0" w:line="171"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color w:val="auto"/>
        </w:rPr>
        <w:t>The list of factors above is illustrative and by no means exhaustive. Additional information regarding these and other risks and uncertainties we face is contained in our Annual Report on Form 10-K for the year ended October 31, 2017 and in other reports we file from time to time with the Securities and Exchange Commission (including all amendments to those reports).</w:t>
      </w:r>
    </w:p>
    <w:p>
      <w:pPr>
        <w:spacing w:after="0" w:line="148"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color w:val="auto"/>
        </w:rPr>
        <w:t>We urge readers to consider these risks and uncertainties in evaluating our forward-looking statements. We caution readers not to place undue reliance upon any such forward-looking statements, which speak only as of the date made. We undertake no obligation to publicly update any forward-looking statements, whether as a result of new information, future events, or otherwise, except as required by law.</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436" w:right="239" w:bottom="1440" w:gutter="0" w:footer="0" w:header="0"/>
        </w:sectPr>
      </w:pPr>
    </w:p>
    <w:bookmarkStart w:id="5" w:name="page6"/>
    <w:bookmarkEnd w:id="5"/>
    <w:p>
      <w:pPr>
        <w:spacing w:after="0"/>
        <w:rPr>
          <w:sz w:val="20"/>
          <w:szCs w:val="20"/>
          <w:color w:val="auto"/>
        </w:rPr>
      </w:pPr>
      <w:r>
        <w:rPr>
          <w:rFonts w:ascii="Arial" w:cs="Arial" w:eastAsia="Arial" w:hAnsi="Arial"/>
          <w:sz w:val="18"/>
          <w:szCs w:val="18"/>
          <w:b w:val="1"/>
          <w:bCs w:val="1"/>
          <w:color w:val="0046AD"/>
        </w:rPr>
        <w:t>PART I. FINANCIAL INFORMATION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0046AD"/>
        </w:rPr>
        <w:t>ITEM 1. CONSOLIDATED FINANCIAL STATEMENTS.</w:t>
      </w:r>
    </w:p>
    <w:p>
      <w:pPr>
        <w:spacing w:after="0" w:line="117" w:lineRule="exact"/>
        <w:rPr>
          <w:sz w:val="20"/>
          <w:szCs w:val="20"/>
          <w:color w:val="auto"/>
        </w:rPr>
      </w:pPr>
    </w:p>
    <w:p>
      <w:pPr>
        <w:ind w:left="3300"/>
        <w:spacing w:after="0"/>
        <w:rPr>
          <w:sz w:val="20"/>
          <w:szCs w:val="20"/>
          <w:color w:val="auto"/>
        </w:rPr>
      </w:pPr>
      <w:r>
        <w:rPr>
          <w:rFonts w:ascii="Arial" w:cs="Arial" w:eastAsia="Arial" w:hAnsi="Arial"/>
          <w:sz w:val="18"/>
          <w:szCs w:val="18"/>
          <w:b w:val="1"/>
          <w:bCs w:val="1"/>
          <w:color w:val="0046AD"/>
        </w:rPr>
        <w:t>ABM INDUSTRIES INCORPORATED AND SUBSIDIARIES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0046AD"/>
        </w:rPr>
        <w:t>CONSOLIDATED BALANCE SHEETS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0046AD"/>
        </w:rPr>
        <w:t>(UNAUDITED)</w:t>
      </w:r>
    </w:p>
    <w:p>
      <w:pPr>
        <w:spacing w:after="0" w:line="168"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7420" w:type="dxa"/>
            <w:vAlign w:val="bottom"/>
            <w:gridSpan w:val="3"/>
          </w:tcPr>
          <w:p>
            <w:pPr>
              <w:ind w:left="20"/>
              <w:spacing w:after="0"/>
              <w:rPr>
                <w:sz w:val="20"/>
                <w:szCs w:val="20"/>
                <w:color w:val="auto"/>
              </w:rPr>
            </w:pPr>
            <w:r>
              <w:rPr>
                <w:rFonts w:ascii="Arial" w:cs="Arial" w:eastAsia="Arial" w:hAnsi="Arial"/>
                <w:sz w:val="14"/>
                <w:szCs w:val="14"/>
                <w:i w:val="1"/>
                <w:iCs w:val="1"/>
                <w:color w:val="auto"/>
              </w:rPr>
              <w:t>(in millions, except share and per share amounts)</w:t>
            </w:r>
          </w:p>
        </w:tc>
        <w:tc>
          <w:tcPr>
            <w:tcW w:w="280" w:type="dxa"/>
            <w:vAlign w:val="bottom"/>
          </w:tcPr>
          <w:p>
            <w:pPr>
              <w:spacing w:after="0"/>
              <w:rPr>
                <w:sz w:val="14"/>
                <w:szCs w:val="14"/>
                <w:color w:val="auto"/>
              </w:rPr>
            </w:pPr>
          </w:p>
        </w:tc>
        <w:tc>
          <w:tcPr>
            <w:tcW w:w="1760" w:type="dxa"/>
            <w:vAlign w:val="bottom"/>
            <w:gridSpan w:val="2"/>
            <w:vMerge w:val="restart"/>
          </w:tcPr>
          <w:p>
            <w:pPr>
              <w:ind w:left="180"/>
              <w:spacing w:after="0"/>
              <w:rPr>
                <w:sz w:val="20"/>
                <w:szCs w:val="20"/>
                <w:color w:val="auto"/>
              </w:rPr>
            </w:pPr>
            <w:r>
              <w:rPr>
                <w:rFonts w:ascii="Arial" w:cs="Arial" w:eastAsia="Arial" w:hAnsi="Arial"/>
                <w:sz w:val="15"/>
                <w:szCs w:val="15"/>
                <w:b w:val="1"/>
                <w:bCs w:val="1"/>
                <w:color w:val="auto"/>
              </w:rPr>
              <w:t>April 30, 2018</w:t>
            </w:r>
          </w:p>
        </w:tc>
        <w:tc>
          <w:tcPr>
            <w:tcW w:w="240" w:type="dxa"/>
            <w:vAlign w:val="bottom"/>
          </w:tcPr>
          <w:p>
            <w:pPr>
              <w:spacing w:after="0"/>
              <w:rPr>
                <w:sz w:val="14"/>
                <w:szCs w:val="14"/>
                <w:color w:val="auto"/>
              </w:rPr>
            </w:pPr>
          </w:p>
        </w:tc>
        <w:tc>
          <w:tcPr>
            <w:tcW w:w="1700" w:type="dxa"/>
            <w:vAlign w:val="bottom"/>
            <w:vMerge w:val="restart"/>
          </w:tcPr>
          <w:p>
            <w:pPr>
              <w:jc w:val="right"/>
              <w:ind w:right="283"/>
              <w:spacing w:after="0"/>
              <w:rPr>
                <w:sz w:val="20"/>
                <w:szCs w:val="20"/>
                <w:color w:val="auto"/>
              </w:rPr>
            </w:pPr>
            <w:r>
              <w:rPr>
                <w:rFonts w:ascii="Arial" w:cs="Arial" w:eastAsia="Arial" w:hAnsi="Arial"/>
                <w:sz w:val="15"/>
                <w:szCs w:val="15"/>
                <w:b w:val="1"/>
                <w:bCs w:val="1"/>
                <w:color w:val="auto"/>
              </w:rPr>
              <w:t>October 31, 2017</w:t>
            </w:r>
          </w:p>
        </w:tc>
        <w:tc>
          <w:tcPr>
            <w:tcW w:w="0" w:type="dxa"/>
            <w:vAlign w:val="bottom"/>
          </w:tcPr>
          <w:p>
            <w:pPr>
              <w:spacing w:after="0"/>
              <w:rPr>
                <w:sz w:val="1"/>
                <w:szCs w:val="1"/>
                <w:color w:val="auto"/>
              </w:rPr>
            </w:pPr>
          </w:p>
        </w:tc>
      </w:tr>
      <w:tr>
        <w:trPr>
          <w:trHeight w:val="84"/>
        </w:trPr>
        <w:tc>
          <w:tcPr>
            <w:tcW w:w="20" w:type="dxa"/>
            <w:vAlign w:val="bottom"/>
          </w:tcPr>
          <w:p>
            <w:pPr>
              <w:spacing w:after="0"/>
              <w:rPr>
                <w:sz w:val="7"/>
                <w:szCs w:val="7"/>
                <w:color w:val="auto"/>
              </w:rPr>
            </w:pPr>
          </w:p>
        </w:tc>
        <w:tc>
          <w:tcPr>
            <w:tcW w:w="2860" w:type="dxa"/>
            <w:vAlign w:val="bottom"/>
            <w:tcBorders>
              <w:top w:val="single" w:sz="8" w:color="auto"/>
            </w:tcBorders>
          </w:tcPr>
          <w:p>
            <w:pPr>
              <w:spacing w:after="0"/>
              <w:rPr>
                <w:sz w:val="7"/>
                <w:szCs w:val="7"/>
                <w:color w:val="auto"/>
              </w:rPr>
            </w:pPr>
          </w:p>
        </w:tc>
        <w:tc>
          <w:tcPr>
            <w:tcW w:w="4540" w:type="dxa"/>
            <w:vAlign w:val="bottom"/>
          </w:tcPr>
          <w:p>
            <w:pPr>
              <w:spacing w:after="0"/>
              <w:rPr>
                <w:sz w:val="7"/>
                <w:szCs w:val="7"/>
                <w:color w:val="auto"/>
              </w:rPr>
            </w:pPr>
          </w:p>
        </w:tc>
        <w:tc>
          <w:tcPr>
            <w:tcW w:w="280" w:type="dxa"/>
            <w:vAlign w:val="bottom"/>
          </w:tcPr>
          <w:p>
            <w:pPr>
              <w:spacing w:after="0"/>
              <w:rPr>
                <w:sz w:val="7"/>
                <w:szCs w:val="7"/>
                <w:color w:val="auto"/>
              </w:rPr>
            </w:pPr>
          </w:p>
        </w:tc>
        <w:tc>
          <w:tcPr>
            <w:tcW w:w="1760" w:type="dxa"/>
            <w:vAlign w:val="bottom"/>
            <w:gridSpan w:val="2"/>
            <w:vMerge w:val="continue"/>
          </w:tcPr>
          <w:p>
            <w:pPr>
              <w:spacing w:after="0"/>
              <w:rPr>
                <w:sz w:val="7"/>
                <w:szCs w:val="7"/>
                <w:color w:val="auto"/>
              </w:rPr>
            </w:pPr>
          </w:p>
        </w:tc>
        <w:tc>
          <w:tcPr>
            <w:tcW w:w="240" w:type="dxa"/>
            <w:vAlign w:val="bottom"/>
          </w:tcPr>
          <w:p>
            <w:pPr>
              <w:spacing w:after="0"/>
              <w:rPr>
                <w:sz w:val="7"/>
                <w:szCs w:val="7"/>
                <w:color w:val="auto"/>
              </w:rPr>
            </w:pPr>
          </w:p>
        </w:tc>
        <w:tc>
          <w:tcPr>
            <w:tcW w:w="17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68"/>
        </w:trPr>
        <w:tc>
          <w:tcPr>
            <w:tcW w:w="7420" w:type="dxa"/>
            <w:vAlign w:val="bottom"/>
            <w:tcBorders>
              <w:top w:val="single" w:sz="8" w:color="DCE2EF"/>
            </w:tcBorders>
            <w:gridSpan w:val="3"/>
            <w:shd w:val="clear" w:color="auto" w:fill="DCE2EF"/>
          </w:tcPr>
          <w:p>
            <w:pPr>
              <w:ind w:left="20"/>
              <w:spacing w:after="0"/>
              <w:rPr>
                <w:sz w:val="20"/>
                <w:szCs w:val="20"/>
                <w:color w:val="auto"/>
              </w:rPr>
            </w:pPr>
            <w:r>
              <w:rPr>
                <w:rFonts w:ascii="Arial" w:cs="Arial" w:eastAsia="Arial" w:hAnsi="Arial"/>
                <w:sz w:val="15"/>
                <w:szCs w:val="15"/>
                <w:b w:val="1"/>
                <w:bCs w:val="1"/>
                <w:color w:val="auto"/>
              </w:rPr>
              <w:t>ASSETS</w:t>
            </w:r>
          </w:p>
        </w:tc>
        <w:tc>
          <w:tcPr>
            <w:tcW w:w="280" w:type="dxa"/>
            <w:vAlign w:val="bottom"/>
            <w:tcBorders>
              <w:top w:val="single" w:sz="8" w:color="auto"/>
            </w:tcBorders>
            <w:shd w:val="clear" w:color="auto" w:fill="DCE2EF"/>
          </w:tcPr>
          <w:p>
            <w:pPr>
              <w:spacing w:after="0"/>
              <w:rPr>
                <w:sz w:val="23"/>
                <w:szCs w:val="23"/>
                <w:color w:val="auto"/>
              </w:rPr>
            </w:pPr>
          </w:p>
        </w:tc>
        <w:tc>
          <w:tcPr>
            <w:tcW w:w="1660" w:type="dxa"/>
            <w:vAlign w:val="bottom"/>
            <w:tcBorders>
              <w:top w:val="single" w:sz="8" w:color="auto"/>
            </w:tcBorders>
            <w:shd w:val="clear" w:color="auto" w:fill="DCE2EF"/>
          </w:tcPr>
          <w:p>
            <w:pPr>
              <w:spacing w:after="0"/>
              <w:rPr>
                <w:sz w:val="23"/>
                <w:szCs w:val="23"/>
                <w:color w:val="auto"/>
              </w:rPr>
            </w:pPr>
          </w:p>
        </w:tc>
        <w:tc>
          <w:tcPr>
            <w:tcW w:w="100" w:type="dxa"/>
            <w:vAlign w:val="bottom"/>
            <w:tcBorders>
              <w:top w:val="single" w:sz="8" w:color="DCE2EF"/>
            </w:tcBorders>
            <w:shd w:val="clear" w:color="auto" w:fill="DCE2EF"/>
          </w:tcPr>
          <w:p>
            <w:pPr>
              <w:spacing w:after="0"/>
              <w:rPr>
                <w:sz w:val="23"/>
                <w:szCs w:val="23"/>
                <w:color w:val="auto"/>
              </w:rPr>
            </w:pPr>
          </w:p>
        </w:tc>
        <w:tc>
          <w:tcPr>
            <w:tcW w:w="240" w:type="dxa"/>
            <w:vAlign w:val="bottom"/>
            <w:tcBorders>
              <w:top w:val="single" w:sz="8" w:color="auto"/>
            </w:tcBorders>
            <w:shd w:val="clear" w:color="auto" w:fill="DCE2EF"/>
          </w:tcPr>
          <w:p>
            <w:pPr>
              <w:spacing w:after="0"/>
              <w:rPr>
                <w:sz w:val="23"/>
                <w:szCs w:val="23"/>
                <w:color w:val="auto"/>
              </w:rPr>
            </w:pPr>
          </w:p>
        </w:tc>
        <w:tc>
          <w:tcPr>
            <w:tcW w:w="1700" w:type="dxa"/>
            <w:vAlign w:val="bottom"/>
            <w:tcBorders>
              <w:top w:val="single" w:sz="8" w:color="auto"/>
            </w:tcBorders>
            <w:shd w:val="clear" w:color="auto" w:fill="DCE2EF"/>
          </w:tcPr>
          <w:p>
            <w:pPr>
              <w:spacing w:after="0"/>
              <w:rPr>
                <w:sz w:val="23"/>
                <w:szCs w:val="23"/>
                <w:color w:val="auto"/>
              </w:rPr>
            </w:pPr>
          </w:p>
        </w:tc>
        <w:tc>
          <w:tcPr>
            <w:tcW w:w="0" w:type="dxa"/>
            <w:vAlign w:val="bottom"/>
          </w:tcPr>
          <w:p>
            <w:pPr>
              <w:spacing w:after="0"/>
              <w:rPr>
                <w:sz w:val="1"/>
                <w:szCs w:val="1"/>
                <w:color w:val="auto"/>
              </w:rPr>
            </w:pPr>
          </w:p>
        </w:tc>
      </w:tr>
      <w:tr>
        <w:trPr>
          <w:trHeight w:val="266"/>
        </w:trPr>
        <w:tc>
          <w:tcPr>
            <w:tcW w:w="7420" w:type="dxa"/>
            <w:vAlign w:val="bottom"/>
            <w:gridSpan w:val="3"/>
          </w:tcPr>
          <w:p>
            <w:pPr>
              <w:ind w:left="20"/>
              <w:spacing w:after="0"/>
              <w:rPr>
                <w:sz w:val="20"/>
                <w:szCs w:val="20"/>
                <w:color w:val="auto"/>
              </w:rPr>
            </w:pPr>
            <w:r>
              <w:rPr>
                <w:rFonts w:ascii="Arial" w:cs="Arial" w:eastAsia="Arial" w:hAnsi="Arial"/>
                <w:sz w:val="15"/>
                <w:szCs w:val="15"/>
                <w:color w:val="auto"/>
              </w:rPr>
              <w:t>Current assets</w:t>
            </w:r>
          </w:p>
        </w:tc>
        <w:tc>
          <w:tcPr>
            <w:tcW w:w="280" w:type="dxa"/>
            <w:vAlign w:val="bottom"/>
          </w:tcPr>
          <w:p>
            <w:pPr>
              <w:spacing w:after="0"/>
              <w:rPr>
                <w:sz w:val="23"/>
                <w:szCs w:val="23"/>
                <w:color w:val="auto"/>
              </w:rPr>
            </w:pPr>
          </w:p>
        </w:tc>
        <w:tc>
          <w:tcPr>
            <w:tcW w:w="16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7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4"/>
        </w:trPr>
        <w:tc>
          <w:tcPr>
            <w:tcW w:w="20" w:type="dxa"/>
            <w:vAlign w:val="bottom"/>
            <w:shd w:val="clear" w:color="auto" w:fill="DCE2EF"/>
          </w:tcPr>
          <w:p>
            <w:pPr>
              <w:spacing w:after="0"/>
              <w:rPr>
                <w:sz w:val="23"/>
                <w:szCs w:val="23"/>
                <w:color w:val="auto"/>
              </w:rPr>
            </w:pPr>
          </w:p>
        </w:tc>
        <w:tc>
          <w:tcPr>
            <w:tcW w:w="7400" w:type="dxa"/>
            <w:vAlign w:val="bottom"/>
            <w:gridSpan w:val="2"/>
            <w:shd w:val="clear" w:color="auto" w:fill="DCE2EF"/>
          </w:tcPr>
          <w:p>
            <w:pPr>
              <w:ind w:left="360"/>
              <w:spacing w:after="0"/>
              <w:rPr>
                <w:sz w:val="20"/>
                <w:szCs w:val="20"/>
                <w:color w:val="auto"/>
              </w:rPr>
            </w:pPr>
            <w:r>
              <w:rPr>
                <w:rFonts w:ascii="Arial" w:cs="Arial" w:eastAsia="Arial" w:hAnsi="Arial"/>
                <w:sz w:val="15"/>
                <w:szCs w:val="15"/>
                <w:color w:val="auto"/>
              </w:rPr>
              <w:t>Cash and cash equivalents</w:t>
            </w:r>
          </w:p>
        </w:tc>
        <w:tc>
          <w:tcPr>
            <w:tcW w:w="280" w:type="dxa"/>
            <w:vAlign w:val="bottom"/>
            <w:shd w:val="clear" w:color="auto" w:fill="DCE2EF"/>
          </w:tcPr>
          <w:p>
            <w:pPr>
              <w:jc w:val="right"/>
              <w:ind w:right="103"/>
              <w:spacing w:after="0"/>
              <w:rPr>
                <w:sz w:val="20"/>
                <w:szCs w:val="20"/>
                <w:color w:val="auto"/>
              </w:rPr>
            </w:pPr>
            <w:r>
              <w:rPr>
                <w:rFonts w:ascii="Arial" w:cs="Arial" w:eastAsia="Arial" w:hAnsi="Arial"/>
                <w:sz w:val="15"/>
                <w:szCs w:val="15"/>
                <w:color w:val="auto"/>
                <w:w w:val="95"/>
              </w:rPr>
              <w:t>$</w:t>
            </w:r>
          </w:p>
        </w:tc>
        <w:tc>
          <w:tcPr>
            <w:tcW w:w="1660" w:type="dxa"/>
            <w:vAlign w:val="bottom"/>
            <w:shd w:val="clear" w:color="auto" w:fill="DCE2EF"/>
          </w:tcPr>
          <w:p>
            <w:pPr>
              <w:jc w:val="right"/>
              <w:ind w:right="43"/>
              <w:spacing w:after="0"/>
              <w:rPr>
                <w:sz w:val="20"/>
                <w:szCs w:val="20"/>
                <w:color w:val="auto"/>
              </w:rPr>
            </w:pPr>
            <w:r>
              <w:rPr>
                <w:rFonts w:ascii="Arial" w:cs="Arial" w:eastAsia="Arial" w:hAnsi="Arial"/>
                <w:sz w:val="15"/>
                <w:szCs w:val="15"/>
                <w:color w:val="auto"/>
              </w:rPr>
              <w:t>69.7</w:t>
            </w:r>
          </w:p>
        </w:tc>
        <w:tc>
          <w:tcPr>
            <w:tcW w:w="100" w:type="dxa"/>
            <w:vAlign w:val="bottom"/>
            <w:shd w:val="clear" w:color="auto" w:fill="DCE2EF"/>
          </w:tcPr>
          <w:p>
            <w:pPr>
              <w:spacing w:after="0"/>
              <w:rPr>
                <w:sz w:val="23"/>
                <w:szCs w:val="23"/>
                <w:color w:val="auto"/>
              </w:rPr>
            </w:pPr>
          </w:p>
        </w:tc>
        <w:tc>
          <w:tcPr>
            <w:tcW w:w="240" w:type="dxa"/>
            <w:vAlign w:val="bottom"/>
            <w:shd w:val="clear" w:color="auto" w:fill="DCE2EF"/>
          </w:tcPr>
          <w:p>
            <w:pPr>
              <w:jc w:val="right"/>
              <w:ind w:right="43"/>
              <w:spacing w:after="0"/>
              <w:rPr>
                <w:sz w:val="20"/>
                <w:szCs w:val="20"/>
                <w:color w:val="auto"/>
              </w:rPr>
            </w:pPr>
            <w:r>
              <w:rPr>
                <w:rFonts w:ascii="Arial" w:cs="Arial" w:eastAsia="Arial" w:hAnsi="Arial"/>
                <w:sz w:val="15"/>
                <w:szCs w:val="15"/>
                <w:color w:val="auto"/>
              </w:rPr>
              <w:t>$</w:t>
            </w:r>
          </w:p>
        </w:tc>
        <w:tc>
          <w:tcPr>
            <w:tcW w:w="1700" w:type="dxa"/>
            <w:vAlign w:val="bottom"/>
            <w:shd w:val="clear" w:color="auto" w:fill="DCE2EF"/>
          </w:tcPr>
          <w:p>
            <w:pPr>
              <w:jc w:val="right"/>
              <w:ind w:right="43"/>
              <w:spacing w:after="0"/>
              <w:rPr>
                <w:sz w:val="20"/>
                <w:szCs w:val="20"/>
                <w:color w:val="auto"/>
              </w:rPr>
            </w:pPr>
            <w:r>
              <w:rPr>
                <w:rFonts w:ascii="Arial" w:cs="Arial" w:eastAsia="Arial" w:hAnsi="Arial"/>
                <w:sz w:val="15"/>
                <w:szCs w:val="15"/>
                <w:color w:val="auto"/>
              </w:rPr>
              <w:t>62.8</w:t>
            </w: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7400" w:type="dxa"/>
            <w:vAlign w:val="bottom"/>
            <w:gridSpan w:val="2"/>
          </w:tcPr>
          <w:p>
            <w:pPr>
              <w:ind w:left="360"/>
              <w:spacing w:after="0"/>
              <w:rPr>
                <w:sz w:val="20"/>
                <w:szCs w:val="20"/>
                <w:color w:val="auto"/>
              </w:rPr>
            </w:pPr>
            <w:r>
              <w:rPr>
                <w:rFonts w:ascii="Arial" w:cs="Arial" w:eastAsia="Arial" w:hAnsi="Arial"/>
                <w:sz w:val="15"/>
                <w:szCs w:val="15"/>
                <w:color w:val="auto"/>
              </w:rPr>
              <w:t>Trade accounts receivable, net of allowances of $16.4</w:t>
            </w:r>
          </w:p>
        </w:tc>
        <w:tc>
          <w:tcPr>
            <w:tcW w:w="280" w:type="dxa"/>
            <w:vAlign w:val="bottom"/>
          </w:tcPr>
          <w:p>
            <w:pPr>
              <w:spacing w:after="0"/>
              <w:rPr>
                <w:sz w:val="16"/>
                <w:szCs w:val="16"/>
                <w:color w:val="auto"/>
              </w:rPr>
            </w:pPr>
          </w:p>
        </w:tc>
        <w:tc>
          <w:tcPr>
            <w:tcW w:w="1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7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7400" w:type="dxa"/>
            <w:vAlign w:val="bottom"/>
            <w:gridSpan w:val="2"/>
          </w:tcPr>
          <w:p>
            <w:pPr>
              <w:ind w:left="480"/>
              <w:spacing w:after="0"/>
              <w:rPr>
                <w:sz w:val="20"/>
                <w:szCs w:val="20"/>
                <w:color w:val="auto"/>
              </w:rPr>
            </w:pPr>
            <w:r>
              <w:rPr>
                <w:rFonts w:ascii="Arial" w:cs="Arial" w:eastAsia="Arial" w:hAnsi="Arial"/>
                <w:sz w:val="15"/>
                <w:szCs w:val="15"/>
                <w:color w:val="auto"/>
              </w:rPr>
              <w:t>and $25.5 at April 30, 2018 and October 31, 2017, respectively</w:t>
            </w:r>
          </w:p>
        </w:tc>
        <w:tc>
          <w:tcPr>
            <w:tcW w:w="280" w:type="dxa"/>
            <w:vAlign w:val="bottom"/>
          </w:tcPr>
          <w:p>
            <w:pPr>
              <w:spacing w:after="0"/>
              <w:rPr>
                <w:sz w:val="16"/>
                <w:szCs w:val="16"/>
                <w:color w:val="auto"/>
              </w:rPr>
            </w:pPr>
          </w:p>
        </w:tc>
        <w:tc>
          <w:tcPr>
            <w:tcW w:w="1660" w:type="dxa"/>
            <w:vAlign w:val="bottom"/>
          </w:tcPr>
          <w:p>
            <w:pPr>
              <w:jc w:val="right"/>
              <w:ind w:right="43"/>
              <w:spacing w:after="0"/>
              <w:rPr>
                <w:sz w:val="20"/>
                <w:szCs w:val="20"/>
                <w:color w:val="auto"/>
              </w:rPr>
            </w:pPr>
            <w:r>
              <w:rPr>
                <w:rFonts w:ascii="Arial" w:cs="Arial" w:eastAsia="Arial" w:hAnsi="Arial"/>
                <w:sz w:val="15"/>
                <w:szCs w:val="15"/>
                <w:color w:val="auto"/>
              </w:rPr>
              <w:t>1,005.7</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700" w:type="dxa"/>
            <w:vAlign w:val="bottom"/>
          </w:tcPr>
          <w:p>
            <w:pPr>
              <w:jc w:val="right"/>
              <w:ind w:right="43"/>
              <w:spacing w:after="0"/>
              <w:rPr>
                <w:sz w:val="20"/>
                <w:szCs w:val="20"/>
                <w:color w:val="auto"/>
              </w:rPr>
            </w:pPr>
            <w:r>
              <w:rPr>
                <w:rFonts w:ascii="Arial" w:cs="Arial" w:eastAsia="Arial" w:hAnsi="Arial"/>
                <w:sz w:val="15"/>
                <w:szCs w:val="15"/>
                <w:color w:val="auto"/>
              </w:rPr>
              <w:t>1,038.1</w:t>
            </w:r>
          </w:p>
        </w:tc>
        <w:tc>
          <w:tcPr>
            <w:tcW w:w="0" w:type="dxa"/>
            <w:vAlign w:val="bottom"/>
          </w:tcPr>
          <w:p>
            <w:pPr>
              <w:spacing w:after="0"/>
              <w:rPr>
                <w:sz w:val="1"/>
                <w:szCs w:val="1"/>
                <w:color w:val="auto"/>
              </w:rPr>
            </w:pPr>
          </w:p>
        </w:tc>
      </w:tr>
      <w:tr>
        <w:trPr>
          <w:trHeight w:val="274"/>
        </w:trPr>
        <w:tc>
          <w:tcPr>
            <w:tcW w:w="20" w:type="dxa"/>
            <w:vAlign w:val="bottom"/>
            <w:shd w:val="clear" w:color="auto" w:fill="DCE2EF"/>
          </w:tcPr>
          <w:p>
            <w:pPr>
              <w:spacing w:after="0"/>
              <w:rPr>
                <w:sz w:val="23"/>
                <w:szCs w:val="23"/>
                <w:color w:val="auto"/>
              </w:rPr>
            </w:pPr>
          </w:p>
        </w:tc>
        <w:tc>
          <w:tcPr>
            <w:tcW w:w="7400" w:type="dxa"/>
            <w:vAlign w:val="bottom"/>
            <w:gridSpan w:val="2"/>
            <w:shd w:val="clear" w:color="auto" w:fill="DCE2EF"/>
          </w:tcPr>
          <w:p>
            <w:pPr>
              <w:ind w:left="360"/>
              <w:spacing w:after="0"/>
              <w:rPr>
                <w:sz w:val="20"/>
                <w:szCs w:val="20"/>
                <w:color w:val="auto"/>
              </w:rPr>
            </w:pPr>
            <w:r>
              <w:rPr>
                <w:rFonts w:ascii="Arial" w:cs="Arial" w:eastAsia="Arial" w:hAnsi="Arial"/>
                <w:sz w:val="15"/>
                <w:szCs w:val="15"/>
                <w:color w:val="auto"/>
              </w:rPr>
              <w:t>Prepaid expenses</w:t>
            </w:r>
          </w:p>
        </w:tc>
        <w:tc>
          <w:tcPr>
            <w:tcW w:w="280" w:type="dxa"/>
            <w:vAlign w:val="bottom"/>
            <w:shd w:val="clear" w:color="auto" w:fill="DCE2EF"/>
          </w:tcPr>
          <w:p>
            <w:pPr>
              <w:spacing w:after="0"/>
              <w:rPr>
                <w:sz w:val="23"/>
                <w:szCs w:val="23"/>
                <w:color w:val="auto"/>
              </w:rPr>
            </w:pPr>
          </w:p>
        </w:tc>
        <w:tc>
          <w:tcPr>
            <w:tcW w:w="1660" w:type="dxa"/>
            <w:vAlign w:val="bottom"/>
            <w:shd w:val="clear" w:color="auto" w:fill="DCE2EF"/>
          </w:tcPr>
          <w:p>
            <w:pPr>
              <w:jc w:val="right"/>
              <w:ind w:right="43"/>
              <w:spacing w:after="0"/>
              <w:rPr>
                <w:sz w:val="20"/>
                <w:szCs w:val="20"/>
                <w:color w:val="auto"/>
              </w:rPr>
            </w:pPr>
            <w:r>
              <w:rPr>
                <w:rFonts w:ascii="Arial" w:cs="Arial" w:eastAsia="Arial" w:hAnsi="Arial"/>
                <w:sz w:val="15"/>
                <w:szCs w:val="15"/>
                <w:color w:val="auto"/>
              </w:rPr>
              <w:t>107.0</w:t>
            </w:r>
          </w:p>
        </w:tc>
        <w:tc>
          <w:tcPr>
            <w:tcW w:w="100" w:type="dxa"/>
            <w:vAlign w:val="bottom"/>
            <w:shd w:val="clear" w:color="auto" w:fill="DCE2EF"/>
          </w:tcPr>
          <w:p>
            <w:pPr>
              <w:spacing w:after="0"/>
              <w:rPr>
                <w:sz w:val="23"/>
                <w:szCs w:val="23"/>
                <w:color w:val="auto"/>
              </w:rPr>
            </w:pPr>
          </w:p>
        </w:tc>
        <w:tc>
          <w:tcPr>
            <w:tcW w:w="240" w:type="dxa"/>
            <w:vAlign w:val="bottom"/>
            <w:shd w:val="clear" w:color="auto" w:fill="DCE2EF"/>
          </w:tcPr>
          <w:p>
            <w:pPr>
              <w:spacing w:after="0"/>
              <w:rPr>
                <w:sz w:val="23"/>
                <w:szCs w:val="23"/>
                <w:color w:val="auto"/>
              </w:rPr>
            </w:pPr>
          </w:p>
        </w:tc>
        <w:tc>
          <w:tcPr>
            <w:tcW w:w="1700" w:type="dxa"/>
            <w:vAlign w:val="bottom"/>
            <w:shd w:val="clear" w:color="auto" w:fill="DCE2EF"/>
          </w:tcPr>
          <w:p>
            <w:pPr>
              <w:jc w:val="right"/>
              <w:ind w:right="43"/>
              <w:spacing w:after="0"/>
              <w:rPr>
                <w:sz w:val="20"/>
                <w:szCs w:val="20"/>
                <w:color w:val="auto"/>
              </w:rPr>
            </w:pPr>
            <w:r>
              <w:rPr>
                <w:rFonts w:ascii="Arial" w:cs="Arial" w:eastAsia="Arial" w:hAnsi="Arial"/>
                <w:sz w:val="15"/>
                <w:szCs w:val="15"/>
                <w:color w:val="auto"/>
              </w:rPr>
              <w:t>101.8</w:t>
            </w:r>
          </w:p>
        </w:tc>
        <w:tc>
          <w:tcPr>
            <w:tcW w:w="0" w:type="dxa"/>
            <w:vAlign w:val="bottom"/>
          </w:tcPr>
          <w:p>
            <w:pPr>
              <w:spacing w:after="0"/>
              <w:rPr>
                <w:sz w:val="1"/>
                <w:szCs w:val="1"/>
                <w:color w:val="auto"/>
              </w:rPr>
            </w:pPr>
          </w:p>
        </w:tc>
      </w:tr>
      <w:tr>
        <w:trPr>
          <w:trHeight w:val="266"/>
        </w:trPr>
        <w:tc>
          <w:tcPr>
            <w:tcW w:w="20" w:type="dxa"/>
            <w:vAlign w:val="bottom"/>
            <w:tcBorders>
              <w:bottom w:val="single" w:sz="8" w:color="DCE2EF"/>
            </w:tcBorders>
          </w:tcPr>
          <w:p>
            <w:pPr>
              <w:spacing w:after="0"/>
              <w:rPr>
                <w:sz w:val="23"/>
                <w:szCs w:val="23"/>
                <w:color w:val="auto"/>
              </w:rPr>
            </w:pPr>
          </w:p>
        </w:tc>
        <w:tc>
          <w:tcPr>
            <w:tcW w:w="7400" w:type="dxa"/>
            <w:vAlign w:val="bottom"/>
            <w:tcBorders>
              <w:bottom w:val="single" w:sz="8" w:color="DCE2EF"/>
            </w:tcBorders>
            <w:gridSpan w:val="2"/>
          </w:tcPr>
          <w:p>
            <w:pPr>
              <w:ind w:left="360"/>
              <w:spacing w:after="0"/>
              <w:rPr>
                <w:sz w:val="20"/>
                <w:szCs w:val="20"/>
                <w:color w:val="auto"/>
              </w:rPr>
            </w:pPr>
            <w:r>
              <w:rPr>
                <w:rFonts w:ascii="Arial" w:cs="Arial" w:eastAsia="Arial" w:hAnsi="Arial"/>
                <w:sz w:val="15"/>
                <w:szCs w:val="15"/>
                <w:color w:val="auto"/>
              </w:rPr>
              <w:t>Other current assets</w:t>
            </w:r>
          </w:p>
        </w:tc>
        <w:tc>
          <w:tcPr>
            <w:tcW w:w="280" w:type="dxa"/>
            <w:vAlign w:val="bottom"/>
            <w:tcBorders>
              <w:bottom w:val="single" w:sz="8" w:color="auto"/>
            </w:tcBorders>
          </w:tcPr>
          <w:p>
            <w:pPr>
              <w:spacing w:after="0"/>
              <w:rPr>
                <w:sz w:val="23"/>
                <w:szCs w:val="23"/>
                <w:color w:val="auto"/>
              </w:rPr>
            </w:pPr>
          </w:p>
        </w:tc>
        <w:tc>
          <w:tcPr>
            <w:tcW w:w="1660" w:type="dxa"/>
            <w:vAlign w:val="bottom"/>
            <w:tcBorders>
              <w:bottom w:val="single" w:sz="8" w:color="auto"/>
            </w:tcBorders>
          </w:tcPr>
          <w:p>
            <w:pPr>
              <w:jc w:val="right"/>
              <w:ind w:right="43"/>
              <w:spacing w:after="0"/>
              <w:rPr>
                <w:sz w:val="20"/>
                <w:szCs w:val="20"/>
                <w:color w:val="auto"/>
              </w:rPr>
            </w:pPr>
            <w:r>
              <w:rPr>
                <w:rFonts w:ascii="Arial" w:cs="Arial" w:eastAsia="Arial" w:hAnsi="Arial"/>
                <w:sz w:val="15"/>
                <w:szCs w:val="15"/>
                <w:color w:val="auto"/>
              </w:rPr>
              <w:t>33.3</w:t>
            </w:r>
          </w:p>
        </w:tc>
        <w:tc>
          <w:tcPr>
            <w:tcW w:w="100" w:type="dxa"/>
            <w:vAlign w:val="bottom"/>
            <w:tcBorders>
              <w:bottom w:val="single" w:sz="8" w:color="DCE2EF"/>
            </w:tcBorders>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1700" w:type="dxa"/>
            <w:vAlign w:val="bottom"/>
            <w:tcBorders>
              <w:bottom w:val="single" w:sz="8" w:color="auto"/>
            </w:tcBorders>
          </w:tcPr>
          <w:p>
            <w:pPr>
              <w:jc w:val="right"/>
              <w:ind w:right="43"/>
              <w:spacing w:after="0"/>
              <w:rPr>
                <w:sz w:val="20"/>
                <w:szCs w:val="20"/>
                <w:color w:val="auto"/>
              </w:rPr>
            </w:pPr>
            <w:r>
              <w:rPr>
                <w:rFonts w:ascii="Arial" w:cs="Arial" w:eastAsia="Arial" w:hAnsi="Arial"/>
                <w:sz w:val="15"/>
                <w:szCs w:val="15"/>
                <w:color w:val="auto"/>
              </w:rPr>
              <w:t>32.8</w:t>
            </w:r>
          </w:p>
        </w:tc>
        <w:tc>
          <w:tcPr>
            <w:tcW w:w="0" w:type="dxa"/>
            <w:vAlign w:val="bottom"/>
          </w:tcPr>
          <w:p>
            <w:pPr>
              <w:spacing w:after="0"/>
              <w:rPr>
                <w:sz w:val="1"/>
                <w:szCs w:val="1"/>
                <w:color w:val="auto"/>
              </w:rPr>
            </w:pPr>
          </w:p>
        </w:tc>
      </w:tr>
      <w:tr>
        <w:trPr>
          <w:trHeight w:val="250"/>
        </w:trPr>
        <w:tc>
          <w:tcPr>
            <w:tcW w:w="20" w:type="dxa"/>
            <w:vAlign w:val="bottom"/>
            <w:shd w:val="clear" w:color="auto" w:fill="DCE2EF"/>
          </w:tcPr>
          <w:p>
            <w:pPr>
              <w:spacing w:after="0"/>
              <w:rPr>
                <w:sz w:val="21"/>
                <w:szCs w:val="21"/>
                <w:color w:val="auto"/>
              </w:rPr>
            </w:pPr>
          </w:p>
        </w:tc>
        <w:tc>
          <w:tcPr>
            <w:tcW w:w="7400" w:type="dxa"/>
            <w:vAlign w:val="bottom"/>
            <w:gridSpan w:val="2"/>
            <w:shd w:val="clear" w:color="auto" w:fill="DCE2EF"/>
          </w:tcPr>
          <w:p>
            <w:pPr>
              <w:ind w:left="680"/>
              <w:spacing w:after="0"/>
              <w:rPr>
                <w:sz w:val="20"/>
                <w:szCs w:val="20"/>
                <w:color w:val="auto"/>
              </w:rPr>
            </w:pPr>
            <w:r>
              <w:rPr>
                <w:rFonts w:ascii="Arial" w:cs="Arial" w:eastAsia="Arial" w:hAnsi="Arial"/>
                <w:sz w:val="15"/>
                <w:szCs w:val="15"/>
                <w:color w:val="auto"/>
              </w:rPr>
              <w:t>Total current assets</w:t>
            </w:r>
          </w:p>
        </w:tc>
        <w:tc>
          <w:tcPr>
            <w:tcW w:w="280" w:type="dxa"/>
            <w:vAlign w:val="bottom"/>
            <w:tcBorders>
              <w:bottom w:val="single" w:sz="8" w:color="auto"/>
            </w:tcBorders>
            <w:shd w:val="clear" w:color="auto" w:fill="DCE2EF"/>
          </w:tcPr>
          <w:p>
            <w:pPr>
              <w:spacing w:after="0"/>
              <w:rPr>
                <w:sz w:val="21"/>
                <w:szCs w:val="21"/>
                <w:color w:val="auto"/>
              </w:rPr>
            </w:pPr>
          </w:p>
        </w:tc>
        <w:tc>
          <w:tcPr>
            <w:tcW w:w="1660" w:type="dxa"/>
            <w:vAlign w:val="bottom"/>
            <w:tcBorders>
              <w:bottom w:val="single" w:sz="8" w:color="auto"/>
            </w:tcBorders>
            <w:shd w:val="clear" w:color="auto" w:fill="DCE2EF"/>
          </w:tcPr>
          <w:p>
            <w:pPr>
              <w:jc w:val="right"/>
              <w:ind w:right="43"/>
              <w:spacing w:after="0"/>
              <w:rPr>
                <w:sz w:val="20"/>
                <w:szCs w:val="20"/>
                <w:color w:val="auto"/>
              </w:rPr>
            </w:pPr>
            <w:r>
              <w:rPr>
                <w:rFonts w:ascii="Arial" w:cs="Arial" w:eastAsia="Arial" w:hAnsi="Arial"/>
                <w:sz w:val="15"/>
                <w:szCs w:val="15"/>
                <w:color w:val="auto"/>
              </w:rPr>
              <w:t>1,215.7</w:t>
            </w:r>
          </w:p>
        </w:tc>
        <w:tc>
          <w:tcPr>
            <w:tcW w:w="100" w:type="dxa"/>
            <w:vAlign w:val="bottom"/>
            <w:shd w:val="clear" w:color="auto" w:fill="DCE2EF"/>
          </w:tcPr>
          <w:p>
            <w:pPr>
              <w:spacing w:after="0"/>
              <w:rPr>
                <w:sz w:val="21"/>
                <w:szCs w:val="21"/>
                <w:color w:val="auto"/>
              </w:rPr>
            </w:pPr>
          </w:p>
        </w:tc>
        <w:tc>
          <w:tcPr>
            <w:tcW w:w="240" w:type="dxa"/>
            <w:vAlign w:val="bottom"/>
            <w:tcBorders>
              <w:bottom w:val="single" w:sz="8" w:color="auto"/>
            </w:tcBorders>
            <w:shd w:val="clear" w:color="auto" w:fill="DCE2EF"/>
          </w:tcPr>
          <w:p>
            <w:pPr>
              <w:spacing w:after="0"/>
              <w:rPr>
                <w:sz w:val="21"/>
                <w:szCs w:val="21"/>
                <w:color w:val="auto"/>
              </w:rPr>
            </w:pPr>
          </w:p>
        </w:tc>
        <w:tc>
          <w:tcPr>
            <w:tcW w:w="1700" w:type="dxa"/>
            <w:vAlign w:val="bottom"/>
            <w:tcBorders>
              <w:bottom w:val="single" w:sz="8" w:color="auto"/>
            </w:tcBorders>
            <w:shd w:val="clear" w:color="auto" w:fill="DCE2EF"/>
          </w:tcPr>
          <w:p>
            <w:pPr>
              <w:jc w:val="right"/>
              <w:ind w:right="43"/>
              <w:spacing w:after="0"/>
              <w:rPr>
                <w:sz w:val="20"/>
                <w:szCs w:val="20"/>
                <w:color w:val="auto"/>
              </w:rPr>
            </w:pPr>
            <w:r>
              <w:rPr>
                <w:rFonts w:ascii="Arial" w:cs="Arial" w:eastAsia="Arial" w:hAnsi="Arial"/>
                <w:sz w:val="15"/>
                <w:szCs w:val="15"/>
                <w:color w:val="auto"/>
              </w:rPr>
              <w:t>1,235.5</w:t>
            </w:r>
          </w:p>
        </w:tc>
        <w:tc>
          <w:tcPr>
            <w:tcW w:w="0" w:type="dxa"/>
            <w:vAlign w:val="bottom"/>
          </w:tcPr>
          <w:p>
            <w:pPr>
              <w:spacing w:after="0"/>
              <w:rPr>
                <w:sz w:val="1"/>
                <w:szCs w:val="1"/>
                <w:color w:val="auto"/>
              </w:rPr>
            </w:pPr>
          </w:p>
        </w:tc>
      </w:tr>
      <w:tr>
        <w:trPr>
          <w:trHeight w:val="250"/>
        </w:trPr>
        <w:tc>
          <w:tcPr>
            <w:tcW w:w="7420" w:type="dxa"/>
            <w:vAlign w:val="bottom"/>
            <w:gridSpan w:val="3"/>
          </w:tcPr>
          <w:p>
            <w:pPr>
              <w:ind w:left="20"/>
              <w:spacing w:after="0"/>
              <w:rPr>
                <w:sz w:val="20"/>
                <w:szCs w:val="20"/>
                <w:color w:val="auto"/>
              </w:rPr>
            </w:pPr>
            <w:r>
              <w:rPr>
                <w:rFonts w:ascii="Arial" w:cs="Arial" w:eastAsia="Arial" w:hAnsi="Arial"/>
                <w:sz w:val="15"/>
                <w:szCs w:val="15"/>
                <w:color w:val="auto"/>
              </w:rPr>
              <w:t>Other investments</w:t>
            </w:r>
          </w:p>
        </w:tc>
        <w:tc>
          <w:tcPr>
            <w:tcW w:w="280" w:type="dxa"/>
            <w:vAlign w:val="bottom"/>
          </w:tcPr>
          <w:p>
            <w:pPr>
              <w:spacing w:after="0"/>
              <w:rPr>
                <w:sz w:val="21"/>
                <w:szCs w:val="21"/>
                <w:color w:val="auto"/>
              </w:rPr>
            </w:pPr>
          </w:p>
        </w:tc>
        <w:tc>
          <w:tcPr>
            <w:tcW w:w="1660" w:type="dxa"/>
            <w:vAlign w:val="bottom"/>
          </w:tcPr>
          <w:p>
            <w:pPr>
              <w:jc w:val="right"/>
              <w:ind w:right="43"/>
              <w:spacing w:after="0"/>
              <w:rPr>
                <w:sz w:val="20"/>
                <w:szCs w:val="20"/>
                <w:color w:val="auto"/>
              </w:rPr>
            </w:pPr>
            <w:r>
              <w:rPr>
                <w:rFonts w:ascii="Arial" w:cs="Arial" w:eastAsia="Arial" w:hAnsi="Arial"/>
                <w:sz w:val="15"/>
                <w:szCs w:val="15"/>
                <w:color w:val="auto"/>
              </w:rPr>
              <w:t>19.4</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700" w:type="dxa"/>
            <w:vAlign w:val="bottom"/>
          </w:tcPr>
          <w:p>
            <w:pPr>
              <w:jc w:val="right"/>
              <w:ind w:right="43"/>
              <w:spacing w:after="0"/>
              <w:rPr>
                <w:sz w:val="20"/>
                <w:szCs w:val="20"/>
                <w:color w:val="auto"/>
              </w:rPr>
            </w:pPr>
            <w:r>
              <w:rPr>
                <w:rFonts w:ascii="Arial" w:cs="Arial" w:eastAsia="Arial" w:hAnsi="Arial"/>
                <w:sz w:val="15"/>
                <w:szCs w:val="15"/>
                <w:color w:val="auto"/>
              </w:rPr>
              <w:t>17.6</w:t>
            </w:r>
          </w:p>
        </w:tc>
        <w:tc>
          <w:tcPr>
            <w:tcW w:w="0" w:type="dxa"/>
            <w:vAlign w:val="bottom"/>
          </w:tcPr>
          <w:p>
            <w:pPr>
              <w:spacing w:after="0"/>
              <w:rPr>
                <w:sz w:val="1"/>
                <w:szCs w:val="1"/>
                <w:color w:val="auto"/>
              </w:rPr>
            </w:pPr>
          </w:p>
        </w:tc>
      </w:tr>
      <w:tr>
        <w:trPr>
          <w:trHeight w:val="190"/>
        </w:trPr>
        <w:tc>
          <w:tcPr>
            <w:tcW w:w="7420" w:type="dxa"/>
            <w:vAlign w:val="bottom"/>
            <w:gridSpan w:val="3"/>
            <w:shd w:val="clear" w:color="auto" w:fill="DCE2EF"/>
          </w:tcPr>
          <w:p>
            <w:pPr>
              <w:ind w:left="20"/>
              <w:spacing w:after="0"/>
              <w:rPr>
                <w:sz w:val="20"/>
                <w:szCs w:val="20"/>
                <w:color w:val="auto"/>
              </w:rPr>
            </w:pPr>
            <w:r>
              <w:rPr>
                <w:rFonts w:ascii="Arial" w:cs="Arial" w:eastAsia="Arial" w:hAnsi="Arial"/>
                <w:sz w:val="15"/>
                <w:szCs w:val="15"/>
                <w:color w:val="auto"/>
              </w:rPr>
              <w:t>Property, plant and equipment, net of accumulated depreciation of $156.2</w:t>
            </w:r>
          </w:p>
        </w:tc>
        <w:tc>
          <w:tcPr>
            <w:tcW w:w="280" w:type="dxa"/>
            <w:vAlign w:val="bottom"/>
            <w:shd w:val="clear" w:color="auto" w:fill="DCE2EF"/>
          </w:tcPr>
          <w:p>
            <w:pPr>
              <w:spacing w:after="0"/>
              <w:rPr>
                <w:sz w:val="16"/>
                <w:szCs w:val="16"/>
                <w:color w:val="auto"/>
              </w:rPr>
            </w:pPr>
          </w:p>
        </w:tc>
        <w:tc>
          <w:tcPr>
            <w:tcW w:w="1660" w:type="dxa"/>
            <w:vAlign w:val="bottom"/>
            <w:shd w:val="clear" w:color="auto" w:fill="DCE2EF"/>
          </w:tcPr>
          <w:p>
            <w:pPr>
              <w:spacing w:after="0"/>
              <w:rPr>
                <w:sz w:val="16"/>
                <w:szCs w:val="16"/>
                <w:color w:val="auto"/>
              </w:rPr>
            </w:pPr>
          </w:p>
        </w:tc>
        <w:tc>
          <w:tcPr>
            <w:tcW w:w="100" w:type="dxa"/>
            <w:vAlign w:val="bottom"/>
            <w:shd w:val="clear" w:color="auto" w:fill="DCE2EF"/>
          </w:tcPr>
          <w:p>
            <w:pPr>
              <w:spacing w:after="0"/>
              <w:rPr>
                <w:sz w:val="16"/>
                <w:szCs w:val="16"/>
                <w:color w:val="auto"/>
              </w:rPr>
            </w:pPr>
          </w:p>
        </w:tc>
        <w:tc>
          <w:tcPr>
            <w:tcW w:w="240" w:type="dxa"/>
            <w:vAlign w:val="bottom"/>
            <w:shd w:val="clear" w:color="auto" w:fill="DCE2EF"/>
          </w:tcPr>
          <w:p>
            <w:pPr>
              <w:spacing w:after="0"/>
              <w:rPr>
                <w:sz w:val="16"/>
                <w:szCs w:val="16"/>
                <w:color w:val="auto"/>
              </w:rPr>
            </w:pPr>
          </w:p>
        </w:tc>
        <w:tc>
          <w:tcPr>
            <w:tcW w:w="1700" w:type="dxa"/>
            <w:vAlign w:val="bottom"/>
            <w:shd w:val="clear" w:color="auto" w:fill="DCE2EF"/>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shd w:val="clear" w:color="auto" w:fill="DCE2EF"/>
          </w:tcPr>
          <w:p>
            <w:pPr>
              <w:spacing w:after="0"/>
              <w:rPr>
                <w:sz w:val="16"/>
                <w:szCs w:val="16"/>
                <w:color w:val="auto"/>
              </w:rPr>
            </w:pPr>
          </w:p>
        </w:tc>
        <w:tc>
          <w:tcPr>
            <w:tcW w:w="7400" w:type="dxa"/>
            <w:vAlign w:val="bottom"/>
            <w:gridSpan w:val="2"/>
            <w:shd w:val="clear" w:color="auto" w:fill="DCE2EF"/>
          </w:tcPr>
          <w:p>
            <w:pPr>
              <w:ind w:left="120"/>
              <w:spacing w:after="0"/>
              <w:rPr>
                <w:sz w:val="20"/>
                <w:szCs w:val="20"/>
                <w:color w:val="auto"/>
              </w:rPr>
            </w:pPr>
            <w:r>
              <w:rPr>
                <w:rFonts w:ascii="Arial" w:cs="Arial" w:eastAsia="Arial" w:hAnsi="Arial"/>
                <w:sz w:val="15"/>
                <w:szCs w:val="15"/>
                <w:color w:val="auto"/>
              </w:rPr>
              <w:t>and $136.4 at April 30, 2018 and October 31, 2017, respectively</w:t>
            </w:r>
          </w:p>
        </w:tc>
        <w:tc>
          <w:tcPr>
            <w:tcW w:w="280" w:type="dxa"/>
            <w:vAlign w:val="bottom"/>
            <w:shd w:val="clear" w:color="auto" w:fill="DCE2EF"/>
          </w:tcPr>
          <w:p>
            <w:pPr>
              <w:spacing w:after="0"/>
              <w:rPr>
                <w:sz w:val="16"/>
                <w:szCs w:val="16"/>
                <w:color w:val="auto"/>
              </w:rPr>
            </w:pPr>
          </w:p>
        </w:tc>
        <w:tc>
          <w:tcPr>
            <w:tcW w:w="1660" w:type="dxa"/>
            <w:vAlign w:val="bottom"/>
            <w:shd w:val="clear" w:color="auto" w:fill="DCE2EF"/>
          </w:tcPr>
          <w:p>
            <w:pPr>
              <w:jc w:val="right"/>
              <w:ind w:right="43"/>
              <w:spacing w:after="0"/>
              <w:rPr>
                <w:sz w:val="20"/>
                <w:szCs w:val="20"/>
                <w:color w:val="auto"/>
              </w:rPr>
            </w:pPr>
            <w:r>
              <w:rPr>
                <w:rFonts w:ascii="Arial" w:cs="Arial" w:eastAsia="Arial" w:hAnsi="Arial"/>
                <w:sz w:val="15"/>
                <w:szCs w:val="15"/>
                <w:color w:val="auto"/>
              </w:rPr>
              <w:t>140.7</w:t>
            </w:r>
          </w:p>
        </w:tc>
        <w:tc>
          <w:tcPr>
            <w:tcW w:w="100" w:type="dxa"/>
            <w:vAlign w:val="bottom"/>
            <w:shd w:val="clear" w:color="auto" w:fill="DCE2EF"/>
          </w:tcPr>
          <w:p>
            <w:pPr>
              <w:spacing w:after="0"/>
              <w:rPr>
                <w:sz w:val="16"/>
                <w:szCs w:val="16"/>
                <w:color w:val="auto"/>
              </w:rPr>
            </w:pPr>
          </w:p>
        </w:tc>
        <w:tc>
          <w:tcPr>
            <w:tcW w:w="240" w:type="dxa"/>
            <w:vAlign w:val="bottom"/>
            <w:shd w:val="clear" w:color="auto" w:fill="DCE2EF"/>
          </w:tcPr>
          <w:p>
            <w:pPr>
              <w:spacing w:after="0"/>
              <w:rPr>
                <w:sz w:val="16"/>
                <w:szCs w:val="16"/>
                <w:color w:val="auto"/>
              </w:rPr>
            </w:pPr>
          </w:p>
        </w:tc>
        <w:tc>
          <w:tcPr>
            <w:tcW w:w="1700" w:type="dxa"/>
            <w:vAlign w:val="bottom"/>
            <w:shd w:val="clear" w:color="auto" w:fill="DCE2EF"/>
          </w:tcPr>
          <w:p>
            <w:pPr>
              <w:jc w:val="right"/>
              <w:ind w:right="43"/>
              <w:spacing w:after="0"/>
              <w:rPr>
                <w:sz w:val="20"/>
                <w:szCs w:val="20"/>
                <w:color w:val="auto"/>
              </w:rPr>
            </w:pPr>
            <w:r>
              <w:rPr>
                <w:rFonts w:ascii="Arial" w:cs="Arial" w:eastAsia="Arial" w:hAnsi="Arial"/>
                <w:sz w:val="15"/>
                <w:szCs w:val="15"/>
                <w:color w:val="auto"/>
              </w:rPr>
              <w:t>143.1</w:t>
            </w:r>
          </w:p>
        </w:tc>
        <w:tc>
          <w:tcPr>
            <w:tcW w:w="0" w:type="dxa"/>
            <w:vAlign w:val="bottom"/>
          </w:tcPr>
          <w:p>
            <w:pPr>
              <w:spacing w:after="0"/>
              <w:rPr>
                <w:sz w:val="1"/>
                <w:szCs w:val="1"/>
                <w:color w:val="auto"/>
              </w:rPr>
            </w:pPr>
          </w:p>
        </w:tc>
      </w:tr>
      <w:tr>
        <w:trPr>
          <w:trHeight w:val="186"/>
        </w:trPr>
        <w:tc>
          <w:tcPr>
            <w:tcW w:w="7420" w:type="dxa"/>
            <w:vAlign w:val="bottom"/>
            <w:gridSpan w:val="3"/>
          </w:tcPr>
          <w:p>
            <w:pPr>
              <w:ind w:left="20"/>
              <w:spacing w:after="0"/>
              <w:rPr>
                <w:sz w:val="20"/>
                <w:szCs w:val="20"/>
                <w:color w:val="auto"/>
              </w:rPr>
            </w:pPr>
            <w:r>
              <w:rPr>
                <w:rFonts w:ascii="Arial" w:cs="Arial" w:eastAsia="Arial" w:hAnsi="Arial"/>
                <w:sz w:val="15"/>
                <w:szCs w:val="15"/>
                <w:color w:val="auto"/>
              </w:rPr>
              <w:t>Other intangible assets, net of accumulated amortization of $222.4</w:t>
            </w:r>
          </w:p>
        </w:tc>
        <w:tc>
          <w:tcPr>
            <w:tcW w:w="280" w:type="dxa"/>
            <w:vAlign w:val="bottom"/>
          </w:tcPr>
          <w:p>
            <w:pPr>
              <w:spacing w:after="0"/>
              <w:rPr>
                <w:sz w:val="16"/>
                <w:szCs w:val="16"/>
                <w:color w:val="auto"/>
              </w:rPr>
            </w:pPr>
          </w:p>
        </w:tc>
        <w:tc>
          <w:tcPr>
            <w:tcW w:w="1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7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7400" w:type="dxa"/>
            <w:vAlign w:val="bottom"/>
            <w:gridSpan w:val="2"/>
          </w:tcPr>
          <w:p>
            <w:pPr>
              <w:ind w:left="120"/>
              <w:spacing w:after="0"/>
              <w:rPr>
                <w:sz w:val="20"/>
                <w:szCs w:val="20"/>
                <w:color w:val="auto"/>
              </w:rPr>
            </w:pPr>
            <w:r>
              <w:rPr>
                <w:rFonts w:ascii="Arial" w:cs="Arial" w:eastAsia="Arial" w:hAnsi="Arial"/>
                <w:sz w:val="15"/>
                <w:szCs w:val="15"/>
                <w:color w:val="auto"/>
              </w:rPr>
              <w:t>and $189.1 at April 30, 2018 and October 31, 2017, respectively</w:t>
            </w:r>
          </w:p>
        </w:tc>
        <w:tc>
          <w:tcPr>
            <w:tcW w:w="280" w:type="dxa"/>
            <w:vAlign w:val="bottom"/>
          </w:tcPr>
          <w:p>
            <w:pPr>
              <w:spacing w:after="0"/>
              <w:rPr>
                <w:sz w:val="16"/>
                <w:szCs w:val="16"/>
                <w:color w:val="auto"/>
              </w:rPr>
            </w:pPr>
          </w:p>
        </w:tc>
        <w:tc>
          <w:tcPr>
            <w:tcW w:w="1660" w:type="dxa"/>
            <w:vAlign w:val="bottom"/>
          </w:tcPr>
          <w:p>
            <w:pPr>
              <w:jc w:val="right"/>
              <w:ind w:right="43"/>
              <w:spacing w:after="0"/>
              <w:rPr>
                <w:sz w:val="20"/>
                <w:szCs w:val="20"/>
                <w:color w:val="auto"/>
              </w:rPr>
            </w:pPr>
            <w:r>
              <w:rPr>
                <w:rFonts w:ascii="Arial" w:cs="Arial" w:eastAsia="Arial" w:hAnsi="Arial"/>
                <w:sz w:val="15"/>
                <w:szCs w:val="15"/>
                <w:color w:val="auto"/>
              </w:rPr>
              <w:t>387.1</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700" w:type="dxa"/>
            <w:vAlign w:val="bottom"/>
          </w:tcPr>
          <w:p>
            <w:pPr>
              <w:jc w:val="right"/>
              <w:ind w:right="43"/>
              <w:spacing w:after="0"/>
              <w:rPr>
                <w:sz w:val="20"/>
                <w:szCs w:val="20"/>
                <w:color w:val="auto"/>
              </w:rPr>
            </w:pPr>
            <w:r>
              <w:rPr>
                <w:rFonts w:ascii="Arial" w:cs="Arial" w:eastAsia="Arial" w:hAnsi="Arial"/>
                <w:sz w:val="15"/>
                <w:szCs w:val="15"/>
                <w:color w:val="auto"/>
              </w:rPr>
              <w:t>430.1</w:t>
            </w:r>
          </w:p>
        </w:tc>
        <w:tc>
          <w:tcPr>
            <w:tcW w:w="0" w:type="dxa"/>
            <w:vAlign w:val="bottom"/>
          </w:tcPr>
          <w:p>
            <w:pPr>
              <w:spacing w:after="0"/>
              <w:rPr>
                <w:sz w:val="1"/>
                <w:szCs w:val="1"/>
                <w:color w:val="auto"/>
              </w:rPr>
            </w:pPr>
          </w:p>
        </w:tc>
      </w:tr>
      <w:tr>
        <w:trPr>
          <w:trHeight w:val="274"/>
        </w:trPr>
        <w:tc>
          <w:tcPr>
            <w:tcW w:w="7420" w:type="dxa"/>
            <w:vAlign w:val="bottom"/>
            <w:gridSpan w:val="3"/>
            <w:shd w:val="clear" w:color="auto" w:fill="DCE2EF"/>
          </w:tcPr>
          <w:p>
            <w:pPr>
              <w:ind w:left="20"/>
              <w:spacing w:after="0"/>
              <w:rPr>
                <w:sz w:val="20"/>
                <w:szCs w:val="20"/>
                <w:color w:val="auto"/>
              </w:rPr>
            </w:pPr>
            <w:r>
              <w:rPr>
                <w:rFonts w:ascii="Arial" w:cs="Arial" w:eastAsia="Arial" w:hAnsi="Arial"/>
                <w:sz w:val="15"/>
                <w:szCs w:val="15"/>
                <w:color w:val="auto"/>
              </w:rPr>
              <w:t>Goodwill</w:t>
            </w:r>
          </w:p>
        </w:tc>
        <w:tc>
          <w:tcPr>
            <w:tcW w:w="280" w:type="dxa"/>
            <w:vAlign w:val="bottom"/>
            <w:shd w:val="clear" w:color="auto" w:fill="DCE2EF"/>
          </w:tcPr>
          <w:p>
            <w:pPr>
              <w:spacing w:after="0"/>
              <w:rPr>
                <w:sz w:val="23"/>
                <w:szCs w:val="23"/>
                <w:color w:val="auto"/>
              </w:rPr>
            </w:pPr>
          </w:p>
        </w:tc>
        <w:tc>
          <w:tcPr>
            <w:tcW w:w="1660" w:type="dxa"/>
            <w:vAlign w:val="bottom"/>
            <w:shd w:val="clear" w:color="auto" w:fill="DCE2EF"/>
          </w:tcPr>
          <w:p>
            <w:pPr>
              <w:jc w:val="right"/>
              <w:ind w:right="43"/>
              <w:spacing w:after="0"/>
              <w:rPr>
                <w:sz w:val="20"/>
                <w:szCs w:val="20"/>
                <w:color w:val="auto"/>
              </w:rPr>
            </w:pPr>
            <w:r>
              <w:rPr>
                <w:rFonts w:ascii="Arial" w:cs="Arial" w:eastAsia="Arial" w:hAnsi="Arial"/>
                <w:sz w:val="15"/>
                <w:szCs w:val="15"/>
                <w:color w:val="auto"/>
              </w:rPr>
              <w:t>1,867.5</w:t>
            </w:r>
          </w:p>
        </w:tc>
        <w:tc>
          <w:tcPr>
            <w:tcW w:w="100" w:type="dxa"/>
            <w:vAlign w:val="bottom"/>
            <w:shd w:val="clear" w:color="auto" w:fill="DCE2EF"/>
          </w:tcPr>
          <w:p>
            <w:pPr>
              <w:spacing w:after="0"/>
              <w:rPr>
                <w:sz w:val="23"/>
                <w:szCs w:val="23"/>
                <w:color w:val="auto"/>
              </w:rPr>
            </w:pPr>
          </w:p>
        </w:tc>
        <w:tc>
          <w:tcPr>
            <w:tcW w:w="240" w:type="dxa"/>
            <w:vAlign w:val="bottom"/>
            <w:shd w:val="clear" w:color="auto" w:fill="DCE2EF"/>
          </w:tcPr>
          <w:p>
            <w:pPr>
              <w:spacing w:after="0"/>
              <w:rPr>
                <w:sz w:val="23"/>
                <w:szCs w:val="23"/>
                <w:color w:val="auto"/>
              </w:rPr>
            </w:pPr>
          </w:p>
        </w:tc>
        <w:tc>
          <w:tcPr>
            <w:tcW w:w="1700" w:type="dxa"/>
            <w:vAlign w:val="bottom"/>
            <w:shd w:val="clear" w:color="auto" w:fill="DCE2EF"/>
          </w:tcPr>
          <w:p>
            <w:pPr>
              <w:jc w:val="right"/>
              <w:ind w:right="43"/>
              <w:spacing w:after="0"/>
              <w:rPr>
                <w:sz w:val="20"/>
                <w:szCs w:val="20"/>
                <w:color w:val="auto"/>
              </w:rPr>
            </w:pPr>
            <w:r>
              <w:rPr>
                <w:rFonts w:ascii="Arial" w:cs="Arial" w:eastAsia="Arial" w:hAnsi="Arial"/>
                <w:sz w:val="15"/>
                <w:szCs w:val="15"/>
                <w:color w:val="auto"/>
              </w:rPr>
              <w:t>1,864.2</w:t>
            </w:r>
          </w:p>
        </w:tc>
        <w:tc>
          <w:tcPr>
            <w:tcW w:w="0" w:type="dxa"/>
            <w:vAlign w:val="bottom"/>
          </w:tcPr>
          <w:p>
            <w:pPr>
              <w:spacing w:after="0"/>
              <w:rPr>
                <w:sz w:val="1"/>
                <w:szCs w:val="1"/>
                <w:color w:val="auto"/>
              </w:rPr>
            </w:pPr>
          </w:p>
        </w:tc>
      </w:tr>
      <w:tr>
        <w:trPr>
          <w:trHeight w:val="266"/>
        </w:trPr>
        <w:tc>
          <w:tcPr>
            <w:tcW w:w="7420" w:type="dxa"/>
            <w:vAlign w:val="bottom"/>
            <w:tcBorders>
              <w:bottom w:val="single" w:sz="8" w:color="DCE2EF"/>
            </w:tcBorders>
            <w:gridSpan w:val="3"/>
          </w:tcPr>
          <w:p>
            <w:pPr>
              <w:ind w:left="20"/>
              <w:spacing w:after="0"/>
              <w:rPr>
                <w:sz w:val="20"/>
                <w:szCs w:val="20"/>
                <w:color w:val="auto"/>
              </w:rPr>
            </w:pPr>
            <w:r>
              <w:rPr>
                <w:rFonts w:ascii="Arial" w:cs="Arial" w:eastAsia="Arial" w:hAnsi="Arial"/>
                <w:sz w:val="15"/>
                <w:szCs w:val="15"/>
                <w:color w:val="auto"/>
              </w:rPr>
              <w:t>Other noncurrent assets</w:t>
            </w:r>
          </w:p>
        </w:tc>
        <w:tc>
          <w:tcPr>
            <w:tcW w:w="280" w:type="dxa"/>
            <w:vAlign w:val="bottom"/>
            <w:tcBorders>
              <w:bottom w:val="single" w:sz="8" w:color="auto"/>
            </w:tcBorders>
          </w:tcPr>
          <w:p>
            <w:pPr>
              <w:spacing w:after="0"/>
              <w:rPr>
                <w:sz w:val="23"/>
                <w:szCs w:val="23"/>
                <w:color w:val="auto"/>
              </w:rPr>
            </w:pPr>
          </w:p>
        </w:tc>
        <w:tc>
          <w:tcPr>
            <w:tcW w:w="1660" w:type="dxa"/>
            <w:vAlign w:val="bottom"/>
            <w:tcBorders>
              <w:bottom w:val="single" w:sz="8" w:color="auto"/>
            </w:tcBorders>
          </w:tcPr>
          <w:p>
            <w:pPr>
              <w:jc w:val="right"/>
              <w:ind w:right="43"/>
              <w:spacing w:after="0"/>
              <w:rPr>
                <w:sz w:val="20"/>
                <w:szCs w:val="20"/>
                <w:color w:val="auto"/>
              </w:rPr>
            </w:pPr>
            <w:r>
              <w:rPr>
                <w:rFonts w:ascii="Arial" w:cs="Arial" w:eastAsia="Arial" w:hAnsi="Arial"/>
                <w:sz w:val="15"/>
                <w:szCs w:val="15"/>
                <w:color w:val="auto"/>
              </w:rPr>
              <w:t>119.4</w:t>
            </w:r>
          </w:p>
        </w:tc>
        <w:tc>
          <w:tcPr>
            <w:tcW w:w="100" w:type="dxa"/>
            <w:vAlign w:val="bottom"/>
            <w:tcBorders>
              <w:bottom w:val="single" w:sz="8" w:color="DCE2EF"/>
            </w:tcBorders>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1700" w:type="dxa"/>
            <w:vAlign w:val="bottom"/>
            <w:tcBorders>
              <w:bottom w:val="single" w:sz="8" w:color="auto"/>
            </w:tcBorders>
          </w:tcPr>
          <w:p>
            <w:pPr>
              <w:jc w:val="right"/>
              <w:ind w:right="43"/>
              <w:spacing w:after="0"/>
              <w:rPr>
                <w:sz w:val="20"/>
                <w:szCs w:val="20"/>
                <w:color w:val="auto"/>
              </w:rPr>
            </w:pPr>
            <w:r>
              <w:rPr>
                <w:rFonts w:ascii="Arial" w:cs="Arial" w:eastAsia="Arial" w:hAnsi="Arial"/>
                <w:sz w:val="15"/>
                <w:szCs w:val="15"/>
                <w:color w:val="auto"/>
              </w:rPr>
              <w:t>122.1</w:t>
            </w:r>
          </w:p>
        </w:tc>
        <w:tc>
          <w:tcPr>
            <w:tcW w:w="0" w:type="dxa"/>
            <w:vAlign w:val="bottom"/>
          </w:tcPr>
          <w:p>
            <w:pPr>
              <w:spacing w:after="0"/>
              <w:rPr>
                <w:sz w:val="1"/>
                <w:szCs w:val="1"/>
                <w:color w:val="auto"/>
              </w:rPr>
            </w:pPr>
          </w:p>
        </w:tc>
      </w:tr>
      <w:tr>
        <w:trPr>
          <w:trHeight w:val="241"/>
        </w:trPr>
        <w:tc>
          <w:tcPr>
            <w:tcW w:w="7420" w:type="dxa"/>
            <w:vAlign w:val="bottom"/>
            <w:tcBorders>
              <w:bottom w:val="single" w:sz="8" w:color="DCE2EF"/>
            </w:tcBorders>
            <w:gridSpan w:val="3"/>
            <w:shd w:val="clear" w:color="auto" w:fill="DCE2EF"/>
          </w:tcPr>
          <w:p>
            <w:pPr>
              <w:ind w:left="20"/>
              <w:spacing w:after="0"/>
              <w:rPr>
                <w:sz w:val="20"/>
                <w:szCs w:val="20"/>
                <w:color w:val="auto"/>
              </w:rPr>
            </w:pPr>
            <w:r>
              <w:rPr>
                <w:rFonts w:ascii="Arial" w:cs="Arial" w:eastAsia="Arial" w:hAnsi="Arial"/>
                <w:sz w:val="15"/>
                <w:szCs w:val="15"/>
                <w:color w:val="auto"/>
              </w:rPr>
              <w:t>Total assets</w:t>
            </w:r>
          </w:p>
        </w:tc>
        <w:tc>
          <w:tcPr>
            <w:tcW w:w="280" w:type="dxa"/>
            <w:vAlign w:val="bottom"/>
            <w:tcBorders>
              <w:bottom w:val="single" w:sz="8" w:color="auto"/>
            </w:tcBorders>
            <w:shd w:val="clear" w:color="auto" w:fill="DCE2EF"/>
          </w:tcPr>
          <w:p>
            <w:pPr>
              <w:jc w:val="right"/>
              <w:ind w:right="103"/>
              <w:spacing w:after="0"/>
              <w:rPr>
                <w:sz w:val="20"/>
                <w:szCs w:val="20"/>
                <w:color w:val="auto"/>
              </w:rPr>
            </w:pPr>
            <w:r>
              <w:rPr>
                <w:rFonts w:ascii="Arial" w:cs="Arial" w:eastAsia="Arial" w:hAnsi="Arial"/>
                <w:sz w:val="15"/>
                <w:szCs w:val="15"/>
                <w:color w:val="auto"/>
                <w:w w:val="95"/>
              </w:rPr>
              <w:t>$</w:t>
            </w:r>
          </w:p>
        </w:tc>
        <w:tc>
          <w:tcPr>
            <w:tcW w:w="1660" w:type="dxa"/>
            <w:vAlign w:val="bottom"/>
            <w:tcBorders>
              <w:bottom w:val="single" w:sz="8" w:color="auto"/>
            </w:tcBorders>
            <w:shd w:val="clear" w:color="auto" w:fill="DCE2EF"/>
          </w:tcPr>
          <w:p>
            <w:pPr>
              <w:jc w:val="right"/>
              <w:ind w:right="43"/>
              <w:spacing w:after="0"/>
              <w:rPr>
                <w:sz w:val="20"/>
                <w:szCs w:val="20"/>
                <w:color w:val="auto"/>
              </w:rPr>
            </w:pPr>
            <w:r>
              <w:rPr>
                <w:rFonts w:ascii="Arial" w:cs="Arial" w:eastAsia="Arial" w:hAnsi="Arial"/>
                <w:sz w:val="15"/>
                <w:szCs w:val="15"/>
                <w:color w:val="auto"/>
              </w:rPr>
              <w:t>3,749.9</w:t>
            </w:r>
          </w:p>
        </w:tc>
        <w:tc>
          <w:tcPr>
            <w:tcW w:w="100" w:type="dxa"/>
            <w:vAlign w:val="bottom"/>
            <w:tcBorders>
              <w:bottom w:val="single" w:sz="8" w:color="DCE2EF"/>
            </w:tcBorders>
            <w:shd w:val="clear" w:color="auto" w:fill="DCE2EF"/>
          </w:tcPr>
          <w:p>
            <w:pPr>
              <w:spacing w:after="0"/>
              <w:rPr>
                <w:sz w:val="20"/>
                <w:szCs w:val="20"/>
                <w:color w:val="auto"/>
              </w:rPr>
            </w:pPr>
          </w:p>
        </w:tc>
        <w:tc>
          <w:tcPr>
            <w:tcW w:w="240" w:type="dxa"/>
            <w:vAlign w:val="bottom"/>
            <w:tcBorders>
              <w:bottom w:val="single" w:sz="8" w:color="auto"/>
            </w:tcBorders>
            <w:shd w:val="clear" w:color="auto" w:fill="DCE2EF"/>
          </w:tcPr>
          <w:p>
            <w:pPr>
              <w:jc w:val="right"/>
              <w:ind w:right="43"/>
              <w:spacing w:after="0"/>
              <w:rPr>
                <w:sz w:val="20"/>
                <w:szCs w:val="20"/>
                <w:color w:val="auto"/>
              </w:rPr>
            </w:pPr>
            <w:r>
              <w:rPr>
                <w:rFonts w:ascii="Arial" w:cs="Arial" w:eastAsia="Arial" w:hAnsi="Arial"/>
                <w:sz w:val="15"/>
                <w:szCs w:val="15"/>
                <w:color w:val="auto"/>
              </w:rPr>
              <w:t>$</w:t>
            </w:r>
          </w:p>
        </w:tc>
        <w:tc>
          <w:tcPr>
            <w:tcW w:w="1700" w:type="dxa"/>
            <w:vAlign w:val="bottom"/>
            <w:tcBorders>
              <w:bottom w:val="single" w:sz="8" w:color="auto"/>
            </w:tcBorders>
            <w:shd w:val="clear" w:color="auto" w:fill="DCE2EF"/>
          </w:tcPr>
          <w:p>
            <w:pPr>
              <w:jc w:val="right"/>
              <w:ind w:right="43"/>
              <w:spacing w:after="0"/>
              <w:rPr>
                <w:sz w:val="20"/>
                <w:szCs w:val="20"/>
                <w:color w:val="auto"/>
              </w:rPr>
            </w:pPr>
            <w:r>
              <w:rPr>
                <w:rFonts w:ascii="Arial" w:cs="Arial" w:eastAsia="Arial" w:hAnsi="Arial"/>
                <w:sz w:val="15"/>
                <w:szCs w:val="15"/>
                <w:color w:val="auto"/>
              </w:rPr>
              <w:t>3,812.6</w:t>
            </w:r>
          </w:p>
        </w:tc>
        <w:tc>
          <w:tcPr>
            <w:tcW w:w="0" w:type="dxa"/>
            <w:vAlign w:val="bottom"/>
          </w:tcPr>
          <w:p>
            <w:pPr>
              <w:spacing w:after="0"/>
              <w:rPr>
                <w:sz w:val="1"/>
                <w:szCs w:val="1"/>
                <w:color w:val="auto"/>
              </w:rPr>
            </w:pPr>
          </w:p>
        </w:tc>
      </w:tr>
      <w:tr>
        <w:trPr>
          <w:trHeight w:val="20"/>
        </w:trPr>
        <w:tc>
          <w:tcPr>
            <w:tcW w:w="7420" w:type="dxa"/>
            <w:vAlign w:val="bottom"/>
            <w:gridSpan w:val="3"/>
            <w:vMerge w:val="restart"/>
          </w:tcPr>
          <w:p>
            <w:pPr>
              <w:ind w:left="20"/>
              <w:spacing w:after="0"/>
              <w:rPr>
                <w:sz w:val="20"/>
                <w:szCs w:val="20"/>
                <w:color w:val="auto"/>
              </w:rPr>
            </w:pPr>
            <w:r>
              <w:rPr>
                <w:rFonts w:ascii="Arial" w:cs="Arial" w:eastAsia="Arial" w:hAnsi="Arial"/>
                <w:sz w:val="15"/>
                <w:szCs w:val="15"/>
                <w:b w:val="1"/>
                <w:bCs w:val="1"/>
                <w:color w:val="auto"/>
              </w:rPr>
              <w:t>LIABILITIES AND STOCKHOLDERS’ EQUITY</w:t>
            </w:r>
          </w:p>
        </w:tc>
        <w:tc>
          <w:tcPr>
            <w:tcW w:w="28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7"/>
        </w:trPr>
        <w:tc>
          <w:tcPr>
            <w:tcW w:w="7420" w:type="dxa"/>
            <w:vAlign w:val="bottom"/>
            <w:gridSpan w:val="3"/>
            <w:vMerge w:val="continue"/>
          </w:tcPr>
          <w:p>
            <w:pPr>
              <w:spacing w:after="0"/>
              <w:rPr>
                <w:sz w:val="21"/>
                <w:szCs w:val="21"/>
                <w:color w:val="auto"/>
              </w:rPr>
            </w:pPr>
          </w:p>
        </w:tc>
        <w:tc>
          <w:tcPr>
            <w:tcW w:w="280" w:type="dxa"/>
            <w:vAlign w:val="bottom"/>
          </w:tcPr>
          <w:p>
            <w:pPr>
              <w:spacing w:after="0"/>
              <w:rPr>
                <w:sz w:val="21"/>
                <w:szCs w:val="21"/>
                <w:color w:val="auto"/>
              </w:rPr>
            </w:pPr>
          </w:p>
        </w:tc>
        <w:tc>
          <w:tcPr>
            <w:tcW w:w="16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7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4"/>
        </w:trPr>
        <w:tc>
          <w:tcPr>
            <w:tcW w:w="7420" w:type="dxa"/>
            <w:vAlign w:val="bottom"/>
            <w:gridSpan w:val="3"/>
            <w:shd w:val="clear" w:color="auto" w:fill="DCE2EF"/>
          </w:tcPr>
          <w:p>
            <w:pPr>
              <w:ind w:left="20"/>
              <w:spacing w:after="0"/>
              <w:rPr>
                <w:sz w:val="20"/>
                <w:szCs w:val="20"/>
                <w:color w:val="auto"/>
              </w:rPr>
            </w:pPr>
            <w:r>
              <w:rPr>
                <w:rFonts w:ascii="Arial" w:cs="Arial" w:eastAsia="Arial" w:hAnsi="Arial"/>
                <w:sz w:val="15"/>
                <w:szCs w:val="15"/>
                <w:color w:val="auto"/>
              </w:rPr>
              <w:t>Current liabilities</w:t>
            </w:r>
          </w:p>
        </w:tc>
        <w:tc>
          <w:tcPr>
            <w:tcW w:w="280" w:type="dxa"/>
            <w:vAlign w:val="bottom"/>
            <w:shd w:val="clear" w:color="auto" w:fill="DCE2EF"/>
          </w:tcPr>
          <w:p>
            <w:pPr>
              <w:spacing w:after="0"/>
              <w:rPr>
                <w:sz w:val="23"/>
                <w:szCs w:val="23"/>
                <w:color w:val="auto"/>
              </w:rPr>
            </w:pPr>
          </w:p>
        </w:tc>
        <w:tc>
          <w:tcPr>
            <w:tcW w:w="1660" w:type="dxa"/>
            <w:vAlign w:val="bottom"/>
            <w:shd w:val="clear" w:color="auto" w:fill="DCE2EF"/>
          </w:tcPr>
          <w:p>
            <w:pPr>
              <w:spacing w:after="0"/>
              <w:rPr>
                <w:sz w:val="23"/>
                <w:szCs w:val="23"/>
                <w:color w:val="auto"/>
              </w:rPr>
            </w:pPr>
          </w:p>
        </w:tc>
        <w:tc>
          <w:tcPr>
            <w:tcW w:w="100" w:type="dxa"/>
            <w:vAlign w:val="bottom"/>
            <w:shd w:val="clear" w:color="auto" w:fill="DCE2EF"/>
          </w:tcPr>
          <w:p>
            <w:pPr>
              <w:spacing w:after="0"/>
              <w:rPr>
                <w:sz w:val="23"/>
                <w:szCs w:val="23"/>
                <w:color w:val="auto"/>
              </w:rPr>
            </w:pPr>
          </w:p>
        </w:tc>
        <w:tc>
          <w:tcPr>
            <w:tcW w:w="240" w:type="dxa"/>
            <w:vAlign w:val="bottom"/>
            <w:shd w:val="clear" w:color="auto" w:fill="DCE2EF"/>
          </w:tcPr>
          <w:p>
            <w:pPr>
              <w:spacing w:after="0"/>
              <w:rPr>
                <w:sz w:val="23"/>
                <w:szCs w:val="23"/>
                <w:color w:val="auto"/>
              </w:rPr>
            </w:pPr>
          </w:p>
        </w:tc>
        <w:tc>
          <w:tcPr>
            <w:tcW w:w="1700" w:type="dxa"/>
            <w:vAlign w:val="bottom"/>
            <w:shd w:val="clear" w:color="auto" w:fill="DCE2EF"/>
          </w:tcPr>
          <w:p>
            <w:pPr>
              <w:spacing w:after="0"/>
              <w:rPr>
                <w:sz w:val="23"/>
                <w:szCs w:val="23"/>
                <w:color w:val="auto"/>
              </w:rPr>
            </w:pPr>
          </w:p>
        </w:tc>
        <w:tc>
          <w:tcPr>
            <w:tcW w:w="0" w:type="dxa"/>
            <w:vAlign w:val="bottom"/>
          </w:tcPr>
          <w:p>
            <w:pPr>
              <w:spacing w:after="0"/>
              <w:rPr>
                <w:sz w:val="1"/>
                <w:szCs w:val="1"/>
                <w:color w:val="auto"/>
              </w:rPr>
            </w:pPr>
          </w:p>
        </w:tc>
      </w:tr>
      <w:tr>
        <w:trPr>
          <w:trHeight w:val="266"/>
        </w:trPr>
        <w:tc>
          <w:tcPr>
            <w:tcW w:w="20" w:type="dxa"/>
            <w:vAlign w:val="bottom"/>
          </w:tcPr>
          <w:p>
            <w:pPr>
              <w:spacing w:after="0"/>
              <w:rPr>
                <w:sz w:val="23"/>
                <w:szCs w:val="23"/>
                <w:color w:val="auto"/>
              </w:rPr>
            </w:pPr>
          </w:p>
        </w:tc>
        <w:tc>
          <w:tcPr>
            <w:tcW w:w="7400" w:type="dxa"/>
            <w:vAlign w:val="bottom"/>
            <w:gridSpan w:val="2"/>
          </w:tcPr>
          <w:p>
            <w:pPr>
              <w:ind w:left="360"/>
              <w:spacing w:after="0"/>
              <w:rPr>
                <w:sz w:val="20"/>
                <w:szCs w:val="20"/>
                <w:color w:val="auto"/>
              </w:rPr>
            </w:pPr>
            <w:r>
              <w:rPr>
                <w:rFonts w:ascii="Arial" w:cs="Arial" w:eastAsia="Arial" w:hAnsi="Arial"/>
                <w:sz w:val="15"/>
                <w:szCs w:val="15"/>
                <w:color w:val="auto"/>
              </w:rPr>
              <w:t>Current portion of long-term debt, net</w:t>
            </w:r>
          </w:p>
        </w:tc>
        <w:tc>
          <w:tcPr>
            <w:tcW w:w="280" w:type="dxa"/>
            <w:vAlign w:val="bottom"/>
          </w:tcPr>
          <w:p>
            <w:pPr>
              <w:jc w:val="right"/>
              <w:ind w:right="103"/>
              <w:spacing w:after="0"/>
              <w:rPr>
                <w:sz w:val="20"/>
                <w:szCs w:val="20"/>
                <w:color w:val="auto"/>
              </w:rPr>
            </w:pPr>
            <w:r>
              <w:rPr>
                <w:rFonts w:ascii="Arial" w:cs="Arial" w:eastAsia="Arial" w:hAnsi="Arial"/>
                <w:sz w:val="15"/>
                <w:szCs w:val="15"/>
                <w:color w:val="auto"/>
                <w:w w:val="95"/>
              </w:rPr>
              <w:t>$</w:t>
            </w:r>
          </w:p>
        </w:tc>
        <w:tc>
          <w:tcPr>
            <w:tcW w:w="1660" w:type="dxa"/>
            <w:vAlign w:val="bottom"/>
          </w:tcPr>
          <w:p>
            <w:pPr>
              <w:jc w:val="right"/>
              <w:ind w:right="43"/>
              <w:spacing w:after="0"/>
              <w:rPr>
                <w:sz w:val="20"/>
                <w:szCs w:val="20"/>
                <w:color w:val="auto"/>
              </w:rPr>
            </w:pPr>
            <w:r>
              <w:rPr>
                <w:rFonts w:ascii="Arial" w:cs="Arial" w:eastAsia="Arial" w:hAnsi="Arial"/>
                <w:sz w:val="15"/>
                <w:szCs w:val="15"/>
                <w:color w:val="auto"/>
              </w:rPr>
              <w:t>17.0</w:t>
            </w:r>
          </w:p>
        </w:tc>
        <w:tc>
          <w:tcPr>
            <w:tcW w:w="100" w:type="dxa"/>
            <w:vAlign w:val="bottom"/>
          </w:tcPr>
          <w:p>
            <w:pPr>
              <w:spacing w:after="0"/>
              <w:rPr>
                <w:sz w:val="23"/>
                <w:szCs w:val="23"/>
                <w:color w:val="auto"/>
              </w:rPr>
            </w:pPr>
          </w:p>
        </w:tc>
        <w:tc>
          <w:tcPr>
            <w:tcW w:w="240" w:type="dxa"/>
            <w:vAlign w:val="bottom"/>
          </w:tcPr>
          <w:p>
            <w:pPr>
              <w:jc w:val="right"/>
              <w:ind w:right="43"/>
              <w:spacing w:after="0"/>
              <w:rPr>
                <w:sz w:val="20"/>
                <w:szCs w:val="20"/>
                <w:color w:val="auto"/>
              </w:rPr>
            </w:pPr>
            <w:r>
              <w:rPr>
                <w:rFonts w:ascii="Arial" w:cs="Arial" w:eastAsia="Arial" w:hAnsi="Arial"/>
                <w:sz w:val="15"/>
                <w:szCs w:val="15"/>
                <w:color w:val="auto"/>
              </w:rPr>
              <w:t>$</w:t>
            </w:r>
          </w:p>
        </w:tc>
        <w:tc>
          <w:tcPr>
            <w:tcW w:w="1700" w:type="dxa"/>
            <w:vAlign w:val="bottom"/>
          </w:tcPr>
          <w:p>
            <w:pPr>
              <w:jc w:val="right"/>
              <w:ind w:right="43"/>
              <w:spacing w:after="0"/>
              <w:rPr>
                <w:sz w:val="20"/>
                <w:szCs w:val="20"/>
                <w:color w:val="auto"/>
              </w:rPr>
            </w:pPr>
            <w:r>
              <w:rPr>
                <w:rFonts w:ascii="Arial" w:cs="Arial" w:eastAsia="Arial" w:hAnsi="Arial"/>
                <w:sz w:val="15"/>
                <w:szCs w:val="15"/>
                <w:color w:val="auto"/>
              </w:rPr>
              <w:t>16.9</w:t>
            </w:r>
          </w:p>
        </w:tc>
        <w:tc>
          <w:tcPr>
            <w:tcW w:w="0" w:type="dxa"/>
            <w:vAlign w:val="bottom"/>
          </w:tcPr>
          <w:p>
            <w:pPr>
              <w:spacing w:after="0"/>
              <w:rPr>
                <w:sz w:val="1"/>
                <w:szCs w:val="1"/>
                <w:color w:val="auto"/>
              </w:rPr>
            </w:pPr>
          </w:p>
        </w:tc>
      </w:tr>
      <w:tr>
        <w:trPr>
          <w:trHeight w:val="274"/>
        </w:trPr>
        <w:tc>
          <w:tcPr>
            <w:tcW w:w="20" w:type="dxa"/>
            <w:vAlign w:val="bottom"/>
            <w:shd w:val="clear" w:color="auto" w:fill="DCE2EF"/>
          </w:tcPr>
          <w:p>
            <w:pPr>
              <w:spacing w:after="0"/>
              <w:rPr>
                <w:sz w:val="23"/>
                <w:szCs w:val="23"/>
                <w:color w:val="auto"/>
              </w:rPr>
            </w:pPr>
          </w:p>
        </w:tc>
        <w:tc>
          <w:tcPr>
            <w:tcW w:w="7400" w:type="dxa"/>
            <w:vAlign w:val="bottom"/>
            <w:gridSpan w:val="2"/>
            <w:shd w:val="clear" w:color="auto" w:fill="DCE2EF"/>
          </w:tcPr>
          <w:p>
            <w:pPr>
              <w:ind w:left="360"/>
              <w:spacing w:after="0"/>
              <w:rPr>
                <w:sz w:val="20"/>
                <w:szCs w:val="20"/>
                <w:color w:val="auto"/>
              </w:rPr>
            </w:pPr>
            <w:r>
              <w:rPr>
                <w:rFonts w:ascii="Arial" w:cs="Arial" w:eastAsia="Arial" w:hAnsi="Arial"/>
                <w:sz w:val="15"/>
                <w:szCs w:val="15"/>
                <w:color w:val="auto"/>
              </w:rPr>
              <w:t>Trade accounts payable</w:t>
            </w:r>
          </w:p>
        </w:tc>
        <w:tc>
          <w:tcPr>
            <w:tcW w:w="280" w:type="dxa"/>
            <w:vAlign w:val="bottom"/>
            <w:shd w:val="clear" w:color="auto" w:fill="DCE2EF"/>
          </w:tcPr>
          <w:p>
            <w:pPr>
              <w:spacing w:after="0"/>
              <w:rPr>
                <w:sz w:val="23"/>
                <w:szCs w:val="23"/>
                <w:color w:val="auto"/>
              </w:rPr>
            </w:pPr>
          </w:p>
        </w:tc>
        <w:tc>
          <w:tcPr>
            <w:tcW w:w="1660" w:type="dxa"/>
            <w:vAlign w:val="bottom"/>
            <w:shd w:val="clear" w:color="auto" w:fill="DCE2EF"/>
          </w:tcPr>
          <w:p>
            <w:pPr>
              <w:jc w:val="right"/>
              <w:ind w:right="43"/>
              <w:spacing w:after="0"/>
              <w:rPr>
                <w:sz w:val="20"/>
                <w:szCs w:val="20"/>
                <w:color w:val="auto"/>
              </w:rPr>
            </w:pPr>
            <w:r>
              <w:rPr>
                <w:rFonts w:ascii="Arial" w:cs="Arial" w:eastAsia="Arial" w:hAnsi="Arial"/>
                <w:sz w:val="15"/>
                <w:szCs w:val="15"/>
                <w:color w:val="auto"/>
              </w:rPr>
              <w:t>213.9</w:t>
            </w:r>
          </w:p>
        </w:tc>
        <w:tc>
          <w:tcPr>
            <w:tcW w:w="100" w:type="dxa"/>
            <w:vAlign w:val="bottom"/>
            <w:shd w:val="clear" w:color="auto" w:fill="DCE2EF"/>
          </w:tcPr>
          <w:p>
            <w:pPr>
              <w:spacing w:after="0"/>
              <w:rPr>
                <w:sz w:val="23"/>
                <w:szCs w:val="23"/>
                <w:color w:val="auto"/>
              </w:rPr>
            </w:pPr>
          </w:p>
        </w:tc>
        <w:tc>
          <w:tcPr>
            <w:tcW w:w="240" w:type="dxa"/>
            <w:vAlign w:val="bottom"/>
            <w:shd w:val="clear" w:color="auto" w:fill="DCE2EF"/>
          </w:tcPr>
          <w:p>
            <w:pPr>
              <w:spacing w:after="0"/>
              <w:rPr>
                <w:sz w:val="23"/>
                <w:szCs w:val="23"/>
                <w:color w:val="auto"/>
              </w:rPr>
            </w:pPr>
          </w:p>
        </w:tc>
        <w:tc>
          <w:tcPr>
            <w:tcW w:w="1700" w:type="dxa"/>
            <w:vAlign w:val="bottom"/>
            <w:shd w:val="clear" w:color="auto" w:fill="DCE2EF"/>
          </w:tcPr>
          <w:p>
            <w:pPr>
              <w:jc w:val="right"/>
              <w:ind w:right="43"/>
              <w:spacing w:after="0"/>
              <w:rPr>
                <w:sz w:val="20"/>
                <w:szCs w:val="20"/>
                <w:color w:val="auto"/>
              </w:rPr>
            </w:pPr>
            <w:r>
              <w:rPr>
                <w:rFonts w:ascii="Arial" w:cs="Arial" w:eastAsia="Arial" w:hAnsi="Arial"/>
                <w:sz w:val="15"/>
                <w:szCs w:val="15"/>
                <w:color w:val="auto"/>
              </w:rPr>
              <w:t>230.8</w:t>
            </w:r>
          </w:p>
        </w:tc>
        <w:tc>
          <w:tcPr>
            <w:tcW w:w="0" w:type="dxa"/>
            <w:vAlign w:val="bottom"/>
          </w:tcPr>
          <w:p>
            <w:pPr>
              <w:spacing w:after="0"/>
              <w:rPr>
                <w:sz w:val="1"/>
                <w:szCs w:val="1"/>
                <w:color w:val="auto"/>
              </w:rPr>
            </w:pPr>
          </w:p>
        </w:tc>
      </w:tr>
      <w:tr>
        <w:trPr>
          <w:trHeight w:val="266"/>
        </w:trPr>
        <w:tc>
          <w:tcPr>
            <w:tcW w:w="20" w:type="dxa"/>
            <w:vAlign w:val="bottom"/>
          </w:tcPr>
          <w:p>
            <w:pPr>
              <w:spacing w:after="0"/>
              <w:rPr>
                <w:sz w:val="23"/>
                <w:szCs w:val="23"/>
                <w:color w:val="auto"/>
              </w:rPr>
            </w:pPr>
          </w:p>
        </w:tc>
        <w:tc>
          <w:tcPr>
            <w:tcW w:w="7400" w:type="dxa"/>
            <w:vAlign w:val="bottom"/>
            <w:gridSpan w:val="2"/>
          </w:tcPr>
          <w:p>
            <w:pPr>
              <w:ind w:left="360"/>
              <w:spacing w:after="0"/>
              <w:rPr>
                <w:sz w:val="20"/>
                <w:szCs w:val="20"/>
                <w:color w:val="auto"/>
              </w:rPr>
            </w:pPr>
            <w:r>
              <w:rPr>
                <w:rFonts w:ascii="Arial" w:cs="Arial" w:eastAsia="Arial" w:hAnsi="Arial"/>
                <w:sz w:val="15"/>
                <w:szCs w:val="15"/>
                <w:color w:val="auto"/>
              </w:rPr>
              <w:t>Accrued compensation</w:t>
            </w:r>
          </w:p>
        </w:tc>
        <w:tc>
          <w:tcPr>
            <w:tcW w:w="280" w:type="dxa"/>
            <w:vAlign w:val="bottom"/>
          </w:tcPr>
          <w:p>
            <w:pPr>
              <w:spacing w:after="0"/>
              <w:rPr>
                <w:sz w:val="23"/>
                <w:szCs w:val="23"/>
                <w:color w:val="auto"/>
              </w:rPr>
            </w:pPr>
          </w:p>
        </w:tc>
        <w:tc>
          <w:tcPr>
            <w:tcW w:w="1660" w:type="dxa"/>
            <w:vAlign w:val="bottom"/>
          </w:tcPr>
          <w:p>
            <w:pPr>
              <w:jc w:val="right"/>
              <w:ind w:right="43"/>
              <w:spacing w:after="0"/>
              <w:rPr>
                <w:sz w:val="20"/>
                <w:szCs w:val="20"/>
                <w:color w:val="auto"/>
              </w:rPr>
            </w:pPr>
            <w:r>
              <w:rPr>
                <w:rFonts w:ascii="Arial" w:cs="Arial" w:eastAsia="Arial" w:hAnsi="Arial"/>
                <w:sz w:val="15"/>
                <w:szCs w:val="15"/>
                <w:color w:val="auto"/>
              </w:rPr>
              <w:t>142.5</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700" w:type="dxa"/>
            <w:vAlign w:val="bottom"/>
          </w:tcPr>
          <w:p>
            <w:pPr>
              <w:jc w:val="right"/>
              <w:ind w:right="43"/>
              <w:spacing w:after="0"/>
              <w:rPr>
                <w:sz w:val="20"/>
                <w:szCs w:val="20"/>
                <w:color w:val="auto"/>
              </w:rPr>
            </w:pPr>
            <w:r>
              <w:rPr>
                <w:rFonts w:ascii="Arial" w:cs="Arial" w:eastAsia="Arial" w:hAnsi="Arial"/>
                <w:sz w:val="15"/>
                <w:szCs w:val="15"/>
                <w:color w:val="auto"/>
              </w:rPr>
              <w:t>159.9</w:t>
            </w:r>
          </w:p>
        </w:tc>
        <w:tc>
          <w:tcPr>
            <w:tcW w:w="0" w:type="dxa"/>
            <w:vAlign w:val="bottom"/>
          </w:tcPr>
          <w:p>
            <w:pPr>
              <w:spacing w:after="0"/>
              <w:rPr>
                <w:sz w:val="1"/>
                <w:szCs w:val="1"/>
                <w:color w:val="auto"/>
              </w:rPr>
            </w:pPr>
          </w:p>
        </w:tc>
      </w:tr>
      <w:tr>
        <w:trPr>
          <w:trHeight w:val="274"/>
        </w:trPr>
        <w:tc>
          <w:tcPr>
            <w:tcW w:w="20" w:type="dxa"/>
            <w:vAlign w:val="bottom"/>
            <w:shd w:val="clear" w:color="auto" w:fill="DCE2EF"/>
          </w:tcPr>
          <w:p>
            <w:pPr>
              <w:spacing w:after="0"/>
              <w:rPr>
                <w:sz w:val="23"/>
                <w:szCs w:val="23"/>
                <w:color w:val="auto"/>
              </w:rPr>
            </w:pPr>
          </w:p>
        </w:tc>
        <w:tc>
          <w:tcPr>
            <w:tcW w:w="7400" w:type="dxa"/>
            <w:vAlign w:val="bottom"/>
            <w:gridSpan w:val="2"/>
            <w:shd w:val="clear" w:color="auto" w:fill="DCE2EF"/>
          </w:tcPr>
          <w:p>
            <w:pPr>
              <w:ind w:left="360"/>
              <w:spacing w:after="0"/>
              <w:rPr>
                <w:sz w:val="20"/>
                <w:szCs w:val="20"/>
                <w:color w:val="auto"/>
              </w:rPr>
            </w:pPr>
            <w:r>
              <w:rPr>
                <w:rFonts w:ascii="Arial" w:cs="Arial" w:eastAsia="Arial" w:hAnsi="Arial"/>
                <w:sz w:val="15"/>
                <w:szCs w:val="15"/>
                <w:color w:val="auto"/>
              </w:rPr>
              <w:t>Accrued taxes—other than income</w:t>
            </w:r>
          </w:p>
        </w:tc>
        <w:tc>
          <w:tcPr>
            <w:tcW w:w="280" w:type="dxa"/>
            <w:vAlign w:val="bottom"/>
            <w:shd w:val="clear" w:color="auto" w:fill="DCE2EF"/>
          </w:tcPr>
          <w:p>
            <w:pPr>
              <w:spacing w:after="0"/>
              <w:rPr>
                <w:sz w:val="23"/>
                <w:szCs w:val="23"/>
                <w:color w:val="auto"/>
              </w:rPr>
            </w:pPr>
          </w:p>
        </w:tc>
        <w:tc>
          <w:tcPr>
            <w:tcW w:w="1660" w:type="dxa"/>
            <w:vAlign w:val="bottom"/>
            <w:shd w:val="clear" w:color="auto" w:fill="DCE2EF"/>
          </w:tcPr>
          <w:p>
            <w:pPr>
              <w:jc w:val="right"/>
              <w:ind w:right="43"/>
              <w:spacing w:after="0"/>
              <w:rPr>
                <w:sz w:val="20"/>
                <w:szCs w:val="20"/>
                <w:color w:val="auto"/>
              </w:rPr>
            </w:pPr>
            <w:r>
              <w:rPr>
                <w:rFonts w:ascii="Arial" w:cs="Arial" w:eastAsia="Arial" w:hAnsi="Arial"/>
                <w:sz w:val="15"/>
                <w:szCs w:val="15"/>
                <w:color w:val="auto"/>
              </w:rPr>
              <w:t>52.3</w:t>
            </w:r>
          </w:p>
        </w:tc>
        <w:tc>
          <w:tcPr>
            <w:tcW w:w="100" w:type="dxa"/>
            <w:vAlign w:val="bottom"/>
            <w:shd w:val="clear" w:color="auto" w:fill="DCE2EF"/>
          </w:tcPr>
          <w:p>
            <w:pPr>
              <w:spacing w:after="0"/>
              <w:rPr>
                <w:sz w:val="23"/>
                <w:szCs w:val="23"/>
                <w:color w:val="auto"/>
              </w:rPr>
            </w:pPr>
          </w:p>
        </w:tc>
        <w:tc>
          <w:tcPr>
            <w:tcW w:w="240" w:type="dxa"/>
            <w:vAlign w:val="bottom"/>
            <w:shd w:val="clear" w:color="auto" w:fill="DCE2EF"/>
          </w:tcPr>
          <w:p>
            <w:pPr>
              <w:spacing w:after="0"/>
              <w:rPr>
                <w:sz w:val="23"/>
                <w:szCs w:val="23"/>
                <w:color w:val="auto"/>
              </w:rPr>
            </w:pPr>
          </w:p>
        </w:tc>
        <w:tc>
          <w:tcPr>
            <w:tcW w:w="1700" w:type="dxa"/>
            <w:vAlign w:val="bottom"/>
            <w:shd w:val="clear" w:color="auto" w:fill="DCE2EF"/>
          </w:tcPr>
          <w:p>
            <w:pPr>
              <w:jc w:val="right"/>
              <w:ind w:right="43"/>
              <w:spacing w:after="0"/>
              <w:rPr>
                <w:sz w:val="20"/>
                <w:szCs w:val="20"/>
                <w:color w:val="auto"/>
              </w:rPr>
            </w:pPr>
            <w:r>
              <w:rPr>
                <w:rFonts w:ascii="Arial" w:cs="Arial" w:eastAsia="Arial" w:hAnsi="Arial"/>
                <w:sz w:val="15"/>
                <w:szCs w:val="15"/>
                <w:color w:val="auto"/>
              </w:rPr>
              <w:t>52.5</w:t>
            </w:r>
          </w:p>
        </w:tc>
        <w:tc>
          <w:tcPr>
            <w:tcW w:w="0" w:type="dxa"/>
            <w:vAlign w:val="bottom"/>
          </w:tcPr>
          <w:p>
            <w:pPr>
              <w:spacing w:after="0"/>
              <w:rPr>
                <w:sz w:val="1"/>
                <w:szCs w:val="1"/>
                <w:color w:val="auto"/>
              </w:rPr>
            </w:pPr>
          </w:p>
        </w:tc>
      </w:tr>
      <w:tr>
        <w:trPr>
          <w:trHeight w:val="266"/>
        </w:trPr>
        <w:tc>
          <w:tcPr>
            <w:tcW w:w="20" w:type="dxa"/>
            <w:vAlign w:val="bottom"/>
          </w:tcPr>
          <w:p>
            <w:pPr>
              <w:spacing w:after="0"/>
              <w:rPr>
                <w:sz w:val="23"/>
                <w:szCs w:val="23"/>
                <w:color w:val="auto"/>
              </w:rPr>
            </w:pPr>
          </w:p>
        </w:tc>
        <w:tc>
          <w:tcPr>
            <w:tcW w:w="7400" w:type="dxa"/>
            <w:vAlign w:val="bottom"/>
            <w:gridSpan w:val="2"/>
          </w:tcPr>
          <w:p>
            <w:pPr>
              <w:ind w:left="360"/>
              <w:spacing w:after="0"/>
              <w:rPr>
                <w:sz w:val="20"/>
                <w:szCs w:val="20"/>
                <w:color w:val="auto"/>
              </w:rPr>
            </w:pPr>
            <w:r>
              <w:rPr>
                <w:rFonts w:ascii="Arial" w:cs="Arial" w:eastAsia="Arial" w:hAnsi="Arial"/>
                <w:sz w:val="15"/>
                <w:szCs w:val="15"/>
                <w:color w:val="auto"/>
              </w:rPr>
              <w:t>Insurance claims</w:t>
            </w:r>
          </w:p>
        </w:tc>
        <w:tc>
          <w:tcPr>
            <w:tcW w:w="280" w:type="dxa"/>
            <w:vAlign w:val="bottom"/>
          </w:tcPr>
          <w:p>
            <w:pPr>
              <w:spacing w:after="0"/>
              <w:rPr>
                <w:sz w:val="23"/>
                <w:szCs w:val="23"/>
                <w:color w:val="auto"/>
              </w:rPr>
            </w:pPr>
          </w:p>
        </w:tc>
        <w:tc>
          <w:tcPr>
            <w:tcW w:w="1660" w:type="dxa"/>
            <w:vAlign w:val="bottom"/>
          </w:tcPr>
          <w:p>
            <w:pPr>
              <w:jc w:val="right"/>
              <w:ind w:right="43"/>
              <w:spacing w:after="0"/>
              <w:rPr>
                <w:sz w:val="20"/>
                <w:szCs w:val="20"/>
                <w:color w:val="auto"/>
              </w:rPr>
            </w:pPr>
            <w:r>
              <w:rPr>
                <w:rFonts w:ascii="Arial" w:cs="Arial" w:eastAsia="Arial" w:hAnsi="Arial"/>
                <w:sz w:val="15"/>
                <w:szCs w:val="15"/>
                <w:color w:val="auto"/>
              </w:rPr>
              <w:t>114.7</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700" w:type="dxa"/>
            <w:vAlign w:val="bottom"/>
          </w:tcPr>
          <w:p>
            <w:pPr>
              <w:jc w:val="right"/>
              <w:ind w:right="43"/>
              <w:spacing w:after="0"/>
              <w:rPr>
                <w:sz w:val="20"/>
                <w:szCs w:val="20"/>
                <w:color w:val="auto"/>
              </w:rPr>
            </w:pPr>
            <w:r>
              <w:rPr>
                <w:rFonts w:ascii="Arial" w:cs="Arial" w:eastAsia="Arial" w:hAnsi="Arial"/>
                <w:sz w:val="15"/>
                <w:szCs w:val="15"/>
                <w:color w:val="auto"/>
              </w:rPr>
              <w:t>112.5</w:t>
            </w:r>
          </w:p>
        </w:tc>
        <w:tc>
          <w:tcPr>
            <w:tcW w:w="0" w:type="dxa"/>
            <w:vAlign w:val="bottom"/>
          </w:tcPr>
          <w:p>
            <w:pPr>
              <w:spacing w:after="0"/>
              <w:rPr>
                <w:sz w:val="1"/>
                <w:szCs w:val="1"/>
                <w:color w:val="auto"/>
              </w:rPr>
            </w:pPr>
          </w:p>
        </w:tc>
      </w:tr>
      <w:tr>
        <w:trPr>
          <w:trHeight w:val="274"/>
        </w:trPr>
        <w:tc>
          <w:tcPr>
            <w:tcW w:w="20" w:type="dxa"/>
            <w:vAlign w:val="bottom"/>
            <w:shd w:val="clear" w:color="auto" w:fill="DCE2EF"/>
          </w:tcPr>
          <w:p>
            <w:pPr>
              <w:spacing w:after="0"/>
              <w:rPr>
                <w:sz w:val="23"/>
                <w:szCs w:val="23"/>
                <w:color w:val="auto"/>
              </w:rPr>
            </w:pPr>
          </w:p>
        </w:tc>
        <w:tc>
          <w:tcPr>
            <w:tcW w:w="7400" w:type="dxa"/>
            <w:vAlign w:val="bottom"/>
            <w:gridSpan w:val="2"/>
            <w:shd w:val="clear" w:color="auto" w:fill="DCE2EF"/>
          </w:tcPr>
          <w:p>
            <w:pPr>
              <w:ind w:left="360"/>
              <w:spacing w:after="0"/>
              <w:rPr>
                <w:sz w:val="20"/>
                <w:szCs w:val="20"/>
                <w:color w:val="auto"/>
              </w:rPr>
            </w:pPr>
            <w:r>
              <w:rPr>
                <w:rFonts w:ascii="Arial" w:cs="Arial" w:eastAsia="Arial" w:hAnsi="Arial"/>
                <w:sz w:val="15"/>
                <w:szCs w:val="15"/>
                <w:color w:val="auto"/>
              </w:rPr>
              <w:t>Income taxes payable</w:t>
            </w:r>
          </w:p>
        </w:tc>
        <w:tc>
          <w:tcPr>
            <w:tcW w:w="280" w:type="dxa"/>
            <w:vAlign w:val="bottom"/>
            <w:shd w:val="clear" w:color="auto" w:fill="DCE2EF"/>
          </w:tcPr>
          <w:p>
            <w:pPr>
              <w:spacing w:after="0"/>
              <w:rPr>
                <w:sz w:val="23"/>
                <w:szCs w:val="23"/>
                <w:color w:val="auto"/>
              </w:rPr>
            </w:pPr>
          </w:p>
        </w:tc>
        <w:tc>
          <w:tcPr>
            <w:tcW w:w="1660" w:type="dxa"/>
            <w:vAlign w:val="bottom"/>
            <w:shd w:val="clear" w:color="auto" w:fill="DCE2EF"/>
          </w:tcPr>
          <w:p>
            <w:pPr>
              <w:jc w:val="right"/>
              <w:ind w:right="43"/>
              <w:spacing w:after="0"/>
              <w:rPr>
                <w:sz w:val="20"/>
                <w:szCs w:val="20"/>
                <w:color w:val="auto"/>
              </w:rPr>
            </w:pPr>
            <w:r>
              <w:rPr>
                <w:rFonts w:ascii="Arial" w:cs="Arial" w:eastAsia="Arial" w:hAnsi="Arial"/>
                <w:sz w:val="15"/>
                <w:szCs w:val="15"/>
                <w:color w:val="auto"/>
              </w:rPr>
              <w:t>5.3</w:t>
            </w:r>
          </w:p>
        </w:tc>
        <w:tc>
          <w:tcPr>
            <w:tcW w:w="100" w:type="dxa"/>
            <w:vAlign w:val="bottom"/>
            <w:shd w:val="clear" w:color="auto" w:fill="DCE2EF"/>
          </w:tcPr>
          <w:p>
            <w:pPr>
              <w:spacing w:after="0"/>
              <w:rPr>
                <w:sz w:val="23"/>
                <w:szCs w:val="23"/>
                <w:color w:val="auto"/>
              </w:rPr>
            </w:pPr>
          </w:p>
        </w:tc>
        <w:tc>
          <w:tcPr>
            <w:tcW w:w="240" w:type="dxa"/>
            <w:vAlign w:val="bottom"/>
            <w:shd w:val="clear" w:color="auto" w:fill="DCE2EF"/>
          </w:tcPr>
          <w:p>
            <w:pPr>
              <w:spacing w:after="0"/>
              <w:rPr>
                <w:sz w:val="23"/>
                <w:szCs w:val="23"/>
                <w:color w:val="auto"/>
              </w:rPr>
            </w:pPr>
          </w:p>
        </w:tc>
        <w:tc>
          <w:tcPr>
            <w:tcW w:w="1700" w:type="dxa"/>
            <w:vAlign w:val="bottom"/>
            <w:shd w:val="clear" w:color="auto" w:fill="DCE2EF"/>
          </w:tcPr>
          <w:p>
            <w:pPr>
              <w:jc w:val="right"/>
              <w:ind w:right="43"/>
              <w:spacing w:after="0"/>
              <w:rPr>
                <w:sz w:val="20"/>
                <w:szCs w:val="20"/>
                <w:color w:val="auto"/>
              </w:rPr>
            </w:pPr>
            <w:r>
              <w:rPr>
                <w:rFonts w:ascii="Arial" w:cs="Arial" w:eastAsia="Arial" w:hAnsi="Arial"/>
                <w:sz w:val="15"/>
                <w:szCs w:val="15"/>
                <w:color w:val="auto"/>
              </w:rPr>
              <w:t>13.4</w:t>
            </w:r>
          </w:p>
        </w:tc>
        <w:tc>
          <w:tcPr>
            <w:tcW w:w="0" w:type="dxa"/>
            <w:vAlign w:val="bottom"/>
          </w:tcPr>
          <w:p>
            <w:pPr>
              <w:spacing w:after="0"/>
              <w:rPr>
                <w:sz w:val="1"/>
                <w:szCs w:val="1"/>
                <w:color w:val="auto"/>
              </w:rPr>
            </w:pPr>
          </w:p>
        </w:tc>
      </w:tr>
      <w:tr>
        <w:trPr>
          <w:trHeight w:val="266"/>
        </w:trPr>
        <w:tc>
          <w:tcPr>
            <w:tcW w:w="20" w:type="dxa"/>
            <w:vAlign w:val="bottom"/>
            <w:tcBorders>
              <w:bottom w:val="single" w:sz="8" w:color="DCE2EF"/>
            </w:tcBorders>
          </w:tcPr>
          <w:p>
            <w:pPr>
              <w:spacing w:after="0"/>
              <w:rPr>
                <w:sz w:val="23"/>
                <w:szCs w:val="23"/>
                <w:color w:val="auto"/>
              </w:rPr>
            </w:pPr>
          </w:p>
        </w:tc>
        <w:tc>
          <w:tcPr>
            <w:tcW w:w="7400" w:type="dxa"/>
            <w:vAlign w:val="bottom"/>
            <w:tcBorders>
              <w:bottom w:val="single" w:sz="8" w:color="DCE2EF"/>
            </w:tcBorders>
            <w:gridSpan w:val="2"/>
          </w:tcPr>
          <w:p>
            <w:pPr>
              <w:ind w:left="360"/>
              <w:spacing w:after="0"/>
              <w:rPr>
                <w:sz w:val="20"/>
                <w:szCs w:val="20"/>
                <w:color w:val="auto"/>
              </w:rPr>
            </w:pPr>
            <w:r>
              <w:rPr>
                <w:rFonts w:ascii="Arial" w:cs="Arial" w:eastAsia="Arial" w:hAnsi="Arial"/>
                <w:sz w:val="15"/>
                <w:szCs w:val="15"/>
                <w:color w:val="auto"/>
              </w:rPr>
              <w:t>Other accrued liabilities</w:t>
            </w:r>
          </w:p>
        </w:tc>
        <w:tc>
          <w:tcPr>
            <w:tcW w:w="280" w:type="dxa"/>
            <w:vAlign w:val="bottom"/>
            <w:tcBorders>
              <w:bottom w:val="single" w:sz="8" w:color="auto"/>
            </w:tcBorders>
          </w:tcPr>
          <w:p>
            <w:pPr>
              <w:spacing w:after="0"/>
              <w:rPr>
                <w:sz w:val="23"/>
                <w:szCs w:val="23"/>
                <w:color w:val="auto"/>
              </w:rPr>
            </w:pPr>
          </w:p>
        </w:tc>
        <w:tc>
          <w:tcPr>
            <w:tcW w:w="1660" w:type="dxa"/>
            <w:vAlign w:val="bottom"/>
            <w:tcBorders>
              <w:bottom w:val="single" w:sz="8" w:color="auto"/>
            </w:tcBorders>
          </w:tcPr>
          <w:p>
            <w:pPr>
              <w:jc w:val="right"/>
              <w:ind w:right="43"/>
              <w:spacing w:after="0"/>
              <w:rPr>
                <w:sz w:val="20"/>
                <w:szCs w:val="20"/>
                <w:color w:val="auto"/>
              </w:rPr>
            </w:pPr>
            <w:r>
              <w:rPr>
                <w:rFonts w:ascii="Arial" w:cs="Arial" w:eastAsia="Arial" w:hAnsi="Arial"/>
                <w:sz w:val="15"/>
                <w:szCs w:val="15"/>
                <w:color w:val="auto"/>
              </w:rPr>
              <w:t>158.5</w:t>
            </w:r>
          </w:p>
        </w:tc>
        <w:tc>
          <w:tcPr>
            <w:tcW w:w="100" w:type="dxa"/>
            <w:vAlign w:val="bottom"/>
            <w:tcBorders>
              <w:bottom w:val="single" w:sz="8" w:color="DCE2EF"/>
            </w:tcBorders>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1700" w:type="dxa"/>
            <w:vAlign w:val="bottom"/>
            <w:tcBorders>
              <w:bottom w:val="single" w:sz="8" w:color="auto"/>
            </w:tcBorders>
          </w:tcPr>
          <w:p>
            <w:pPr>
              <w:jc w:val="right"/>
              <w:ind w:right="43"/>
              <w:spacing w:after="0"/>
              <w:rPr>
                <w:sz w:val="20"/>
                <w:szCs w:val="20"/>
                <w:color w:val="auto"/>
              </w:rPr>
            </w:pPr>
            <w:r>
              <w:rPr>
                <w:rFonts w:ascii="Arial" w:cs="Arial" w:eastAsia="Arial" w:hAnsi="Arial"/>
                <w:sz w:val="15"/>
                <w:szCs w:val="15"/>
                <w:color w:val="auto"/>
              </w:rPr>
              <w:t>171.8</w:t>
            </w:r>
          </w:p>
        </w:tc>
        <w:tc>
          <w:tcPr>
            <w:tcW w:w="0" w:type="dxa"/>
            <w:vAlign w:val="bottom"/>
          </w:tcPr>
          <w:p>
            <w:pPr>
              <w:spacing w:after="0"/>
              <w:rPr>
                <w:sz w:val="1"/>
                <w:szCs w:val="1"/>
                <w:color w:val="auto"/>
              </w:rPr>
            </w:pPr>
          </w:p>
        </w:tc>
      </w:tr>
      <w:tr>
        <w:trPr>
          <w:trHeight w:val="250"/>
        </w:trPr>
        <w:tc>
          <w:tcPr>
            <w:tcW w:w="20" w:type="dxa"/>
            <w:vAlign w:val="bottom"/>
            <w:shd w:val="clear" w:color="auto" w:fill="DCE2EF"/>
          </w:tcPr>
          <w:p>
            <w:pPr>
              <w:spacing w:after="0"/>
              <w:rPr>
                <w:sz w:val="21"/>
                <w:szCs w:val="21"/>
                <w:color w:val="auto"/>
              </w:rPr>
            </w:pPr>
          </w:p>
        </w:tc>
        <w:tc>
          <w:tcPr>
            <w:tcW w:w="7400" w:type="dxa"/>
            <w:vAlign w:val="bottom"/>
            <w:gridSpan w:val="2"/>
            <w:shd w:val="clear" w:color="auto" w:fill="DCE2EF"/>
          </w:tcPr>
          <w:p>
            <w:pPr>
              <w:ind w:left="680"/>
              <w:spacing w:after="0"/>
              <w:rPr>
                <w:sz w:val="20"/>
                <w:szCs w:val="20"/>
                <w:color w:val="auto"/>
              </w:rPr>
            </w:pPr>
            <w:r>
              <w:rPr>
                <w:rFonts w:ascii="Arial" w:cs="Arial" w:eastAsia="Arial" w:hAnsi="Arial"/>
                <w:sz w:val="15"/>
                <w:szCs w:val="15"/>
                <w:color w:val="auto"/>
              </w:rPr>
              <w:t>Total current liabilities</w:t>
            </w:r>
          </w:p>
        </w:tc>
        <w:tc>
          <w:tcPr>
            <w:tcW w:w="280" w:type="dxa"/>
            <w:vAlign w:val="bottom"/>
            <w:tcBorders>
              <w:bottom w:val="single" w:sz="8" w:color="auto"/>
            </w:tcBorders>
            <w:shd w:val="clear" w:color="auto" w:fill="DCE2EF"/>
          </w:tcPr>
          <w:p>
            <w:pPr>
              <w:spacing w:after="0"/>
              <w:rPr>
                <w:sz w:val="21"/>
                <w:szCs w:val="21"/>
                <w:color w:val="auto"/>
              </w:rPr>
            </w:pPr>
          </w:p>
        </w:tc>
        <w:tc>
          <w:tcPr>
            <w:tcW w:w="1660" w:type="dxa"/>
            <w:vAlign w:val="bottom"/>
            <w:tcBorders>
              <w:bottom w:val="single" w:sz="8" w:color="auto"/>
            </w:tcBorders>
            <w:shd w:val="clear" w:color="auto" w:fill="DCE2EF"/>
          </w:tcPr>
          <w:p>
            <w:pPr>
              <w:jc w:val="right"/>
              <w:ind w:right="43"/>
              <w:spacing w:after="0"/>
              <w:rPr>
                <w:sz w:val="20"/>
                <w:szCs w:val="20"/>
                <w:color w:val="auto"/>
              </w:rPr>
            </w:pPr>
            <w:r>
              <w:rPr>
                <w:rFonts w:ascii="Arial" w:cs="Arial" w:eastAsia="Arial" w:hAnsi="Arial"/>
                <w:sz w:val="15"/>
                <w:szCs w:val="15"/>
                <w:color w:val="auto"/>
              </w:rPr>
              <w:t>704.2</w:t>
            </w:r>
          </w:p>
        </w:tc>
        <w:tc>
          <w:tcPr>
            <w:tcW w:w="100" w:type="dxa"/>
            <w:vAlign w:val="bottom"/>
            <w:shd w:val="clear" w:color="auto" w:fill="DCE2EF"/>
          </w:tcPr>
          <w:p>
            <w:pPr>
              <w:spacing w:after="0"/>
              <w:rPr>
                <w:sz w:val="21"/>
                <w:szCs w:val="21"/>
                <w:color w:val="auto"/>
              </w:rPr>
            </w:pPr>
          </w:p>
        </w:tc>
        <w:tc>
          <w:tcPr>
            <w:tcW w:w="240" w:type="dxa"/>
            <w:vAlign w:val="bottom"/>
            <w:tcBorders>
              <w:bottom w:val="single" w:sz="8" w:color="auto"/>
            </w:tcBorders>
            <w:shd w:val="clear" w:color="auto" w:fill="DCE2EF"/>
          </w:tcPr>
          <w:p>
            <w:pPr>
              <w:spacing w:after="0"/>
              <w:rPr>
                <w:sz w:val="21"/>
                <w:szCs w:val="21"/>
                <w:color w:val="auto"/>
              </w:rPr>
            </w:pPr>
          </w:p>
        </w:tc>
        <w:tc>
          <w:tcPr>
            <w:tcW w:w="1700" w:type="dxa"/>
            <w:vAlign w:val="bottom"/>
            <w:tcBorders>
              <w:bottom w:val="single" w:sz="8" w:color="auto"/>
            </w:tcBorders>
            <w:shd w:val="clear" w:color="auto" w:fill="DCE2EF"/>
          </w:tcPr>
          <w:p>
            <w:pPr>
              <w:jc w:val="right"/>
              <w:ind w:right="43"/>
              <w:spacing w:after="0"/>
              <w:rPr>
                <w:sz w:val="20"/>
                <w:szCs w:val="20"/>
                <w:color w:val="auto"/>
              </w:rPr>
            </w:pPr>
            <w:r>
              <w:rPr>
                <w:rFonts w:ascii="Arial" w:cs="Arial" w:eastAsia="Arial" w:hAnsi="Arial"/>
                <w:sz w:val="15"/>
                <w:szCs w:val="15"/>
                <w:color w:val="auto"/>
              </w:rPr>
              <w:t>757.8</w:t>
            </w:r>
          </w:p>
        </w:tc>
        <w:tc>
          <w:tcPr>
            <w:tcW w:w="0" w:type="dxa"/>
            <w:vAlign w:val="bottom"/>
          </w:tcPr>
          <w:p>
            <w:pPr>
              <w:spacing w:after="0"/>
              <w:rPr>
                <w:sz w:val="1"/>
                <w:szCs w:val="1"/>
                <w:color w:val="auto"/>
              </w:rPr>
            </w:pPr>
          </w:p>
        </w:tc>
      </w:tr>
      <w:tr>
        <w:trPr>
          <w:trHeight w:val="250"/>
        </w:trPr>
        <w:tc>
          <w:tcPr>
            <w:tcW w:w="7420" w:type="dxa"/>
            <w:vAlign w:val="bottom"/>
            <w:gridSpan w:val="3"/>
          </w:tcPr>
          <w:p>
            <w:pPr>
              <w:ind w:left="20"/>
              <w:spacing w:after="0"/>
              <w:rPr>
                <w:sz w:val="20"/>
                <w:szCs w:val="20"/>
                <w:color w:val="auto"/>
              </w:rPr>
            </w:pPr>
            <w:r>
              <w:rPr>
                <w:rFonts w:ascii="Arial" w:cs="Arial" w:eastAsia="Arial" w:hAnsi="Arial"/>
                <w:sz w:val="15"/>
                <w:szCs w:val="15"/>
                <w:color w:val="auto"/>
              </w:rPr>
              <w:t>Long-term debt, net</w:t>
            </w:r>
          </w:p>
        </w:tc>
        <w:tc>
          <w:tcPr>
            <w:tcW w:w="280" w:type="dxa"/>
            <w:vAlign w:val="bottom"/>
          </w:tcPr>
          <w:p>
            <w:pPr>
              <w:spacing w:after="0"/>
              <w:rPr>
                <w:sz w:val="21"/>
                <w:szCs w:val="21"/>
                <w:color w:val="auto"/>
              </w:rPr>
            </w:pPr>
          </w:p>
        </w:tc>
        <w:tc>
          <w:tcPr>
            <w:tcW w:w="1660" w:type="dxa"/>
            <w:vAlign w:val="bottom"/>
          </w:tcPr>
          <w:p>
            <w:pPr>
              <w:jc w:val="right"/>
              <w:ind w:right="43"/>
              <w:spacing w:after="0"/>
              <w:rPr>
                <w:sz w:val="20"/>
                <w:szCs w:val="20"/>
                <w:color w:val="auto"/>
              </w:rPr>
            </w:pPr>
            <w:r>
              <w:rPr>
                <w:rFonts w:ascii="Arial" w:cs="Arial" w:eastAsia="Arial" w:hAnsi="Arial"/>
                <w:sz w:val="15"/>
                <w:szCs w:val="15"/>
                <w:color w:val="auto"/>
              </w:rPr>
              <w:t>1,090.3</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700" w:type="dxa"/>
            <w:vAlign w:val="bottom"/>
          </w:tcPr>
          <w:p>
            <w:pPr>
              <w:jc w:val="right"/>
              <w:ind w:right="43"/>
              <w:spacing w:after="0"/>
              <w:rPr>
                <w:sz w:val="20"/>
                <w:szCs w:val="20"/>
                <w:color w:val="auto"/>
              </w:rPr>
            </w:pPr>
            <w:r>
              <w:rPr>
                <w:rFonts w:ascii="Arial" w:cs="Arial" w:eastAsia="Arial" w:hAnsi="Arial"/>
                <w:sz w:val="15"/>
                <w:szCs w:val="15"/>
                <w:color w:val="auto"/>
              </w:rPr>
              <w:t>1,161.3</w:t>
            </w:r>
          </w:p>
        </w:tc>
        <w:tc>
          <w:tcPr>
            <w:tcW w:w="0" w:type="dxa"/>
            <w:vAlign w:val="bottom"/>
          </w:tcPr>
          <w:p>
            <w:pPr>
              <w:spacing w:after="0"/>
              <w:rPr>
                <w:sz w:val="1"/>
                <w:szCs w:val="1"/>
                <w:color w:val="auto"/>
              </w:rPr>
            </w:pPr>
          </w:p>
        </w:tc>
      </w:tr>
      <w:tr>
        <w:trPr>
          <w:trHeight w:val="274"/>
        </w:trPr>
        <w:tc>
          <w:tcPr>
            <w:tcW w:w="7420" w:type="dxa"/>
            <w:vAlign w:val="bottom"/>
            <w:gridSpan w:val="3"/>
            <w:shd w:val="clear" w:color="auto" w:fill="DCE2EF"/>
          </w:tcPr>
          <w:p>
            <w:pPr>
              <w:ind w:left="20"/>
              <w:spacing w:after="0"/>
              <w:rPr>
                <w:sz w:val="20"/>
                <w:szCs w:val="20"/>
                <w:color w:val="auto"/>
              </w:rPr>
            </w:pPr>
            <w:r>
              <w:rPr>
                <w:rFonts w:ascii="Arial" w:cs="Arial" w:eastAsia="Arial" w:hAnsi="Arial"/>
                <w:sz w:val="15"/>
                <w:szCs w:val="15"/>
                <w:color w:val="auto"/>
              </w:rPr>
              <w:t>Deferred income tax liability, net</w:t>
            </w:r>
          </w:p>
        </w:tc>
        <w:tc>
          <w:tcPr>
            <w:tcW w:w="280" w:type="dxa"/>
            <w:vAlign w:val="bottom"/>
            <w:shd w:val="clear" w:color="auto" w:fill="DCE2EF"/>
          </w:tcPr>
          <w:p>
            <w:pPr>
              <w:spacing w:after="0"/>
              <w:rPr>
                <w:sz w:val="23"/>
                <w:szCs w:val="23"/>
                <w:color w:val="auto"/>
              </w:rPr>
            </w:pPr>
          </w:p>
        </w:tc>
        <w:tc>
          <w:tcPr>
            <w:tcW w:w="1660" w:type="dxa"/>
            <w:vAlign w:val="bottom"/>
            <w:shd w:val="clear" w:color="auto" w:fill="DCE2EF"/>
          </w:tcPr>
          <w:p>
            <w:pPr>
              <w:jc w:val="right"/>
              <w:ind w:right="43"/>
              <w:spacing w:after="0"/>
              <w:rPr>
                <w:sz w:val="20"/>
                <w:szCs w:val="20"/>
                <w:color w:val="auto"/>
              </w:rPr>
            </w:pPr>
            <w:r>
              <w:rPr>
                <w:rFonts w:ascii="Arial" w:cs="Arial" w:eastAsia="Arial" w:hAnsi="Arial"/>
                <w:sz w:val="15"/>
                <w:szCs w:val="15"/>
                <w:color w:val="auto"/>
              </w:rPr>
              <w:t>39.9</w:t>
            </w:r>
          </w:p>
        </w:tc>
        <w:tc>
          <w:tcPr>
            <w:tcW w:w="100" w:type="dxa"/>
            <w:vAlign w:val="bottom"/>
            <w:shd w:val="clear" w:color="auto" w:fill="DCE2EF"/>
          </w:tcPr>
          <w:p>
            <w:pPr>
              <w:spacing w:after="0"/>
              <w:rPr>
                <w:sz w:val="23"/>
                <w:szCs w:val="23"/>
                <w:color w:val="auto"/>
              </w:rPr>
            </w:pPr>
          </w:p>
        </w:tc>
        <w:tc>
          <w:tcPr>
            <w:tcW w:w="240" w:type="dxa"/>
            <w:vAlign w:val="bottom"/>
            <w:shd w:val="clear" w:color="auto" w:fill="DCE2EF"/>
          </w:tcPr>
          <w:p>
            <w:pPr>
              <w:spacing w:after="0"/>
              <w:rPr>
                <w:sz w:val="23"/>
                <w:szCs w:val="23"/>
                <w:color w:val="auto"/>
              </w:rPr>
            </w:pPr>
          </w:p>
        </w:tc>
        <w:tc>
          <w:tcPr>
            <w:tcW w:w="1700" w:type="dxa"/>
            <w:vAlign w:val="bottom"/>
            <w:shd w:val="clear" w:color="auto" w:fill="DCE2EF"/>
          </w:tcPr>
          <w:p>
            <w:pPr>
              <w:jc w:val="right"/>
              <w:ind w:right="43"/>
              <w:spacing w:after="0"/>
              <w:rPr>
                <w:sz w:val="20"/>
                <w:szCs w:val="20"/>
                <w:color w:val="auto"/>
              </w:rPr>
            </w:pPr>
            <w:r>
              <w:rPr>
                <w:rFonts w:ascii="Arial" w:cs="Arial" w:eastAsia="Arial" w:hAnsi="Arial"/>
                <w:sz w:val="15"/>
                <w:szCs w:val="15"/>
                <w:color w:val="auto"/>
              </w:rPr>
              <w:t>57.3</w:t>
            </w:r>
          </w:p>
        </w:tc>
        <w:tc>
          <w:tcPr>
            <w:tcW w:w="0" w:type="dxa"/>
            <w:vAlign w:val="bottom"/>
          </w:tcPr>
          <w:p>
            <w:pPr>
              <w:spacing w:after="0"/>
              <w:rPr>
                <w:sz w:val="1"/>
                <w:szCs w:val="1"/>
                <w:color w:val="auto"/>
              </w:rPr>
            </w:pPr>
          </w:p>
        </w:tc>
      </w:tr>
      <w:tr>
        <w:trPr>
          <w:trHeight w:val="266"/>
        </w:trPr>
        <w:tc>
          <w:tcPr>
            <w:tcW w:w="7420" w:type="dxa"/>
            <w:vAlign w:val="bottom"/>
            <w:gridSpan w:val="3"/>
          </w:tcPr>
          <w:p>
            <w:pPr>
              <w:ind w:left="20"/>
              <w:spacing w:after="0"/>
              <w:rPr>
                <w:sz w:val="20"/>
                <w:szCs w:val="20"/>
                <w:color w:val="auto"/>
              </w:rPr>
            </w:pPr>
            <w:r>
              <w:rPr>
                <w:rFonts w:ascii="Arial" w:cs="Arial" w:eastAsia="Arial" w:hAnsi="Arial"/>
                <w:sz w:val="15"/>
                <w:szCs w:val="15"/>
                <w:color w:val="auto"/>
              </w:rPr>
              <w:t>Noncurrent insurance claims</w:t>
            </w:r>
          </w:p>
        </w:tc>
        <w:tc>
          <w:tcPr>
            <w:tcW w:w="280" w:type="dxa"/>
            <w:vAlign w:val="bottom"/>
          </w:tcPr>
          <w:p>
            <w:pPr>
              <w:spacing w:after="0"/>
              <w:rPr>
                <w:sz w:val="23"/>
                <w:szCs w:val="23"/>
                <w:color w:val="auto"/>
              </w:rPr>
            </w:pPr>
          </w:p>
        </w:tc>
        <w:tc>
          <w:tcPr>
            <w:tcW w:w="1660" w:type="dxa"/>
            <w:vAlign w:val="bottom"/>
          </w:tcPr>
          <w:p>
            <w:pPr>
              <w:jc w:val="right"/>
              <w:ind w:right="43"/>
              <w:spacing w:after="0"/>
              <w:rPr>
                <w:sz w:val="20"/>
                <w:szCs w:val="20"/>
                <w:color w:val="auto"/>
              </w:rPr>
            </w:pPr>
            <w:r>
              <w:rPr>
                <w:rFonts w:ascii="Arial" w:cs="Arial" w:eastAsia="Arial" w:hAnsi="Arial"/>
                <w:sz w:val="15"/>
                <w:szCs w:val="15"/>
                <w:color w:val="auto"/>
              </w:rPr>
              <w:t>391.0</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700" w:type="dxa"/>
            <w:vAlign w:val="bottom"/>
          </w:tcPr>
          <w:p>
            <w:pPr>
              <w:jc w:val="right"/>
              <w:ind w:right="43"/>
              <w:spacing w:after="0"/>
              <w:rPr>
                <w:sz w:val="20"/>
                <w:szCs w:val="20"/>
                <w:color w:val="auto"/>
              </w:rPr>
            </w:pPr>
            <w:r>
              <w:rPr>
                <w:rFonts w:ascii="Arial" w:cs="Arial" w:eastAsia="Arial" w:hAnsi="Arial"/>
                <w:sz w:val="15"/>
                <w:szCs w:val="15"/>
                <w:color w:val="auto"/>
              </w:rPr>
              <w:t>382.9</w:t>
            </w:r>
          </w:p>
        </w:tc>
        <w:tc>
          <w:tcPr>
            <w:tcW w:w="0" w:type="dxa"/>
            <w:vAlign w:val="bottom"/>
          </w:tcPr>
          <w:p>
            <w:pPr>
              <w:spacing w:after="0"/>
              <w:rPr>
                <w:sz w:val="1"/>
                <w:szCs w:val="1"/>
                <w:color w:val="auto"/>
              </w:rPr>
            </w:pPr>
          </w:p>
        </w:tc>
      </w:tr>
      <w:tr>
        <w:trPr>
          <w:trHeight w:val="274"/>
        </w:trPr>
        <w:tc>
          <w:tcPr>
            <w:tcW w:w="7420" w:type="dxa"/>
            <w:vAlign w:val="bottom"/>
            <w:gridSpan w:val="3"/>
            <w:shd w:val="clear" w:color="auto" w:fill="DCE2EF"/>
          </w:tcPr>
          <w:p>
            <w:pPr>
              <w:ind w:left="20"/>
              <w:spacing w:after="0"/>
              <w:rPr>
                <w:sz w:val="20"/>
                <w:szCs w:val="20"/>
                <w:color w:val="auto"/>
              </w:rPr>
            </w:pPr>
            <w:r>
              <w:rPr>
                <w:rFonts w:ascii="Arial" w:cs="Arial" w:eastAsia="Arial" w:hAnsi="Arial"/>
                <w:sz w:val="15"/>
                <w:szCs w:val="15"/>
                <w:color w:val="auto"/>
              </w:rPr>
              <w:t>Other noncurrent liabilities</w:t>
            </w:r>
          </w:p>
        </w:tc>
        <w:tc>
          <w:tcPr>
            <w:tcW w:w="280" w:type="dxa"/>
            <w:vAlign w:val="bottom"/>
            <w:shd w:val="clear" w:color="auto" w:fill="DCE2EF"/>
          </w:tcPr>
          <w:p>
            <w:pPr>
              <w:spacing w:after="0"/>
              <w:rPr>
                <w:sz w:val="23"/>
                <w:szCs w:val="23"/>
                <w:color w:val="auto"/>
              </w:rPr>
            </w:pPr>
          </w:p>
        </w:tc>
        <w:tc>
          <w:tcPr>
            <w:tcW w:w="1660" w:type="dxa"/>
            <w:vAlign w:val="bottom"/>
            <w:shd w:val="clear" w:color="auto" w:fill="DCE2EF"/>
          </w:tcPr>
          <w:p>
            <w:pPr>
              <w:jc w:val="right"/>
              <w:ind w:right="43"/>
              <w:spacing w:after="0"/>
              <w:rPr>
                <w:sz w:val="20"/>
                <w:szCs w:val="20"/>
                <w:color w:val="auto"/>
              </w:rPr>
            </w:pPr>
            <w:r>
              <w:rPr>
                <w:rFonts w:ascii="Arial" w:cs="Arial" w:eastAsia="Arial" w:hAnsi="Arial"/>
                <w:sz w:val="15"/>
                <w:szCs w:val="15"/>
                <w:color w:val="auto"/>
              </w:rPr>
              <w:t>62.9</w:t>
            </w:r>
          </w:p>
        </w:tc>
        <w:tc>
          <w:tcPr>
            <w:tcW w:w="100" w:type="dxa"/>
            <w:vAlign w:val="bottom"/>
            <w:shd w:val="clear" w:color="auto" w:fill="DCE2EF"/>
          </w:tcPr>
          <w:p>
            <w:pPr>
              <w:spacing w:after="0"/>
              <w:rPr>
                <w:sz w:val="23"/>
                <w:szCs w:val="23"/>
                <w:color w:val="auto"/>
              </w:rPr>
            </w:pPr>
          </w:p>
        </w:tc>
        <w:tc>
          <w:tcPr>
            <w:tcW w:w="240" w:type="dxa"/>
            <w:vAlign w:val="bottom"/>
            <w:shd w:val="clear" w:color="auto" w:fill="DCE2EF"/>
          </w:tcPr>
          <w:p>
            <w:pPr>
              <w:spacing w:after="0"/>
              <w:rPr>
                <w:sz w:val="23"/>
                <w:szCs w:val="23"/>
                <w:color w:val="auto"/>
              </w:rPr>
            </w:pPr>
          </w:p>
        </w:tc>
        <w:tc>
          <w:tcPr>
            <w:tcW w:w="1700" w:type="dxa"/>
            <w:vAlign w:val="bottom"/>
            <w:shd w:val="clear" w:color="auto" w:fill="DCE2EF"/>
          </w:tcPr>
          <w:p>
            <w:pPr>
              <w:jc w:val="right"/>
              <w:ind w:right="43"/>
              <w:spacing w:after="0"/>
              <w:rPr>
                <w:sz w:val="20"/>
                <w:szCs w:val="20"/>
                <w:color w:val="auto"/>
              </w:rPr>
            </w:pPr>
            <w:r>
              <w:rPr>
                <w:rFonts w:ascii="Arial" w:cs="Arial" w:eastAsia="Arial" w:hAnsi="Arial"/>
                <w:sz w:val="15"/>
                <w:szCs w:val="15"/>
                <w:color w:val="auto"/>
              </w:rPr>
              <w:t>61.3</w:t>
            </w:r>
          </w:p>
        </w:tc>
        <w:tc>
          <w:tcPr>
            <w:tcW w:w="0" w:type="dxa"/>
            <w:vAlign w:val="bottom"/>
          </w:tcPr>
          <w:p>
            <w:pPr>
              <w:spacing w:after="0"/>
              <w:rPr>
                <w:sz w:val="1"/>
                <w:szCs w:val="1"/>
                <w:color w:val="auto"/>
              </w:rPr>
            </w:pPr>
          </w:p>
        </w:tc>
      </w:tr>
      <w:tr>
        <w:trPr>
          <w:trHeight w:val="266"/>
        </w:trPr>
        <w:tc>
          <w:tcPr>
            <w:tcW w:w="7420" w:type="dxa"/>
            <w:vAlign w:val="bottom"/>
            <w:tcBorders>
              <w:bottom w:val="single" w:sz="8" w:color="DCE2EF"/>
            </w:tcBorders>
            <w:gridSpan w:val="3"/>
          </w:tcPr>
          <w:p>
            <w:pPr>
              <w:ind w:left="20"/>
              <w:spacing w:after="0"/>
              <w:rPr>
                <w:sz w:val="20"/>
                <w:szCs w:val="20"/>
                <w:color w:val="auto"/>
              </w:rPr>
            </w:pPr>
            <w:r>
              <w:rPr>
                <w:rFonts w:ascii="Arial" w:cs="Arial" w:eastAsia="Arial" w:hAnsi="Arial"/>
                <w:sz w:val="15"/>
                <w:szCs w:val="15"/>
                <w:color w:val="auto"/>
              </w:rPr>
              <w:t>Noncurrent income taxes payable</w:t>
            </w:r>
          </w:p>
        </w:tc>
        <w:tc>
          <w:tcPr>
            <w:tcW w:w="280" w:type="dxa"/>
            <w:vAlign w:val="bottom"/>
            <w:tcBorders>
              <w:bottom w:val="single" w:sz="8" w:color="auto"/>
            </w:tcBorders>
          </w:tcPr>
          <w:p>
            <w:pPr>
              <w:spacing w:after="0"/>
              <w:rPr>
                <w:sz w:val="23"/>
                <w:szCs w:val="23"/>
                <w:color w:val="auto"/>
              </w:rPr>
            </w:pPr>
          </w:p>
        </w:tc>
        <w:tc>
          <w:tcPr>
            <w:tcW w:w="1660" w:type="dxa"/>
            <w:vAlign w:val="bottom"/>
            <w:tcBorders>
              <w:bottom w:val="single" w:sz="8" w:color="auto"/>
            </w:tcBorders>
          </w:tcPr>
          <w:p>
            <w:pPr>
              <w:jc w:val="right"/>
              <w:ind w:right="43"/>
              <w:spacing w:after="0"/>
              <w:rPr>
                <w:sz w:val="20"/>
                <w:szCs w:val="20"/>
                <w:color w:val="auto"/>
              </w:rPr>
            </w:pPr>
            <w:r>
              <w:rPr>
                <w:rFonts w:ascii="Arial" w:cs="Arial" w:eastAsia="Arial" w:hAnsi="Arial"/>
                <w:sz w:val="15"/>
                <w:szCs w:val="15"/>
                <w:color w:val="auto"/>
              </w:rPr>
              <w:t>24.9</w:t>
            </w:r>
          </w:p>
        </w:tc>
        <w:tc>
          <w:tcPr>
            <w:tcW w:w="100" w:type="dxa"/>
            <w:vAlign w:val="bottom"/>
            <w:tcBorders>
              <w:bottom w:val="single" w:sz="8" w:color="DCE2EF"/>
            </w:tcBorders>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1700" w:type="dxa"/>
            <w:vAlign w:val="bottom"/>
            <w:tcBorders>
              <w:bottom w:val="single" w:sz="8" w:color="auto"/>
            </w:tcBorders>
          </w:tcPr>
          <w:p>
            <w:pPr>
              <w:jc w:val="right"/>
              <w:ind w:right="43"/>
              <w:spacing w:after="0"/>
              <w:rPr>
                <w:sz w:val="20"/>
                <w:szCs w:val="20"/>
                <w:color w:val="auto"/>
              </w:rPr>
            </w:pPr>
            <w:r>
              <w:rPr>
                <w:rFonts w:ascii="Arial" w:cs="Arial" w:eastAsia="Arial" w:hAnsi="Arial"/>
                <w:sz w:val="15"/>
                <w:szCs w:val="15"/>
                <w:color w:val="auto"/>
              </w:rPr>
              <w:t>16.3</w:t>
            </w:r>
          </w:p>
        </w:tc>
        <w:tc>
          <w:tcPr>
            <w:tcW w:w="0" w:type="dxa"/>
            <w:vAlign w:val="bottom"/>
          </w:tcPr>
          <w:p>
            <w:pPr>
              <w:spacing w:after="0"/>
              <w:rPr>
                <w:sz w:val="1"/>
                <w:szCs w:val="1"/>
                <w:color w:val="auto"/>
              </w:rPr>
            </w:pPr>
          </w:p>
        </w:tc>
      </w:tr>
      <w:tr>
        <w:trPr>
          <w:trHeight w:val="254"/>
        </w:trPr>
        <w:tc>
          <w:tcPr>
            <w:tcW w:w="20" w:type="dxa"/>
            <w:vAlign w:val="bottom"/>
            <w:shd w:val="clear" w:color="auto" w:fill="DCE2EF"/>
          </w:tcPr>
          <w:p>
            <w:pPr>
              <w:spacing w:after="0"/>
              <w:rPr>
                <w:sz w:val="22"/>
                <w:szCs w:val="22"/>
                <w:color w:val="auto"/>
              </w:rPr>
            </w:pPr>
          </w:p>
        </w:tc>
        <w:tc>
          <w:tcPr>
            <w:tcW w:w="7400" w:type="dxa"/>
            <w:vAlign w:val="bottom"/>
            <w:gridSpan w:val="2"/>
            <w:shd w:val="clear" w:color="auto" w:fill="DCE2EF"/>
          </w:tcPr>
          <w:p>
            <w:pPr>
              <w:ind w:left="360"/>
              <w:spacing w:after="0"/>
              <w:rPr>
                <w:sz w:val="20"/>
                <w:szCs w:val="20"/>
                <w:color w:val="auto"/>
              </w:rPr>
            </w:pPr>
            <w:r>
              <w:rPr>
                <w:rFonts w:ascii="Arial" w:cs="Arial" w:eastAsia="Arial" w:hAnsi="Arial"/>
                <w:sz w:val="15"/>
                <w:szCs w:val="15"/>
                <w:color w:val="auto"/>
              </w:rPr>
              <w:t>Total liabilities</w:t>
            </w:r>
          </w:p>
        </w:tc>
        <w:tc>
          <w:tcPr>
            <w:tcW w:w="280" w:type="dxa"/>
            <w:vAlign w:val="bottom"/>
            <w:tcBorders>
              <w:bottom w:val="single" w:sz="8" w:color="auto"/>
            </w:tcBorders>
            <w:shd w:val="clear" w:color="auto" w:fill="DCE2EF"/>
          </w:tcPr>
          <w:p>
            <w:pPr>
              <w:spacing w:after="0"/>
              <w:rPr>
                <w:sz w:val="22"/>
                <w:szCs w:val="22"/>
                <w:color w:val="auto"/>
              </w:rPr>
            </w:pPr>
          </w:p>
        </w:tc>
        <w:tc>
          <w:tcPr>
            <w:tcW w:w="1660" w:type="dxa"/>
            <w:vAlign w:val="bottom"/>
            <w:tcBorders>
              <w:bottom w:val="single" w:sz="8" w:color="auto"/>
            </w:tcBorders>
            <w:shd w:val="clear" w:color="auto" w:fill="DCE2EF"/>
          </w:tcPr>
          <w:p>
            <w:pPr>
              <w:jc w:val="right"/>
              <w:ind w:right="43"/>
              <w:spacing w:after="0"/>
              <w:rPr>
                <w:sz w:val="20"/>
                <w:szCs w:val="20"/>
                <w:color w:val="auto"/>
              </w:rPr>
            </w:pPr>
            <w:r>
              <w:rPr>
                <w:rFonts w:ascii="Arial" w:cs="Arial" w:eastAsia="Arial" w:hAnsi="Arial"/>
                <w:sz w:val="15"/>
                <w:szCs w:val="15"/>
                <w:color w:val="auto"/>
              </w:rPr>
              <w:t>2,313.3</w:t>
            </w:r>
          </w:p>
        </w:tc>
        <w:tc>
          <w:tcPr>
            <w:tcW w:w="100" w:type="dxa"/>
            <w:vAlign w:val="bottom"/>
            <w:shd w:val="clear" w:color="auto" w:fill="DCE2EF"/>
          </w:tcPr>
          <w:p>
            <w:pPr>
              <w:spacing w:after="0"/>
              <w:rPr>
                <w:sz w:val="22"/>
                <w:szCs w:val="22"/>
                <w:color w:val="auto"/>
              </w:rPr>
            </w:pPr>
          </w:p>
        </w:tc>
        <w:tc>
          <w:tcPr>
            <w:tcW w:w="240" w:type="dxa"/>
            <w:vAlign w:val="bottom"/>
            <w:tcBorders>
              <w:bottom w:val="single" w:sz="8" w:color="auto"/>
            </w:tcBorders>
            <w:shd w:val="clear" w:color="auto" w:fill="DCE2EF"/>
          </w:tcPr>
          <w:p>
            <w:pPr>
              <w:spacing w:after="0"/>
              <w:rPr>
                <w:sz w:val="22"/>
                <w:szCs w:val="22"/>
                <w:color w:val="auto"/>
              </w:rPr>
            </w:pPr>
          </w:p>
        </w:tc>
        <w:tc>
          <w:tcPr>
            <w:tcW w:w="1700" w:type="dxa"/>
            <w:vAlign w:val="bottom"/>
            <w:tcBorders>
              <w:bottom w:val="single" w:sz="8" w:color="auto"/>
            </w:tcBorders>
            <w:shd w:val="clear" w:color="auto" w:fill="DCE2EF"/>
          </w:tcPr>
          <w:p>
            <w:pPr>
              <w:jc w:val="right"/>
              <w:ind w:right="43"/>
              <w:spacing w:after="0"/>
              <w:rPr>
                <w:sz w:val="20"/>
                <w:szCs w:val="20"/>
                <w:color w:val="auto"/>
              </w:rPr>
            </w:pPr>
            <w:r>
              <w:rPr>
                <w:rFonts w:ascii="Arial" w:cs="Arial" w:eastAsia="Arial" w:hAnsi="Arial"/>
                <w:sz w:val="15"/>
                <w:szCs w:val="15"/>
                <w:color w:val="auto"/>
              </w:rPr>
              <w:t>2,436.9</w:t>
            </w:r>
          </w:p>
        </w:tc>
        <w:tc>
          <w:tcPr>
            <w:tcW w:w="0" w:type="dxa"/>
            <w:vAlign w:val="bottom"/>
          </w:tcPr>
          <w:p>
            <w:pPr>
              <w:spacing w:after="0"/>
              <w:rPr>
                <w:sz w:val="1"/>
                <w:szCs w:val="1"/>
                <w:color w:val="auto"/>
              </w:rPr>
            </w:pPr>
          </w:p>
        </w:tc>
      </w:tr>
      <w:tr>
        <w:trPr>
          <w:trHeight w:val="246"/>
        </w:trPr>
        <w:tc>
          <w:tcPr>
            <w:tcW w:w="7420" w:type="dxa"/>
            <w:vAlign w:val="bottom"/>
            <w:gridSpan w:val="3"/>
          </w:tcPr>
          <w:p>
            <w:pPr>
              <w:ind w:left="20"/>
              <w:spacing w:after="0"/>
              <w:rPr>
                <w:sz w:val="20"/>
                <w:szCs w:val="20"/>
                <w:color w:val="auto"/>
              </w:rPr>
            </w:pPr>
            <w:r>
              <w:rPr>
                <w:rFonts w:ascii="Arial" w:cs="Arial" w:eastAsia="Arial" w:hAnsi="Arial"/>
                <w:sz w:val="15"/>
                <w:szCs w:val="15"/>
                <w:color w:val="auto"/>
              </w:rPr>
              <w:t>Commitments and contingencies</w:t>
            </w:r>
          </w:p>
        </w:tc>
        <w:tc>
          <w:tcPr>
            <w:tcW w:w="280" w:type="dxa"/>
            <w:vAlign w:val="bottom"/>
          </w:tcPr>
          <w:p>
            <w:pPr>
              <w:spacing w:after="0"/>
              <w:rPr>
                <w:sz w:val="21"/>
                <w:szCs w:val="21"/>
                <w:color w:val="auto"/>
              </w:rPr>
            </w:pPr>
          </w:p>
        </w:tc>
        <w:tc>
          <w:tcPr>
            <w:tcW w:w="16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7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4"/>
        </w:trPr>
        <w:tc>
          <w:tcPr>
            <w:tcW w:w="7420" w:type="dxa"/>
            <w:vAlign w:val="bottom"/>
            <w:gridSpan w:val="3"/>
            <w:shd w:val="clear" w:color="auto" w:fill="DCE2EF"/>
          </w:tcPr>
          <w:p>
            <w:pPr>
              <w:ind w:left="20"/>
              <w:spacing w:after="0"/>
              <w:rPr>
                <w:sz w:val="20"/>
                <w:szCs w:val="20"/>
                <w:color w:val="auto"/>
              </w:rPr>
            </w:pPr>
            <w:r>
              <w:rPr>
                <w:rFonts w:ascii="Arial" w:cs="Arial" w:eastAsia="Arial" w:hAnsi="Arial"/>
                <w:sz w:val="15"/>
                <w:szCs w:val="15"/>
                <w:b w:val="1"/>
                <w:bCs w:val="1"/>
                <w:color w:val="auto"/>
              </w:rPr>
              <w:t>Stockholders’ Equity</w:t>
            </w:r>
          </w:p>
        </w:tc>
        <w:tc>
          <w:tcPr>
            <w:tcW w:w="280" w:type="dxa"/>
            <w:vAlign w:val="bottom"/>
            <w:shd w:val="clear" w:color="auto" w:fill="DCE2EF"/>
          </w:tcPr>
          <w:p>
            <w:pPr>
              <w:spacing w:after="0"/>
              <w:rPr>
                <w:sz w:val="23"/>
                <w:szCs w:val="23"/>
                <w:color w:val="auto"/>
              </w:rPr>
            </w:pPr>
          </w:p>
        </w:tc>
        <w:tc>
          <w:tcPr>
            <w:tcW w:w="1660" w:type="dxa"/>
            <w:vAlign w:val="bottom"/>
            <w:shd w:val="clear" w:color="auto" w:fill="DCE2EF"/>
          </w:tcPr>
          <w:p>
            <w:pPr>
              <w:spacing w:after="0"/>
              <w:rPr>
                <w:sz w:val="23"/>
                <w:szCs w:val="23"/>
                <w:color w:val="auto"/>
              </w:rPr>
            </w:pPr>
          </w:p>
        </w:tc>
        <w:tc>
          <w:tcPr>
            <w:tcW w:w="100" w:type="dxa"/>
            <w:vAlign w:val="bottom"/>
            <w:shd w:val="clear" w:color="auto" w:fill="DCE2EF"/>
          </w:tcPr>
          <w:p>
            <w:pPr>
              <w:spacing w:after="0"/>
              <w:rPr>
                <w:sz w:val="23"/>
                <w:szCs w:val="23"/>
                <w:color w:val="auto"/>
              </w:rPr>
            </w:pPr>
          </w:p>
        </w:tc>
        <w:tc>
          <w:tcPr>
            <w:tcW w:w="240" w:type="dxa"/>
            <w:vAlign w:val="bottom"/>
            <w:shd w:val="clear" w:color="auto" w:fill="DCE2EF"/>
          </w:tcPr>
          <w:p>
            <w:pPr>
              <w:spacing w:after="0"/>
              <w:rPr>
                <w:sz w:val="23"/>
                <w:szCs w:val="23"/>
                <w:color w:val="auto"/>
              </w:rPr>
            </w:pPr>
          </w:p>
        </w:tc>
        <w:tc>
          <w:tcPr>
            <w:tcW w:w="1700" w:type="dxa"/>
            <w:vAlign w:val="bottom"/>
            <w:shd w:val="clear" w:color="auto" w:fill="DCE2EF"/>
          </w:tcPr>
          <w:p>
            <w:pPr>
              <w:spacing w:after="0"/>
              <w:rPr>
                <w:sz w:val="23"/>
                <w:szCs w:val="23"/>
                <w:color w:val="auto"/>
              </w:rPr>
            </w:pPr>
          </w:p>
        </w:tc>
        <w:tc>
          <w:tcPr>
            <w:tcW w:w="0" w:type="dxa"/>
            <w:vAlign w:val="bottom"/>
          </w:tcPr>
          <w:p>
            <w:pPr>
              <w:spacing w:after="0"/>
              <w:rPr>
                <w:sz w:val="1"/>
                <w:szCs w:val="1"/>
                <w:color w:val="auto"/>
              </w:rPr>
            </w:pPr>
          </w:p>
        </w:tc>
      </w:tr>
      <w:tr>
        <w:trPr>
          <w:trHeight w:val="266"/>
        </w:trPr>
        <w:tc>
          <w:tcPr>
            <w:tcW w:w="20" w:type="dxa"/>
            <w:vAlign w:val="bottom"/>
          </w:tcPr>
          <w:p>
            <w:pPr>
              <w:spacing w:after="0"/>
              <w:rPr>
                <w:sz w:val="23"/>
                <w:szCs w:val="23"/>
                <w:color w:val="auto"/>
              </w:rPr>
            </w:pPr>
          </w:p>
        </w:tc>
        <w:tc>
          <w:tcPr>
            <w:tcW w:w="7400" w:type="dxa"/>
            <w:vAlign w:val="bottom"/>
            <w:gridSpan w:val="2"/>
          </w:tcPr>
          <w:p>
            <w:pPr>
              <w:ind w:left="360"/>
              <w:spacing w:after="0"/>
              <w:rPr>
                <w:sz w:val="20"/>
                <w:szCs w:val="20"/>
                <w:color w:val="auto"/>
              </w:rPr>
            </w:pPr>
            <w:r>
              <w:rPr>
                <w:rFonts w:ascii="Arial" w:cs="Arial" w:eastAsia="Arial" w:hAnsi="Arial"/>
                <w:sz w:val="15"/>
                <w:szCs w:val="15"/>
                <w:color w:val="auto"/>
              </w:rPr>
              <w:t>Preferred stock, $0.01 par value; 500,000 shares authorized; none issued</w:t>
            </w:r>
          </w:p>
        </w:tc>
        <w:tc>
          <w:tcPr>
            <w:tcW w:w="280" w:type="dxa"/>
            <w:vAlign w:val="bottom"/>
          </w:tcPr>
          <w:p>
            <w:pPr>
              <w:spacing w:after="0"/>
              <w:rPr>
                <w:sz w:val="23"/>
                <w:szCs w:val="23"/>
                <w:color w:val="auto"/>
              </w:rPr>
            </w:pPr>
          </w:p>
        </w:tc>
        <w:tc>
          <w:tcPr>
            <w:tcW w:w="176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240" w:type="dxa"/>
            <w:vAlign w:val="bottom"/>
          </w:tcPr>
          <w:p>
            <w:pPr>
              <w:spacing w:after="0"/>
              <w:rPr>
                <w:sz w:val="23"/>
                <w:szCs w:val="23"/>
                <w:color w:val="auto"/>
              </w:rPr>
            </w:pPr>
          </w:p>
        </w:tc>
        <w:tc>
          <w:tcPr>
            <w:tcW w:w="1700" w:type="dxa"/>
            <w:vAlign w:val="bottom"/>
          </w:tcPr>
          <w:p>
            <w:pPr>
              <w:jc w:val="right"/>
              <w:ind w:right="43"/>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90"/>
        </w:trPr>
        <w:tc>
          <w:tcPr>
            <w:tcW w:w="20" w:type="dxa"/>
            <w:vAlign w:val="bottom"/>
            <w:shd w:val="clear" w:color="auto" w:fill="DCE2EF"/>
          </w:tcPr>
          <w:p>
            <w:pPr>
              <w:spacing w:after="0"/>
              <w:rPr>
                <w:sz w:val="16"/>
                <w:szCs w:val="16"/>
                <w:color w:val="auto"/>
              </w:rPr>
            </w:pPr>
          </w:p>
        </w:tc>
        <w:tc>
          <w:tcPr>
            <w:tcW w:w="7400" w:type="dxa"/>
            <w:vAlign w:val="bottom"/>
            <w:gridSpan w:val="2"/>
            <w:shd w:val="clear" w:color="auto" w:fill="DCE2EF"/>
          </w:tcPr>
          <w:p>
            <w:pPr>
              <w:ind w:left="360"/>
              <w:spacing w:after="0"/>
              <w:rPr>
                <w:sz w:val="20"/>
                <w:szCs w:val="20"/>
                <w:color w:val="auto"/>
              </w:rPr>
            </w:pPr>
            <w:r>
              <w:rPr>
                <w:rFonts w:ascii="Arial" w:cs="Arial" w:eastAsia="Arial" w:hAnsi="Arial"/>
                <w:sz w:val="15"/>
                <w:szCs w:val="15"/>
                <w:color w:val="auto"/>
              </w:rPr>
              <w:t>Common stock, $0.01 par value; 100,000,000 shares authorized;</w:t>
            </w:r>
          </w:p>
        </w:tc>
        <w:tc>
          <w:tcPr>
            <w:tcW w:w="280" w:type="dxa"/>
            <w:vAlign w:val="bottom"/>
            <w:shd w:val="clear" w:color="auto" w:fill="DCE2EF"/>
          </w:tcPr>
          <w:p>
            <w:pPr>
              <w:spacing w:after="0"/>
              <w:rPr>
                <w:sz w:val="16"/>
                <w:szCs w:val="16"/>
                <w:color w:val="auto"/>
              </w:rPr>
            </w:pPr>
          </w:p>
        </w:tc>
        <w:tc>
          <w:tcPr>
            <w:tcW w:w="1660" w:type="dxa"/>
            <w:vAlign w:val="bottom"/>
            <w:shd w:val="clear" w:color="auto" w:fill="DCE2EF"/>
          </w:tcPr>
          <w:p>
            <w:pPr>
              <w:spacing w:after="0"/>
              <w:rPr>
                <w:sz w:val="16"/>
                <w:szCs w:val="16"/>
                <w:color w:val="auto"/>
              </w:rPr>
            </w:pPr>
          </w:p>
        </w:tc>
        <w:tc>
          <w:tcPr>
            <w:tcW w:w="100" w:type="dxa"/>
            <w:vAlign w:val="bottom"/>
            <w:shd w:val="clear" w:color="auto" w:fill="DCE2EF"/>
          </w:tcPr>
          <w:p>
            <w:pPr>
              <w:spacing w:after="0"/>
              <w:rPr>
                <w:sz w:val="16"/>
                <w:szCs w:val="16"/>
                <w:color w:val="auto"/>
              </w:rPr>
            </w:pPr>
          </w:p>
        </w:tc>
        <w:tc>
          <w:tcPr>
            <w:tcW w:w="240" w:type="dxa"/>
            <w:vAlign w:val="bottom"/>
            <w:shd w:val="clear" w:color="auto" w:fill="DCE2EF"/>
          </w:tcPr>
          <w:p>
            <w:pPr>
              <w:spacing w:after="0"/>
              <w:rPr>
                <w:sz w:val="16"/>
                <w:szCs w:val="16"/>
                <w:color w:val="auto"/>
              </w:rPr>
            </w:pPr>
          </w:p>
        </w:tc>
        <w:tc>
          <w:tcPr>
            <w:tcW w:w="1700" w:type="dxa"/>
            <w:vAlign w:val="bottom"/>
            <w:shd w:val="clear" w:color="auto" w:fill="DCE2EF"/>
          </w:tcPr>
          <w:p>
            <w:pPr>
              <w:spacing w:after="0"/>
              <w:rPr>
                <w:sz w:val="16"/>
                <w:szCs w:val="16"/>
                <w:color w:val="auto"/>
              </w:rPr>
            </w:pPr>
          </w:p>
        </w:tc>
        <w:tc>
          <w:tcPr>
            <w:tcW w:w="0" w:type="dxa"/>
            <w:vAlign w:val="bottom"/>
          </w:tcPr>
          <w:p>
            <w:pPr>
              <w:spacing w:after="0"/>
              <w:rPr>
                <w:sz w:val="1"/>
                <w:szCs w:val="1"/>
                <w:color w:val="auto"/>
              </w:rPr>
            </w:pPr>
          </w:p>
        </w:tc>
      </w:tr>
      <w:tr>
        <w:trPr>
          <w:trHeight w:val="162"/>
        </w:trPr>
        <w:tc>
          <w:tcPr>
            <w:tcW w:w="20" w:type="dxa"/>
            <w:vAlign w:val="bottom"/>
            <w:shd w:val="clear" w:color="auto" w:fill="DCE2EF"/>
          </w:tcPr>
          <w:p>
            <w:pPr>
              <w:spacing w:after="0"/>
              <w:rPr>
                <w:sz w:val="14"/>
                <w:szCs w:val="14"/>
                <w:color w:val="auto"/>
              </w:rPr>
            </w:pPr>
          </w:p>
        </w:tc>
        <w:tc>
          <w:tcPr>
            <w:tcW w:w="7400" w:type="dxa"/>
            <w:vAlign w:val="bottom"/>
            <w:gridSpan w:val="2"/>
            <w:shd w:val="clear" w:color="auto" w:fill="DCE2EF"/>
          </w:tcPr>
          <w:p>
            <w:pPr>
              <w:ind w:left="360"/>
              <w:spacing w:after="0" w:line="162" w:lineRule="exact"/>
              <w:rPr>
                <w:sz w:val="20"/>
                <w:szCs w:val="20"/>
                <w:color w:val="auto"/>
              </w:rPr>
            </w:pPr>
            <w:r>
              <w:rPr>
                <w:rFonts w:ascii="Arial" w:cs="Arial" w:eastAsia="Arial" w:hAnsi="Arial"/>
                <w:sz w:val="15"/>
                <w:szCs w:val="15"/>
                <w:color w:val="auto"/>
              </w:rPr>
              <w:t>65,729,949 and 65,502,568 shares issued and outstanding at</w:t>
            </w:r>
          </w:p>
        </w:tc>
        <w:tc>
          <w:tcPr>
            <w:tcW w:w="280" w:type="dxa"/>
            <w:vAlign w:val="bottom"/>
            <w:shd w:val="clear" w:color="auto" w:fill="DCE2EF"/>
          </w:tcPr>
          <w:p>
            <w:pPr>
              <w:spacing w:after="0"/>
              <w:rPr>
                <w:sz w:val="14"/>
                <w:szCs w:val="14"/>
                <w:color w:val="auto"/>
              </w:rPr>
            </w:pPr>
          </w:p>
        </w:tc>
        <w:tc>
          <w:tcPr>
            <w:tcW w:w="1660" w:type="dxa"/>
            <w:vAlign w:val="bottom"/>
            <w:shd w:val="clear" w:color="auto" w:fill="DCE2EF"/>
          </w:tcPr>
          <w:p>
            <w:pPr>
              <w:spacing w:after="0"/>
              <w:rPr>
                <w:sz w:val="14"/>
                <w:szCs w:val="14"/>
                <w:color w:val="auto"/>
              </w:rPr>
            </w:pPr>
          </w:p>
        </w:tc>
        <w:tc>
          <w:tcPr>
            <w:tcW w:w="100" w:type="dxa"/>
            <w:vAlign w:val="bottom"/>
            <w:shd w:val="clear" w:color="auto" w:fill="DCE2EF"/>
          </w:tcPr>
          <w:p>
            <w:pPr>
              <w:spacing w:after="0"/>
              <w:rPr>
                <w:sz w:val="14"/>
                <w:szCs w:val="14"/>
                <w:color w:val="auto"/>
              </w:rPr>
            </w:pPr>
          </w:p>
        </w:tc>
        <w:tc>
          <w:tcPr>
            <w:tcW w:w="240" w:type="dxa"/>
            <w:vAlign w:val="bottom"/>
            <w:shd w:val="clear" w:color="auto" w:fill="DCE2EF"/>
          </w:tcPr>
          <w:p>
            <w:pPr>
              <w:spacing w:after="0"/>
              <w:rPr>
                <w:sz w:val="14"/>
                <w:szCs w:val="14"/>
                <w:color w:val="auto"/>
              </w:rPr>
            </w:pPr>
          </w:p>
        </w:tc>
        <w:tc>
          <w:tcPr>
            <w:tcW w:w="1700" w:type="dxa"/>
            <w:vAlign w:val="bottom"/>
            <w:shd w:val="clear" w:color="auto" w:fill="DCE2EF"/>
          </w:tcPr>
          <w:p>
            <w:pPr>
              <w:spacing w:after="0"/>
              <w:rPr>
                <w:sz w:val="14"/>
                <w:szCs w:val="14"/>
                <w:color w:val="auto"/>
              </w:rPr>
            </w:pPr>
          </w:p>
        </w:tc>
        <w:tc>
          <w:tcPr>
            <w:tcW w:w="0" w:type="dxa"/>
            <w:vAlign w:val="bottom"/>
          </w:tcPr>
          <w:p>
            <w:pPr>
              <w:spacing w:after="0"/>
              <w:rPr>
                <w:sz w:val="1"/>
                <w:szCs w:val="1"/>
                <w:color w:val="auto"/>
              </w:rPr>
            </w:pPr>
          </w:p>
        </w:tc>
      </w:tr>
      <w:tr>
        <w:trPr>
          <w:trHeight w:val="192"/>
        </w:trPr>
        <w:tc>
          <w:tcPr>
            <w:tcW w:w="20" w:type="dxa"/>
            <w:vAlign w:val="bottom"/>
            <w:shd w:val="clear" w:color="auto" w:fill="DCE2EF"/>
          </w:tcPr>
          <w:p>
            <w:pPr>
              <w:spacing w:after="0"/>
              <w:rPr>
                <w:sz w:val="16"/>
                <w:szCs w:val="16"/>
                <w:color w:val="auto"/>
              </w:rPr>
            </w:pPr>
          </w:p>
        </w:tc>
        <w:tc>
          <w:tcPr>
            <w:tcW w:w="7400" w:type="dxa"/>
            <w:vAlign w:val="bottom"/>
            <w:gridSpan w:val="2"/>
            <w:shd w:val="clear" w:color="auto" w:fill="DCE2EF"/>
          </w:tcPr>
          <w:p>
            <w:pPr>
              <w:ind w:left="360"/>
              <w:spacing w:after="0"/>
              <w:rPr>
                <w:sz w:val="20"/>
                <w:szCs w:val="20"/>
                <w:color w:val="auto"/>
              </w:rPr>
            </w:pPr>
            <w:r>
              <w:rPr>
                <w:rFonts w:ascii="Arial" w:cs="Arial" w:eastAsia="Arial" w:hAnsi="Arial"/>
                <w:sz w:val="15"/>
                <w:szCs w:val="15"/>
                <w:color w:val="auto"/>
              </w:rPr>
              <w:t>April 30, 2018 and October 31, 2017, respectively</w:t>
            </w:r>
          </w:p>
        </w:tc>
        <w:tc>
          <w:tcPr>
            <w:tcW w:w="280" w:type="dxa"/>
            <w:vAlign w:val="bottom"/>
            <w:shd w:val="clear" w:color="auto" w:fill="DCE2EF"/>
          </w:tcPr>
          <w:p>
            <w:pPr>
              <w:spacing w:after="0"/>
              <w:rPr>
                <w:sz w:val="16"/>
                <w:szCs w:val="16"/>
                <w:color w:val="auto"/>
              </w:rPr>
            </w:pPr>
          </w:p>
        </w:tc>
        <w:tc>
          <w:tcPr>
            <w:tcW w:w="1660" w:type="dxa"/>
            <w:vAlign w:val="bottom"/>
            <w:shd w:val="clear" w:color="auto" w:fill="DCE2EF"/>
          </w:tcPr>
          <w:p>
            <w:pPr>
              <w:jc w:val="right"/>
              <w:ind w:right="43"/>
              <w:spacing w:after="0"/>
              <w:rPr>
                <w:sz w:val="20"/>
                <w:szCs w:val="20"/>
                <w:color w:val="auto"/>
              </w:rPr>
            </w:pPr>
            <w:r>
              <w:rPr>
                <w:rFonts w:ascii="Arial" w:cs="Arial" w:eastAsia="Arial" w:hAnsi="Arial"/>
                <w:sz w:val="15"/>
                <w:szCs w:val="15"/>
                <w:color w:val="auto"/>
              </w:rPr>
              <w:t>0.7</w:t>
            </w:r>
          </w:p>
        </w:tc>
        <w:tc>
          <w:tcPr>
            <w:tcW w:w="100" w:type="dxa"/>
            <w:vAlign w:val="bottom"/>
            <w:shd w:val="clear" w:color="auto" w:fill="DCE2EF"/>
          </w:tcPr>
          <w:p>
            <w:pPr>
              <w:spacing w:after="0"/>
              <w:rPr>
                <w:sz w:val="16"/>
                <w:szCs w:val="16"/>
                <w:color w:val="auto"/>
              </w:rPr>
            </w:pPr>
          </w:p>
        </w:tc>
        <w:tc>
          <w:tcPr>
            <w:tcW w:w="240" w:type="dxa"/>
            <w:vAlign w:val="bottom"/>
            <w:shd w:val="clear" w:color="auto" w:fill="DCE2EF"/>
          </w:tcPr>
          <w:p>
            <w:pPr>
              <w:spacing w:after="0"/>
              <w:rPr>
                <w:sz w:val="16"/>
                <w:szCs w:val="16"/>
                <w:color w:val="auto"/>
              </w:rPr>
            </w:pPr>
          </w:p>
        </w:tc>
        <w:tc>
          <w:tcPr>
            <w:tcW w:w="1700" w:type="dxa"/>
            <w:vAlign w:val="bottom"/>
            <w:shd w:val="clear" w:color="auto" w:fill="DCE2EF"/>
          </w:tcPr>
          <w:p>
            <w:pPr>
              <w:jc w:val="right"/>
              <w:ind w:right="43"/>
              <w:spacing w:after="0"/>
              <w:rPr>
                <w:sz w:val="20"/>
                <w:szCs w:val="20"/>
                <w:color w:val="auto"/>
              </w:rPr>
            </w:pPr>
            <w:r>
              <w:rPr>
                <w:rFonts w:ascii="Arial" w:cs="Arial" w:eastAsia="Arial" w:hAnsi="Arial"/>
                <w:sz w:val="15"/>
                <w:szCs w:val="15"/>
                <w:color w:val="auto"/>
              </w:rPr>
              <w:t>0.7</w:t>
            </w:r>
          </w:p>
        </w:tc>
        <w:tc>
          <w:tcPr>
            <w:tcW w:w="0" w:type="dxa"/>
            <w:vAlign w:val="bottom"/>
          </w:tcPr>
          <w:p>
            <w:pPr>
              <w:spacing w:after="0"/>
              <w:rPr>
                <w:sz w:val="1"/>
                <w:szCs w:val="1"/>
                <w:color w:val="auto"/>
              </w:rPr>
            </w:pPr>
          </w:p>
        </w:tc>
      </w:tr>
      <w:tr>
        <w:trPr>
          <w:trHeight w:val="266"/>
        </w:trPr>
        <w:tc>
          <w:tcPr>
            <w:tcW w:w="20" w:type="dxa"/>
            <w:vAlign w:val="bottom"/>
          </w:tcPr>
          <w:p>
            <w:pPr>
              <w:spacing w:after="0"/>
              <w:rPr>
                <w:sz w:val="23"/>
                <w:szCs w:val="23"/>
                <w:color w:val="auto"/>
              </w:rPr>
            </w:pPr>
          </w:p>
        </w:tc>
        <w:tc>
          <w:tcPr>
            <w:tcW w:w="7400" w:type="dxa"/>
            <w:vAlign w:val="bottom"/>
            <w:gridSpan w:val="2"/>
          </w:tcPr>
          <w:p>
            <w:pPr>
              <w:ind w:left="360"/>
              <w:spacing w:after="0"/>
              <w:rPr>
                <w:sz w:val="20"/>
                <w:szCs w:val="20"/>
                <w:color w:val="auto"/>
              </w:rPr>
            </w:pPr>
            <w:r>
              <w:rPr>
                <w:rFonts w:ascii="Arial" w:cs="Arial" w:eastAsia="Arial" w:hAnsi="Arial"/>
                <w:sz w:val="15"/>
                <w:szCs w:val="15"/>
                <w:color w:val="auto"/>
              </w:rPr>
              <w:t>Additional paid-in capital</w:t>
            </w:r>
          </w:p>
        </w:tc>
        <w:tc>
          <w:tcPr>
            <w:tcW w:w="280" w:type="dxa"/>
            <w:vAlign w:val="bottom"/>
          </w:tcPr>
          <w:p>
            <w:pPr>
              <w:spacing w:after="0"/>
              <w:rPr>
                <w:sz w:val="23"/>
                <w:szCs w:val="23"/>
                <w:color w:val="auto"/>
              </w:rPr>
            </w:pPr>
          </w:p>
        </w:tc>
        <w:tc>
          <w:tcPr>
            <w:tcW w:w="1660" w:type="dxa"/>
            <w:vAlign w:val="bottom"/>
          </w:tcPr>
          <w:p>
            <w:pPr>
              <w:jc w:val="right"/>
              <w:ind w:right="43"/>
              <w:spacing w:after="0"/>
              <w:rPr>
                <w:sz w:val="20"/>
                <w:szCs w:val="20"/>
                <w:color w:val="auto"/>
              </w:rPr>
            </w:pPr>
            <w:r>
              <w:rPr>
                <w:rFonts w:ascii="Arial" w:cs="Arial" w:eastAsia="Arial" w:hAnsi="Arial"/>
                <w:sz w:val="15"/>
                <w:szCs w:val="15"/>
                <w:color w:val="auto"/>
              </w:rPr>
              <w:t>683.1</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700" w:type="dxa"/>
            <w:vAlign w:val="bottom"/>
          </w:tcPr>
          <w:p>
            <w:pPr>
              <w:jc w:val="right"/>
              <w:ind w:right="43"/>
              <w:spacing w:after="0"/>
              <w:rPr>
                <w:sz w:val="20"/>
                <w:szCs w:val="20"/>
                <w:color w:val="auto"/>
              </w:rPr>
            </w:pPr>
            <w:r>
              <w:rPr>
                <w:rFonts w:ascii="Arial" w:cs="Arial" w:eastAsia="Arial" w:hAnsi="Arial"/>
                <w:sz w:val="15"/>
                <w:szCs w:val="15"/>
                <w:color w:val="auto"/>
              </w:rPr>
              <w:t>675.2</w:t>
            </w:r>
          </w:p>
        </w:tc>
        <w:tc>
          <w:tcPr>
            <w:tcW w:w="0" w:type="dxa"/>
            <w:vAlign w:val="bottom"/>
          </w:tcPr>
          <w:p>
            <w:pPr>
              <w:spacing w:after="0"/>
              <w:rPr>
                <w:sz w:val="1"/>
                <w:szCs w:val="1"/>
                <w:color w:val="auto"/>
              </w:rPr>
            </w:pPr>
          </w:p>
        </w:tc>
      </w:tr>
      <w:tr>
        <w:trPr>
          <w:trHeight w:val="274"/>
        </w:trPr>
        <w:tc>
          <w:tcPr>
            <w:tcW w:w="20" w:type="dxa"/>
            <w:vAlign w:val="bottom"/>
            <w:shd w:val="clear" w:color="auto" w:fill="DCE2EF"/>
          </w:tcPr>
          <w:p>
            <w:pPr>
              <w:spacing w:after="0"/>
              <w:rPr>
                <w:sz w:val="23"/>
                <w:szCs w:val="23"/>
                <w:color w:val="auto"/>
              </w:rPr>
            </w:pPr>
          </w:p>
        </w:tc>
        <w:tc>
          <w:tcPr>
            <w:tcW w:w="7400" w:type="dxa"/>
            <w:vAlign w:val="bottom"/>
            <w:gridSpan w:val="2"/>
            <w:shd w:val="clear" w:color="auto" w:fill="DCE2EF"/>
          </w:tcPr>
          <w:p>
            <w:pPr>
              <w:ind w:left="360"/>
              <w:spacing w:after="0"/>
              <w:rPr>
                <w:sz w:val="20"/>
                <w:szCs w:val="20"/>
                <w:color w:val="auto"/>
              </w:rPr>
            </w:pPr>
            <w:r>
              <w:rPr>
                <w:rFonts w:ascii="Arial" w:cs="Arial" w:eastAsia="Arial" w:hAnsi="Arial"/>
                <w:sz w:val="15"/>
                <w:szCs w:val="15"/>
                <w:color w:val="auto"/>
              </w:rPr>
              <w:t>Accumulated other comprehensive income (loss), net of taxes</w:t>
            </w:r>
          </w:p>
        </w:tc>
        <w:tc>
          <w:tcPr>
            <w:tcW w:w="280" w:type="dxa"/>
            <w:vAlign w:val="bottom"/>
            <w:shd w:val="clear" w:color="auto" w:fill="DCE2EF"/>
          </w:tcPr>
          <w:p>
            <w:pPr>
              <w:spacing w:after="0"/>
              <w:rPr>
                <w:sz w:val="23"/>
                <w:szCs w:val="23"/>
                <w:color w:val="auto"/>
              </w:rPr>
            </w:pPr>
          </w:p>
        </w:tc>
        <w:tc>
          <w:tcPr>
            <w:tcW w:w="1660" w:type="dxa"/>
            <w:vAlign w:val="bottom"/>
            <w:shd w:val="clear" w:color="auto" w:fill="DCE2EF"/>
          </w:tcPr>
          <w:p>
            <w:pPr>
              <w:jc w:val="right"/>
              <w:ind w:right="43"/>
              <w:spacing w:after="0"/>
              <w:rPr>
                <w:sz w:val="20"/>
                <w:szCs w:val="20"/>
                <w:color w:val="auto"/>
              </w:rPr>
            </w:pPr>
            <w:r>
              <w:rPr>
                <w:rFonts w:ascii="Arial" w:cs="Arial" w:eastAsia="Arial" w:hAnsi="Arial"/>
                <w:sz w:val="15"/>
                <w:szCs w:val="15"/>
                <w:color w:val="auto"/>
              </w:rPr>
              <w:t>1.6</w:t>
            </w:r>
          </w:p>
        </w:tc>
        <w:tc>
          <w:tcPr>
            <w:tcW w:w="100" w:type="dxa"/>
            <w:vAlign w:val="bottom"/>
            <w:shd w:val="clear" w:color="auto" w:fill="DCE2EF"/>
          </w:tcPr>
          <w:p>
            <w:pPr>
              <w:spacing w:after="0"/>
              <w:rPr>
                <w:sz w:val="23"/>
                <w:szCs w:val="23"/>
                <w:color w:val="auto"/>
              </w:rPr>
            </w:pPr>
          </w:p>
        </w:tc>
        <w:tc>
          <w:tcPr>
            <w:tcW w:w="240" w:type="dxa"/>
            <w:vAlign w:val="bottom"/>
            <w:shd w:val="clear" w:color="auto" w:fill="DCE2EF"/>
          </w:tcPr>
          <w:p>
            <w:pPr>
              <w:spacing w:after="0"/>
              <w:rPr>
                <w:sz w:val="23"/>
                <w:szCs w:val="23"/>
                <w:color w:val="auto"/>
              </w:rPr>
            </w:pPr>
          </w:p>
        </w:tc>
        <w:tc>
          <w:tcPr>
            <w:tcW w:w="1700" w:type="dxa"/>
            <w:vAlign w:val="bottom"/>
            <w:shd w:val="clear" w:color="auto" w:fill="DCE2EF"/>
          </w:tcPr>
          <w:p>
            <w:pPr>
              <w:jc w:val="right"/>
              <w:spacing w:after="0"/>
              <w:rPr>
                <w:sz w:val="20"/>
                <w:szCs w:val="20"/>
                <w:color w:val="auto"/>
              </w:rPr>
            </w:pPr>
            <w:r>
              <w:rPr>
                <w:rFonts w:ascii="Arial" w:cs="Arial" w:eastAsia="Arial" w:hAnsi="Arial"/>
                <w:sz w:val="15"/>
                <w:szCs w:val="15"/>
                <w:color w:val="auto"/>
              </w:rPr>
              <w:t>(20.3)</w:t>
            </w:r>
          </w:p>
        </w:tc>
        <w:tc>
          <w:tcPr>
            <w:tcW w:w="0" w:type="dxa"/>
            <w:vAlign w:val="bottom"/>
          </w:tcPr>
          <w:p>
            <w:pPr>
              <w:spacing w:after="0"/>
              <w:rPr>
                <w:sz w:val="1"/>
                <w:szCs w:val="1"/>
                <w:color w:val="auto"/>
              </w:rPr>
            </w:pPr>
          </w:p>
        </w:tc>
      </w:tr>
      <w:tr>
        <w:trPr>
          <w:trHeight w:val="266"/>
        </w:trPr>
        <w:tc>
          <w:tcPr>
            <w:tcW w:w="20" w:type="dxa"/>
            <w:vAlign w:val="bottom"/>
            <w:tcBorders>
              <w:bottom w:val="single" w:sz="8" w:color="DCE2EF"/>
            </w:tcBorders>
          </w:tcPr>
          <w:p>
            <w:pPr>
              <w:spacing w:after="0"/>
              <w:rPr>
                <w:sz w:val="23"/>
                <w:szCs w:val="23"/>
                <w:color w:val="auto"/>
              </w:rPr>
            </w:pPr>
          </w:p>
        </w:tc>
        <w:tc>
          <w:tcPr>
            <w:tcW w:w="7400" w:type="dxa"/>
            <w:vAlign w:val="bottom"/>
            <w:tcBorders>
              <w:bottom w:val="single" w:sz="8" w:color="DCE2EF"/>
            </w:tcBorders>
            <w:gridSpan w:val="2"/>
          </w:tcPr>
          <w:p>
            <w:pPr>
              <w:ind w:left="360"/>
              <w:spacing w:after="0"/>
              <w:rPr>
                <w:sz w:val="20"/>
                <w:szCs w:val="20"/>
                <w:color w:val="auto"/>
              </w:rPr>
            </w:pPr>
            <w:r>
              <w:rPr>
                <w:rFonts w:ascii="Arial" w:cs="Arial" w:eastAsia="Arial" w:hAnsi="Arial"/>
                <w:sz w:val="15"/>
                <w:szCs w:val="15"/>
                <w:color w:val="auto"/>
              </w:rPr>
              <w:t>Retained earnings</w:t>
            </w:r>
          </w:p>
        </w:tc>
        <w:tc>
          <w:tcPr>
            <w:tcW w:w="280" w:type="dxa"/>
            <w:vAlign w:val="bottom"/>
            <w:tcBorders>
              <w:bottom w:val="single" w:sz="8" w:color="auto"/>
            </w:tcBorders>
          </w:tcPr>
          <w:p>
            <w:pPr>
              <w:spacing w:after="0"/>
              <w:rPr>
                <w:sz w:val="23"/>
                <w:szCs w:val="23"/>
                <w:color w:val="auto"/>
              </w:rPr>
            </w:pPr>
          </w:p>
        </w:tc>
        <w:tc>
          <w:tcPr>
            <w:tcW w:w="1660" w:type="dxa"/>
            <w:vAlign w:val="bottom"/>
            <w:tcBorders>
              <w:bottom w:val="single" w:sz="8" w:color="auto"/>
            </w:tcBorders>
          </w:tcPr>
          <w:p>
            <w:pPr>
              <w:jc w:val="right"/>
              <w:ind w:right="43"/>
              <w:spacing w:after="0"/>
              <w:rPr>
                <w:sz w:val="20"/>
                <w:szCs w:val="20"/>
                <w:color w:val="auto"/>
              </w:rPr>
            </w:pPr>
            <w:r>
              <w:rPr>
                <w:rFonts w:ascii="Arial" w:cs="Arial" w:eastAsia="Arial" w:hAnsi="Arial"/>
                <w:sz w:val="15"/>
                <w:szCs w:val="15"/>
                <w:color w:val="auto"/>
              </w:rPr>
              <w:t>751.2</w:t>
            </w:r>
          </w:p>
        </w:tc>
        <w:tc>
          <w:tcPr>
            <w:tcW w:w="100" w:type="dxa"/>
            <w:vAlign w:val="bottom"/>
            <w:tcBorders>
              <w:bottom w:val="single" w:sz="8" w:color="DCE2EF"/>
            </w:tcBorders>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1700" w:type="dxa"/>
            <w:vAlign w:val="bottom"/>
            <w:tcBorders>
              <w:bottom w:val="single" w:sz="8" w:color="auto"/>
            </w:tcBorders>
          </w:tcPr>
          <w:p>
            <w:pPr>
              <w:jc w:val="right"/>
              <w:ind w:right="43"/>
              <w:spacing w:after="0"/>
              <w:rPr>
                <w:sz w:val="20"/>
                <w:szCs w:val="20"/>
                <w:color w:val="auto"/>
              </w:rPr>
            </w:pPr>
            <w:r>
              <w:rPr>
                <w:rFonts w:ascii="Arial" w:cs="Arial" w:eastAsia="Arial" w:hAnsi="Arial"/>
                <w:sz w:val="15"/>
                <w:szCs w:val="15"/>
                <w:color w:val="auto"/>
              </w:rPr>
              <w:t>720.1</w:t>
            </w:r>
          </w:p>
        </w:tc>
        <w:tc>
          <w:tcPr>
            <w:tcW w:w="0" w:type="dxa"/>
            <w:vAlign w:val="bottom"/>
          </w:tcPr>
          <w:p>
            <w:pPr>
              <w:spacing w:after="0"/>
              <w:rPr>
                <w:sz w:val="1"/>
                <w:szCs w:val="1"/>
                <w:color w:val="auto"/>
              </w:rPr>
            </w:pPr>
          </w:p>
        </w:tc>
      </w:tr>
      <w:tr>
        <w:trPr>
          <w:trHeight w:val="250"/>
        </w:trPr>
        <w:tc>
          <w:tcPr>
            <w:tcW w:w="20" w:type="dxa"/>
            <w:vAlign w:val="bottom"/>
            <w:shd w:val="clear" w:color="auto" w:fill="DCE2EF"/>
          </w:tcPr>
          <w:p>
            <w:pPr>
              <w:spacing w:after="0"/>
              <w:rPr>
                <w:sz w:val="21"/>
                <w:szCs w:val="21"/>
                <w:color w:val="auto"/>
              </w:rPr>
            </w:pPr>
          </w:p>
        </w:tc>
        <w:tc>
          <w:tcPr>
            <w:tcW w:w="7400" w:type="dxa"/>
            <w:vAlign w:val="bottom"/>
            <w:gridSpan w:val="2"/>
            <w:shd w:val="clear" w:color="auto" w:fill="DCE2EF"/>
          </w:tcPr>
          <w:p>
            <w:pPr>
              <w:ind w:left="360"/>
              <w:spacing w:after="0"/>
              <w:rPr>
                <w:sz w:val="20"/>
                <w:szCs w:val="20"/>
                <w:color w:val="auto"/>
              </w:rPr>
            </w:pPr>
            <w:r>
              <w:rPr>
                <w:rFonts w:ascii="Arial" w:cs="Arial" w:eastAsia="Arial" w:hAnsi="Arial"/>
                <w:sz w:val="15"/>
                <w:szCs w:val="15"/>
                <w:color w:val="auto"/>
              </w:rPr>
              <w:t>Total stockholders’ equity</w:t>
            </w:r>
          </w:p>
        </w:tc>
        <w:tc>
          <w:tcPr>
            <w:tcW w:w="280" w:type="dxa"/>
            <w:vAlign w:val="bottom"/>
            <w:tcBorders>
              <w:bottom w:val="single" w:sz="8" w:color="auto"/>
            </w:tcBorders>
            <w:shd w:val="clear" w:color="auto" w:fill="DCE2EF"/>
          </w:tcPr>
          <w:p>
            <w:pPr>
              <w:spacing w:after="0"/>
              <w:rPr>
                <w:sz w:val="21"/>
                <w:szCs w:val="21"/>
                <w:color w:val="auto"/>
              </w:rPr>
            </w:pPr>
          </w:p>
        </w:tc>
        <w:tc>
          <w:tcPr>
            <w:tcW w:w="1660" w:type="dxa"/>
            <w:vAlign w:val="bottom"/>
            <w:tcBorders>
              <w:bottom w:val="single" w:sz="8" w:color="auto"/>
            </w:tcBorders>
            <w:shd w:val="clear" w:color="auto" w:fill="DCE2EF"/>
          </w:tcPr>
          <w:p>
            <w:pPr>
              <w:jc w:val="right"/>
              <w:ind w:right="43"/>
              <w:spacing w:after="0"/>
              <w:rPr>
                <w:sz w:val="20"/>
                <w:szCs w:val="20"/>
                <w:color w:val="auto"/>
              </w:rPr>
            </w:pPr>
            <w:r>
              <w:rPr>
                <w:rFonts w:ascii="Arial" w:cs="Arial" w:eastAsia="Arial" w:hAnsi="Arial"/>
                <w:sz w:val="15"/>
                <w:szCs w:val="15"/>
                <w:color w:val="auto"/>
              </w:rPr>
              <w:t>1,436.6</w:t>
            </w:r>
          </w:p>
        </w:tc>
        <w:tc>
          <w:tcPr>
            <w:tcW w:w="100" w:type="dxa"/>
            <w:vAlign w:val="bottom"/>
            <w:shd w:val="clear" w:color="auto" w:fill="DCE2EF"/>
          </w:tcPr>
          <w:p>
            <w:pPr>
              <w:spacing w:after="0"/>
              <w:rPr>
                <w:sz w:val="21"/>
                <w:szCs w:val="21"/>
                <w:color w:val="auto"/>
              </w:rPr>
            </w:pPr>
          </w:p>
        </w:tc>
        <w:tc>
          <w:tcPr>
            <w:tcW w:w="240" w:type="dxa"/>
            <w:vAlign w:val="bottom"/>
            <w:tcBorders>
              <w:bottom w:val="single" w:sz="8" w:color="auto"/>
            </w:tcBorders>
            <w:shd w:val="clear" w:color="auto" w:fill="DCE2EF"/>
          </w:tcPr>
          <w:p>
            <w:pPr>
              <w:spacing w:after="0"/>
              <w:rPr>
                <w:sz w:val="21"/>
                <w:szCs w:val="21"/>
                <w:color w:val="auto"/>
              </w:rPr>
            </w:pPr>
          </w:p>
        </w:tc>
        <w:tc>
          <w:tcPr>
            <w:tcW w:w="1700" w:type="dxa"/>
            <w:vAlign w:val="bottom"/>
            <w:tcBorders>
              <w:bottom w:val="single" w:sz="8" w:color="auto"/>
            </w:tcBorders>
            <w:shd w:val="clear" w:color="auto" w:fill="DCE2EF"/>
          </w:tcPr>
          <w:p>
            <w:pPr>
              <w:jc w:val="right"/>
              <w:ind w:right="43"/>
              <w:spacing w:after="0"/>
              <w:rPr>
                <w:sz w:val="20"/>
                <w:szCs w:val="20"/>
                <w:color w:val="auto"/>
              </w:rPr>
            </w:pPr>
            <w:r>
              <w:rPr>
                <w:rFonts w:ascii="Arial" w:cs="Arial" w:eastAsia="Arial" w:hAnsi="Arial"/>
                <w:sz w:val="15"/>
                <w:szCs w:val="15"/>
                <w:color w:val="auto"/>
              </w:rPr>
              <w:t>1,375.7</w:t>
            </w:r>
          </w:p>
        </w:tc>
        <w:tc>
          <w:tcPr>
            <w:tcW w:w="0" w:type="dxa"/>
            <w:vAlign w:val="bottom"/>
          </w:tcPr>
          <w:p>
            <w:pPr>
              <w:spacing w:after="0"/>
              <w:rPr>
                <w:sz w:val="1"/>
                <w:szCs w:val="1"/>
                <w:color w:val="auto"/>
              </w:rPr>
            </w:pPr>
          </w:p>
        </w:tc>
      </w:tr>
      <w:tr>
        <w:trPr>
          <w:trHeight w:val="241"/>
        </w:trPr>
        <w:tc>
          <w:tcPr>
            <w:tcW w:w="7420" w:type="dxa"/>
            <w:vAlign w:val="bottom"/>
            <w:gridSpan w:val="3"/>
          </w:tcPr>
          <w:p>
            <w:pPr>
              <w:ind w:left="20"/>
              <w:spacing w:after="0"/>
              <w:rPr>
                <w:sz w:val="20"/>
                <w:szCs w:val="20"/>
                <w:color w:val="auto"/>
              </w:rPr>
            </w:pPr>
            <w:r>
              <w:rPr>
                <w:rFonts w:ascii="Arial" w:cs="Arial" w:eastAsia="Arial" w:hAnsi="Arial"/>
                <w:sz w:val="15"/>
                <w:szCs w:val="15"/>
                <w:color w:val="auto"/>
              </w:rPr>
              <w:t>Total liabilities and stockholders’ equity</w:t>
            </w:r>
          </w:p>
        </w:tc>
        <w:tc>
          <w:tcPr>
            <w:tcW w:w="280" w:type="dxa"/>
            <w:vAlign w:val="bottom"/>
            <w:tcBorders>
              <w:bottom w:val="single" w:sz="8" w:color="auto"/>
            </w:tcBorders>
          </w:tcPr>
          <w:p>
            <w:pPr>
              <w:jc w:val="right"/>
              <w:ind w:right="103"/>
              <w:spacing w:after="0"/>
              <w:rPr>
                <w:sz w:val="20"/>
                <w:szCs w:val="20"/>
                <w:color w:val="auto"/>
              </w:rPr>
            </w:pPr>
            <w:r>
              <w:rPr>
                <w:rFonts w:ascii="Arial" w:cs="Arial" w:eastAsia="Arial" w:hAnsi="Arial"/>
                <w:sz w:val="15"/>
                <w:szCs w:val="15"/>
                <w:color w:val="auto"/>
                <w:w w:val="95"/>
              </w:rPr>
              <w:t>$</w:t>
            </w:r>
          </w:p>
        </w:tc>
        <w:tc>
          <w:tcPr>
            <w:tcW w:w="1660" w:type="dxa"/>
            <w:vAlign w:val="bottom"/>
            <w:tcBorders>
              <w:bottom w:val="single" w:sz="8" w:color="auto"/>
            </w:tcBorders>
          </w:tcPr>
          <w:p>
            <w:pPr>
              <w:jc w:val="right"/>
              <w:ind w:right="43"/>
              <w:spacing w:after="0"/>
              <w:rPr>
                <w:sz w:val="20"/>
                <w:szCs w:val="20"/>
                <w:color w:val="auto"/>
              </w:rPr>
            </w:pPr>
            <w:r>
              <w:rPr>
                <w:rFonts w:ascii="Arial" w:cs="Arial" w:eastAsia="Arial" w:hAnsi="Arial"/>
                <w:sz w:val="15"/>
                <w:szCs w:val="15"/>
                <w:color w:val="auto"/>
              </w:rPr>
              <w:t>3,749.9</w:t>
            </w:r>
          </w:p>
        </w:tc>
        <w:tc>
          <w:tcPr>
            <w:tcW w:w="100" w:type="dxa"/>
            <w:vAlign w:val="bottom"/>
          </w:tcPr>
          <w:p>
            <w:pPr>
              <w:spacing w:after="0"/>
              <w:rPr>
                <w:sz w:val="20"/>
                <w:szCs w:val="20"/>
                <w:color w:val="auto"/>
              </w:rPr>
            </w:pPr>
          </w:p>
        </w:tc>
        <w:tc>
          <w:tcPr>
            <w:tcW w:w="240" w:type="dxa"/>
            <w:vAlign w:val="bottom"/>
            <w:tcBorders>
              <w:bottom w:val="single" w:sz="8" w:color="auto"/>
            </w:tcBorders>
          </w:tcPr>
          <w:p>
            <w:pPr>
              <w:jc w:val="right"/>
              <w:ind w:right="43"/>
              <w:spacing w:after="0"/>
              <w:rPr>
                <w:sz w:val="20"/>
                <w:szCs w:val="20"/>
                <w:color w:val="auto"/>
              </w:rPr>
            </w:pPr>
            <w:r>
              <w:rPr>
                <w:rFonts w:ascii="Arial" w:cs="Arial" w:eastAsia="Arial" w:hAnsi="Arial"/>
                <w:sz w:val="15"/>
                <w:szCs w:val="15"/>
                <w:color w:val="auto"/>
              </w:rPr>
              <w:t>$</w:t>
            </w:r>
          </w:p>
        </w:tc>
        <w:tc>
          <w:tcPr>
            <w:tcW w:w="1700" w:type="dxa"/>
            <w:vAlign w:val="bottom"/>
            <w:tcBorders>
              <w:bottom w:val="single" w:sz="8" w:color="auto"/>
            </w:tcBorders>
          </w:tcPr>
          <w:p>
            <w:pPr>
              <w:jc w:val="right"/>
              <w:ind w:right="43"/>
              <w:spacing w:after="0"/>
              <w:rPr>
                <w:sz w:val="20"/>
                <w:szCs w:val="20"/>
                <w:color w:val="auto"/>
              </w:rPr>
            </w:pPr>
            <w:r>
              <w:rPr>
                <w:rFonts w:ascii="Arial" w:cs="Arial" w:eastAsia="Arial" w:hAnsi="Arial"/>
                <w:sz w:val="15"/>
                <w:szCs w:val="15"/>
                <w:color w:val="auto"/>
              </w:rPr>
              <w:t>3,812.6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860" w:type="dxa"/>
            <w:vAlign w:val="bottom"/>
          </w:tcPr>
          <w:p>
            <w:pPr>
              <w:spacing w:after="0" w:line="20" w:lineRule="exact"/>
              <w:rPr>
                <w:sz w:val="1"/>
                <w:szCs w:val="1"/>
                <w:color w:val="auto"/>
              </w:rPr>
            </w:pPr>
          </w:p>
        </w:tc>
        <w:tc>
          <w:tcPr>
            <w:tcW w:w="45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unaudited consolidated financial statements.</w:t>
      </w:r>
    </w:p>
    <w:p>
      <w:pPr>
        <w:sectPr>
          <w:pgSz w:w="11900" w:h="16838" w:orient="portrait"/>
          <w:cols w:equalWidth="0" w:num="1">
            <w:col w:w="11420"/>
          </w:cols>
          <w:pgMar w:left="240" w:top="846" w:right="239" w:bottom="1440" w:gutter="0" w:footer="0" w:header="0"/>
        </w:sect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w:t>
      </w:r>
    </w:p>
    <w:p>
      <w:pPr>
        <w:sectPr>
          <w:pgSz w:w="11900" w:h="16838" w:orient="portrait"/>
          <w:cols w:equalWidth="0" w:num="1">
            <w:col w:w="11420"/>
          </w:cols>
          <w:pgMar w:left="240" w:top="846" w:right="239" w:bottom="1440" w:gutter="0" w:footer="0" w:header="0"/>
          <w:type w:val="continuous"/>
        </w:sectPr>
      </w:pPr>
    </w:p>
    <w:bookmarkStart w:id="6" w:name="page7"/>
    <w:bookmarkEnd w:id="6"/>
    <w:p>
      <w:pPr>
        <w:jc w:val="center"/>
        <w:ind w:right="20"/>
        <w:spacing w:after="0"/>
        <w:rPr>
          <w:sz w:val="20"/>
          <w:szCs w:val="20"/>
          <w:color w:val="auto"/>
        </w:rPr>
      </w:pPr>
      <w:r>
        <w:rPr>
          <w:rFonts w:ascii="Arial" w:cs="Arial" w:eastAsia="Arial" w:hAnsi="Arial"/>
          <w:sz w:val="18"/>
          <w:szCs w:val="18"/>
          <w:b w:val="1"/>
          <w:bCs w:val="1"/>
          <w:color w:val="0046AD"/>
        </w:rPr>
        <w:t>ABM INDUSTRIES INCORPORATED AND SUBSIDIARIES</w:t>
      </w:r>
    </w:p>
    <w:p>
      <w:pPr>
        <w:spacing w:after="0" w:line="225"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0046AD"/>
        </w:rPr>
        <w:t>CONSOLIDATED STATEMENTS OF COMPREHENSIVE INCOME (LOSS)</w:t>
      </w:r>
    </w:p>
    <w:p>
      <w:pPr>
        <w:spacing w:after="0" w:line="225"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0046AD"/>
        </w:rPr>
        <w:t>(UNAUDITED)</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20" w:type="dxa"/>
            <w:vAlign w:val="bottom"/>
          </w:tcPr>
          <w:p>
            <w:pPr>
              <w:spacing w:after="0"/>
              <w:rPr>
                <w:sz w:val="18"/>
                <w:szCs w:val="18"/>
                <w:color w:val="auto"/>
              </w:rPr>
            </w:pPr>
          </w:p>
        </w:tc>
        <w:tc>
          <w:tcPr>
            <w:tcW w:w="2260" w:type="dxa"/>
            <w:vAlign w:val="bottom"/>
          </w:tcPr>
          <w:p>
            <w:pPr>
              <w:spacing w:after="0"/>
              <w:rPr>
                <w:sz w:val="18"/>
                <w:szCs w:val="18"/>
                <w:color w:val="auto"/>
              </w:rPr>
            </w:pPr>
          </w:p>
        </w:tc>
        <w:tc>
          <w:tcPr>
            <w:tcW w:w="28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940" w:type="dxa"/>
            <w:vAlign w:val="bottom"/>
            <w:gridSpan w:val="5"/>
          </w:tcPr>
          <w:p>
            <w:pPr>
              <w:ind w:left="180"/>
              <w:spacing w:after="0"/>
              <w:rPr>
                <w:sz w:val="20"/>
                <w:szCs w:val="20"/>
                <w:color w:val="auto"/>
              </w:rPr>
            </w:pPr>
            <w:r>
              <w:rPr>
                <w:rFonts w:ascii="Arial" w:cs="Arial" w:eastAsia="Arial" w:hAnsi="Arial"/>
                <w:sz w:val="16"/>
                <w:szCs w:val="16"/>
                <w:b w:val="1"/>
                <w:bCs w:val="1"/>
                <w:color w:val="auto"/>
              </w:rPr>
              <w:t>Three Months Ended April 30,</w:t>
            </w:r>
          </w:p>
        </w:tc>
        <w:tc>
          <w:tcPr>
            <w:tcW w:w="320" w:type="dxa"/>
            <w:vAlign w:val="bottom"/>
          </w:tcPr>
          <w:p>
            <w:pPr>
              <w:spacing w:after="0"/>
              <w:rPr>
                <w:sz w:val="18"/>
                <w:szCs w:val="18"/>
                <w:color w:val="auto"/>
              </w:rPr>
            </w:pPr>
          </w:p>
        </w:tc>
        <w:tc>
          <w:tcPr>
            <w:tcW w:w="2740" w:type="dxa"/>
            <w:vAlign w:val="bottom"/>
            <w:gridSpan w:val="4"/>
          </w:tcPr>
          <w:p>
            <w:pPr>
              <w:jc w:val="right"/>
              <w:ind w:right="421"/>
              <w:spacing w:after="0"/>
              <w:rPr>
                <w:sz w:val="20"/>
                <w:szCs w:val="20"/>
                <w:color w:val="auto"/>
              </w:rPr>
            </w:pPr>
            <w:r>
              <w:rPr>
                <w:rFonts w:ascii="Arial" w:cs="Arial" w:eastAsia="Arial" w:hAnsi="Arial"/>
                <w:sz w:val="16"/>
                <w:szCs w:val="16"/>
                <w:b w:val="1"/>
                <w:bCs w:val="1"/>
                <w:color w:val="auto"/>
              </w:rPr>
              <w:t>Six Months Ended April 30,</w:t>
            </w:r>
          </w:p>
        </w:tc>
        <w:tc>
          <w:tcPr>
            <w:tcW w:w="0" w:type="dxa"/>
            <w:vAlign w:val="bottom"/>
          </w:tcPr>
          <w:p>
            <w:pPr>
              <w:spacing w:after="0"/>
              <w:rPr>
                <w:sz w:val="1"/>
                <w:szCs w:val="1"/>
                <w:color w:val="auto"/>
              </w:rPr>
            </w:pPr>
          </w:p>
        </w:tc>
      </w:tr>
      <w:tr>
        <w:trPr>
          <w:trHeight w:val="227"/>
        </w:trPr>
        <w:tc>
          <w:tcPr>
            <w:tcW w:w="5140" w:type="dxa"/>
            <w:vAlign w:val="bottom"/>
            <w:gridSpan w:val="3"/>
          </w:tcPr>
          <w:p>
            <w:pPr>
              <w:ind w:left="20"/>
              <w:spacing w:after="0"/>
              <w:rPr>
                <w:sz w:val="20"/>
                <w:szCs w:val="20"/>
                <w:color w:val="auto"/>
              </w:rPr>
            </w:pPr>
            <w:r>
              <w:rPr>
                <w:rFonts w:ascii="Arial" w:cs="Arial" w:eastAsia="Arial" w:hAnsi="Arial"/>
                <w:sz w:val="14"/>
                <w:szCs w:val="14"/>
                <w:i w:val="1"/>
                <w:iCs w:val="1"/>
                <w:color w:val="auto"/>
              </w:rPr>
              <w:t>(in millions, except per share amounts)</w:t>
            </w:r>
          </w:p>
        </w:tc>
        <w:tc>
          <w:tcPr>
            <w:tcW w:w="260" w:type="dxa"/>
            <w:vAlign w:val="bottom"/>
            <w:tcBorders>
              <w:top w:val="single" w:sz="8" w:color="auto"/>
            </w:tcBorders>
          </w:tcPr>
          <w:p>
            <w:pPr>
              <w:spacing w:after="0"/>
              <w:rPr>
                <w:sz w:val="19"/>
                <w:szCs w:val="19"/>
                <w:color w:val="auto"/>
              </w:rPr>
            </w:pPr>
          </w:p>
        </w:tc>
        <w:tc>
          <w:tcPr>
            <w:tcW w:w="1240" w:type="dxa"/>
            <w:vAlign w:val="bottom"/>
            <w:tcBorders>
              <w:top w:val="single" w:sz="8" w:color="auto"/>
            </w:tcBorders>
          </w:tcPr>
          <w:p>
            <w:pPr>
              <w:jc w:val="right"/>
              <w:ind w:right="501"/>
              <w:spacing w:after="0"/>
              <w:rPr>
                <w:sz w:val="20"/>
                <w:szCs w:val="20"/>
                <w:color w:val="auto"/>
              </w:rPr>
            </w:pPr>
            <w:r>
              <w:rPr>
                <w:rFonts w:ascii="Arial" w:cs="Arial" w:eastAsia="Arial" w:hAnsi="Arial"/>
                <w:sz w:val="16"/>
                <w:szCs w:val="16"/>
                <w:b w:val="1"/>
                <w:bCs w:val="1"/>
                <w:color w:val="auto"/>
              </w:rPr>
              <w:t>2018</w:t>
            </w:r>
          </w:p>
        </w:tc>
        <w:tc>
          <w:tcPr>
            <w:tcW w:w="120" w:type="dxa"/>
            <w:vAlign w:val="bottom"/>
            <w:tcBorders>
              <w:top w:val="single" w:sz="8" w:color="auto"/>
            </w:tcBorders>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1140" w:type="dxa"/>
            <w:vAlign w:val="bottom"/>
            <w:tcBorders>
              <w:top w:val="single" w:sz="8" w:color="auto"/>
            </w:tcBorders>
          </w:tcPr>
          <w:p>
            <w:pPr>
              <w:jc w:val="right"/>
              <w:ind w:right="481"/>
              <w:spacing w:after="0"/>
              <w:rPr>
                <w:sz w:val="20"/>
                <w:szCs w:val="20"/>
                <w:color w:val="auto"/>
              </w:rPr>
            </w:pPr>
            <w:r>
              <w:rPr>
                <w:rFonts w:ascii="Arial" w:cs="Arial" w:eastAsia="Arial" w:hAnsi="Arial"/>
                <w:sz w:val="16"/>
                <w:szCs w:val="16"/>
                <w:b w:val="1"/>
                <w:bCs w:val="1"/>
                <w:color w:val="auto"/>
              </w:rPr>
              <w:t>2017</w:t>
            </w:r>
          </w:p>
        </w:tc>
        <w:tc>
          <w:tcPr>
            <w:tcW w:w="100" w:type="dxa"/>
            <w:vAlign w:val="bottom"/>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1160" w:type="dxa"/>
            <w:vAlign w:val="bottom"/>
            <w:tcBorders>
              <w:top w:val="single" w:sz="8" w:color="auto"/>
            </w:tcBorders>
          </w:tcPr>
          <w:p>
            <w:pPr>
              <w:jc w:val="right"/>
              <w:ind w:right="481"/>
              <w:spacing w:after="0"/>
              <w:rPr>
                <w:sz w:val="20"/>
                <w:szCs w:val="20"/>
                <w:color w:val="auto"/>
              </w:rPr>
            </w:pPr>
            <w:r>
              <w:rPr>
                <w:rFonts w:ascii="Arial" w:cs="Arial" w:eastAsia="Arial" w:hAnsi="Arial"/>
                <w:sz w:val="16"/>
                <w:szCs w:val="16"/>
                <w:b w:val="1"/>
                <w:bCs w:val="1"/>
                <w:color w:val="auto"/>
              </w:rPr>
              <w:t>2018</w:t>
            </w:r>
          </w:p>
        </w:tc>
        <w:tc>
          <w:tcPr>
            <w:tcW w:w="100" w:type="dxa"/>
            <w:vAlign w:val="bottom"/>
            <w:tcBorders>
              <w:top w:val="single" w:sz="8" w:color="auto"/>
            </w:tcBorders>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1140" w:type="dxa"/>
            <w:vAlign w:val="bottom"/>
            <w:tcBorders>
              <w:top w:val="single" w:sz="8" w:color="auto"/>
            </w:tcBorders>
          </w:tcPr>
          <w:p>
            <w:pPr>
              <w:jc w:val="right"/>
              <w:ind w:right="481"/>
              <w:spacing w:after="0"/>
              <w:rPr>
                <w:sz w:val="20"/>
                <w:szCs w:val="20"/>
                <w:color w:val="auto"/>
              </w:rPr>
            </w:pPr>
            <w:r>
              <w:rPr>
                <w:rFonts w:ascii="Arial" w:cs="Arial" w:eastAsia="Arial" w:hAnsi="Arial"/>
                <w:sz w:val="16"/>
                <w:szCs w:val="16"/>
                <w:b w:val="1"/>
                <w:bCs w:val="1"/>
                <w:color w:val="auto"/>
              </w:rPr>
              <w:t>2017</w:t>
            </w:r>
          </w:p>
        </w:tc>
        <w:tc>
          <w:tcPr>
            <w:tcW w:w="0" w:type="dxa"/>
            <w:vAlign w:val="bottom"/>
          </w:tcPr>
          <w:p>
            <w:pPr>
              <w:spacing w:after="0"/>
              <w:rPr>
                <w:sz w:val="1"/>
                <w:szCs w:val="1"/>
                <w:color w:val="auto"/>
              </w:rPr>
            </w:pPr>
          </w:p>
        </w:tc>
      </w:tr>
      <w:tr>
        <w:trPr>
          <w:trHeight w:val="21"/>
        </w:trPr>
        <w:tc>
          <w:tcPr>
            <w:tcW w:w="20" w:type="dxa"/>
            <w:vAlign w:val="bottom"/>
            <w:tcBorders>
              <w:bottom w:val="single" w:sz="8" w:color="DCE2EF"/>
            </w:tcBorders>
          </w:tcPr>
          <w:p>
            <w:pPr>
              <w:spacing w:after="0" w:line="20" w:lineRule="exact"/>
              <w:rPr>
                <w:sz w:val="1"/>
                <w:szCs w:val="1"/>
                <w:color w:val="auto"/>
              </w:rPr>
            </w:pPr>
          </w:p>
        </w:tc>
        <w:tc>
          <w:tcPr>
            <w:tcW w:w="2260" w:type="dxa"/>
            <w:vAlign w:val="bottom"/>
            <w:tcBorders>
              <w:top w:val="single" w:sz="8" w:color="auto"/>
              <w:bottom w:val="single" w:sz="8" w:color="DCE2EF"/>
            </w:tcBorders>
          </w:tcPr>
          <w:p>
            <w:pPr>
              <w:spacing w:after="0" w:line="20" w:lineRule="exact"/>
              <w:rPr>
                <w:sz w:val="1"/>
                <w:szCs w:val="1"/>
                <w:color w:val="auto"/>
              </w:rPr>
            </w:pPr>
          </w:p>
        </w:tc>
        <w:tc>
          <w:tcPr>
            <w:tcW w:w="2860" w:type="dxa"/>
            <w:vAlign w:val="bottom"/>
            <w:tcBorders>
              <w:bottom w:val="single" w:sz="8" w:color="DCE2E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DCE2E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DCE2E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DCE2E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50"/>
        </w:trPr>
        <w:tc>
          <w:tcPr>
            <w:tcW w:w="5140" w:type="dxa"/>
            <w:vAlign w:val="bottom"/>
            <w:gridSpan w:val="3"/>
            <w:shd w:val="clear" w:color="auto" w:fill="DCE2EF"/>
          </w:tcPr>
          <w:p>
            <w:pPr>
              <w:ind w:left="20"/>
              <w:spacing w:after="0"/>
              <w:rPr>
                <w:sz w:val="20"/>
                <w:szCs w:val="20"/>
                <w:color w:val="auto"/>
              </w:rPr>
            </w:pPr>
            <w:r>
              <w:rPr>
                <w:rFonts w:ascii="Arial" w:cs="Arial" w:eastAsia="Arial" w:hAnsi="Arial"/>
                <w:sz w:val="16"/>
                <w:szCs w:val="16"/>
                <w:b w:val="1"/>
                <w:bCs w:val="1"/>
                <w:color w:val="auto"/>
              </w:rPr>
              <w:t>Revenues</w:t>
            </w:r>
          </w:p>
        </w:tc>
        <w:tc>
          <w:tcPr>
            <w:tcW w:w="260" w:type="dxa"/>
            <w:vAlign w:val="bottom"/>
            <w:shd w:val="clear" w:color="auto" w:fill="DCE2EF"/>
          </w:tcPr>
          <w:p>
            <w:pPr>
              <w:jc w:val="right"/>
              <w:ind w:right="81"/>
              <w:spacing w:after="0"/>
              <w:rPr>
                <w:sz w:val="20"/>
                <w:szCs w:val="20"/>
                <w:color w:val="auto"/>
              </w:rPr>
            </w:pPr>
            <w:r>
              <w:rPr>
                <w:rFonts w:ascii="Arial" w:cs="Arial" w:eastAsia="Arial" w:hAnsi="Arial"/>
                <w:sz w:val="16"/>
                <w:szCs w:val="16"/>
                <w:color w:val="auto"/>
                <w:w w:val="89"/>
              </w:rPr>
              <w:t>$</w:t>
            </w:r>
          </w:p>
        </w:tc>
        <w:tc>
          <w:tcPr>
            <w:tcW w:w="1240" w:type="dxa"/>
            <w:vAlign w:val="bottom"/>
            <w:shd w:val="clear" w:color="auto" w:fill="DCE2EF"/>
          </w:tcPr>
          <w:p>
            <w:pPr>
              <w:jc w:val="right"/>
              <w:ind w:right="41"/>
              <w:spacing w:after="0"/>
              <w:rPr>
                <w:sz w:val="20"/>
                <w:szCs w:val="20"/>
                <w:color w:val="auto"/>
              </w:rPr>
            </w:pPr>
            <w:r>
              <w:rPr>
                <w:rFonts w:ascii="Arial" w:cs="Arial" w:eastAsia="Arial" w:hAnsi="Arial"/>
                <w:sz w:val="16"/>
                <w:szCs w:val="16"/>
                <w:color w:val="auto"/>
              </w:rPr>
              <w:t>1,580.8</w:t>
            </w:r>
          </w:p>
        </w:tc>
        <w:tc>
          <w:tcPr>
            <w:tcW w:w="120" w:type="dxa"/>
            <w:vAlign w:val="bottom"/>
            <w:shd w:val="clear" w:color="auto" w:fill="DCE2EF"/>
          </w:tcPr>
          <w:p>
            <w:pPr>
              <w:spacing w:after="0"/>
              <w:rPr>
                <w:sz w:val="21"/>
                <w:szCs w:val="21"/>
                <w:color w:val="auto"/>
              </w:rPr>
            </w:pPr>
          </w:p>
        </w:tc>
        <w:tc>
          <w:tcPr>
            <w:tcW w:w="340" w:type="dxa"/>
            <w:vAlign w:val="bottom"/>
            <w:shd w:val="clear" w:color="auto" w:fill="DCE2EF"/>
          </w:tcPr>
          <w:p>
            <w:pPr>
              <w:jc w:val="right"/>
              <w:ind w:right="141"/>
              <w:spacing w:after="0"/>
              <w:rPr>
                <w:sz w:val="20"/>
                <w:szCs w:val="20"/>
                <w:color w:val="auto"/>
              </w:rPr>
            </w:pPr>
            <w:r>
              <w:rPr>
                <w:rFonts w:ascii="Arial" w:cs="Arial" w:eastAsia="Arial" w:hAnsi="Arial"/>
                <w:sz w:val="16"/>
                <w:szCs w:val="16"/>
                <w:color w:val="auto"/>
              </w:rPr>
              <w:t>$</w:t>
            </w:r>
          </w:p>
        </w:tc>
        <w:tc>
          <w:tcPr>
            <w:tcW w:w="1140" w:type="dxa"/>
            <w:vAlign w:val="bottom"/>
            <w:shd w:val="clear" w:color="auto" w:fill="DCE2EF"/>
          </w:tcPr>
          <w:p>
            <w:pPr>
              <w:jc w:val="right"/>
              <w:ind w:right="41"/>
              <w:spacing w:after="0"/>
              <w:rPr>
                <w:sz w:val="20"/>
                <w:szCs w:val="20"/>
                <w:color w:val="auto"/>
              </w:rPr>
            </w:pPr>
            <w:r>
              <w:rPr>
                <w:rFonts w:ascii="Arial" w:cs="Arial" w:eastAsia="Arial" w:hAnsi="Arial"/>
                <w:sz w:val="16"/>
                <w:szCs w:val="16"/>
                <w:color w:val="auto"/>
              </w:rPr>
              <w:t>1,310.5</w:t>
            </w:r>
          </w:p>
        </w:tc>
        <w:tc>
          <w:tcPr>
            <w:tcW w:w="100" w:type="dxa"/>
            <w:vAlign w:val="bottom"/>
            <w:shd w:val="clear" w:color="auto" w:fill="DCE2EF"/>
          </w:tcPr>
          <w:p>
            <w:pPr>
              <w:spacing w:after="0"/>
              <w:rPr>
                <w:sz w:val="21"/>
                <w:szCs w:val="21"/>
                <w:color w:val="auto"/>
              </w:rPr>
            </w:pPr>
          </w:p>
        </w:tc>
        <w:tc>
          <w:tcPr>
            <w:tcW w:w="320" w:type="dxa"/>
            <w:vAlign w:val="bottom"/>
            <w:shd w:val="clear" w:color="auto" w:fill="DCE2EF"/>
          </w:tcPr>
          <w:p>
            <w:pPr>
              <w:jc w:val="right"/>
              <w:ind w:right="121"/>
              <w:spacing w:after="0"/>
              <w:rPr>
                <w:sz w:val="20"/>
                <w:szCs w:val="20"/>
                <w:color w:val="auto"/>
              </w:rPr>
            </w:pPr>
            <w:r>
              <w:rPr>
                <w:rFonts w:ascii="Arial" w:cs="Arial" w:eastAsia="Arial" w:hAnsi="Arial"/>
                <w:sz w:val="16"/>
                <w:szCs w:val="16"/>
                <w:color w:val="auto"/>
              </w:rPr>
              <w:t>$</w:t>
            </w:r>
          </w:p>
        </w:tc>
        <w:tc>
          <w:tcPr>
            <w:tcW w:w="1160" w:type="dxa"/>
            <w:vAlign w:val="bottom"/>
            <w:shd w:val="clear" w:color="auto" w:fill="DCE2EF"/>
          </w:tcPr>
          <w:p>
            <w:pPr>
              <w:jc w:val="right"/>
              <w:ind w:right="41"/>
              <w:spacing w:after="0"/>
              <w:rPr>
                <w:sz w:val="20"/>
                <w:szCs w:val="20"/>
                <w:color w:val="auto"/>
              </w:rPr>
            </w:pPr>
            <w:r>
              <w:rPr>
                <w:rFonts w:ascii="Arial" w:cs="Arial" w:eastAsia="Arial" w:hAnsi="Arial"/>
                <w:sz w:val="16"/>
                <w:szCs w:val="16"/>
                <w:color w:val="auto"/>
              </w:rPr>
              <w:t>3,169.2</w:t>
            </w:r>
          </w:p>
        </w:tc>
        <w:tc>
          <w:tcPr>
            <w:tcW w:w="100" w:type="dxa"/>
            <w:vAlign w:val="bottom"/>
            <w:shd w:val="clear" w:color="auto" w:fill="DCE2EF"/>
          </w:tcPr>
          <w:p>
            <w:pPr>
              <w:spacing w:after="0"/>
              <w:rPr>
                <w:sz w:val="21"/>
                <w:szCs w:val="21"/>
                <w:color w:val="auto"/>
              </w:rPr>
            </w:pPr>
          </w:p>
        </w:tc>
        <w:tc>
          <w:tcPr>
            <w:tcW w:w="340" w:type="dxa"/>
            <w:vAlign w:val="bottom"/>
            <w:shd w:val="clear" w:color="auto" w:fill="DCE2EF"/>
          </w:tcPr>
          <w:p>
            <w:pPr>
              <w:jc w:val="right"/>
              <w:ind w:right="141"/>
              <w:spacing w:after="0"/>
              <w:rPr>
                <w:sz w:val="20"/>
                <w:szCs w:val="20"/>
                <w:color w:val="auto"/>
              </w:rPr>
            </w:pPr>
            <w:r>
              <w:rPr>
                <w:rFonts w:ascii="Arial" w:cs="Arial" w:eastAsia="Arial" w:hAnsi="Arial"/>
                <w:sz w:val="16"/>
                <w:szCs w:val="16"/>
                <w:color w:val="auto"/>
              </w:rPr>
              <w:t>$</w:t>
            </w:r>
          </w:p>
        </w:tc>
        <w:tc>
          <w:tcPr>
            <w:tcW w:w="1140" w:type="dxa"/>
            <w:vAlign w:val="bottom"/>
            <w:shd w:val="clear" w:color="auto" w:fill="DCE2EF"/>
          </w:tcPr>
          <w:p>
            <w:pPr>
              <w:jc w:val="right"/>
              <w:ind w:right="41"/>
              <w:spacing w:after="0"/>
              <w:rPr>
                <w:sz w:val="20"/>
                <w:szCs w:val="20"/>
                <w:color w:val="auto"/>
              </w:rPr>
            </w:pPr>
            <w:r>
              <w:rPr>
                <w:rFonts w:ascii="Arial" w:cs="Arial" w:eastAsia="Arial" w:hAnsi="Arial"/>
                <w:sz w:val="16"/>
                <w:szCs w:val="16"/>
                <w:color w:val="auto"/>
              </w:rPr>
              <w:t>2,637.2</w:t>
            </w:r>
          </w:p>
        </w:tc>
        <w:tc>
          <w:tcPr>
            <w:tcW w:w="0" w:type="dxa"/>
            <w:vAlign w:val="bottom"/>
          </w:tcPr>
          <w:p>
            <w:pPr>
              <w:spacing w:after="0"/>
              <w:rPr>
                <w:sz w:val="1"/>
                <w:szCs w:val="1"/>
                <w:color w:val="auto"/>
              </w:rPr>
            </w:pPr>
          </w:p>
        </w:tc>
      </w:tr>
      <w:tr>
        <w:trPr>
          <w:trHeight w:val="266"/>
        </w:trPr>
        <w:tc>
          <w:tcPr>
            <w:tcW w:w="5140" w:type="dxa"/>
            <w:vAlign w:val="bottom"/>
            <w:gridSpan w:val="3"/>
          </w:tcPr>
          <w:p>
            <w:pPr>
              <w:ind w:left="20"/>
              <w:spacing w:after="0"/>
              <w:rPr>
                <w:sz w:val="20"/>
                <w:szCs w:val="20"/>
                <w:color w:val="auto"/>
              </w:rPr>
            </w:pPr>
            <w:r>
              <w:rPr>
                <w:rFonts w:ascii="Arial" w:cs="Arial" w:eastAsia="Arial" w:hAnsi="Arial"/>
                <w:sz w:val="16"/>
                <w:szCs w:val="16"/>
                <w:color w:val="auto"/>
              </w:rPr>
              <w:t>Operating expenses</w:t>
            </w:r>
          </w:p>
        </w:tc>
        <w:tc>
          <w:tcPr>
            <w:tcW w:w="260" w:type="dxa"/>
            <w:vAlign w:val="bottom"/>
          </w:tcPr>
          <w:p>
            <w:pPr>
              <w:spacing w:after="0"/>
              <w:rPr>
                <w:sz w:val="23"/>
                <w:szCs w:val="23"/>
                <w:color w:val="auto"/>
              </w:rPr>
            </w:pPr>
          </w:p>
        </w:tc>
        <w:tc>
          <w:tcPr>
            <w:tcW w:w="1240" w:type="dxa"/>
            <w:vAlign w:val="bottom"/>
          </w:tcPr>
          <w:p>
            <w:pPr>
              <w:jc w:val="right"/>
              <w:ind w:right="41"/>
              <w:spacing w:after="0"/>
              <w:rPr>
                <w:sz w:val="20"/>
                <w:szCs w:val="20"/>
                <w:color w:val="auto"/>
              </w:rPr>
            </w:pPr>
            <w:r>
              <w:rPr>
                <w:rFonts w:ascii="Arial" w:cs="Arial" w:eastAsia="Arial" w:hAnsi="Arial"/>
                <w:sz w:val="16"/>
                <w:szCs w:val="16"/>
                <w:color w:val="auto"/>
              </w:rPr>
              <w:t>1,405.8</w:t>
            </w: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40" w:type="dxa"/>
            <w:vAlign w:val="bottom"/>
          </w:tcPr>
          <w:p>
            <w:pPr>
              <w:jc w:val="right"/>
              <w:ind w:right="41"/>
              <w:spacing w:after="0"/>
              <w:rPr>
                <w:sz w:val="20"/>
                <w:szCs w:val="20"/>
                <w:color w:val="auto"/>
              </w:rPr>
            </w:pPr>
            <w:r>
              <w:rPr>
                <w:rFonts w:ascii="Arial" w:cs="Arial" w:eastAsia="Arial" w:hAnsi="Arial"/>
                <w:sz w:val="16"/>
                <w:szCs w:val="16"/>
                <w:color w:val="auto"/>
              </w:rPr>
              <w:t>1,164.6</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160" w:type="dxa"/>
            <w:vAlign w:val="bottom"/>
          </w:tcPr>
          <w:p>
            <w:pPr>
              <w:jc w:val="right"/>
              <w:ind w:right="41"/>
              <w:spacing w:after="0"/>
              <w:rPr>
                <w:sz w:val="20"/>
                <w:szCs w:val="20"/>
                <w:color w:val="auto"/>
              </w:rPr>
            </w:pPr>
            <w:r>
              <w:rPr>
                <w:rFonts w:ascii="Arial" w:cs="Arial" w:eastAsia="Arial" w:hAnsi="Arial"/>
                <w:sz w:val="16"/>
                <w:szCs w:val="16"/>
                <w:color w:val="auto"/>
              </w:rPr>
              <w:t>2,835.1</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40" w:type="dxa"/>
            <w:vAlign w:val="bottom"/>
          </w:tcPr>
          <w:p>
            <w:pPr>
              <w:jc w:val="right"/>
              <w:ind w:right="41"/>
              <w:spacing w:after="0"/>
              <w:rPr>
                <w:sz w:val="20"/>
                <w:szCs w:val="20"/>
                <w:color w:val="auto"/>
              </w:rPr>
            </w:pPr>
            <w:r>
              <w:rPr>
                <w:rFonts w:ascii="Arial" w:cs="Arial" w:eastAsia="Arial" w:hAnsi="Arial"/>
                <w:sz w:val="16"/>
                <w:szCs w:val="16"/>
                <w:color w:val="auto"/>
              </w:rPr>
              <w:t>2,359.7</w:t>
            </w:r>
          </w:p>
        </w:tc>
        <w:tc>
          <w:tcPr>
            <w:tcW w:w="0" w:type="dxa"/>
            <w:vAlign w:val="bottom"/>
          </w:tcPr>
          <w:p>
            <w:pPr>
              <w:spacing w:after="0"/>
              <w:rPr>
                <w:sz w:val="1"/>
                <w:szCs w:val="1"/>
                <w:color w:val="auto"/>
              </w:rPr>
            </w:pPr>
          </w:p>
        </w:tc>
      </w:tr>
      <w:tr>
        <w:trPr>
          <w:trHeight w:val="274"/>
        </w:trPr>
        <w:tc>
          <w:tcPr>
            <w:tcW w:w="5140" w:type="dxa"/>
            <w:vAlign w:val="bottom"/>
            <w:gridSpan w:val="3"/>
            <w:shd w:val="clear" w:color="auto" w:fill="DCE2EF"/>
          </w:tcPr>
          <w:p>
            <w:pPr>
              <w:ind w:left="20"/>
              <w:spacing w:after="0"/>
              <w:rPr>
                <w:sz w:val="20"/>
                <w:szCs w:val="20"/>
                <w:color w:val="auto"/>
              </w:rPr>
            </w:pPr>
            <w:r>
              <w:rPr>
                <w:rFonts w:ascii="Arial" w:cs="Arial" w:eastAsia="Arial" w:hAnsi="Arial"/>
                <w:sz w:val="16"/>
                <w:szCs w:val="16"/>
                <w:color w:val="auto"/>
              </w:rPr>
              <w:t>Selling, general and administrative expenses</w:t>
            </w:r>
          </w:p>
        </w:tc>
        <w:tc>
          <w:tcPr>
            <w:tcW w:w="260" w:type="dxa"/>
            <w:vAlign w:val="bottom"/>
            <w:shd w:val="clear" w:color="auto" w:fill="DCE2EF"/>
          </w:tcPr>
          <w:p>
            <w:pPr>
              <w:spacing w:after="0"/>
              <w:rPr>
                <w:sz w:val="23"/>
                <w:szCs w:val="23"/>
                <w:color w:val="auto"/>
              </w:rPr>
            </w:pPr>
          </w:p>
        </w:tc>
        <w:tc>
          <w:tcPr>
            <w:tcW w:w="1240" w:type="dxa"/>
            <w:vAlign w:val="bottom"/>
            <w:shd w:val="clear" w:color="auto" w:fill="DCE2EF"/>
          </w:tcPr>
          <w:p>
            <w:pPr>
              <w:jc w:val="right"/>
              <w:ind w:right="41"/>
              <w:spacing w:after="0"/>
              <w:rPr>
                <w:sz w:val="20"/>
                <w:szCs w:val="20"/>
                <w:color w:val="auto"/>
              </w:rPr>
            </w:pPr>
            <w:r>
              <w:rPr>
                <w:rFonts w:ascii="Arial" w:cs="Arial" w:eastAsia="Arial" w:hAnsi="Arial"/>
                <w:sz w:val="16"/>
                <w:szCs w:val="16"/>
                <w:color w:val="auto"/>
              </w:rPr>
              <w:t>107.8</w:t>
            </w:r>
          </w:p>
        </w:tc>
        <w:tc>
          <w:tcPr>
            <w:tcW w:w="120" w:type="dxa"/>
            <w:vAlign w:val="bottom"/>
            <w:shd w:val="clear" w:color="auto" w:fill="DCE2EF"/>
          </w:tcPr>
          <w:p>
            <w:pPr>
              <w:spacing w:after="0"/>
              <w:rPr>
                <w:sz w:val="23"/>
                <w:szCs w:val="23"/>
                <w:color w:val="auto"/>
              </w:rPr>
            </w:pPr>
          </w:p>
        </w:tc>
        <w:tc>
          <w:tcPr>
            <w:tcW w:w="340" w:type="dxa"/>
            <w:vAlign w:val="bottom"/>
            <w:shd w:val="clear" w:color="auto" w:fill="DCE2EF"/>
          </w:tcPr>
          <w:p>
            <w:pPr>
              <w:spacing w:after="0"/>
              <w:rPr>
                <w:sz w:val="23"/>
                <w:szCs w:val="23"/>
                <w:color w:val="auto"/>
              </w:rPr>
            </w:pPr>
          </w:p>
        </w:tc>
        <w:tc>
          <w:tcPr>
            <w:tcW w:w="1140" w:type="dxa"/>
            <w:vAlign w:val="bottom"/>
            <w:shd w:val="clear" w:color="auto" w:fill="DCE2EF"/>
          </w:tcPr>
          <w:p>
            <w:pPr>
              <w:jc w:val="right"/>
              <w:ind w:right="41"/>
              <w:spacing w:after="0"/>
              <w:rPr>
                <w:sz w:val="20"/>
                <w:szCs w:val="20"/>
                <w:color w:val="auto"/>
              </w:rPr>
            </w:pPr>
            <w:r>
              <w:rPr>
                <w:rFonts w:ascii="Arial" w:cs="Arial" w:eastAsia="Arial" w:hAnsi="Arial"/>
                <w:sz w:val="16"/>
                <w:szCs w:val="16"/>
                <w:color w:val="auto"/>
              </w:rPr>
              <w:t>100.7</w:t>
            </w:r>
          </w:p>
        </w:tc>
        <w:tc>
          <w:tcPr>
            <w:tcW w:w="100" w:type="dxa"/>
            <w:vAlign w:val="bottom"/>
            <w:shd w:val="clear" w:color="auto" w:fill="DCE2EF"/>
          </w:tcPr>
          <w:p>
            <w:pPr>
              <w:spacing w:after="0"/>
              <w:rPr>
                <w:sz w:val="23"/>
                <w:szCs w:val="23"/>
                <w:color w:val="auto"/>
              </w:rPr>
            </w:pPr>
          </w:p>
        </w:tc>
        <w:tc>
          <w:tcPr>
            <w:tcW w:w="320" w:type="dxa"/>
            <w:vAlign w:val="bottom"/>
            <w:shd w:val="clear" w:color="auto" w:fill="DCE2EF"/>
          </w:tcPr>
          <w:p>
            <w:pPr>
              <w:spacing w:after="0"/>
              <w:rPr>
                <w:sz w:val="23"/>
                <w:szCs w:val="23"/>
                <w:color w:val="auto"/>
              </w:rPr>
            </w:pPr>
          </w:p>
        </w:tc>
        <w:tc>
          <w:tcPr>
            <w:tcW w:w="1160" w:type="dxa"/>
            <w:vAlign w:val="bottom"/>
            <w:shd w:val="clear" w:color="auto" w:fill="DCE2EF"/>
          </w:tcPr>
          <w:p>
            <w:pPr>
              <w:jc w:val="right"/>
              <w:ind w:right="41"/>
              <w:spacing w:after="0"/>
              <w:rPr>
                <w:sz w:val="20"/>
                <w:szCs w:val="20"/>
                <w:color w:val="auto"/>
              </w:rPr>
            </w:pPr>
            <w:r>
              <w:rPr>
                <w:rFonts w:ascii="Arial" w:cs="Arial" w:eastAsia="Arial" w:hAnsi="Arial"/>
                <w:sz w:val="16"/>
                <w:szCs w:val="16"/>
                <w:color w:val="auto"/>
              </w:rPr>
              <w:t>216.8</w:t>
            </w:r>
          </w:p>
        </w:tc>
        <w:tc>
          <w:tcPr>
            <w:tcW w:w="100" w:type="dxa"/>
            <w:vAlign w:val="bottom"/>
            <w:shd w:val="clear" w:color="auto" w:fill="DCE2EF"/>
          </w:tcPr>
          <w:p>
            <w:pPr>
              <w:spacing w:after="0"/>
              <w:rPr>
                <w:sz w:val="23"/>
                <w:szCs w:val="23"/>
                <w:color w:val="auto"/>
              </w:rPr>
            </w:pPr>
          </w:p>
        </w:tc>
        <w:tc>
          <w:tcPr>
            <w:tcW w:w="340" w:type="dxa"/>
            <w:vAlign w:val="bottom"/>
            <w:shd w:val="clear" w:color="auto" w:fill="DCE2EF"/>
          </w:tcPr>
          <w:p>
            <w:pPr>
              <w:spacing w:after="0"/>
              <w:rPr>
                <w:sz w:val="23"/>
                <w:szCs w:val="23"/>
                <w:color w:val="auto"/>
              </w:rPr>
            </w:pPr>
          </w:p>
        </w:tc>
        <w:tc>
          <w:tcPr>
            <w:tcW w:w="1140" w:type="dxa"/>
            <w:vAlign w:val="bottom"/>
            <w:shd w:val="clear" w:color="auto" w:fill="DCE2EF"/>
          </w:tcPr>
          <w:p>
            <w:pPr>
              <w:jc w:val="right"/>
              <w:ind w:right="41"/>
              <w:spacing w:after="0"/>
              <w:rPr>
                <w:sz w:val="20"/>
                <w:szCs w:val="20"/>
                <w:color w:val="auto"/>
              </w:rPr>
            </w:pPr>
            <w:r>
              <w:rPr>
                <w:rFonts w:ascii="Arial" w:cs="Arial" w:eastAsia="Arial" w:hAnsi="Arial"/>
                <w:sz w:val="16"/>
                <w:szCs w:val="16"/>
                <w:color w:val="auto"/>
              </w:rPr>
              <w:t>198.0</w:t>
            </w:r>
          </w:p>
        </w:tc>
        <w:tc>
          <w:tcPr>
            <w:tcW w:w="0" w:type="dxa"/>
            <w:vAlign w:val="bottom"/>
          </w:tcPr>
          <w:p>
            <w:pPr>
              <w:spacing w:after="0"/>
              <w:rPr>
                <w:sz w:val="1"/>
                <w:szCs w:val="1"/>
                <w:color w:val="auto"/>
              </w:rPr>
            </w:pPr>
          </w:p>
        </w:tc>
      </w:tr>
      <w:tr>
        <w:trPr>
          <w:trHeight w:val="266"/>
        </w:trPr>
        <w:tc>
          <w:tcPr>
            <w:tcW w:w="5140" w:type="dxa"/>
            <w:vAlign w:val="bottom"/>
            <w:gridSpan w:val="3"/>
          </w:tcPr>
          <w:p>
            <w:pPr>
              <w:ind w:left="20"/>
              <w:spacing w:after="0"/>
              <w:rPr>
                <w:sz w:val="20"/>
                <w:szCs w:val="20"/>
                <w:color w:val="auto"/>
              </w:rPr>
            </w:pPr>
            <w:r>
              <w:rPr>
                <w:rFonts w:ascii="Arial" w:cs="Arial" w:eastAsia="Arial" w:hAnsi="Arial"/>
                <w:sz w:val="16"/>
                <w:szCs w:val="16"/>
                <w:color w:val="auto"/>
              </w:rPr>
              <w:t>Restructuring and related expenses</w:t>
            </w:r>
          </w:p>
        </w:tc>
        <w:tc>
          <w:tcPr>
            <w:tcW w:w="260" w:type="dxa"/>
            <w:vAlign w:val="bottom"/>
          </w:tcPr>
          <w:p>
            <w:pPr>
              <w:spacing w:after="0"/>
              <w:rPr>
                <w:sz w:val="23"/>
                <w:szCs w:val="23"/>
                <w:color w:val="auto"/>
              </w:rPr>
            </w:pPr>
          </w:p>
        </w:tc>
        <w:tc>
          <w:tcPr>
            <w:tcW w:w="1240" w:type="dxa"/>
            <w:vAlign w:val="bottom"/>
          </w:tcPr>
          <w:p>
            <w:pPr>
              <w:jc w:val="right"/>
              <w:ind w:right="41"/>
              <w:spacing w:after="0"/>
              <w:rPr>
                <w:sz w:val="20"/>
                <w:szCs w:val="20"/>
                <w:color w:val="auto"/>
              </w:rPr>
            </w:pPr>
            <w:r>
              <w:rPr>
                <w:rFonts w:ascii="Arial" w:cs="Arial" w:eastAsia="Arial" w:hAnsi="Arial"/>
                <w:sz w:val="16"/>
                <w:szCs w:val="16"/>
                <w:color w:val="auto"/>
              </w:rPr>
              <w:t>5.3</w:t>
            </w: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40" w:type="dxa"/>
            <w:vAlign w:val="bottom"/>
          </w:tcPr>
          <w:p>
            <w:pPr>
              <w:jc w:val="right"/>
              <w:ind w:right="41"/>
              <w:spacing w:after="0"/>
              <w:rPr>
                <w:sz w:val="20"/>
                <w:szCs w:val="20"/>
                <w:color w:val="auto"/>
              </w:rPr>
            </w:pPr>
            <w:r>
              <w:rPr>
                <w:rFonts w:ascii="Arial" w:cs="Arial" w:eastAsia="Arial" w:hAnsi="Arial"/>
                <w:sz w:val="16"/>
                <w:szCs w:val="16"/>
                <w:color w:val="auto"/>
              </w:rPr>
              <w:t>5.8</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160" w:type="dxa"/>
            <w:vAlign w:val="bottom"/>
          </w:tcPr>
          <w:p>
            <w:pPr>
              <w:jc w:val="right"/>
              <w:ind w:right="41"/>
              <w:spacing w:after="0"/>
              <w:rPr>
                <w:sz w:val="20"/>
                <w:szCs w:val="20"/>
                <w:color w:val="auto"/>
              </w:rPr>
            </w:pPr>
            <w:r>
              <w:rPr>
                <w:rFonts w:ascii="Arial" w:cs="Arial" w:eastAsia="Arial" w:hAnsi="Arial"/>
                <w:sz w:val="16"/>
                <w:szCs w:val="16"/>
                <w:color w:val="auto"/>
              </w:rPr>
              <w:t>19.6</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40" w:type="dxa"/>
            <w:vAlign w:val="bottom"/>
          </w:tcPr>
          <w:p>
            <w:pPr>
              <w:jc w:val="right"/>
              <w:ind w:right="41"/>
              <w:spacing w:after="0"/>
              <w:rPr>
                <w:sz w:val="20"/>
                <w:szCs w:val="20"/>
                <w:color w:val="auto"/>
              </w:rPr>
            </w:pPr>
            <w:r>
              <w:rPr>
                <w:rFonts w:ascii="Arial" w:cs="Arial" w:eastAsia="Arial" w:hAnsi="Arial"/>
                <w:sz w:val="16"/>
                <w:szCs w:val="16"/>
                <w:color w:val="auto"/>
              </w:rPr>
              <w:t>10.8</w:t>
            </w:r>
          </w:p>
        </w:tc>
        <w:tc>
          <w:tcPr>
            <w:tcW w:w="0" w:type="dxa"/>
            <w:vAlign w:val="bottom"/>
          </w:tcPr>
          <w:p>
            <w:pPr>
              <w:spacing w:after="0"/>
              <w:rPr>
                <w:sz w:val="1"/>
                <w:szCs w:val="1"/>
                <w:color w:val="auto"/>
              </w:rPr>
            </w:pPr>
          </w:p>
        </w:tc>
      </w:tr>
      <w:tr>
        <w:trPr>
          <w:trHeight w:val="274"/>
        </w:trPr>
        <w:tc>
          <w:tcPr>
            <w:tcW w:w="5140" w:type="dxa"/>
            <w:vAlign w:val="bottom"/>
            <w:gridSpan w:val="3"/>
            <w:shd w:val="clear" w:color="auto" w:fill="DCE2EF"/>
          </w:tcPr>
          <w:p>
            <w:pPr>
              <w:ind w:left="20"/>
              <w:spacing w:after="0"/>
              <w:rPr>
                <w:sz w:val="20"/>
                <w:szCs w:val="20"/>
                <w:color w:val="auto"/>
              </w:rPr>
            </w:pPr>
            <w:r>
              <w:rPr>
                <w:rFonts w:ascii="Arial" w:cs="Arial" w:eastAsia="Arial" w:hAnsi="Arial"/>
                <w:sz w:val="16"/>
                <w:szCs w:val="16"/>
                <w:color w:val="auto"/>
              </w:rPr>
              <w:t>Amortization of intangible assets</w:t>
            </w:r>
          </w:p>
        </w:tc>
        <w:tc>
          <w:tcPr>
            <w:tcW w:w="260" w:type="dxa"/>
            <w:vAlign w:val="bottom"/>
            <w:shd w:val="clear" w:color="auto" w:fill="DCE2EF"/>
          </w:tcPr>
          <w:p>
            <w:pPr>
              <w:spacing w:after="0"/>
              <w:rPr>
                <w:sz w:val="23"/>
                <w:szCs w:val="23"/>
                <w:color w:val="auto"/>
              </w:rPr>
            </w:pPr>
          </w:p>
        </w:tc>
        <w:tc>
          <w:tcPr>
            <w:tcW w:w="1240" w:type="dxa"/>
            <w:vAlign w:val="bottom"/>
            <w:shd w:val="clear" w:color="auto" w:fill="DCE2EF"/>
          </w:tcPr>
          <w:p>
            <w:pPr>
              <w:jc w:val="right"/>
              <w:ind w:right="41"/>
              <w:spacing w:after="0"/>
              <w:rPr>
                <w:sz w:val="20"/>
                <w:szCs w:val="20"/>
                <w:color w:val="auto"/>
              </w:rPr>
            </w:pPr>
            <w:r>
              <w:rPr>
                <w:rFonts w:ascii="Arial" w:cs="Arial" w:eastAsia="Arial" w:hAnsi="Arial"/>
                <w:sz w:val="16"/>
                <w:szCs w:val="16"/>
                <w:color w:val="auto"/>
              </w:rPr>
              <w:t>16.7</w:t>
            </w:r>
          </w:p>
        </w:tc>
        <w:tc>
          <w:tcPr>
            <w:tcW w:w="120" w:type="dxa"/>
            <w:vAlign w:val="bottom"/>
            <w:shd w:val="clear" w:color="auto" w:fill="DCE2EF"/>
          </w:tcPr>
          <w:p>
            <w:pPr>
              <w:spacing w:after="0"/>
              <w:rPr>
                <w:sz w:val="23"/>
                <w:szCs w:val="23"/>
                <w:color w:val="auto"/>
              </w:rPr>
            </w:pPr>
          </w:p>
        </w:tc>
        <w:tc>
          <w:tcPr>
            <w:tcW w:w="340" w:type="dxa"/>
            <w:vAlign w:val="bottom"/>
            <w:shd w:val="clear" w:color="auto" w:fill="DCE2EF"/>
          </w:tcPr>
          <w:p>
            <w:pPr>
              <w:spacing w:after="0"/>
              <w:rPr>
                <w:sz w:val="23"/>
                <w:szCs w:val="23"/>
                <w:color w:val="auto"/>
              </w:rPr>
            </w:pPr>
          </w:p>
        </w:tc>
        <w:tc>
          <w:tcPr>
            <w:tcW w:w="1140" w:type="dxa"/>
            <w:vAlign w:val="bottom"/>
            <w:shd w:val="clear" w:color="auto" w:fill="DCE2EF"/>
          </w:tcPr>
          <w:p>
            <w:pPr>
              <w:jc w:val="right"/>
              <w:ind w:right="41"/>
              <w:spacing w:after="0"/>
              <w:rPr>
                <w:sz w:val="20"/>
                <w:szCs w:val="20"/>
                <w:color w:val="auto"/>
              </w:rPr>
            </w:pPr>
            <w:r>
              <w:rPr>
                <w:rFonts w:ascii="Arial" w:cs="Arial" w:eastAsia="Arial" w:hAnsi="Arial"/>
                <w:sz w:val="16"/>
                <w:szCs w:val="16"/>
                <w:color w:val="auto"/>
              </w:rPr>
              <w:t>5.8</w:t>
            </w:r>
          </w:p>
        </w:tc>
        <w:tc>
          <w:tcPr>
            <w:tcW w:w="100" w:type="dxa"/>
            <w:vAlign w:val="bottom"/>
            <w:shd w:val="clear" w:color="auto" w:fill="DCE2EF"/>
          </w:tcPr>
          <w:p>
            <w:pPr>
              <w:spacing w:after="0"/>
              <w:rPr>
                <w:sz w:val="23"/>
                <w:szCs w:val="23"/>
                <w:color w:val="auto"/>
              </w:rPr>
            </w:pPr>
          </w:p>
        </w:tc>
        <w:tc>
          <w:tcPr>
            <w:tcW w:w="320" w:type="dxa"/>
            <w:vAlign w:val="bottom"/>
            <w:shd w:val="clear" w:color="auto" w:fill="DCE2EF"/>
          </w:tcPr>
          <w:p>
            <w:pPr>
              <w:spacing w:after="0"/>
              <w:rPr>
                <w:sz w:val="23"/>
                <w:szCs w:val="23"/>
                <w:color w:val="auto"/>
              </w:rPr>
            </w:pPr>
          </w:p>
        </w:tc>
        <w:tc>
          <w:tcPr>
            <w:tcW w:w="1160" w:type="dxa"/>
            <w:vAlign w:val="bottom"/>
            <w:shd w:val="clear" w:color="auto" w:fill="DCE2EF"/>
          </w:tcPr>
          <w:p>
            <w:pPr>
              <w:jc w:val="right"/>
              <w:ind w:right="41"/>
              <w:spacing w:after="0"/>
              <w:rPr>
                <w:sz w:val="20"/>
                <w:szCs w:val="20"/>
                <w:color w:val="auto"/>
              </w:rPr>
            </w:pPr>
            <w:r>
              <w:rPr>
                <w:rFonts w:ascii="Arial" w:cs="Arial" w:eastAsia="Arial" w:hAnsi="Arial"/>
                <w:sz w:val="16"/>
                <w:szCs w:val="16"/>
                <w:color w:val="auto"/>
              </w:rPr>
              <w:t>32.9</w:t>
            </w:r>
          </w:p>
        </w:tc>
        <w:tc>
          <w:tcPr>
            <w:tcW w:w="100" w:type="dxa"/>
            <w:vAlign w:val="bottom"/>
            <w:shd w:val="clear" w:color="auto" w:fill="DCE2EF"/>
          </w:tcPr>
          <w:p>
            <w:pPr>
              <w:spacing w:after="0"/>
              <w:rPr>
                <w:sz w:val="23"/>
                <w:szCs w:val="23"/>
                <w:color w:val="auto"/>
              </w:rPr>
            </w:pPr>
          </w:p>
        </w:tc>
        <w:tc>
          <w:tcPr>
            <w:tcW w:w="340" w:type="dxa"/>
            <w:vAlign w:val="bottom"/>
            <w:shd w:val="clear" w:color="auto" w:fill="DCE2EF"/>
          </w:tcPr>
          <w:p>
            <w:pPr>
              <w:spacing w:after="0"/>
              <w:rPr>
                <w:sz w:val="23"/>
                <w:szCs w:val="23"/>
                <w:color w:val="auto"/>
              </w:rPr>
            </w:pPr>
          </w:p>
        </w:tc>
        <w:tc>
          <w:tcPr>
            <w:tcW w:w="1140" w:type="dxa"/>
            <w:vAlign w:val="bottom"/>
            <w:shd w:val="clear" w:color="auto" w:fill="DCE2EF"/>
          </w:tcPr>
          <w:p>
            <w:pPr>
              <w:jc w:val="right"/>
              <w:ind w:right="41"/>
              <w:spacing w:after="0"/>
              <w:rPr>
                <w:sz w:val="20"/>
                <w:szCs w:val="20"/>
                <w:color w:val="auto"/>
              </w:rPr>
            </w:pPr>
            <w:r>
              <w:rPr>
                <w:rFonts w:ascii="Arial" w:cs="Arial" w:eastAsia="Arial" w:hAnsi="Arial"/>
                <w:sz w:val="16"/>
                <w:szCs w:val="16"/>
                <w:color w:val="auto"/>
              </w:rPr>
              <w:t>11.3</w:t>
            </w:r>
          </w:p>
        </w:tc>
        <w:tc>
          <w:tcPr>
            <w:tcW w:w="0" w:type="dxa"/>
            <w:vAlign w:val="bottom"/>
          </w:tcPr>
          <w:p>
            <w:pPr>
              <w:spacing w:after="0"/>
              <w:rPr>
                <w:sz w:val="1"/>
                <w:szCs w:val="1"/>
                <w:color w:val="auto"/>
              </w:rPr>
            </w:pPr>
          </w:p>
        </w:tc>
      </w:tr>
      <w:tr>
        <w:trPr>
          <w:trHeight w:val="266"/>
        </w:trPr>
        <w:tc>
          <w:tcPr>
            <w:tcW w:w="5140" w:type="dxa"/>
            <w:vAlign w:val="bottom"/>
            <w:gridSpan w:val="3"/>
          </w:tcPr>
          <w:p>
            <w:pPr>
              <w:ind w:left="20"/>
              <w:spacing w:after="0"/>
              <w:rPr>
                <w:sz w:val="20"/>
                <w:szCs w:val="20"/>
                <w:color w:val="auto"/>
              </w:rPr>
            </w:pPr>
            <w:r>
              <w:rPr>
                <w:rFonts w:ascii="Arial" w:cs="Arial" w:eastAsia="Arial" w:hAnsi="Arial"/>
                <w:sz w:val="16"/>
                <w:szCs w:val="16"/>
                <w:color w:val="auto"/>
              </w:rPr>
              <w:t>Impairment recovery</w:t>
            </w:r>
          </w:p>
        </w:tc>
        <w:tc>
          <w:tcPr>
            <w:tcW w:w="260" w:type="dxa"/>
            <w:vAlign w:val="bottom"/>
          </w:tcPr>
          <w:p>
            <w:pPr>
              <w:spacing w:after="0"/>
              <w:rPr>
                <w:sz w:val="23"/>
                <w:szCs w:val="23"/>
                <w:color w:val="auto"/>
              </w:rPr>
            </w:pPr>
          </w:p>
        </w:tc>
        <w:tc>
          <w:tcPr>
            <w:tcW w:w="136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(17.4)</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(17.4)</w:t>
            </w:r>
          </w:p>
        </w:tc>
        <w:tc>
          <w:tcPr>
            <w:tcW w:w="0" w:type="dxa"/>
            <w:vAlign w:val="bottom"/>
          </w:tcPr>
          <w:p>
            <w:pPr>
              <w:spacing w:after="0"/>
              <w:rPr>
                <w:sz w:val="1"/>
                <w:szCs w:val="1"/>
                <w:color w:val="auto"/>
              </w:rPr>
            </w:pPr>
          </w:p>
        </w:tc>
      </w:tr>
      <w:tr>
        <w:trPr>
          <w:trHeight w:val="254"/>
        </w:trPr>
        <w:tc>
          <w:tcPr>
            <w:tcW w:w="5140" w:type="dxa"/>
            <w:vAlign w:val="bottom"/>
            <w:tcBorders>
              <w:top w:val="single" w:sz="8" w:color="DCE2EF"/>
            </w:tcBorders>
            <w:gridSpan w:val="3"/>
            <w:shd w:val="clear" w:color="auto" w:fill="DCE2EF"/>
          </w:tcPr>
          <w:p>
            <w:pPr>
              <w:ind w:left="20"/>
              <w:spacing w:after="0"/>
              <w:rPr>
                <w:sz w:val="20"/>
                <w:szCs w:val="20"/>
                <w:color w:val="auto"/>
              </w:rPr>
            </w:pPr>
            <w:r>
              <w:rPr>
                <w:rFonts w:ascii="Arial" w:cs="Arial" w:eastAsia="Arial" w:hAnsi="Arial"/>
                <w:sz w:val="16"/>
                <w:szCs w:val="16"/>
                <w:b w:val="1"/>
                <w:bCs w:val="1"/>
                <w:color w:val="auto"/>
              </w:rPr>
              <w:t>Operating profit</w:t>
            </w:r>
          </w:p>
        </w:tc>
        <w:tc>
          <w:tcPr>
            <w:tcW w:w="260" w:type="dxa"/>
            <w:vAlign w:val="bottom"/>
            <w:tcBorders>
              <w:top w:val="single" w:sz="8" w:color="auto"/>
            </w:tcBorders>
            <w:shd w:val="clear" w:color="auto" w:fill="DCE2EF"/>
          </w:tcPr>
          <w:p>
            <w:pPr>
              <w:spacing w:after="0"/>
              <w:rPr>
                <w:sz w:val="22"/>
                <w:szCs w:val="22"/>
                <w:color w:val="auto"/>
              </w:rPr>
            </w:pPr>
          </w:p>
        </w:tc>
        <w:tc>
          <w:tcPr>
            <w:tcW w:w="1240" w:type="dxa"/>
            <w:vAlign w:val="bottom"/>
            <w:tcBorders>
              <w:top w:val="single" w:sz="8" w:color="auto"/>
            </w:tcBorders>
            <w:shd w:val="clear" w:color="auto" w:fill="DCE2EF"/>
          </w:tcPr>
          <w:p>
            <w:pPr>
              <w:jc w:val="right"/>
              <w:ind w:right="41"/>
              <w:spacing w:after="0"/>
              <w:rPr>
                <w:sz w:val="20"/>
                <w:szCs w:val="20"/>
                <w:color w:val="auto"/>
              </w:rPr>
            </w:pPr>
            <w:r>
              <w:rPr>
                <w:rFonts w:ascii="Arial" w:cs="Arial" w:eastAsia="Arial" w:hAnsi="Arial"/>
                <w:sz w:val="16"/>
                <w:szCs w:val="16"/>
                <w:color w:val="auto"/>
              </w:rPr>
              <w:t>45.3</w:t>
            </w:r>
          </w:p>
        </w:tc>
        <w:tc>
          <w:tcPr>
            <w:tcW w:w="120" w:type="dxa"/>
            <w:vAlign w:val="bottom"/>
            <w:tcBorders>
              <w:top w:val="single" w:sz="8" w:color="DCE2EF"/>
            </w:tcBorders>
            <w:shd w:val="clear" w:color="auto" w:fill="DCE2EF"/>
          </w:tcPr>
          <w:p>
            <w:pPr>
              <w:spacing w:after="0"/>
              <w:rPr>
                <w:sz w:val="22"/>
                <w:szCs w:val="22"/>
                <w:color w:val="auto"/>
              </w:rPr>
            </w:pPr>
          </w:p>
        </w:tc>
        <w:tc>
          <w:tcPr>
            <w:tcW w:w="340" w:type="dxa"/>
            <w:vAlign w:val="bottom"/>
            <w:tcBorders>
              <w:top w:val="single" w:sz="8" w:color="auto"/>
            </w:tcBorders>
            <w:shd w:val="clear" w:color="auto" w:fill="DCE2EF"/>
          </w:tcPr>
          <w:p>
            <w:pPr>
              <w:spacing w:after="0"/>
              <w:rPr>
                <w:sz w:val="22"/>
                <w:szCs w:val="22"/>
                <w:color w:val="auto"/>
              </w:rPr>
            </w:pPr>
          </w:p>
        </w:tc>
        <w:tc>
          <w:tcPr>
            <w:tcW w:w="1140" w:type="dxa"/>
            <w:vAlign w:val="bottom"/>
            <w:tcBorders>
              <w:top w:val="single" w:sz="8" w:color="auto"/>
            </w:tcBorders>
            <w:shd w:val="clear" w:color="auto" w:fill="DCE2EF"/>
          </w:tcPr>
          <w:p>
            <w:pPr>
              <w:jc w:val="right"/>
              <w:ind w:right="41"/>
              <w:spacing w:after="0"/>
              <w:rPr>
                <w:sz w:val="20"/>
                <w:szCs w:val="20"/>
                <w:color w:val="auto"/>
              </w:rPr>
            </w:pPr>
            <w:r>
              <w:rPr>
                <w:rFonts w:ascii="Arial" w:cs="Arial" w:eastAsia="Arial" w:hAnsi="Arial"/>
                <w:sz w:val="16"/>
                <w:szCs w:val="16"/>
                <w:color w:val="auto"/>
              </w:rPr>
              <w:t>51.0</w:t>
            </w:r>
          </w:p>
        </w:tc>
        <w:tc>
          <w:tcPr>
            <w:tcW w:w="100" w:type="dxa"/>
            <w:vAlign w:val="bottom"/>
            <w:tcBorders>
              <w:top w:val="single" w:sz="8" w:color="DCE2EF"/>
            </w:tcBorders>
            <w:shd w:val="clear" w:color="auto" w:fill="DCE2EF"/>
          </w:tcPr>
          <w:p>
            <w:pPr>
              <w:spacing w:after="0"/>
              <w:rPr>
                <w:sz w:val="22"/>
                <w:szCs w:val="22"/>
                <w:color w:val="auto"/>
              </w:rPr>
            </w:pPr>
          </w:p>
        </w:tc>
        <w:tc>
          <w:tcPr>
            <w:tcW w:w="320" w:type="dxa"/>
            <w:vAlign w:val="bottom"/>
            <w:tcBorders>
              <w:top w:val="single" w:sz="8" w:color="auto"/>
            </w:tcBorders>
            <w:shd w:val="clear" w:color="auto" w:fill="DCE2EF"/>
          </w:tcPr>
          <w:p>
            <w:pPr>
              <w:spacing w:after="0"/>
              <w:rPr>
                <w:sz w:val="22"/>
                <w:szCs w:val="22"/>
                <w:color w:val="auto"/>
              </w:rPr>
            </w:pPr>
          </w:p>
        </w:tc>
        <w:tc>
          <w:tcPr>
            <w:tcW w:w="1160" w:type="dxa"/>
            <w:vAlign w:val="bottom"/>
            <w:tcBorders>
              <w:top w:val="single" w:sz="8" w:color="auto"/>
            </w:tcBorders>
            <w:shd w:val="clear" w:color="auto" w:fill="DCE2EF"/>
          </w:tcPr>
          <w:p>
            <w:pPr>
              <w:jc w:val="right"/>
              <w:ind w:right="41"/>
              <w:spacing w:after="0"/>
              <w:rPr>
                <w:sz w:val="20"/>
                <w:szCs w:val="20"/>
                <w:color w:val="auto"/>
              </w:rPr>
            </w:pPr>
            <w:r>
              <w:rPr>
                <w:rFonts w:ascii="Arial" w:cs="Arial" w:eastAsia="Arial" w:hAnsi="Arial"/>
                <w:sz w:val="16"/>
                <w:szCs w:val="16"/>
                <w:color w:val="auto"/>
              </w:rPr>
              <w:t>64.8</w:t>
            </w:r>
          </w:p>
        </w:tc>
        <w:tc>
          <w:tcPr>
            <w:tcW w:w="100" w:type="dxa"/>
            <w:vAlign w:val="bottom"/>
            <w:tcBorders>
              <w:top w:val="single" w:sz="8" w:color="DCE2EF"/>
            </w:tcBorders>
            <w:shd w:val="clear" w:color="auto" w:fill="DCE2EF"/>
          </w:tcPr>
          <w:p>
            <w:pPr>
              <w:spacing w:after="0"/>
              <w:rPr>
                <w:sz w:val="22"/>
                <w:szCs w:val="22"/>
                <w:color w:val="auto"/>
              </w:rPr>
            </w:pPr>
          </w:p>
        </w:tc>
        <w:tc>
          <w:tcPr>
            <w:tcW w:w="340" w:type="dxa"/>
            <w:vAlign w:val="bottom"/>
            <w:tcBorders>
              <w:top w:val="single" w:sz="8" w:color="auto"/>
            </w:tcBorders>
            <w:shd w:val="clear" w:color="auto" w:fill="DCE2EF"/>
          </w:tcPr>
          <w:p>
            <w:pPr>
              <w:spacing w:after="0"/>
              <w:rPr>
                <w:sz w:val="22"/>
                <w:szCs w:val="22"/>
                <w:color w:val="auto"/>
              </w:rPr>
            </w:pPr>
          </w:p>
        </w:tc>
        <w:tc>
          <w:tcPr>
            <w:tcW w:w="1140" w:type="dxa"/>
            <w:vAlign w:val="bottom"/>
            <w:tcBorders>
              <w:top w:val="single" w:sz="8" w:color="auto"/>
            </w:tcBorders>
            <w:shd w:val="clear" w:color="auto" w:fill="DCE2EF"/>
          </w:tcPr>
          <w:p>
            <w:pPr>
              <w:jc w:val="right"/>
              <w:ind w:right="41"/>
              <w:spacing w:after="0"/>
              <w:rPr>
                <w:sz w:val="20"/>
                <w:szCs w:val="20"/>
                <w:color w:val="auto"/>
              </w:rPr>
            </w:pPr>
            <w:r>
              <w:rPr>
                <w:rFonts w:ascii="Arial" w:cs="Arial" w:eastAsia="Arial" w:hAnsi="Arial"/>
                <w:sz w:val="16"/>
                <w:szCs w:val="16"/>
                <w:color w:val="auto"/>
              </w:rPr>
              <w:t>74.8</w:t>
            </w:r>
          </w:p>
        </w:tc>
        <w:tc>
          <w:tcPr>
            <w:tcW w:w="0" w:type="dxa"/>
            <w:vAlign w:val="bottom"/>
          </w:tcPr>
          <w:p>
            <w:pPr>
              <w:spacing w:after="0"/>
              <w:rPr>
                <w:sz w:val="1"/>
                <w:szCs w:val="1"/>
                <w:color w:val="auto"/>
              </w:rPr>
            </w:pPr>
          </w:p>
        </w:tc>
      </w:tr>
      <w:tr>
        <w:trPr>
          <w:trHeight w:val="266"/>
        </w:trPr>
        <w:tc>
          <w:tcPr>
            <w:tcW w:w="5140" w:type="dxa"/>
            <w:vAlign w:val="bottom"/>
            <w:gridSpan w:val="3"/>
          </w:tcPr>
          <w:p>
            <w:pPr>
              <w:ind w:left="20"/>
              <w:spacing w:after="0"/>
              <w:rPr>
                <w:sz w:val="20"/>
                <w:szCs w:val="20"/>
                <w:color w:val="auto"/>
              </w:rPr>
            </w:pPr>
            <w:r>
              <w:rPr>
                <w:rFonts w:ascii="Arial" w:cs="Arial" w:eastAsia="Arial" w:hAnsi="Arial"/>
                <w:sz w:val="16"/>
                <w:szCs w:val="16"/>
                <w:color w:val="auto"/>
              </w:rPr>
              <w:t>Income from unconsolidated affiliates, net</w:t>
            </w:r>
          </w:p>
        </w:tc>
        <w:tc>
          <w:tcPr>
            <w:tcW w:w="260" w:type="dxa"/>
            <w:vAlign w:val="bottom"/>
          </w:tcPr>
          <w:p>
            <w:pPr>
              <w:spacing w:after="0"/>
              <w:rPr>
                <w:sz w:val="23"/>
                <w:szCs w:val="23"/>
                <w:color w:val="auto"/>
              </w:rPr>
            </w:pPr>
          </w:p>
        </w:tc>
        <w:tc>
          <w:tcPr>
            <w:tcW w:w="1240" w:type="dxa"/>
            <w:vAlign w:val="bottom"/>
          </w:tcPr>
          <w:p>
            <w:pPr>
              <w:jc w:val="right"/>
              <w:ind w:right="41"/>
              <w:spacing w:after="0"/>
              <w:rPr>
                <w:sz w:val="20"/>
                <w:szCs w:val="20"/>
                <w:color w:val="auto"/>
              </w:rPr>
            </w:pPr>
            <w:r>
              <w:rPr>
                <w:rFonts w:ascii="Arial" w:cs="Arial" w:eastAsia="Arial" w:hAnsi="Arial"/>
                <w:sz w:val="16"/>
                <w:szCs w:val="16"/>
                <w:color w:val="auto"/>
              </w:rPr>
              <w:t>1.0</w:t>
            </w: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40" w:type="dxa"/>
            <w:vAlign w:val="bottom"/>
          </w:tcPr>
          <w:p>
            <w:pPr>
              <w:jc w:val="right"/>
              <w:ind w:right="41"/>
              <w:spacing w:after="0"/>
              <w:rPr>
                <w:sz w:val="20"/>
                <w:szCs w:val="20"/>
                <w:color w:val="auto"/>
              </w:rPr>
            </w:pPr>
            <w:r>
              <w:rPr>
                <w:rFonts w:ascii="Arial" w:cs="Arial" w:eastAsia="Arial" w:hAnsi="Arial"/>
                <w:sz w:val="16"/>
                <w:szCs w:val="16"/>
                <w:color w:val="auto"/>
              </w:rPr>
              <w:t>0.9</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160" w:type="dxa"/>
            <w:vAlign w:val="bottom"/>
          </w:tcPr>
          <w:p>
            <w:pPr>
              <w:jc w:val="right"/>
              <w:ind w:right="41"/>
              <w:spacing w:after="0"/>
              <w:rPr>
                <w:sz w:val="20"/>
                <w:szCs w:val="20"/>
                <w:color w:val="auto"/>
              </w:rPr>
            </w:pPr>
            <w:r>
              <w:rPr>
                <w:rFonts w:ascii="Arial" w:cs="Arial" w:eastAsia="Arial" w:hAnsi="Arial"/>
                <w:sz w:val="16"/>
                <w:szCs w:val="16"/>
                <w:color w:val="auto"/>
              </w:rPr>
              <w:t>1.6</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40" w:type="dxa"/>
            <w:vAlign w:val="bottom"/>
          </w:tcPr>
          <w:p>
            <w:pPr>
              <w:jc w:val="right"/>
              <w:ind w:right="41"/>
              <w:spacing w:after="0"/>
              <w:rPr>
                <w:sz w:val="20"/>
                <w:szCs w:val="20"/>
                <w:color w:val="auto"/>
              </w:rPr>
            </w:pPr>
            <w:r>
              <w:rPr>
                <w:rFonts w:ascii="Arial" w:cs="Arial" w:eastAsia="Arial" w:hAnsi="Arial"/>
                <w:sz w:val="16"/>
                <w:szCs w:val="16"/>
                <w:color w:val="auto"/>
              </w:rPr>
              <w:t>2.3</w:t>
            </w:r>
          </w:p>
        </w:tc>
        <w:tc>
          <w:tcPr>
            <w:tcW w:w="0" w:type="dxa"/>
            <w:vAlign w:val="bottom"/>
          </w:tcPr>
          <w:p>
            <w:pPr>
              <w:spacing w:after="0"/>
              <w:rPr>
                <w:sz w:val="1"/>
                <w:szCs w:val="1"/>
                <w:color w:val="auto"/>
              </w:rPr>
            </w:pPr>
          </w:p>
        </w:tc>
      </w:tr>
      <w:tr>
        <w:trPr>
          <w:trHeight w:val="270"/>
        </w:trPr>
        <w:tc>
          <w:tcPr>
            <w:tcW w:w="5140" w:type="dxa"/>
            <w:vAlign w:val="bottom"/>
            <w:gridSpan w:val="3"/>
            <w:shd w:val="clear" w:color="auto" w:fill="DCE2EF"/>
          </w:tcPr>
          <w:p>
            <w:pPr>
              <w:ind w:left="20"/>
              <w:spacing w:after="0"/>
              <w:rPr>
                <w:sz w:val="20"/>
                <w:szCs w:val="20"/>
                <w:color w:val="auto"/>
              </w:rPr>
            </w:pPr>
            <w:r>
              <w:rPr>
                <w:rFonts w:ascii="Arial" w:cs="Arial" w:eastAsia="Arial" w:hAnsi="Arial"/>
                <w:sz w:val="16"/>
                <w:szCs w:val="16"/>
                <w:color w:val="auto"/>
              </w:rPr>
              <w:t>Interest expense</w:t>
            </w:r>
          </w:p>
        </w:tc>
        <w:tc>
          <w:tcPr>
            <w:tcW w:w="260" w:type="dxa"/>
            <w:vAlign w:val="bottom"/>
            <w:tcBorders>
              <w:bottom w:val="single" w:sz="8" w:color="auto"/>
            </w:tcBorders>
            <w:shd w:val="clear" w:color="auto" w:fill="DCE2EF"/>
          </w:tcPr>
          <w:p>
            <w:pPr>
              <w:spacing w:after="0"/>
              <w:rPr>
                <w:sz w:val="23"/>
                <w:szCs w:val="23"/>
                <w:color w:val="auto"/>
              </w:rPr>
            </w:pPr>
          </w:p>
        </w:tc>
        <w:tc>
          <w:tcPr>
            <w:tcW w:w="1240" w:type="dxa"/>
            <w:vAlign w:val="bottom"/>
            <w:tcBorders>
              <w:bottom w:val="single" w:sz="8" w:color="auto"/>
            </w:tcBorders>
            <w:shd w:val="clear" w:color="auto" w:fill="DCE2EF"/>
          </w:tcPr>
          <w:p>
            <w:pPr>
              <w:jc w:val="right"/>
              <w:spacing w:after="0"/>
              <w:rPr>
                <w:sz w:val="20"/>
                <w:szCs w:val="20"/>
                <w:color w:val="auto"/>
              </w:rPr>
            </w:pPr>
            <w:r>
              <w:rPr>
                <w:rFonts w:ascii="Arial" w:cs="Arial" w:eastAsia="Arial" w:hAnsi="Arial"/>
                <w:sz w:val="16"/>
                <w:szCs w:val="16"/>
                <w:color w:val="auto"/>
              </w:rPr>
              <w:t>(13.8)</w:t>
            </w:r>
          </w:p>
        </w:tc>
        <w:tc>
          <w:tcPr>
            <w:tcW w:w="120" w:type="dxa"/>
            <w:vAlign w:val="bottom"/>
            <w:shd w:val="clear" w:color="auto" w:fill="DCE2EF"/>
          </w:tcPr>
          <w:p>
            <w:pPr>
              <w:spacing w:after="0"/>
              <w:rPr>
                <w:sz w:val="23"/>
                <w:szCs w:val="23"/>
                <w:color w:val="auto"/>
              </w:rPr>
            </w:pPr>
          </w:p>
        </w:tc>
        <w:tc>
          <w:tcPr>
            <w:tcW w:w="340" w:type="dxa"/>
            <w:vAlign w:val="bottom"/>
            <w:tcBorders>
              <w:bottom w:val="single" w:sz="8" w:color="auto"/>
            </w:tcBorders>
            <w:shd w:val="clear" w:color="auto" w:fill="DCE2EF"/>
          </w:tcPr>
          <w:p>
            <w:pPr>
              <w:spacing w:after="0"/>
              <w:rPr>
                <w:sz w:val="23"/>
                <w:szCs w:val="23"/>
                <w:color w:val="auto"/>
              </w:rPr>
            </w:pPr>
          </w:p>
        </w:tc>
        <w:tc>
          <w:tcPr>
            <w:tcW w:w="1140" w:type="dxa"/>
            <w:vAlign w:val="bottom"/>
            <w:tcBorders>
              <w:bottom w:val="single" w:sz="8" w:color="auto"/>
            </w:tcBorders>
            <w:shd w:val="clear" w:color="auto" w:fill="DCE2EF"/>
          </w:tcPr>
          <w:p>
            <w:pPr>
              <w:jc w:val="right"/>
              <w:spacing w:after="0"/>
              <w:rPr>
                <w:sz w:val="20"/>
                <w:szCs w:val="20"/>
                <w:color w:val="auto"/>
              </w:rPr>
            </w:pPr>
            <w:r>
              <w:rPr>
                <w:rFonts w:ascii="Arial" w:cs="Arial" w:eastAsia="Arial" w:hAnsi="Arial"/>
                <w:sz w:val="16"/>
                <w:szCs w:val="16"/>
                <w:color w:val="auto"/>
              </w:rPr>
              <w:t>(3.0)</w:t>
            </w:r>
          </w:p>
        </w:tc>
        <w:tc>
          <w:tcPr>
            <w:tcW w:w="100" w:type="dxa"/>
            <w:vAlign w:val="bottom"/>
            <w:shd w:val="clear" w:color="auto" w:fill="DCE2EF"/>
          </w:tcPr>
          <w:p>
            <w:pPr>
              <w:spacing w:after="0"/>
              <w:rPr>
                <w:sz w:val="23"/>
                <w:szCs w:val="23"/>
                <w:color w:val="auto"/>
              </w:rPr>
            </w:pPr>
          </w:p>
        </w:tc>
        <w:tc>
          <w:tcPr>
            <w:tcW w:w="320" w:type="dxa"/>
            <w:vAlign w:val="bottom"/>
            <w:tcBorders>
              <w:bottom w:val="single" w:sz="8" w:color="auto"/>
            </w:tcBorders>
            <w:shd w:val="clear" w:color="auto" w:fill="DCE2EF"/>
          </w:tcPr>
          <w:p>
            <w:pPr>
              <w:spacing w:after="0"/>
              <w:rPr>
                <w:sz w:val="23"/>
                <w:szCs w:val="23"/>
                <w:color w:val="auto"/>
              </w:rPr>
            </w:pPr>
          </w:p>
        </w:tc>
        <w:tc>
          <w:tcPr>
            <w:tcW w:w="1160" w:type="dxa"/>
            <w:vAlign w:val="bottom"/>
            <w:tcBorders>
              <w:bottom w:val="single" w:sz="8" w:color="auto"/>
            </w:tcBorders>
            <w:shd w:val="clear" w:color="auto" w:fill="DCE2EF"/>
          </w:tcPr>
          <w:p>
            <w:pPr>
              <w:jc w:val="right"/>
              <w:spacing w:after="0"/>
              <w:rPr>
                <w:sz w:val="20"/>
                <w:szCs w:val="20"/>
                <w:color w:val="auto"/>
              </w:rPr>
            </w:pPr>
            <w:r>
              <w:rPr>
                <w:rFonts w:ascii="Arial" w:cs="Arial" w:eastAsia="Arial" w:hAnsi="Arial"/>
                <w:sz w:val="16"/>
                <w:szCs w:val="16"/>
                <w:color w:val="auto"/>
              </w:rPr>
              <w:t>(28.1)</w:t>
            </w:r>
          </w:p>
        </w:tc>
        <w:tc>
          <w:tcPr>
            <w:tcW w:w="100" w:type="dxa"/>
            <w:vAlign w:val="bottom"/>
            <w:shd w:val="clear" w:color="auto" w:fill="DCE2EF"/>
          </w:tcPr>
          <w:p>
            <w:pPr>
              <w:spacing w:after="0"/>
              <w:rPr>
                <w:sz w:val="23"/>
                <w:szCs w:val="23"/>
                <w:color w:val="auto"/>
              </w:rPr>
            </w:pPr>
          </w:p>
        </w:tc>
        <w:tc>
          <w:tcPr>
            <w:tcW w:w="340" w:type="dxa"/>
            <w:vAlign w:val="bottom"/>
            <w:tcBorders>
              <w:bottom w:val="single" w:sz="8" w:color="auto"/>
            </w:tcBorders>
            <w:shd w:val="clear" w:color="auto" w:fill="DCE2EF"/>
          </w:tcPr>
          <w:p>
            <w:pPr>
              <w:spacing w:after="0"/>
              <w:rPr>
                <w:sz w:val="23"/>
                <w:szCs w:val="23"/>
                <w:color w:val="auto"/>
              </w:rPr>
            </w:pPr>
          </w:p>
        </w:tc>
        <w:tc>
          <w:tcPr>
            <w:tcW w:w="1140" w:type="dxa"/>
            <w:vAlign w:val="bottom"/>
            <w:tcBorders>
              <w:bottom w:val="single" w:sz="8" w:color="auto"/>
            </w:tcBorders>
            <w:shd w:val="clear" w:color="auto" w:fill="DCE2EF"/>
          </w:tcPr>
          <w:p>
            <w:pPr>
              <w:jc w:val="right"/>
              <w:spacing w:after="0"/>
              <w:rPr>
                <w:sz w:val="20"/>
                <w:szCs w:val="20"/>
                <w:color w:val="auto"/>
              </w:rPr>
            </w:pPr>
            <w:r>
              <w:rPr>
                <w:rFonts w:ascii="Arial" w:cs="Arial" w:eastAsia="Arial" w:hAnsi="Arial"/>
                <w:sz w:val="16"/>
                <w:szCs w:val="16"/>
                <w:color w:val="auto"/>
              </w:rPr>
              <w:t>(6.3)</w:t>
            </w:r>
          </w:p>
        </w:tc>
        <w:tc>
          <w:tcPr>
            <w:tcW w:w="0" w:type="dxa"/>
            <w:vAlign w:val="bottom"/>
          </w:tcPr>
          <w:p>
            <w:pPr>
              <w:spacing w:after="0"/>
              <w:rPr>
                <w:sz w:val="1"/>
                <w:szCs w:val="1"/>
                <w:color w:val="auto"/>
              </w:rPr>
            </w:pPr>
          </w:p>
        </w:tc>
      </w:tr>
      <w:tr>
        <w:trPr>
          <w:trHeight w:val="250"/>
        </w:trPr>
        <w:tc>
          <w:tcPr>
            <w:tcW w:w="5140" w:type="dxa"/>
            <w:vAlign w:val="bottom"/>
            <w:gridSpan w:val="3"/>
          </w:tcPr>
          <w:p>
            <w:pPr>
              <w:ind w:left="20"/>
              <w:spacing w:after="0"/>
              <w:rPr>
                <w:sz w:val="20"/>
                <w:szCs w:val="20"/>
                <w:color w:val="auto"/>
              </w:rPr>
            </w:pPr>
            <w:r>
              <w:rPr>
                <w:rFonts w:ascii="Arial" w:cs="Arial" w:eastAsia="Arial" w:hAnsi="Arial"/>
                <w:sz w:val="16"/>
                <w:szCs w:val="16"/>
                <w:color w:val="auto"/>
              </w:rPr>
              <w:t>Income from continuing operations before income taxes</w:t>
            </w:r>
          </w:p>
        </w:tc>
        <w:tc>
          <w:tcPr>
            <w:tcW w:w="260" w:type="dxa"/>
            <w:vAlign w:val="bottom"/>
          </w:tcPr>
          <w:p>
            <w:pPr>
              <w:spacing w:after="0"/>
              <w:rPr>
                <w:sz w:val="21"/>
                <w:szCs w:val="21"/>
                <w:color w:val="auto"/>
              </w:rPr>
            </w:pPr>
          </w:p>
        </w:tc>
        <w:tc>
          <w:tcPr>
            <w:tcW w:w="1240" w:type="dxa"/>
            <w:vAlign w:val="bottom"/>
          </w:tcPr>
          <w:p>
            <w:pPr>
              <w:jc w:val="right"/>
              <w:ind w:right="41"/>
              <w:spacing w:after="0"/>
              <w:rPr>
                <w:sz w:val="20"/>
                <w:szCs w:val="20"/>
                <w:color w:val="auto"/>
              </w:rPr>
            </w:pPr>
            <w:r>
              <w:rPr>
                <w:rFonts w:ascii="Arial" w:cs="Arial" w:eastAsia="Arial" w:hAnsi="Arial"/>
                <w:sz w:val="16"/>
                <w:szCs w:val="16"/>
                <w:color w:val="auto"/>
              </w:rPr>
              <w:t>32.5</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41"/>
              <w:spacing w:after="0"/>
              <w:rPr>
                <w:sz w:val="20"/>
                <w:szCs w:val="20"/>
                <w:color w:val="auto"/>
              </w:rPr>
            </w:pPr>
            <w:r>
              <w:rPr>
                <w:rFonts w:ascii="Arial" w:cs="Arial" w:eastAsia="Arial" w:hAnsi="Arial"/>
                <w:sz w:val="16"/>
                <w:szCs w:val="16"/>
                <w:color w:val="auto"/>
              </w:rPr>
              <w:t>48.9</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60" w:type="dxa"/>
            <w:vAlign w:val="bottom"/>
          </w:tcPr>
          <w:p>
            <w:pPr>
              <w:jc w:val="right"/>
              <w:ind w:right="41"/>
              <w:spacing w:after="0"/>
              <w:rPr>
                <w:sz w:val="20"/>
                <w:szCs w:val="20"/>
                <w:color w:val="auto"/>
              </w:rPr>
            </w:pPr>
            <w:r>
              <w:rPr>
                <w:rFonts w:ascii="Arial" w:cs="Arial" w:eastAsia="Arial" w:hAnsi="Arial"/>
                <w:sz w:val="16"/>
                <w:szCs w:val="16"/>
                <w:color w:val="auto"/>
              </w:rPr>
              <w:t>38.2</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41"/>
              <w:spacing w:after="0"/>
              <w:rPr>
                <w:sz w:val="20"/>
                <w:szCs w:val="20"/>
                <w:color w:val="auto"/>
              </w:rPr>
            </w:pPr>
            <w:r>
              <w:rPr>
                <w:rFonts w:ascii="Arial" w:cs="Arial" w:eastAsia="Arial" w:hAnsi="Arial"/>
                <w:sz w:val="16"/>
                <w:szCs w:val="16"/>
                <w:color w:val="auto"/>
              </w:rPr>
              <w:t>70.9</w:t>
            </w:r>
          </w:p>
        </w:tc>
        <w:tc>
          <w:tcPr>
            <w:tcW w:w="0" w:type="dxa"/>
            <w:vAlign w:val="bottom"/>
          </w:tcPr>
          <w:p>
            <w:pPr>
              <w:spacing w:after="0"/>
              <w:rPr>
                <w:sz w:val="1"/>
                <w:szCs w:val="1"/>
                <w:color w:val="auto"/>
              </w:rPr>
            </w:pPr>
          </w:p>
        </w:tc>
      </w:tr>
      <w:tr>
        <w:trPr>
          <w:trHeight w:val="270"/>
        </w:trPr>
        <w:tc>
          <w:tcPr>
            <w:tcW w:w="5140" w:type="dxa"/>
            <w:vAlign w:val="bottom"/>
            <w:gridSpan w:val="3"/>
            <w:shd w:val="clear" w:color="auto" w:fill="DCE2EF"/>
          </w:tcPr>
          <w:p>
            <w:pPr>
              <w:ind w:left="20"/>
              <w:spacing w:after="0"/>
              <w:rPr>
                <w:sz w:val="20"/>
                <w:szCs w:val="20"/>
                <w:color w:val="auto"/>
              </w:rPr>
            </w:pPr>
            <w:r>
              <w:rPr>
                <w:rFonts w:ascii="Arial" w:cs="Arial" w:eastAsia="Arial" w:hAnsi="Arial"/>
                <w:sz w:val="16"/>
                <w:szCs w:val="16"/>
                <w:color w:val="auto"/>
              </w:rPr>
              <w:t>Income tax (provision) benefit</w:t>
            </w:r>
          </w:p>
        </w:tc>
        <w:tc>
          <w:tcPr>
            <w:tcW w:w="260" w:type="dxa"/>
            <w:vAlign w:val="bottom"/>
            <w:tcBorders>
              <w:bottom w:val="single" w:sz="8" w:color="auto"/>
            </w:tcBorders>
            <w:shd w:val="clear" w:color="auto" w:fill="DCE2EF"/>
          </w:tcPr>
          <w:p>
            <w:pPr>
              <w:spacing w:after="0"/>
              <w:rPr>
                <w:sz w:val="23"/>
                <w:szCs w:val="23"/>
                <w:color w:val="auto"/>
              </w:rPr>
            </w:pPr>
          </w:p>
        </w:tc>
        <w:tc>
          <w:tcPr>
            <w:tcW w:w="1240" w:type="dxa"/>
            <w:vAlign w:val="bottom"/>
            <w:tcBorders>
              <w:bottom w:val="single" w:sz="8" w:color="auto"/>
            </w:tcBorders>
            <w:shd w:val="clear" w:color="auto" w:fill="DCE2EF"/>
          </w:tcPr>
          <w:p>
            <w:pPr>
              <w:jc w:val="right"/>
              <w:spacing w:after="0"/>
              <w:rPr>
                <w:sz w:val="20"/>
                <w:szCs w:val="20"/>
                <w:color w:val="auto"/>
              </w:rPr>
            </w:pPr>
            <w:r>
              <w:rPr>
                <w:rFonts w:ascii="Arial" w:cs="Arial" w:eastAsia="Arial" w:hAnsi="Arial"/>
                <w:sz w:val="16"/>
                <w:szCs w:val="16"/>
                <w:color w:val="auto"/>
              </w:rPr>
              <w:t>(7.1)</w:t>
            </w:r>
          </w:p>
        </w:tc>
        <w:tc>
          <w:tcPr>
            <w:tcW w:w="120" w:type="dxa"/>
            <w:vAlign w:val="bottom"/>
            <w:shd w:val="clear" w:color="auto" w:fill="DCE2EF"/>
          </w:tcPr>
          <w:p>
            <w:pPr>
              <w:spacing w:after="0"/>
              <w:rPr>
                <w:sz w:val="23"/>
                <w:szCs w:val="23"/>
                <w:color w:val="auto"/>
              </w:rPr>
            </w:pPr>
          </w:p>
        </w:tc>
        <w:tc>
          <w:tcPr>
            <w:tcW w:w="340" w:type="dxa"/>
            <w:vAlign w:val="bottom"/>
            <w:tcBorders>
              <w:bottom w:val="single" w:sz="8" w:color="auto"/>
            </w:tcBorders>
            <w:shd w:val="clear" w:color="auto" w:fill="DCE2EF"/>
          </w:tcPr>
          <w:p>
            <w:pPr>
              <w:spacing w:after="0"/>
              <w:rPr>
                <w:sz w:val="23"/>
                <w:szCs w:val="23"/>
                <w:color w:val="auto"/>
              </w:rPr>
            </w:pPr>
          </w:p>
        </w:tc>
        <w:tc>
          <w:tcPr>
            <w:tcW w:w="1140" w:type="dxa"/>
            <w:vAlign w:val="bottom"/>
            <w:tcBorders>
              <w:bottom w:val="single" w:sz="8" w:color="auto"/>
            </w:tcBorders>
            <w:shd w:val="clear" w:color="auto" w:fill="DCE2EF"/>
          </w:tcPr>
          <w:p>
            <w:pPr>
              <w:jc w:val="right"/>
              <w:spacing w:after="0"/>
              <w:rPr>
                <w:sz w:val="20"/>
                <w:szCs w:val="20"/>
                <w:color w:val="auto"/>
              </w:rPr>
            </w:pPr>
            <w:r>
              <w:rPr>
                <w:rFonts w:ascii="Arial" w:cs="Arial" w:eastAsia="Arial" w:hAnsi="Arial"/>
                <w:sz w:val="16"/>
                <w:szCs w:val="16"/>
                <w:color w:val="auto"/>
              </w:rPr>
              <w:t>(17.3)</w:t>
            </w:r>
          </w:p>
        </w:tc>
        <w:tc>
          <w:tcPr>
            <w:tcW w:w="100" w:type="dxa"/>
            <w:vAlign w:val="bottom"/>
            <w:shd w:val="clear" w:color="auto" w:fill="DCE2EF"/>
          </w:tcPr>
          <w:p>
            <w:pPr>
              <w:spacing w:after="0"/>
              <w:rPr>
                <w:sz w:val="23"/>
                <w:szCs w:val="23"/>
                <w:color w:val="auto"/>
              </w:rPr>
            </w:pPr>
          </w:p>
        </w:tc>
        <w:tc>
          <w:tcPr>
            <w:tcW w:w="320" w:type="dxa"/>
            <w:vAlign w:val="bottom"/>
            <w:tcBorders>
              <w:bottom w:val="single" w:sz="8" w:color="auto"/>
            </w:tcBorders>
            <w:shd w:val="clear" w:color="auto" w:fill="DCE2EF"/>
          </w:tcPr>
          <w:p>
            <w:pPr>
              <w:spacing w:after="0"/>
              <w:rPr>
                <w:sz w:val="23"/>
                <w:szCs w:val="23"/>
                <w:color w:val="auto"/>
              </w:rPr>
            </w:pPr>
          </w:p>
        </w:tc>
        <w:tc>
          <w:tcPr>
            <w:tcW w:w="1160" w:type="dxa"/>
            <w:vAlign w:val="bottom"/>
            <w:tcBorders>
              <w:bottom w:val="single" w:sz="8" w:color="auto"/>
            </w:tcBorders>
            <w:shd w:val="clear" w:color="auto" w:fill="DCE2EF"/>
          </w:tcPr>
          <w:p>
            <w:pPr>
              <w:jc w:val="right"/>
              <w:ind w:right="41"/>
              <w:spacing w:after="0"/>
              <w:rPr>
                <w:sz w:val="20"/>
                <w:szCs w:val="20"/>
                <w:color w:val="auto"/>
              </w:rPr>
            </w:pPr>
            <w:r>
              <w:rPr>
                <w:rFonts w:ascii="Arial" w:cs="Arial" w:eastAsia="Arial" w:hAnsi="Arial"/>
                <w:sz w:val="16"/>
                <w:szCs w:val="16"/>
                <w:color w:val="auto"/>
              </w:rPr>
              <w:t>15.1</w:t>
            </w:r>
          </w:p>
        </w:tc>
        <w:tc>
          <w:tcPr>
            <w:tcW w:w="100" w:type="dxa"/>
            <w:vAlign w:val="bottom"/>
            <w:shd w:val="clear" w:color="auto" w:fill="DCE2EF"/>
          </w:tcPr>
          <w:p>
            <w:pPr>
              <w:spacing w:after="0"/>
              <w:rPr>
                <w:sz w:val="23"/>
                <w:szCs w:val="23"/>
                <w:color w:val="auto"/>
              </w:rPr>
            </w:pPr>
          </w:p>
        </w:tc>
        <w:tc>
          <w:tcPr>
            <w:tcW w:w="340" w:type="dxa"/>
            <w:vAlign w:val="bottom"/>
            <w:tcBorders>
              <w:bottom w:val="single" w:sz="8" w:color="auto"/>
            </w:tcBorders>
            <w:shd w:val="clear" w:color="auto" w:fill="DCE2EF"/>
          </w:tcPr>
          <w:p>
            <w:pPr>
              <w:spacing w:after="0"/>
              <w:rPr>
                <w:sz w:val="23"/>
                <w:szCs w:val="23"/>
                <w:color w:val="auto"/>
              </w:rPr>
            </w:pPr>
          </w:p>
        </w:tc>
        <w:tc>
          <w:tcPr>
            <w:tcW w:w="1140" w:type="dxa"/>
            <w:vAlign w:val="bottom"/>
            <w:tcBorders>
              <w:bottom w:val="single" w:sz="8" w:color="auto"/>
            </w:tcBorders>
            <w:shd w:val="clear" w:color="auto" w:fill="DCE2EF"/>
          </w:tcPr>
          <w:p>
            <w:pPr>
              <w:jc w:val="right"/>
              <w:spacing w:after="0"/>
              <w:rPr>
                <w:sz w:val="20"/>
                <w:szCs w:val="20"/>
                <w:color w:val="auto"/>
              </w:rPr>
            </w:pPr>
            <w:r>
              <w:rPr>
                <w:rFonts w:ascii="Arial" w:cs="Arial" w:eastAsia="Arial" w:hAnsi="Arial"/>
                <w:sz w:val="16"/>
                <w:szCs w:val="16"/>
                <w:color w:val="auto"/>
              </w:rPr>
              <w:t>(23.2)</w:t>
            </w:r>
          </w:p>
        </w:tc>
        <w:tc>
          <w:tcPr>
            <w:tcW w:w="0" w:type="dxa"/>
            <w:vAlign w:val="bottom"/>
          </w:tcPr>
          <w:p>
            <w:pPr>
              <w:spacing w:after="0"/>
              <w:rPr>
                <w:sz w:val="1"/>
                <w:szCs w:val="1"/>
                <w:color w:val="auto"/>
              </w:rPr>
            </w:pPr>
          </w:p>
        </w:tc>
      </w:tr>
      <w:tr>
        <w:trPr>
          <w:trHeight w:val="250"/>
        </w:trPr>
        <w:tc>
          <w:tcPr>
            <w:tcW w:w="5140" w:type="dxa"/>
            <w:vAlign w:val="bottom"/>
            <w:gridSpan w:val="3"/>
          </w:tcPr>
          <w:p>
            <w:pPr>
              <w:ind w:left="20"/>
              <w:spacing w:after="0"/>
              <w:rPr>
                <w:sz w:val="20"/>
                <w:szCs w:val="20"/>
                <w:color w:val="auto"/>
              </w:rPr>
            </w:pPr>
            <w:r>
              <w:rPr>
                <w:rFonts w:ascii="Arial" w:cs="Arial" w:eastAsia="Arial" w:hAnsi="Arial"/>
                <w:sz w:val="16"/>
                <w:szCs w:val="16"/>
                <w:color w:val="auto"/>
              </w:rPr>
              <w:t>Income from continuing operations</w:t>
            </w:r>
          </w:p>
        </w:tc>
        <w:tc>
          <w:tcPr>
            <w:tcW w:w="260" w:type="dxa"/>
            <w:vAlign w:val="bottom"/>
          </w:tcPr>
          <w:p>
            <w:pPr>
              <w:spacing w:after="0"/>
              <w:rPr>
                <w:sz w:val="21"/>
                <w:szCs w:val="21"/>
                <w:color w:val="auto"/>
              </w:rPr>
            </w:pPr>
          </w:p>
        </w:tc>
        <w:tc>
          <w:tcPr>
            <w:tcW w:w="1240" w:type="dxa"/>
            <w:vAlign w:val="bottom"/>
          </w:tcPr>
          <w:p>
            <w:pPr>
              <w:jc w:val="right"/>
              <w:ind w:right="41"/>
              <w:spacing w:after="0"/>
              <w:rPr>
                <w:sz w:val="20"/>
                <w:szCs w:val="20"/>
                <w:color w:val="auto"/>
              </w:rPr>
            </w:pPr>
            <w:r>
              <w:rPr>
                <w:rFonts w:ascii="Arial" w:cs="Arial" w:eastAsia="Arial" w:hAnsi="Arial"/>
                <w:sz w:val="16"/>
                <w:szCs w:val="16"/>
                <w:color w:val="auto"/>
              </w:rPr>
              <w:t>25.4</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41"/>
              <w:spacing w:after="0"/>
              <w:rPr>
                <w:sz w:val="20"/>
                <w:szCs w:val="20"/>
                <w:color w:val="auto"/>
              </w:rPr>
            </w:pPr>
            <w:r>
              <w:rPr>
                <w:rFonts w:ascii="Arial" w:cs="Arial" w:eastAsia="Arial" w:hAnsi="Arial"/>
                <w:sz w:val="16"/>
                <w:szCs w:val="16"/>
                <w:color w:val="auto"/>
              </w:rPr>
              <w:t>31.6</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60" w:type="dxa"/>
            <w:vAlign w:val="bottom"/>
          </w:tcPr>
          <w:p>
            <w:pPr>
              <w:jc w:val="right"/>
              <w:ind w:right="41"/>
              <w:spacing w:after="0"/>
              <w:rPr>
                <w:sz w:val="20"/>
                <w:szCs w:val="20"/>
                <w:color w:val="auto"/>
              </w:rPr>
            </w:pPr>
            <w:r>
              <w:rPr>
                <w:rFonts w:ascii="Arial" w:cs="Arial" w:eastAsia="Arial" w:hAnsi="Arial"/>
                <w:sz w:val="16"/>
                <w:szCs w:val="16"/>
                <w:color w:val="auto"/>
              </w:rPr>
              <w:t>53.3</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41"/>
              <w:spacing w:after="0"/>
              <w:rPr>
                <w:sz w:val="20"/>
                <w:szCs w:val="20"/>
                <w:color w:val="auto"/>
              </w:rPr>
            </w:pPr>
            <w:r>
              <w:rPr>
                <w:rFonts w:ascii="Arial" w:cs="Arial" w:eastAsia="Arial" w:hAnsi="Arial"/>
                <w:sz w:val="16"/>
                <w:szCs w:val="16"/>
                <w:color w:val="auto"/>
              </w:rPr>
              <w:t>47.7</w:t>
            </w:r>
          </w:p>
        </w:tc>
        <w:tc>
          <w:tcPr>
            <w:tcW w:w="0" w:type="dxa"/>
            <w:vAlign w:val="bottom"/>
          </w:tcPr>
          <w:p>
            <w:pPr>
              <w:spacing w:after="0"/>
              <w:rPr>
                <w:sz w:val="1"/>
                <w:szCs w:val="1"/>
                <w:color w:val="auto"/>
              </w:rPr>
            </w:pPr>
          </w:p>
        </w:tc>
      </w:tr>
      <w:tr>
        <w:trPr>
          <w:trHeight w:val="274"/>
        </w:trPr>
        <w:tc>
          <w:tcPr>
            <w:tcW w:w="5140" w:type="dxa"/>
            <w:vAlign w:val="bottom"/>
            <w:gridSpan w:val="3"/>
            <w:shd w:val="clear" w:color="auto" w:fill="DCE2EF"/>
          </w:tcPr>
          <w:p>
            <w:pPr>
              <w:ind w:left="20"/>
              <w:spacing w:after="0"/>
              <w:rPr>
                <w:sz w:val="20"/>
                <w:szCs w:val="20"/>
                <w:color w:val="auto"/>
              </w:rPr>
            </w:pPr>
            <w:r>
              <w:rPr>
                <w:rFonts w:ascii="Arial" w:cs="Arial" w:eastAsia="Arial" w:hAnsi="Arial"/>
                <w:sz w:val="16"/>
                <w:szCs w:val="16"/>
                <w:color w:val="auto"/>
              </w:rPr>
              <w:t>Income (loss) from discontinued operations, net of taxes</w:t>
            </w:r>
          </w:p>
        </w:tc>
        <w:tc>
          <w:tcPr>
            <w:tcW w:w="260" w:type="dxa"/>
            <w:vAlign w:val="bottom"/>
            <w:tcBorders>
              <w:bottom w:val="single" w:sz="8" w:color="auto"/>
            </w:tcBorders>
            <w:shd w:val="clear" w:color="auto" w:fill="DCE2EF"/>
          </w:tcPr>
          <w:p>
            <w:pPr>
              <w:spacing w:after="0"/>
              <w:rPr>
                <w:sz w:val="23"/>
                <w:szCs w:val="23"/>
                <w:color w:val="auto"/>
              </w:rPr>
            </w:pPr>
          </w:p>
        </w:tc>
        <w:tc>
          <w:tcPr>
            <w:tcW w:w="1240" w:type="dxa"/>
            <w:vAlign w:val="bottom"/>
            <w:tcBorders>
              <w:bottom w:val="single" w:sz="8" w:color="auto"/>
            </w:tcBorders>
            <w:shd w:val="clear" w:color="auto" w:fill="DCE2EF"/>
          </w:tcPr>
          <w:p>
            <w:pPr>
              <w:jc w:val="right"/>
              <w:ind w:right="41"/>
              <w:spacing w:after="0"/>
              <w:rPr>
                <w:sz w:val="20"/>
                <w:szCs w:val="20"/>
                <w:color w:val="auto"/>
              </w:rPr>
            </w:pPr>
            <w:r>
              <w:rPr>
                <w:rFonts w:ascii="Arial" w:cs="Arial" w:eastAsia="Arial" w:hAnsi="Arial"/>
                <w:sz w:val="16"/>
                <w:szCs w:val="16"/>
                <w:color w:val="auto"/>
              </w:rPr>
              <w:t>1.2</w:t>
            </w:r>
          </w:p>
        </w:tc>
        <w:tc>
          <w:tcPr>
            <w:tcW w:w="120" w:type="dxa"/>
            <w:vAlign w:val="bottom"/>
            <w:shd w:val="clear" w:color="auto" w:fill="DCE2EF"/>
          </w:tcPr>
          <w:p>
            <w:pPr>
              <w:spacing w:after="0"/>
              <w:rPr>
                <w:sz w:val="23"/>
                <w:szCs w:val="23"/>
                <w:color w:val="auto"/>
              </w:rPr>
            </w:pPr>
          </w:p>
        </w:tc>
        <w:tc>
          <w:tcPr>
            <w:tcW w:w="340" w:type="dxa"/>
            <w:vAlign w:val="bottom"/>
            <w:tcBorders>
              <w:bottom w:val="single" w:sz="8" w:color="auto"/>
            </w:tcBorders>
            <w:shd w:val="clear" w:color="auto" w:fill="DCE2EF"/>
          </w:tcPr>
          <w:p>
            <w:pPr>
              <w:spacing w:after="0"/>
              <w:rPr>
                <w:sz w:val="23"/>
                <w:szCs w:val="23"/>
                <w:color w:val="auto"/>
              </w:rPr>
            </w:pPr>
          </w:p>
        </w:tc>
        <w:tc>
          <w:tcPr>
            <w:tcW w:w="1140" w:type="dxa"/>
            <w:vAlign w:val="bottom"/>
            <w:tcBorders>
              <w:bottom w:val="single" w:sz="8" w:color="auto"/>
            </w:tcBorders>
            <w:shd w:val="clear" w:color="auto" w:fill="DCE2EF"/>
          </w:tcPr>
          <w:p>
            <w:pPr>
              <w:jc w:val="right"/>
              <w:spacing w:after="0"/>
              <w:rPr>
                <w:sz w:val="20"/>
                <w:szCs w:val="20"/>
                <w:color w:val="auto"/>
              </w:rPr>
            </w:pPr>
            <w:r>
              <w:rPr>
                <w:rFonts w:ascii="Arial" w:cs="Arial" w:eastAsia="Arial" w:hAnsi="Arial"/>
                <w:sz w:val="16"/>
                <w:szCs w:val="16"/>
                <w:color w:val="auto"/>
              </w:rPr>
              <w:t>(0.4)</w:t>
            </w:r>
          </w:p>
        </w:tc>
        <w:tc>
          <w:tcPr>
            <w:tcW w:w="100" w:type="dxa"/>
            <w:vAlign w:val="bottom"/>
            <w:shd w:val="clear" w:color="auto" w:fill="DCE2EF"/>
          </w:tcPr>
          <w:p>
            <w:pPr>
              <w:spacing w:after="0"/>
              <w:rPr>
                <w:sz w:val="23"/>
                <w:szCs w:val="23"/>
                <w:color w:val="auto"/>
              </w:rPr>
            </w:pPr>
          </w:p>
        </w:tc>
        <w:tc>
          <w:tcPr>
            <w:tcW w:w="320" w:type="dxa"/>
            <w:vAlign w:val="bottom"/>
            <w:tcBorders>
              <w:bottom w:val="single" w:sz="8" w:color="auto"/>
            </w:tcBorders>
            <w:shd w:val="clear" w:color="auto" w:fill="DCE2EF"/>
          </w:tcPr>
          <w:p>
            <w:pPr>
              <w:spacing w:after="0"/>
              <w:rPr>
                <w:sz w:val="23"/>
                <w:szCs w:val="23"/>
                <w:color w:val="auto"/>
              </w:rPr>
            </w:pPr>
          </w:p>
        </w:tc>
        <w:tc>
          <w:tcPr>
            <w:tcW w:w="1160" w:type="dxa"/>
            <w:vAlign w:val="bottom"/>
            <w:tcBorders>
              <w:bottom w:val="single" w:sz="8" w:color="auto"/>
            </w:tcBorders>
            <w:shd w:val="clear" w:color="auto" w:fill="DCE2EF"/>
          </w:tcPr>
          <w:p>
            <w:pPr>
              <w:jc w:val="right"/>
              <w:ind w:right="41"/>
              <w:spacing w:after="0"/>
              <w:rPr>
                <w:sz w:val="20"/>
                <w:szCs w:val="20"/>
                <w:color w:val="auto"/>
              </w:rPr>
            </w:pPr>
            <w:r>
              <w:rPr>
                <w:rFonts w:ascii="Arial" w:cs="Arial" w:eastAsia="Arial" w:hAnsi="Arial"/>
                <w:sz w:val="16"/>
                <w:szCs w:val="16"/>
                <w:color w:val="auto"/>
              </w:rPr>
              <w:t>1.1</w:t>
            </w:r>
          </w:p>
        </w:tc>
        <w:tc>
          <w:tcPr>
            <w:tcW w:w="100" w:type="dxa"/>
            <w:vAlign w:val="bottom"/>
            <w:shd w:val="clear" w:color="auto" w:fill="DCE2EF"/>
          </w:tcPr>
          <w:p>
            <w:pPr>
              <w:spacing w:after="0"/>
              <w:rPr>
                <w:sz w:val="23"/>
                <w:szCs w:val="23"/>
                <w:color w:val="auto"/>
              </w:rPr>
            </w:pPr>
          </w:p>
        </w:tc>
        <w:tc>
          <w:tcPr>
            <w:tcW w:w="340" w:type="dxa"/>
            <w:vAlign w:val="bottom"/>
            <w:tcBorders>
              <w:bottom w:val="single" w:sz="8" w:color="auto"/>
            </w:tcBorders>
            <w:shd w:val="clear" w:color="auto" w:fill="DCE2EF"/>
          </w:tcPr>
          <w:p>
            <w:pPr>
              <w:spacing w:after="0"/>
              <w:rPr>
                <w:sz w:val="23"/>
                <w:szCs w:val="23"/>
                <w:color w:val="auto"/>
              </w:rPr>
            </w:pPr>
          </w:p>
        </w:tc>
        <w:tc>
          <w:tcPr>
            <w:tcW w:w="1140" w:type="dxa"/>
            <w:vAlign w:val="bottom"/>
            <w:tcBorders>
              <w:bottom w:val="single" w:sz="8" w:color="auto"/>
            </w:tcBorders>
            <w:shd w:val="clear" w:color="auto" w:fill="DCE2EF"/>
          </w:tcPr>
          <w:p>
            <w:pPr>
              <w:jc w:val="right"/>
              <w:spacing w:after="0"/>
              <w:rPr>
                <w:sz w:val="20"/>
                <w:szCs w:val="20"/>
                <w:color w:val="auto"/>
              </w:rPr>
            </w:pPr>
            <w:r>
              <w:rPr>
                <w:rFonts w:ascii="Arial" w:cs="Arial" w:eastAsia="Arial" w:hAnsi="Arial"/>
                <w:sz w:val="16"/>
                <w:szCs w:val="16"/>
                <w:color w:val="auto"/>
              </w:rPr>
              <w:t>(73.2)</w:t>
            </w:r>
          </w:p>
        </w:tc>
        <w:tc>
          <w:tcPr>
            <w:tcW w:w="0" w:type="dxa"/>
            <w:vAlign w:val="bottom"/>
          </w:tcPr>
          <w:p>
            <w:pPr>
              <w:spacing w:after="0"/>
              <w:rPr>
                <w:sz w:val="1"/>
                <w:szCs w:val="1"/>
                <w:color w:val="auto"/>
              </w:rPr>
            </w:pPr>
          </w:p>
        </w:tc>
      </w:tr>
      <w:tr>
        <w:trPr>
          <w:trHeight w:val="246"/>
        </w:trPr>
        <w:tc>
          <w:tcPr>
            <w:tcW w:w="5140" w:type="dxa"/>
            <w:vAlign w:val="bottom"/>
            <w:tcBorders>
              <w:bottom w:val="single" w:sz="8" w:color="DCE2EF"/>
            </w:tcBorders>
            <w:gridSpan w:val="3"/>
          </w:tcPr>
          <w:p>
            <w:pPr>
              <w:ind w:left="20"/>
              <w:spacing w:after="0"/>
              <w:rPr>
                <w:sz w:val="20"/>
                <w:szCs w:val="20"/>
                <w:color w:val="auto"/>
              </w:rPr>
            </w:pPr>
            <w:r>
              <w:rPr>
                <w:rFonts w:ascii="Arial" w:cs="Arial" w:eastAsia="Arial" w:hAnsi="Arial"/>
                <w:sz w:val="16"/>
                <w:szCs w:val="16"/>
                <w:b w:val="1"/>
                <w:bCs w:val="1"/>
                <w:color w:val="auto"/>
              </w:rPr>
              <w:t>Net income (loss)</w:t>
            </w:r>
          </w:p>
        </w:tc>
        <w:tc>
          <w:tcPr>
            <w:tcW w:w="26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color w:val="auto"/>
              </w:rPr>
              <w:t>26.6</w:t>
            </w:r>
          </w:p>
        </w:tc>
        <w:tc>
          <w:tcPr>
            <w:tcW w:w="120" w:type="dxa"/>
            <w:vAlign w:val="bottom"/>
            <w:tcBorders>
              <w:bottom w:val="single" w:sz="8" w:color="DCE2EF"/>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color w:val="auto"/>
              </w:rPr>
              <w:t>31.3</w:t>
            </w:r>
          </w:p>
        </w:tc>
        <w:tc>
          <w:tcPr>
            <w:tcW w:w="100" w:type="dxa"/>
            <w:vAlign w:val="bottom"/>
            <w:tcBorders>
              <w:bottom w:val="single" w:sz="8" w:color="DCE2EF"/>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color w:val="auto"/>
              </w:rPr>
              <w:t>54.4</w:t>
            </w:r>
          </w:p>
        </w:tc>
        <w:tc>
          <w:tcPr>
            <w:tcW w:w="100" w:type="dxa"/>
            <w:vAlign w:val="bottom"/>
            <w:tcBorders>
              <w:bottom w:val="single" w:sz="8" w:color="DCE2EF"/>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(25.5)</w:t>
            </w:r>
          </w:p>
        </w:tc>
        <w:tc>
          <w:tcPr>
            <w:tcW w:w="0" w:type="dxa"/>
            <w:vAlign w:val="bottom"/>
          </w:tcPr>
          <w:p>
            <w:pPr>
              <w:spacing w:after="0"/>
              <w:rPr>
                <w:sz w:val="1"/>
                <w:szCs w:val="1"/>
                <w:color w:val="auto"/>
              </w:rPr>
            </w:pPr>
          </w:p>
        </w:tc>
      </w:tr>
      <w:tr>
        <w:trPr>
          <w:trHeight w:val="268"/>
        </w:trPr>
        <w:tc>
          <w:tcPr>
            <w:tcW w:w="5140" w:type="dxa"/>
            <w:vAlign w:val="bottom"/>
            <w:gridSpan w:val="3"/>
            <w:shd w:val="clear" w:color="auto" w:fill="DCE2EF"/>
          </w:tcPr>
          <w:p>
            <w:pPr>
              <w:ind w:left="20"/>
              <w:spacing w:after="0"/>
              <w:rPr>
                <w:sz w:val="20"/>
                <w:szCs w:val="20"/>
                <w:color w:val="auto"/>
              </w:rPr>
            </w:pPr>
            <w:r>
              <w:rPr>
                <w:rFonts w:ascii="Arial" w:cs="Arial" w:eastAsia="Arial" w:hAnsi="Arial"/>
                <w:sz w:val="16"/>
                <w:szCs w:val="16"/>
                <w:color w:val="auto"/>
              </w:rPr>
              <w:t>Other comprehensive income (loss)</w:t>
            </w:r>
          </w:p>
        </w:tc>
        <w:tc>
          <w:tcPr>
            <w:tcW w:w="260" w:type="dxa"/>
            <w:vAlign w:val="bottom"/>
            <w:shd w:val="clear" w:color="auto" w:fill="DCE2EF"/>
          </w:tcPr>
          <w:p>
            <w:pPr>
              <w:spacing w:after="0"/>
              <w:rPr>
                <w:sz w:val="23"/>
                <w:szCs w:val="23"/>
                <w:color w:val="auto"/>
              </w:rPr>
            </w:pPr>
          </w:p>
        </w:tc>
        <w:tc>
          <w:tcPr>
            <w:tcW w:w="1240" w:type="dxa"/>
            <w:vAlign w:val="bottom"/>
            <w:shd w:val="clear" w:color="auto" w:fill="DCE2EF"/>
          </w:tcPr>
          <w:p>
            <w:pPr>
              <w:spacing w:after="0"/>
              <w:rPr>
                <w:sz w:val="23"/>
                <w:szCs w:val="23"/>
                <w:color w:val="auto"/>
              </w:rPr>
            </w:pPr>
          </w:p>
        </w:tc>
        <w:tc>
          <w:tcPr>
            <w:tcW w:w="120" w:type="dxa"/>
            <w:vAlign w:val="bottom"/>
            <w:shd w:val="clear" w:color="auto" w:fill="DCE2EF"/>
          </w:tcPr>
          <w:p>
            <w:pPr>
              <w:spacing w:after="0"/>
              <w:rPr>
                <w:sz w:val="23"/>
                <w:szCs w:val="23"/>
                <w:color w:val="auto"/>
              </w:rPr>
            </w:pPr>
          </w:p>
        </w:tc>
        <w:tc>
          <w:tcPr>
            <w:tcW w:w="340" w:type="dxa"/>
            <w:vAlign w:val="bottom"/>
            <w:shd w:val="clear" w:color="auto" w:fill="DCE2EF"/>
          </w:tcPr>
          <w:p>
            <w:pPr>
              <w:spacing w:after="0"/>
              <w:rPr>
                <w:sz w:val="23"/>
                <w:szCs w:val="23"/>
                <w:color w:val="auto"/>
              </w:rPr>
            </w:pPr>
          </w:p>
        </w:tc>
        <w:tc>
          <w:tcPr>
            <w:tcW w:w="1140" w:type="dxa"/>
            <w:vAlign w:val="bottom"/>
            <w:shd w:val="clear" w:color="auto" w:fill="DCE2EF"/>
          </w:tcPr>
          <w:p>
            <w:pPr>
              <w:spacing w:after="0"/>
              <w:rPr>
                <w:sz w:val="23"/>
                <w:szCs w:val="23"/>
                <w:color w:val="auto"/>
              </w:rPr>
            </w:pPr>
          </w:p>
        </w:tc>
        <w:tc>
          <w:tcPr>
            <w:tcW w:w="100" w:type="dxa"/>
            <w:vAlign w:val="bottom"/>
            <w:shd w:val="clear" w:color="auto" w:fill="DCE2EF"/>
          </w:tcPr>
          <w:p>
            <w:pPr>
              <w:spacing w:after="0"/>
              <w:rPr>
                <w:sz w:val="23"/>
                <w:szCs w:val="23"/>
                <w:color w:val="auto"/>
              </w:rPr>
            </w:pPr>
          </w:p>
        </w:tc>
        <w:tc>
          <w:tcPr>
            <w:tcW w:w="320" w:type="dxa"/>
            <w:vAlign w:val="bottom"/>
            <w:shd w:val="clear" w:color="auto" w:fill="DCE2EF"/>
          </w:tcPr>
          <w:p>
            <w:pPr>
              <w:spacing w:after="0"/>
              <w:rPr>
                <w:sz w:val="23"/>
                <w:szCs w:val="23"/>
                <w:color w:val="auto"/>
              </w:rPr>
            </w:pPr>
          </w:p>
        </w:tc>
        <w:tc>
          <w:tcPr>
            <w:tcW w:w="1160" w:type="dxa"/>
            <w:vAlign w:val="bottom"/>
            <w:shd w:val="clear" w:color="auto" w:fill="DCE2EF"/>
          </w:tcPr>
          <w:p>
            <w:pPr>
              <w:spacing w:after="0"/>
              <w:rPr>
                <w:sz w:val="23"/>
                <w:szCs w:val="23"/>
                <w:color w:val="auto"/>
              </w:rPr>
            </w:pPr>
          </w:p>
        </w:tc>
        <w:tc>
          <w:tcPr>
            <w:tcW w:w="100" w:type="dxa"/>
            <w:vAlign w:val="bottom"/>
            <w:shd w:val="clear" w:color="auto" w:fill="DCE2EF"/>
          </w:tcPr>
          <w:p>
            <w:pPr>
              <w:spacing w:after="0"/>
              <w:rPr>
                <w:sz w:val="23"/>
                <w:szCs w:val="23"/>
                <w:color w:val="auto"/>
              </w:rPr>
            </w:pPr>
          </w:p>
        </w:tc>
        <w:tc>
          <w:tcPr>
            <w:tcW w:w="340" w:type="dxa"/>
            <w:vAlign w:val="bottom"/>
            <w:shd w:val="clear" w:color="auto" w:fill="DCE2EF"/>
          </w:tcPr>
          <w:p>
            <w:pPr>
              <w:spacing w:after="0"/>
              <w:rPr>
                <w:sz w:val="23"/>
                <w:szCs w:val="23"/>
                <w:color w:val="auto"/>
              </w:rPr>
            </w:pPr>
          </w:p>
        </w:tc>
        <w:tc>
          <w:tcPr>
            <w:tcW w:w="1140" w:type="dxa"/>
            <w:vAlign w:val="bottom"/>
            <w:shd w:val="clear" w:color="auto" w:fill="DCE2EF"/>
          </w:tcPr>
          <w:p>
            <w:pPr>
              <w:spacing w:after="0"/>
              <w:rPr>
                <w:sz w:val="23"/>
                <w:szCs w:val="23"/>
                <w:color w:val="auto"/>
              </w:rPr>
            </w:pPr>
          </w:p>
        </w:tc>
        <w:tc>
          <w:tcPr>
            <w:tcW w:w="0" w:type="dxa"/>
            <w:vAlign w:val="bottom"/>
          </w:tcPr>
          <w:p>
            <w:pPr>
              <w:spacing w:after="0"/>
              <w:rPr>
                <w:sz w:val="1"/>
                <w:szCs w:val="1"/>
                <w:color w:val="auto"/>
              </w:rPr>
            </w:pPr>
          </w:p>
        </w:tc>
      </w:tr>
      <w:tr>
        <w:trPr>
          <w:trHeight w:val="266"/>
        </w:trPr>
        <w:tc>
          <w:tcPr>
            <w:tcW w:w="20" w:type="dxa"/>
            <w:vAlign w:val="bottom"/>
          </w:tcPr>
          <w:p>
            <w:pPr>
              <w:spacing w:after="0"/>
              <w:rPr>
                <w:sz w:val="23"/>
                <w:szCs w:val="23"/>
                <w:color w:val="auto"/>
              </w:rPr>
            </w:pPr>
          </w:p>
        </w:tc>
        <w:tc>
          <w:tcPr>
            <w:tcW w:w="5120" w:type="dxa"/>
            <w:vAlign w:val="bottom"/>
            <w:gridSpan w:val="2"/>
          </w:tcPr>
          <w:p>
            <w:pPr>
              <w:ind w:left="360"/>
              <w:spacing w:after="0"/>
              <w:rPr>
                <w:sz w:val="20"/>
                <w:szCs w:val="20"/>
                <w:color w:val="auto"/>
              </w:rPr>
            </w:pPr>
            <w:r>
              <w:rPr>
                <w:rFonts w:ascii="Arial" w:cs="Arial" w:eastAsia="Arial" w:hAnsi="Arial"/>
                <w:sz w:val="16"/>
                <w:szCs w:val="16"/>
                <w:color w:val="auto"/>
              </w:rPr>
              <w:t>Change in fair value of interest rate swaps</w:t>
            </w:r>
          </w:p>
        </w:tc>
        <w:tc>
          <w:tcPr>
            <w:tcW w:w="260" w:type="dxa"/>
            <w:vAlign w:val="bottom"/>
          </w:tcPr>
          <w:p>
            <w:pPr>
              <w:spacing w:after="0"/>
              <w:rPr>
                <w:sz w:val="23"/>
                <w:szCs w:val="23"/>
                <w:color w:val="auto"/>
              </w:rPr>
            </w:pPr>
          </w:p>
        </w:tc>
        <w:tc>
          <w:tcPr>
            <w:tcW w:w="1240" w:type="dxa"/>
            <w:vAlign w:val="bottom"/>
          </w:tcPr>
          <w:p>
            <w:pPr>
              <w:jc w:val="right"/>
              <w:ind w:right="41"/>
              <w:spacing w:after="0"/>
              <w:rPr>
                <w:sz w:val="20"/>
                <w:szCs w:val="20"/>
                <w:color w:val="auto"/>
              </w:rPr>
            </w:pPr>
            <w:r>
              <w:rPr>
                <w:rFonts w:ascii="Arial" w:cs="Arial" w:eastAsia="Arial" w:hAnsi="Arial"/>
                <w:sz w:val="16"/>
                <w:szCs w:val="16"/>
                <w:color w:val="auto"/>
              </w:rPr>
              <w:t>4.6</w:t>
            </w: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23"/>
                <w:szCs w:val="23"/>
                <w:color w:val="auto"/>
              </w:rPr>
            </w:pPr>
          </w:p>
        </w:tc>
        <w:tc>
          <w:tcPr>
            <w:tcW w:w="1160" w:type="dxa"/>
            <w:vAlign w:val="bottom"/>
          </w:tcPr>
          <w:p>
            <w:pPr>
              <w:jc w:val="right"/>
              <w:ind w:right="41"/>
              <w:spacing w:after="0"/>
              <w:rPr>
                <w:sz w:val="20"/>
                <w:szCs w:val="20"/>
                <w:color w:val="auto"/>
              </w:rPr>
            </w:pPr>
            <w:r>
              <w:rPr>
                <w:rFonts w:ascii="Arial" w:cs="Arial" w:eastAsia="Arial" w:hAnsi="Arial"/>
                <w:sz w:val="16"/>
                <w:szCs w:val="16"/>
                <w:color w:val="auto"/>
              </w:rPr>
              <w:t>23.2</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40" w:type="dxa"/>
            <w:vAlign w:val="bottom"/>
          </w:tcPr>
          <w:p>
            <w:pPr>
              <w:jc w:val="right"/>
              <w:ind w:right="41"/>
              <w:spacing w:after="0"/>
              <w:rPr>
                <w:sz w:val="20"/>
                <w:szCs w:val="20"/>
                <w:color w:val="auto"/>
              </w:rPr>
            </w:pPr>
            <w:r>
              <w:rPr>
                <w:rFonts w:ascii="Arial" w:cs="Arial" w:eastAsia="Arial" w:hAnsi="Arial"/>
                <w:sz w:val="16"/>
                <w:szCs w:val="16"/>
                <w:color w:val="auto"/>
              </w:rPr>
              <w:t>2.6</w:t>
            </w:r>
          </w:p>
        </w:tc>
        <w:tc>
          <w:tcPr>
            <w:tcW w:w="0" w:type="dxa"/>
            <w:vAlign w:val="bottom"/>
          </w:tcPr>
          <w:p>
            <w:pPr>
              <w:spacing w:after="0"/>
              <w:rPr>
                <w:sz w:val="1"/>
                <w:szCs w:val="1"/>
                <w:color w:val="auto"/>
              </w:rPr>
            </w:pPr>
          </w:p>
        </w:tc>
      </w:tr>
      <w:tr>
        <w:trPr>
          <w:trHeight w:val="274"/>
        </w:trPr>
        <w:tc>
          <w:tcPr>
            <w:tcW w:w="20" w:type="dxa"/>
            <w:vAlign w:val="bottom"/>
            <w:shd w:val="clear" w:color="auto" w:fill="DCE2EF"/>
          </w:tcPr>
          <w:p>
            <w:pPr>
              <w:spacing w:after="0"/>
              <w:rPr>
                <w:sz w:val="23"/>
                <w:szCs w:val="23"/>
                <w:color w:val="auto"/>
              </w:rPr>
            </w:pPr>
          </w:p>
        </w:tc>
        <w:tc>
          <w:tcPr>
            <w:tcW w:w="5120" w:type="dxa"/>
            <w:vAlign w:val="bottom"/>
            <w:gridSpan w:val="2"/>
            <w:shd w:val="clear" w:color="auto" w:fill="DCE2EF"/>
          </w:tcPr>
          <w:p>
            <w:pPr>
              <w:ind w:left="360"/>
              <w:spacing w:after="0"/>
              <w:rPr>
                <w:sz w:val="20"/>
                <w:szCs w:val="20"/>
                <w:color w:val="auto"/>
              </w:rPr>
            </w:pPr>
            <w:r>
              <w:rPr>
                <w:rFonts w:ascii="Arial" w:cs="Arial" w:eastAsia="Arial" w:hAnsi="Arial"/>
                <w:sz w:val="16"/>
                <w:szCs w:val="16"/>
                <w:color w:val="auto"/>
              </w:rPr>
              <w:t>Foreign currency translation</w:t>
            </w:r>
          </w:p>
        </w:tc>
        <w:tc>
          <w:tcPr>
            <w:tcW w:w="260" w:type="dxa"/>
            <w:vAlign w:val="bottom"/>
            <w:shd w:val="clear" w:color="auto" w:fill="DCE2EF"/>
          </w:tcPr>
          <w:p>
            <w:pPr>
              <w:spacing w:after="0"/>
              <w:rPr>
                <w:sz w:val="23"/>
                <w:szCs w:val="23"/>
                <w:color w:val="auto"/>
              </w:rPr>
            </w:pPr>
          </w:p>
        </w:tc>
        <w:tc>
          <w:tcPr>
            <w:tcW w:w="1240" w:type="dxa"/>
            <w:vAlign w:val="bottom"/>
            <w:shd w:val="clear" w:color="auto" w:fill="DCE2EF"/>
          </w:tcPr>
          <w:p>
            <w:pPr>
              <w:jc w:val="right"/>
              <w:spacing w:after="0"/>
              <w:rPr>
                <w:sz w:val="20"/>
                <w:szCs w:val="20"/>
                <w:color w:val="auto"/>
              </w:rPr>
            </w:pPr>
            <w:r>
              <w:rPr>
                <w:rFonts w:ascii="Arial" w:cs="Arial" w:eastAsia="Arial" w:hAnsi="Arial"/>
                <w:sz w:val="16"/>
                <w:szCs w:val="16"/>
                <w:color w:val="auto"/>
              </w:rPr>
              <w:t>(4.5)</w:t>
            </w:r>
          </w:p>
        </w:tc>
        <w:tc>
          <w:tcPr>
            <w:tcW w:w="120" w:type="dxa"/>
            <w:vAlign w:val="bottom"/>
            <w:shd w:val="clear" w:color="auto" w:fill="DCE2EF"/>
          </w:tcPr>
          <w:p>
            <w:pPr>
              <w:spacing w:after="0"/>
              <w:rPr>
                <w:sz w:val="23"/>
                <w:szCs w:val="23"/>
                <w:color w:val="auto"/>
              </w:rPr>
            </w:pPr>
          </w:p>
        </w:tc>
        <w:tc>
          <w:tcPr>
            <w:tcW w:w="340" w:type="dxa"/>
            <w:vAlign w:val="bottom"/>
            <w:shd w:val="clear" w:color="auto" w:fill="DCE2EF"/>
          </w:tcPr>
          <w:p>
            <w:pPr>
              <w:spacing w:after="0"/>
              <w:rPr>
                <w:sz w:val="23"/>
                <w:szCs w:val="23"/>
                <w:color w:val="auto"/>
              </w:rPr>
            </w:pPr>
          </w:p>
        </w:tc>
        <w:tc>
          <w:tcPr>
            <w:tcW w:w="1140" w:type="dxa"/>
            <w:vAlign w:val="bottom"/>
            <w:shd w:val="clear" w:color="auto" w:fill="DCE2EF"/>
          </w:tcPr>
          <w:p>
            <w:pPr>
              <w:jc w:val="right"/>
              <w:ind w:right="41"/>
              <w:spacing w:after="0"/>
              <w:rPr>
                <w:sz w:val="20"/>
                <w:szCs w:val="20"/>
                <w:color w:val="auto"/>
              </w:rPr>
            </w:pPr>
            <w:r>
              <w:rPr>
                <w:rFonts w:ascii="Arial" w:cs="Arial" w:eastAsia="Arial" w:hAnsi="Arial"/>
                <w:sz w:val="16"/>
                <w:szCs w:val="16"/>
                <w:color w:val="auto"/>
              </w:rPr>
              <w:t>3.0</w:t>
            </w:r>
          </w:p>
        </w:tc>
        <w:tc>
          <w:tcPr>
            <w:tcW w:w="100" w:type="dxa"/>
            <w:vAlign w:val="bottom"/>
            <w:shd w:val="clear" w:color="auto" w:fill="DCE2EF"/>
          </w:tcPr>
          <w:p>
            <w:pPr>
              <w:spacing w:after="0"/>
              <w:rPr>
                <w:sz w:val="23"/>
                <w:szCs w:val="23"/>
                <w:color w:val="auto"/>
              </w:rPr>
            </w:pPr>
          </w:p>
        </w:tc>
        <w:tc>
          <w:tcPr>
            <w:tcW w:w="320" w:type="dxa"/>
            <w:vAlign w:val="bottom"/>
            <w:shd w:val="clear" w:color="auto" w:fill="DCE2EF"/>
          </w:tcPr>
          <w:p>
            <w:pPr>
              <w:spacing w:after="0"/>
              <w:rPr>
                <w:sz w:val="23"/>
                <w:szCs w:val="23"/>
                <w:color w:val="auto"/>
              </w:rPr>
            </w:pPr>
          </w:p>
        </w:tc>
        <w:tc>
          <w:tcPr>
            <w:tcW w:w="1160" w:type="dxa"/>
            <w:vAlign w:val="bottom"/>
            <w:shd w:val="clear" w:color="auto" w:fill="DCE2EF"/>
          </w:tcPr>
          <w:p>
            <w:pPr>
              <w:jc w:val="right"/>
              <w:ind w:right="41"/>
              <w:spacing w:after="0"/>
              <w:rPr>
                <w:sz w:val="20"/>
                <w:szCs w:val="20"/>
                <w:color w:val="auto"/>
              </w:rPr>
            </w:pPr>
            <w:r>
              <w:rPr>
                <w:rFonts w:ascii="Arial" w:cs="Arial" w:eastAsia="Arial" w:hAnsi="Arial"/>
                <w:sz w:val="16"/>
                <w:szCs w:val="16"/>
                <w:color w:val="auto"/>
              </w:rPr>
              <w:t>5.0</w:t>
            </w:r>
          </w:p>
        </w:tc>
        <w:tc>
          <w:tcPr>
            <w:tcW w:w="100" w:type="dxa"/>
            <w:vAlign w:val="bottom"/>
            <w:shd w:val="clear" w:color="auto" w:fill="DCE2EF"/>
          </w:tcPr>
          <w:p>
            <w:pPr>
              <w:spacing w:after="0"/>
              <w:rPr>
                <w:sz w:val="23"/>
                <w:szCs w:val="23"/>
                <w:color w:val="auto"/>
              </w:rPr>
            </w:pPr>
          </w:p>
        </w:tc>
        <w:tc>
          <w:tcPr>
            <w:tcW w:w="340" w:type="dxa"/>
            <w:vAlign w:val="bottom"/>
            <w:shd w:val="clear" w:color="auto" w:fill="DCE2EF"/>
          </w:tcPr>
          <w:p>
            <w:pPr>
              <w:spacing w:after="0"/>
              <w:rPr>
                <w:sz w:val="23"/>
                <w:szCs w:val="23"/>
                <w:color w:val="auto"/>
              </w:rPr>
            </w:pPr>
          </w:p>
        </w:tc>
        <w:tc>
          <w:tcPr>
            <w:tcW w:w="1140" w:type="dxa"/>
            <w:vAlign w:val="bottom"/>
            <w:shd w:val="clear" w:color="auto" w:fill="DCE2EF"/>
          </w:tcPr>
          <w:p>
            <w:pPr>
              <w:jc w:val="right"/>
              <w:ind w:right="41"/>
              <w:spacing w:after="0"/>
              <w:rPr>
                <w:sz w:val="20"/>
                <w:szCs w:val="20"/>
                <w:color w:val="auto"/>
              </w:rPr>
            </w:pPr>
            <w:r>
              <w:rPr>
                <w:rFonts w:ascii="Arial" w:cs="Arial" w:eastAsia="Arial" w:hAnsi="Arial"/>
                <w:sz w:val="16"/>
                <w:szCs w:val="16"/>
                <w:color w:val="auto"/>
              </w:rPr>
              <w:t>6.3</w:t>
            </w:r>
          </w:p>
        </w:tc>
        <w:tc>
          <w:tcPr>
            <w:tcW w:w="0" w:type="dxa"/>
            <w:vAlign w:val="bottom"/>
          </w:tcPr>
          <w:p>
            <w:pPr>
              <w:spacing w:after="0"/>
              <w:rPr>
                <w:sz w:val="1"/>
                <w:szCs w:val="1"/>
                <w:color w:val="auto"/>
              </w:rPr>
            </w:pPr>
          </w:p>
        </w:tc>
      </w:tr>
      <w:tr>
        <w:trPr>
          <w:trHeight w:val="266"/>
        </w:trPr>
        <w:tc>
          <w:tcPr>
            <w:tcW w:w="20" w:type="dxa"/>
            <w:vAlign w:val="bottom"/>
          </w:tcPr>
          <w:p>
            <w:pPr>
              <w:spacing w:after="0"/>
              <w:rPr>
                <w:sz w:val="23"/>
                <w:szCs w:val="23"/>
                <w:color w:val="auto"/>
              </w:rPr>
            </w:pPr>
          </w:p>
        </w:tc>
        <w:tc>
          <w:tcPr>
            <w:tcW w:w="5120" w:type="dxa"/>
            <w:vAlign w:val="bottom"/>
            <w:gridSpan w:val="2"/>
          </w:tcPr>
          <w:p>
            <w:pPr>
              <w:ind w:left="360"/>
              <w:spacing w:after="0"/>
              <w:rPr>
                <w:sz w:val="20"/>
                <w:szCs w:val="20"/>
                <w:color w:val="auto"/>
              </w:rPr>
            </w:pPr>
            <w:r>
              <w:rPr>
                <w:rFonts w:ascii="Arial" w:cs="Arial" w:eastAsia="Arial" w:hAnsi="Arial"/>
                <w:sz w:val="16"/>
                <w:szCs w:val="16"/>
                <w:color w:val="auto"/>
              </w:rPr>
              <w:t>Income tax provision</w:t>
            </w:r>
          </w:p>
        </w:tc>
        <w:tc>
          <w:tcPr>
            <w:tcW w:w="260" w:type="dxa"/>
            <w:vAlign w:val="bottom"/>
          </w:tcPr>
          <w:p>
            <w:pPr>
              <w:spacing w:after="0"/>
              <w:rPr>
                <w:sz w:val="23"/>
                <w:szCs w:val="23"/>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(1.2)</w:t>
            </w: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23"/>
                <w:szCs w:val="23"/>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(6.3)</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(1.1)</w:t>
            </w:r>
          </w:p>
        </w:tc>
        <w:tc>
          <w:tcPr>
            <w:tcW w:w="0" w:type="dxa"/>
            <w:vAlign w:val="bottom"/>
          </w:tcPr>
          <w:p>
            <w:pPr>
              <w:spacing w:after="0"/>
              <w:rPr>
                <w:sz w:val="1"/>
                <w:szCs w:val="1"/>
                <w:color w:val="auto"/>
              </w:rPr>
            </w:pPr>
          </w:p>
        </w:tc>
      </w:tr>
      <w:tr>
        <w:trPr>
          <w:trHeight w:val="241"/>
        </w:trPr>
        <w:tc>
          <w:tcPr>
            <w:tcW w:w="5140" w:type="dxa"/>
            <w:vAlign w:val="bottom"/>
            <w:tcBorders>
              <w:top w:val="single" w:sz="8" w:color="DCE2EF"/>
              <w:bottom w:val="single" w:sz="8" w:color="DCE2EF"/>
            </w:tcBorders>
            <w:gridSpan w:val="3"/>
            <w:shd w:val="clear" w:color="auto" w:fill="DCE2EF"/>
          </w:tcPr>
          <w:p>
            <w:pPr>
              <w:ind w:left="20"/>
              <w:spacing w:after="0"/>
              <w:rPr>
                <w:sz w:val="20"/>
                <w:szCs w:val="20"/>
                <w:color w:val="auto"/>
              </w:rPr>
            </w:pPr>
            <w:r>
              <w:rPr>
                <w:rFonts w:ascii="Arial" w:cs="Arial" w:eastAsia="Arial" w:hAnsi="Arial"/>
                <w:sz w:val="16"/>
                <w:szCs w:val="16"/>
                <w:b w:val="1"/>
                <w:bCs w:val="1"/>
                <w:color w:val="auto"/>
              </w:rPr>
              <w:t>Comprehensive income (loss)</w:t>
            </w:r>
          </w:p>
        </w:tc>
        <w:tc>
          <w:tcPr>
            <w:tcW w:w="260" w:type="dxa"/>
            <w:vAlign w:val="bottom"/>
            <w:tcBorders>
              <w:top w:val="single" w:sz="8" w:color="auto"/>
              <w:bottom w:val="single" w:sz="8" w:color="auto"/>
            </w:tcBorders>
            <w:shd w:val="clear" w:color="auto" w:fill="DCE2EF"/>
          </w:tcPr>
          <w:p>
            <w:pPr>
              <w:jc w:val="right"/>
              <w:ind w:right="81"/>
              <w:spacing w:after="0"/>
              <w:rPr>
                <w:sz w:val="20"/>
                <w:szCs w:val="20"/>
                <w:color w:val="auto"/>
              </w:rPr>
            </w:pPr>
            <w:r>
              <w:rPr>
                <w:rFonts w:ascii="Arial" w:cs="Arial" w:eastAsia="Arial" w:hAnsi="Arial"/>
                <w:sz w:val="16"/>
                <w:szCs w:val="16"/>
                <w:color w:val="auto"/>
                <w:w w:val="89"/>
              </w:rPr>
              <w:t>$</w:t>
            </w:r>
          </w:p>
        </w:tc>
        <w:tc>
          <w:tcPr>
            <w:tcW w:w="1240" w:type="dxa"/>
            <w:vAlign w:val="bottom"/>
            <w:tcBorders>
              <w:top w:val="single" w:sz="8" w:color="auto"/>
              <w:bottom w:val="single" w:sz="8" w:color="auto"/>
            </w:tcBorders>
            <w:shd w:val="clear" w:color="auto" w:fill="DCE2EF"/>
          </w:tcPr>
          <w:p>
            <w:pPr>
              <w:jc w:val="right"/>
              <w:ind w:right="41"/>
              <w:spacing w:after="0"/>
              <w:rPr>
                <w:sz w:val="20"/>
                <w:szCs w:val="20"/>
                <w:color w:val="auto"/>
              </w:rPr>
            </w:pPr>
            <w:r>
              <w:rPr>
                <w:rFonts w:ascii="Arial" w:cs="Arial" w:eastAsia="Arial" w:hAnsi="Arial"/>
                <w:sz w:val="16"/>
                <w:szCs w:val="16"/>
                <w:color w:val="auto"/>
              </w:rPr>
              <w:t>25.5</w:t>
            </w:r>
          </w:p>
        </w:tc>
        <w:tc>
          <w:tcPr>
            <w:tcW w:w="120" w:type="dxa"/>
            <w:vAlign w:val="bottom"/>
            <w:tcBorders>
              <w:top w:val="single" w:sz="8" w:color="DCE2EF"/>
              <w:bottom w:val="single" w:sz="8" w:color="DCE2EF"/>
            </w:tcBorders>
            <w:shd w:val="clear" w:color="auto" w:fill="DCE2EF"/>
          </w:tcPr>
          <w:p>
            <w:pPr>
              <w:spacing w:after="0"/>
              <w:rPr>
                <w:sz w:val="20"/>
                <w:szCs w:val="20"/>
                <w:color w:val="auto"/>
              </w:rPr>
            </w:pPr>
          </w:p>
        </w:tc>
        <w:tc>
          <w:tcPr>
            <w:tcW w:w="340" w:type="dxa"/>
            <w:vAlign w:val="bottom"/>
            <w:tcBorders>
              <w:top w:val="single" w:sz="8" w:color="auto"/>
              <w:bottom w:val="single" w:sz="8" w:color="auto"/>
            </w:tcBorders>
            <w:shd w:val="clear" w:color="auto" w:fill="DCE2EF"/>
          </w:tcPr>
          <w:p>
            <w:pPr>
              <w:jc w:val="right"/>
              <w:ind w:right="141"/>
              <w:spacing w:after="0"/>
              <w:rPr>
                <w:sz w:val="20"/>
                <w:szCs w:val="20"/>
                <w:color w:val="auto"/>
              </w:rPr>
            </w:pPr>
            <w:r>
              <w:rPr>
                <w:rFonts w:ascii="Arial" w:cs="Arial" w:eastAsia="Arial" w:hAnsi="Arial"/>
                <w:sz w:val="16"/>
                <w:szCs w:val="16"/>
                <w:color w:val="auto"/>
              </w:rPr>
              <w:t>$</w:t>
            </w:r>
          </w:p>
        </w:tc>
        <w:tc>
          <w:tcPr>
            <w:tcW w:w="1140" w:type="dxa"/>
            <w:vAlign w:val="bottom"/>
            <w:tcBorders>
              <w:top w:val="single" w:sz="8" w:color="auto"/>
              <w:bottom w:val="single" w:sz="8" w:color="auto"/>
            </w:tcBorders>
            <w:shd w:val="clear" w:color="auto" w:fill="DCE2EF"/>
          </w:tcPr>
          <w:p>
            <w:pPr>
              <w:jc w:val="right"/>
              <w:ind w:right="41"/>
              <w:spacing w:after="0"/>
              <w:rPr>
                <w:sz w:val="20"/>
                <w:szCs w:val="20"/>
                <w:color w:val="auto"/>
              </w:rPr>
            </w:pPr>
            <w:r>
              <w:rPr>
                <w:rFonts w:ascii="Arial" w:cs="Arial" w:eastAsia="Arial" w:hAnsi="Arial"/>
                <w:sz w:val="16"/>
                <w:szCs w:val="16"/>
                <w:color w:val="auto"/>
              </w:rPr>
              <w:t>34.3</w:t>
            </w:r>
          </w:p>
        </w:tc>
        <w:tc>
          <w:tcPr>
            <w:tcW w:w="100" w:type="dxa"/>
            <w:vAlign w:val="bottom"/>
            <w:tcBorders>
              <w:top w:val="single" w:sz="8" w:color="DCE2EF"/>
              <w:bottom w:val="single" w:sz="8" w:color="DCE2EF"/>
            </w:tcBorders>
            <w:shd w:val="clear" w:color="auto" w:fill="DCE2EF"/>
          </w:tcPr>
          <w:p>
            <w:pPr>
              <w:spacing w:after="0"/>
              <w:rPr>
                <w:sz w:val="20"/>
                <w:szCs w:val="20"/>
                <w:color w:val="auto"/>
              </w:rPr>
            </w:pPr>
          </w:p>
        </w:tc>
        <w:tc>
          <w:tcPr>
            <w:tcW w:w="320" w:type="dxa"/>
            <w:vAlign w:val="bottom"/>
            <w:tcBorders>
              <w:top w:val="single" w:sz="8" w:color="auto"/>
              <w:bottom w:val="single" w:sz="8" w:color="auto"/>
            </w:tcBorders>
            <w:shd w:val="clear" w:color="auto" w:fill="DCE2EF"/>
          </w:tcPr>
          <w:p>
            <w:pPr>
              <w:jc w:val="right"/>
              <w:ind w:right="121"/>
              <w:spacing w:after="0"/>
              <w:rPr>
                <w:sz w:val="20"/>
                <w:szCs w:val="20"/>
                <w:color w:val="auto"/>
              </w:rPr>
            </w:pPr>
            <w:r>
              <w:rPr>
                <w:rFonts w:ascii="Arial" w:cs="Arial" w:eastAsia="Arial" w:hAnsi="Arial"/>
                <w:sz w:val="16"/>
                <w:szCs w:val="16"/>
                <w:color w:val="auto"/>
              </w:rPr>
              <w:t>$</w:t>
            </w:r>
          </w:p>
        </w:tc>
        <w:tc>
          <w:tcPr>
            <w:tcW w:w="1160" w:type="dxa"/>
            <w:vAlign w:val="bottom"/>
            <w:tcBorders>
              <w:top w:val="single" w:sz="8" w:color="auto"/>
              <w:bottom w:val="single" w:sz="8" w:color="auto"/>
            </w:tcBorders>
            <w:shd w:val="clear" w:color="auto" w:fill="DCE2EF"/>
          </w:tcPr>
          <w:p>
            <w:pPr>
              <w:jc w:val="right"/>
              <w:ind w:right="41"/>
              <w:spacing w:after="0"/>
              <w:rPr>
                <w:sz w:val="20"/>
                <w:szCs w:val="20"/>
                <w:color w:val="auto"/>
              </w:rPr>
            </w:pPr>
            <w:r>
              <w:rPr>
                <w:rFonts w:ascii="Arial" w:cs="Arial" w:eastAsia="Arial" w:hAnsi="Arial"/>
                <w:sz w:val="16"/>
                <w:szCs w:val="16"/>
                <w:color w:val="auto"/>
              </w:rPr>
              <w:t>76.3</w:t>
            </w:r>
          </w:p>
        </w:tc>
        <w:tc>
          <w:tcPr>
            <w:tcW w:w="100" w:type="dxa"/>
            <w:vAlign w:val="bottom"/>
            <w:tcBorders>
              <w:top w:val="single" w:sz="8" w:color="DCE2EF"/>
              <w:bottom w:val="single" w:sz="8" w:color="DCE2EF"/>
            </w:tcBorders>
            <w:shd w:val="clear" w:color="auto" w:fill="DCE2EF"/>
          </w:tcPr>
          <w:p>
            <w:pPr>
              <w:spacing w:after="0"/>
              <w:rPr>
                <w:sz w:val="20"/>
                <w:szCs w:val="20"/>
                <w:color w:val="auto"/>
              </w:rPr>
            </w:pPr>
          </w:p>
        </w:tc>
        <w:tc>
          <w:tcPr>
            <w:tcW w:w="340" w:type="dxa"/>
            <w:vAlign w:val="bottom"/>
            <w:tcBorders>
              <w:top w:val="single" w:sz="8" w:color="auto"/>
              <w:bottom w:val="single" w:sz="8" w:color="auto"/>
            </w:tcBorders>
            <w:shd w:val="clear" w:color="auto" w:fill="DCE2EF"/>
          </w:tcPr>
          <w:p>
            <w:pPr>
              <w:jc w:val="right"/>
              <w:ind w:right="141"/>
              <w:spacing w:after="0"/>
              <w:rPr>
                <w:sz w:val="20"/>
                <w:szCs w:val="20"/>
                <w:color w:val="auto"/>
              </w:rPr>
            </w:pPr>
            <w:r>
              <w:rPr>
                <w:rFonts w:ascii="Arial" w:cs="Arial" w:eastAsia="Arial" w:hAnsi="Arial"/>
                <w:sz w:val="16"/>
                <w:szCs w:val="16"/>
                <w:color w:val="auto"/>
              </w:rPr>
              <w:t>$</w:t>
            </w:r>
          </w:p>
        </w:tc>
        <w:tc>
          <w:tcPr>
            <w:tcW w:w="1140" w:type="dxa"/>
            <w:vAlign w:val="bottom"/>
            <w:tcBorders>
              <w:top w:val="single" w:sz="8" w:color="auto"/>
              <w:bottom w:val="single" w:sz="8" w:color="auto"/>
            </w:tcBorders>
            <w:shd w:val="clear" w:color="auto" w:fill="DCE2EF"/>
          </w:tcPr>
          <w:p>
            <w:pPr>
              <w:jc w:val="right"/>
              <w:spacing w:after="0"/>
              <w:rPr>
                <w:sz w:val="20"/>
                <w:szCs w:val="20"/>
                <w:color w:val="auto"/>
              </w:rPr>
            </w:pPr>
            <w:r>
              <w:rPr>
                <w:rFonts w:ascii="Arial" w:cs="Arial" w:eastAsia="Arial" w:hAnsi="Arial"/>
                <w:sz w:val="16"/>
                <w:szCs w:val="16"/>
                <w:color w:val="auto"/>
              </w:rPr>
              <w:t>(17.6)</w:t>
            </w:r>
          </w:p>
        </w:tc>
        <w:tc>
          <w:tcPr>
            <w:tcW w:w="0" w:type="dxa"/>
            <w:vAlign w:val="bottom"/>
          </w:tcPr>
          <w:p>
            <w:pPr>
              <w:spacing w:after="0"/>
              <w:rPr>
                <w:sz w:val="1"/>
                <w:szCs w:val="1"/>
                <w:color w:val="auto"/>
              </w:rPr>
            </w:pPr>
          </w:p>
        </w:tc>
      </w:tr>
      <w:tr>
        <w:trPr>
          <w:trHeight w:val="20"/>
        </w:trPr>
        <w:tc>
          <w:tcPr>
            <w:tcW w:w="5140" w:type="dxa"/>
            <w:vAlign w:val="bottom"/>
            <w:gridSpan w:val="3"/>
            <w:vMerge w:val="restart"/>
          </w:tcPr>
          <w:p>
            <w:pPr>
              <w:ind w:left="20"/>
              <w:spacing w:after="0"/>
              <w:rPr>
                <w:sz w:val="20"/>
                <w:szCs w:val="20"/>
                <w:color w:val="auto"/>
              </w:rPr>
            </w:pPr>
            <w:r>
              <w:rPr>
                <w:rFonts w:ascii="Arial" w:cs="Arial" w:eastAsia="Arial" w:hAnsi="Arial"/>
                <w:sz w:val="16"/>
                <w:szCs w:val="16"/>
                <w:b w:val="1"/>
                <w:bCs w:val="1"/>
                <w:color w:val="auto"/>
              </w:rPr>
              <w:t>Net income (loss) per common share — Basic</w:t>
            </w:r>
          </w:p>
        </w:tc>
        <w:tc>
          <w:tcPr>
            <w:tcW w:w="2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7"/>
        </w:trPr>
        <w:tc>
          <w:tcPr>
            <w:tcW w:w="5140" w:type="dxa"/>
            <w:vAlign w:val="bottom"/>
            <w:gridSpan w:val="3"/>
            <w:vMerge w:val="continue"/>
          </w:tcPr>
          <w:p>
            <w:pPr>
              <w:spacing w:after="0"/>
              <w:rPr>
                <w:sz w:val="21"/>
                <w:szCs w:val="21"/>
                <w:color w:val="auto"/>
              </w:rPr>
            </w:pPr>
          </w:p>
        </w:tc>
        <w:tc>
          <w:tcPr>
            <w:tcW w:w="26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4"/>
        </w:trPr>
        <w:tc>
          <w:tcPr>
            <w:tcW w:w="20" w:type="dxa"/>
            <w:vAlign w:val="bottom"/>
            <w:shd w:val="clear" w:color="auto" w:fill="DCE2EF"/>
          </w:tcPr>
          <w:p>
            <w:pPr>
              <w:spacing w:after="0"/>
              <w:rPr>
                <w:sz w:val="23"/>
                <w:szCs w:val="23"/>
                <w:color w:val="auto"/>
              </w:rPr>
            </w:pPr>
          </w:p>
        </w:tc>
        <w:tc>
          <w:tcPr>
            <w:tcW w:w="5120" w:type="dxa"/>
            <w:vAlign w:val="bottom"/>
            <w:gridSpan w:val="2"/>
            <w:shd w:val="clear" w:color="auto" w:fill="DCE2EF"/>
          </w:tcPr>
          <w:p>
            <w:pPr>
              <w:ind w:left="360"/>
              <w:spacing w:after="0"/>
              <w:rPr>
                <w:sz w:val="20"/>
                <w:szCs w:val="20"/>
                <w:color w:val="auto"/>
              </w:rPr>
            </w:pPr>
            <w:r>
              <w:rPr>
                <w:rFonts w:ascii="Arial" w:cs="Arial" w:eastAsia="Arial" w:hAnsi="Arial"/>
                <w:sz w:val="16"/>
                <w:szCs w:val="16"/>
                <w:color w:val="auto"/>
              </w:rPr>
              <w:t>Income from continuing operations</w:t>
            </w:r>
          </w:p>
        </w:tc>
        <w:tc>
          <w:tcPr>
            <w:tcW w:w="260" w:type="dxa"/>
            <w:vAlign w:val="bottom"/>
            <w:shd w:val="clear" w:color="auto" w:fill="DCE2EF"/>
          </w:tcPr>
          <w:p>
            <w:pPr>
              <w:jc w:val="right"/>
              <w:ind w:right="81"/>
              <w:spacing w:after="0"/>
              <w:rPr>
                <w:sz w:val="20"/>
                <w:szCs w:val="20"/>
                <w:color w:val="auto"/>
              </w:rPr>
            </w:pPr>
            <w:r>
              <w:rPr>
                <w:rFonts w:ascii="Arial" w:cs="Arial" w:eastAsia="Arial" w:hAnsi="Arial"/>
                <w:sz w:val="16"/>
                <w:szCs w:val="16"/>
                <w:color w:val="auto"/>
                <w:w w:val="89"/>
              </w:rPr>
              <w:t>$</w:t>
            </w:r>
          </w:p>
        </w:tc>
        <w:tc>
          <w:tcPr>
            <w:tcW w:w="1240" w:type="dxa"/>
            <w:vAlign w:val="bottom"/>
            <w:shd w:val="clear" w:color="auto" w:fill="DCE2EF"/>
          </w:tcPr>
          <w:p>
            <w:pPr>
              <w:jc w:val="right"/>
              <w:ind w:right="41"/>
              <w:spacing w:after="0"/>
              <w:rPr>
                <w:sz w:val="20"/>
                <w:szCs w:val="20"/>
                <w:color w:val="auto"/>
              </w:rPr>
            </w:pPr>
            <w:r>
              <w:rPr>
                <w:rFonts w:ascii="Arial" w:cs="Arial" w:eastAsia="Arial" w:hAnsi="Arial"/>
                <w:sz w:val="16"/>
                <w:szCs w:val="16"/>
                <w:color w:val="auto"/>
              </w:rPr>
              <w:t>0.38</w:t>
            </w:r>
          </w:p>
        </w:tc>
        <w:tc>
          <w:tcPr>
            <w:tcW w:w="120" w:type="dxa"/>
            <w:vAlign w:val="bottom"/>
            <w:shd w:val="clear" w:color="auto" w:fill="DCE2EF"/>
          </w:tcPr>
          <w:p>
            <w:pPr>
              <w:spacing w:after="0"/>
              <w:rPr>
                <w:sz w:val="23"/>
                <w:szCs w:val="23"/>
                <w:color w:val="auto"/>
              </w:rPr>
            </w:pPr>
          </w:p>
        </w:tc>
        <w:tc>
          <w:tcPr>
            <w:tcW w:w="340" w:type="dxa"/>
            <w:vAlign w:val="bottom"/>
            <w:shd w:val="clear" w:color="auto" w:fill="DCE2EF"/>
          </w:tcPr>
          <w:p>
            <w:pPr>
              <w:jc w:val="right"/>
              <w:ind w:right="141"/>
              <w:spacing w:after="0"/>
              <w:rPr>
                <w:sz w:val="20"/>
                <w:szCs w:val="20"/>
                <w:color w:val="auto"/>
              </w:rPr>
            </w:pPr>
            <w:r>
              <w:rPr>
                <w:rFonts w:ascii="Arial" w:cs="Arial" w:eastAsia="Arial" w:hAnsi="Arial"/>
                <w:sz w:val="16"/>
                <w:szCs w:val="16"/>
                <w:color w:val="auto"/>
              </w:rPr>
              <w:t>$</w:t>
            </w:r>
          </w:p>
        </w:tc>
        <w:tc>
          <w:tcPr>
            <w:tcW w:w="1140" w:type="dxa"/>
            <w:vAlign w:val="bottom"/>
            <w:shd w:val="clear" w:color="auto" w:fill="DCE2EF"/>
          </w:tcPr>
          <w:p>
            <w:pPr>
              <w:jc w:val="right"/>
              <w:ind w:right="41"/>
              <w:spacing w:after="0"/>
              <w:rPr>
                <w:sz w:val="20"/>
                <w:szCs w:val="20"/>
                <w:color w:val="auto"/>
              </w:rPr>
            </w:pPr>
            <w:r>
              <w:rPr>
                <w:rFonts w:ascii="Arial" w:cs="Arial" w:eastAsia="Arial" w:hAnsi="Arial"/>
                <w:sz w:val="16"/>
                <w:szCs w:val="16"/>
                <w:color w:val="auto"/>
              </w:rPr>
              <w:t>0.56</w:t>
            </w:r>
          </w:p>
        </w:tc>
        <w:tc>
          <w:tcPr>
            <w:tcW w:w="100" w:type="dxa"/>
            <w:vAlign w:val="bottom"/>
            <w:shd w:val="clear" w:color="auto" w:fill="DCE2EF"/>
          </w:tcPr>
          <w:p>
            <w:pPr>
              <w:spacing w:after="0"/>
              <w:rPr>
                <w:sz w:val="23"/>
                <w:szCs w:val="23"/>
                <w:color w:val="auto"/>
              </w:rPr>
            </w:pPr>
          </w:p>
        </w:tc>
        <w:tc>
          <w:tcPr>
            <w:tcW w:w="320" w:type="dxa"/>
            <w:vAlign w:val="bottom"/>
            <w:shd w:val="clear" w:color="auto" w:fill="DCE2EF"/>
          </w:tcPr>
          <w:p>
            <w:pPr>
              <w:jc w:val="right"/>
              <w:ind w:right="121"/>
              <w:spacing w:after="0"/>
              <w:rPr>
                <w:sz w:val="20"/>
                <w:szCs w:val="20"/>
                <w:color w:val="auto"/>
              </w:rPr>
            </w:pPr>
            <w:r>
              <w:rPr>
                <w:rFonts w:ascii="Arial" w:cs="Arial" w:eastAsia="Arial" w:hAnsi="Arial"/>
                <w:sz w:val="16"/>
                <w:szCs w:val="16"/>
                <w:color w:val="auto"/>
              </w:rPr>
              <w:t>$</w:t>
            </w:r>
          </w:p>
        </w:tc>
        <w:tc>
          <w:tcPr>
            <w:tcW w:w="1160" w:type="dxa"/>
            <w:vAlign w:val="bottom"/>
            <w:shd w:val="clear" w:color="auto" w:fill="DCE2EF"/>
          </w:tcPr>
          <w:p>
            <w:pPr>
              <w:jc w:val="right"/>
              <w:ind w:right="41"/>
              <w:spacing w:after="0"/>
              <w:rPr>
                <w:sz w:val="20"/>
                <w:szCs w:val="20"/>
                <w:color w:val="auto"/>
              </w:rPr>
            </w:pPr>
            <w:r>
              <w:rPr>
                <w:rFonts w:ascii="Arial" w:cs="Arial" w:eastAsia="Arial" w:hAnsi="Arial"/>
                <w:sz w:val="16"/>
                <w:szCs w:val="16"/>
                <w:color w:val="auto"/>
              </w:rPr>
              <w:t>0.81</w:t>
            </w:r>
          </w:p>
        </w:tc>
        <w:tc>
          <w:tcPr>
            <w:tcW w:w="100" w:type="dxa"/>
            <w:vAlign w:val="bottom"/>
            <w:shd w:val="clear" w:color="auto" w:fill="DCE2EF"/>
          </w:tcPr>
          <w:p>
            <w:pPr>
              <w:spacing w:after="0"/>
              <w:rPr>
                <w:sz w:val="23"/>
                <w:szCs w:val="23"/>
                <w:color w:val="auto"/>
              </w:rPr>
            </w:pPr>
          </w:p>
        </w:tc>
        <w:tc>
          <w:tcPr>
            <w:tcW w:w="340" w:type="dxa"/>
            <w:vAlign w:val="bottom"/>
            <w:shd w:val="clear" w:color="auto" w:fill="DCE2EF"/>
          </w:tcPr>
          <w:p>
            <w:pPr>
              <w:jc w:val="right"/>
              <w:ind w:right="141"/>
              <w:spacing w:after="0"/>
              <w:rPr>
                <w:sz w:val="20"/>
                <w:szCs w:val="20"/>
                <w:color w:val="auto"/>
              </w:rPr>
            </w:pPr>
            <w:r>
              <w:rPr>
                <w:rFonts w:ascii="Arial" w:cs="Arial" w:eastAsia="Arial" w:hAnsi="Arial"/>
                <w:sz w:val="16"/>
                <w:szCs w:val="16"/>
                <w:color w:val="auto"/>
              </w:rPr>
              <w:t>$</w:t>
            </w:r>
          </w:p>
        </w:tc>
        <w:tc>
          <w:tcPr>
            <w:tcW w:w="1140" w:type="dxa"/>
            <w:vAlign w:val="bottom"/>
            <w:shd w:val="clear" w:color="auto" w:fill="DCE2EF"/>
          </w:tcPr>
          <w:p>
            <w:pPr>
              <w:jc w:val="right"/>
              <w:ind w:right="41"/>
              <w:spacing w:after="0"/>
              <w:rPr>
                <w:sz w:val="20"/>
                <w:szCs w:val="20"/>
                <w:color w:val="auto"/>
              </w:rPr>
            </w:pPr>
            <w:r>
              <w:rPr>
                <w:rFonts w:ascii="Arial" w:cs="Arial" w:eastAsia="Arial" w:hAnsi="Arial"/>
                <w:sz w:val="16"/>
                <w:szCs w:val="16"/>
                <w:color w:val="auto"/>
              </w:rPr>
              <w:t>0.85</w:t>
            </w:r>
          </w:p>
        </w:tc>
        <w:tc>
          <w:tcPr>
            <w:tcW w:w="0" w:type="dxa"/>
            <w:vAlign w:val="bottom"/>
          </w:tcPr>
          <w:p>
            <w:pPr>
              <w:spacing w:after="0"/>
              <w:rPr>
                <w:sz w:val="1"/>
                <w:szCs w:val="1"/>
                <w:color w:val="auto"/>
              </w:rPr>
            </w:pPr>
          </w:p>
        </w:tc>
      </w:tr>
      <w:tr>
        <w:trPr>
          <w:trHeight w:val="266"/>
        </w:trPr>
        <w:tc>
          <w:tcPr>
            <w:tcW w:w="20" w:type="dxa"/>
            <w:vAlign w:val="bottom"/>
            <w:tcBorders>
              <w:bottom w:val="single" w:sz="8" w:color="DCE2EF"/>
            </w:tcBorders>
          </w:tcPr>
          <w:p>
            <w:pPr>
              <w:spacing w:after="0"/>
              <w:rPr>
                <w:sz w:val="23"/>
                <w:szCs w:val="23"/>
                <w:color w:val="auto"/>
              </w:rPr>
            </w:pPr>
          </w:p>
        </w:tc>
        <w:tc>
          <w:tcPr>
            <w:tcW w:w="5120" w:type="dxa"/>
            <w:vAlign w:val="bottom"/>
            <w:tcBorders>
              <w:bottom w:val="single" w:sz="8" w:color="DCE2EF"/>
            </w:tcBorders>
            <w:gridSpan w:val="2"/>
          </w:tcPr>
          <w:p>
            <w:pPr>
              <w:ind w:left="360"/>
              <w:spacing w:after="0"/>
              <w:rPr>
                <w:sz w:val="20"/>
                <w:szCs w:val="20"/>
                <w:color w:val="auto"/>
              </w:rPr>
            </w:pPr>
            <w:r>
              <w:rPr>
                <w:rFonts w:ascii="Arial" w:cs="Arial" w:eastAsia="Arial" w:hAnsi="Arial"/>
                <w:sz w:val="16"/>
                <w:szCs w:val="16"/>
                <w:color w:val="auto"/>
              </w:rPr>
              <w:t>Income (loss) from discontinued operations</w:t>
            </w:r>
          </w:p>
        </w:tc>
        <w:tc>
          <w:tcPr>
            <w:tcW w:w="260" w:type="dxa"/>
            <w:vAlign w:val="bottom"/>
            <w:tcBorders>
              <w:bottom w:val="single" w:sz="8" w:color="auto"/>
            </w:tcBorders>
          </w:tcPr>
          <w:p>
            <w:pPr>
              <w:spacing w:after="0"/>
              <w:rPr>
                <w:sz w:val="23"/>
                <w:szCs w:val="23"/>
                <w:color w:val="auto"/>
              </w:rPr>
            </w:pPr>
          </w:p>
        </w:tc>
        <w:tc>
          <w:tcPr>
            <w:tcW w:w="124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color w:val="auto"/>
              </w:rPr>
              <w:t>0.02</w:t>
            </w:r>
          </w:p>
        </w:tc>
        <w:tc>
          <w:tcPr>
            <w:tcW w:w="120" w:type="dxa"/>
            <w:vAlign w:val="bottom"/>
            <w:tcBorders>
              <w:bottom w:val="single" w:sz="8" w:color="DCE2EF"/>
            </w:tcBorders>
          </w:tcPr>
          <w:p>
            <w:pPr>
              <w:spacing w:after="0"/>
              <w:rPr>
                <w:sz w:val="23"/>
                <w:szCs w:val="23"/>
                <w:color w:val="auto"/>
              </w:rPr>
            </w:pPr>
          </w:p>
        </w:tc>
        <w:tc>
          <w:tcPr>
            <w:tcW w:w="340" w:type="dxa"/>
            <w:vAlign w:val="bottom"/>
            <w:tcBorders>
              <w:bottom w:val="single" w:sz="8" w:color="auto"/>
            </w:tcBorders>
          </w:tcPr>
          <w:p>
            <w:pPr>
              <w:spacing w:after="0"/>
              <w:rPr>
                <w:sz w:val="23"/>
                <w:szCs w:val="23"/>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(0.01)</w:t>
            </w:r>
          </w:p>
        </w:tc>
        <w:tc>
          <w:tcPr>
            <w:tcW w:w="100" w:type="dxa"/>
            <w:vAlign w:val="bottom"/>
            <w:tcBorders>
              <w:bottom w:val="single" w:sz="8" w:color="DCE2EF"/>
            </w:tcBorders>
          </w:tcPr>
          <w:p>
            <w:pPr>
              <w:spacing w:after="0"/>
              <w:rPr>
                <w:sz w:val="23"/>
                <w:szCs w:val="23"/>
                <w:color w:val="auto"/>
              </w:rPr>
            </w:pPr>
          </w:p>
        </w:tc>
        <w:tc>
          <w:tcPr>
            <w:tcW w:w="320" w:type="dxa"/>
            <w:vAlign w:val="bottom"/>
            <w:tcBorders>
              <w:bottom w:val="single" w:sz="8" w:color="auto"/>
            </w:tcBorders>
          </w:tcPr>
          <w:p>
            <w:pPr>
              <w:spacing w:after="0"/>
              <w:rPr>
                <w:sz w:val="23"/>
                <w:szCs w:val="23"/>
                <w:color w:val="auto"/>
              </w:rPr>
            </w:pPr>
          </w:p>
        </w:tc>
        <w:tc>
          <w:tcPr>
            <w:tcW w:w="116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color w:val="auto"/>
              </w:rPr>
              <w:t>0.02</w:t>
            </w:r>
          </w:p>
        </w:tc>
        <w:tc>
          <w:tcPr>
            <w:tcW w:w="100" w:type="dxa"/>
            <w:vAlign w:val="bottom"/>
            <w:tcBorders>
              <w:bottom w:val="single" w:sz="8" w:color="DCE2EF"/>
            </w:tcBorders>
          </w:tcPr>
          <w:p>
            <w:pPr>
              <w:spacing w:after="0"/>
              <w:rPr>
                <w:sz w:val="23"/>
                <w:szCs w:val="23"/>
                <w:color w:val="auto"/>
              </w:rPr>
            </w:pPr>
          </w:p>
        </w:tc>
        <w:tc>
          <w:tcPr>
            <w:tcW w:w="340" w:type="dxa"/>
            <w:vAlign w:val="bottom"/>
            <w:tcBorders>
              <w:bottom w:val="single" w:sz="8" w:color="auto"/>
            </w:tcBorders>
          </w:tcPr>
          <w:p>
            <w:pPr>
              <w:spacing w:after="0"/>
              <w:rPr>
                <w:sz w:val="23"/>
                <w:szCs w:val="23"/>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(1.31)</w:t>
            </w:r>
          </w:p>
        </w:tc>
        <w:tc>
          <w:tcPr>
            <w:tcW w:w="0" w:type="dxa"/>
            <w:vAlign w:val="bottom"/>
          </w:tcPr>
          <w:p>
            <w:pPr>
              <w:spacing w:after="0"/>
              <w:rPr>
                <w:sz w:val="1"/>
                <w:szCs w:val="1"/>
                <w:color w:val="auto"/>
              </w:rPr>
            </w:pPr>
          </w:p>
        </w:tc>
      </w:tr>
      <w:tr>
        <w:trPr>
          <w:trHeight w:val="241"/>
        </w:trPr>
        <w:tc>
          <w:tcPr>
            <w:tcW w:w="20" w:type="dxa"/>
            <w:vAlign w:val="bottom"/>
            <w:tcBorders>
              <w:bottom w:val="single" w:sz="8" w:color="DCE2EF"/>
            </w:tcBorders>
            <w:shd w:val="clear" w:color="auto" w:fill="DCE2EF"/>
          </w:tcPr>
          <w:p>
            <w:pPr>
              <w:spacing w:after="0"/>
              <w:rPr>
                <w:sz w:val="20"/>
                <w:szCs w:val="20"/>
                <w:color w:val="auto"/>
              </w:rPr>
            </w:pPr>
          </w:p>
        </w:tc>
        <w:tc>
          <w:tcPr>
            <w:tcW w:w="5120" w:type="dxa"/>
            <w:vAlign w:val="bottom"/>
            <w:tcBorders>
              <w:bottom w:val="single" w:sz="8" w:color="DCE2EF"/>
            </w:tcBorders>
            <w:gridSpan w:val="2"/>
            <w:shd w:val="clear" w:color="auto" w:fill="DCE2EF"/>
          </w:tcPr>
          <w:p>
            <w:pPr>
              <w:ind w:left="360"/>
              <w:spacing w:after="0"/>
              <w:rPr>
                <w:sz w:val="20"/>
                <w:szCs w:val="20"/>
                <w:color w:val="auto"/>
              </w:rPr>
            </w:pPr>
            <w:r>
              <w:rPr>
                <w:rFonts w:ascii="Arial" w:cs="Arial" w:eastAsia="Arial" w:hAnsi="Arial"/>
                <w:sz w:val="16"/>
                <w:szCs w:val="16"/>
                <w:color w:val="auto"/>
              </w:rPr>
              <w:t>Net income (loss)</w:t>
            </w:r>
          </w:p>
        </w:tc>
        <w:tc>
          <w:tcPr>
            <w:tcW w:w="260" w:type="dxa"/>
            <w:vAlign w:val="bottom"/>
            <w:tcBorders>
              <w:bottom w:val="single" w:sz="8" w:color="auto"/>
            </w:tcBorders>
            <w:shd w:val="clear" w:color="auto" w:fill="DCE2EF"/>
          </w:tcPr>
          <w:p>
            <w:pPr>
              <w:jc w:val="right"/>
              <w:ind w:right="81"/>
              <w:spacing w:after="0"/>
              <w:rPr>
                <w:sz w:val="20"/>
                <w:szCs w:val="20"/>
                <w:color w:val="auto"/>
              </w:rPr>
            </w:pPr>
            <w:r>
              <w:rPr>
                <w:rFonts w:ascii="Arial" w:cs="Arial" w:eastAsia="Arial" w:hAnsi="Arial"/>
                <w:sz w:val="16"/>
                <w:szCs w:val="16"/>
                <w:color w:val="auto"/>
                <w:w w:val="89"/>
              </w:rPr>
              <w:t>$</w:t>
            </w:r>
          </w:p>
        </w:tc>
        <w:tc>
          <w:tcPr>
            <w:tcW w:w="1240" w:type="dxa"/>
            <w:vAlign w:val="bottom"/>
            <w:tcBorders>
              <w:bottom w:val="single" w:sz="8" w:color="auto"/>
            </w:tcBorders>
            <w:shd w:val="clear" w:color="auto" w:fill="DCE2EF"/>
          </w:tcPr>
          <w:p>
            <w:pPr>
              <w:jc w:val="right"/>
              <w:ind w:right="41"/>
              <w:spacing w:after="0"/>
              <w:rPr>
                <w:sz w:val="20"/>
                <w:szCs w:val="20"/>
                <w:color w:val="auto"/>
              </w:rPr>
            </w:pPr>
            <w:r>
              <w:rPr>
                <w:rFonts w:ascii="Arial" w:cs="Arial" w:eastAsia="Arial" w:hAnsi="Arial"/>
                <w:sz w:val="16"/>
                <w:szCs w:val="16"/>
                <w:color w:val="auto"/>
              </w:rPr>
              <w:t>0.40</w:t>
            </w:r>
          </w:p>
        </w:tc>
        <w:tc>
          <w:tcPr>
            <w:tcW w:w="120" w:type="dxa"/>
            <w:vAlign w:val="bottom"/>
            <w:tcBorders>
              <w:bottom w:val="single" w:sz="8" w:color="DCE2EF"/>
            </w:tcBorders>
            <w:shd w:val="clear" w:color="auto" w:fill="DCE2EF"/>
          </w:tcPr>
          <w:p>
            <w:pPr>
              <w:spacing w:after="0"/>
              <w:rPr>
                <w:sz w:val="20"/>
                <w:szCs w:val="20"/>
                <w:color w:val="auto"/>
              </w:rPr>
            </w:pPr>
          </w:p>
        </w:tc>
        <w:tc>
          <w:tcPr>
            <w:tcW w:w="340" w:type="dxa"/>
            <w:vAlign w:val="bottom"/>
            <w:tcBorders>
              <w:bottom w:val="single" w:sz="8" w:color="auto"/>
            </w:tcBorders>
            <w:shd w:val="clear" w:color="auto" w:fill="DCE2EF"/>
          </w:tcPr>
          <w:p>
            <w:pPr>
              <w:jc w:val="right"/>
              <w:ind w:right="141"/>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auto"/>
            </w:tcBorders>
            <w:shd w:val="clear" w:color="auto" w:fill="DCE2EF"/>
          </w:tcPr>
          <w:p>
            <w:pPr>
              <w:jc w:val="right"/>
              <w:ind w:right="41"/>
              <w:spacing w:after="0"/>
              <w:rPr>
                <w:sz w:val="20"/>
                <w:szCs w:val="20"/>
                <w:color w:val="auto"/>
              </w:rPr>
            </w:pPr>
            <w:r>
              <w:rPr>
                <w:rFonts w:ascii="Arial" w:cs="Arial" w:eastAsia="Arial" w:hAnsi="Arial"/>
                <w:sz w:val="16"/>
                <w:szCs w:val="16"/>
                <w:color w:val="auto"/>
              </w:rPr>
              <w:t>0.56</w:t>
            </w:r>
          </w:p>
        </w:tc>
        <w:tc>
          <w:tcPr>
            <w:tcW w:w="100" w:type="dxa"/>
            <w:vAlign w:val="bottom"/>
            <w:tcBorders>
              <w:bottom w:val="single" w:sz="8" w:color="DCE2EF"/>
            </w:tcBorders>
            <w:shd w:val="clear" w:color="auto" w:fill="DCE2EF"/>
          </w:tcPr>
          <w:p>
            <w:pPr>
              <w:spacing w:after="0"/>
              <w:rPr>
                <w:sz w:val="20"/>
                <w:szCs w:val="20"/>
                <w:color w:val="auto"/>
              </w:rPr>
            </w:pPr>
          </w:p>
        </w:tc>
        <w:tc>
          <w:tcPr>
            <w:tcW w:w="320" w:type="dxa"/>
            <w:vAlign w:val="bottom"/>
            <w:tcBorders>
              <w:bottom w:val="single" w:sz="8" w:color="auto"/>
            </w:tcBorders>
            <w:shd w:val="clear" w:color="auto" w:fill="DCE2EF"/>
          </w:tcPr>
          <w:p>
            <w:pPr>
              <w:jc w:val="right"/>
              <w:ind w:right="121"/>
              <w:spacing w:after="0"/>
              <w:rPr>
                <w:sz w:val="20"/>
                <w:szCs w:val="20"/>
                <w:color w:val="auto"/>
              </w:rPr>
            </w:pPr>
            <w:r>
              <w:rPr>
                <w:rFonts w:ascii="Arial" w:cs="Arial" w:eastAsia="Arial" w:hAnsi="Arial"/>
                <w:sz w:val="16"/>
                <w:szCs w:val="16"/>
                <w:color w:val="auto"/>
              </w:rPr>
              <w:t>$</w:t>
            </w:r>
          </w:p>
        </w:tc>
        <w:tc>
          <w:tcPr>
            <w:tcW w:w="1160" w:type="dxa"/>
            <w:vAlign w:val="bottom"/>
            <w:tcBorders>
              <w:bottom w:val="single" w:sz="8" w:color="auto"/>
            </w:tcBorders>
            <w:shd w:val="clear" w:color="auto" w:fill="DCE2EF"/>
          </w:tcPr>
          <w:p>
            <w:pPr>
              <w:jc w:val="right"/>
              <w:ind w:right="41"/>
              <w:spacing w:after="0"/>
              <w:rPr>
                <w:sz w:val="20"/>
                <w:szCs w:val="20"/>
                <w:color w:val="auto"/>
              </w:rPr>
            </w:pPr>
            <w:r>
              <w:rPr>
                <w:rFonts w:ascii="Arial" w:cs="Arial" w:eastAsia="Arial" w:hAnsi="Arial"/>
                <w:sz w:val="16"/>
                <w:szCs w:val="16"/>
                <w:color w:val="auto"/>
              </w:rPr>
              <w:t>0.83</w:t>
            </w:r>
          </w:p>
        </w:tc>
        <w:tc>
          <w:tcPr>
            <w:tcW w:w="100" w:type="dxa"/>
            <w:vAlign w:val="bottom"/>
            <w:tcBorders>
              <w:bottom w:val="single" w:sz="8" w:color="DCE2EF"/>
            </w:tcBorders>
            <w:shd w:val="clear" w:color="auto" w:fill="DCE2EF"/>
          </w:tcPr>
          <w:p>
            <w:pPr>
              <w:spacing w:after="0"/>
              <w:rPr>
                <w:sz w:val="20"/>
                <w:szCs w:val="20"/>
                <w:color w:val="auto"/>
              </w:rPr>
            </w:pPr>
          </w:p>
        </w:tc>
        <w:tc>
          <w:tcPr>
            <w:tcW w:w="340" w:type="dxa"/>
            <w:vAlign w:val="bottom"/>
            <w:tcBorders>
              <w:bottom w:val="single" w:sz="8" w:color="auto"/>
            </w:tcBorders>
            <w:shd w:val="clear" w:color="auto" w:fill="DCE2EF"/>
          </w:tcPr>
          <w:p>
            <w:pPr>
              <w:jc w:val="right"/>
              <w:ind w:right="141"/>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auto"/>
            </w:tcBorders>
            <w:shd w:val="clear" w:color="auto" w:fill="DCE2EF"/>
          </w:tcPr>
          <w:p>
            <w:pPr>
              <w:jc w:val="right"/>
              <w:spacing w:after="0"/>
              <w:rPr>
                <w:sz w:val="20"/>
                <w:szCs w:val="20"/>
                <w:color w:val="auto"/>
              </w:rPr>
            </w:pPr>
            <w:r>
              <w:rPr>
                <w:rFonts w:ascii="Arial" w:cs="Arial" w:eastAsia="Arial" w:hAnsi="Arial"/>
                <w:sz w:val="16"/>
                <w:szCs w:val="16"/>
                <w:color w:val="auto"/>
              </w:rPr>
              <w:t>(0.46)</w:t>
            </w:r>
          </w:p>
        </w:tc>
        <w:tc>
          <w:tcPr>
            <w:tcW w:w="0" w:type="dxa"/>
            <w:vAlign w:val="bottom"/>
          </w:tcPr>
          <w:p>
            <w:pPr>
              <w:spacing w:after="0"/>
              <w:rPr>
                <w:sz w:val="1"/>
                <w:szCs w:val="1"/>
                <w:color w:val="auto"/>
              </w:rPr>
            </w:pPr>
          </w:p>
        </w:tc>
      </w:tr>
      <w:tr>
        <w:trPr>
          <w:trHeight w:val="20"/>
        </w:trPr>
        <w:tc>
          <w:tcPr>
            <w:tcW w:w="5140" w:type="dxa"/>
            <w:vAlign w:val="bottom"/>
            <w:gridSpan w:val="3"/>
            <w:vMerge w:val="restart"/>
          </w:tcPr>
          <w:p>
            <w:pPr>
              <w:ind w:left="20"/>
              <w:spacing w:after="0"/>
              <w:rPr>
                <w:sz w:val="20"/>
                <w:szCs w:val="20"/>
                <w:color w:val="auto"/>
              </w:rPr>
            </w:pPr>
            <w:r>
              <w:rPr>
                <w:rFonts w:ascii="Arial" w:cs="Arial" w:eastAsia="Arial" w:hAnsi="Arial"/>
                <w:sz w:val="16"/>
                <w:szCs w:val="16"/>
                <w:b w:val="1"/>
                <w:bCs w:val="1"/>
                <w:color w:val="auto"/>
              </w:rPr>
              <w:t>Net income (loss) per common share — Diluted</w:t>
            </w:r>
          </w:p>
        </w:tc>
        <w:tc>
          <w:tcPr>
            <w:tcW w:w="2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7"/>
        </w:trPr>
        <w:tc>
          <w:tcPr>
            <w:tcW w:w="5140" w:type="dxa"/>
            <w:vAlign w:val="bottom"/>
            <w:gridSpan w:val="3"/>
            <w:vMerge w:val="continue"/>
          </w:tcPr>
          <w:p>
            <w:pPr>
              <w:spacing w:after="0"/>
              <w:rPr>
                <w:sz w:val="21"/>
                <w:szCs w:val="21"/>
                <w:color w:val="auto"/>
              </w:rPr>
            </w:pPr>
          </w:p>
        </w:tc>
        <w:tc>
          <w:tcPr>
            <w:tcW w:w="26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4"/>
        </w:trPr>
        <w:tc>
          <w:tcPr>
            <w:tcW w:w="20" w:type="dxa"/>
            <w:vAlign w:val="bottom"/>
            <w:shd w:val="clear" w:color="auto" w:fill="DCE2EF"/>
          </w:tcPr>
          <w:p>
            <w:pPr>
              <w:spacing w:after="0"/>
              <w:rPr>
                <w:sz w:val="23"/>
                <w:szCs w:val="23"/>
                <w:color w:val="auto"/>
              </w:rPr>
            </w:pPr>
          </w:p>
        </w:tc>
        <w:tc>
          <w:tcPr>
            <w:tcW w:w="5120" w:type="dxa"/>
            <w:vAlign w:val="bottom"/>
            <w:gridSpan w:val="2"/>
            <w:shd w:val="clear" w:color="auto" w:fill="DCE2EF"/>
          </w:tcPr>
          <w:p>
            <w:pPr>
              <w:ind w:left="360"/>
              <w:spacing w:after="0"/>
              <w:rPr>
                <w:sz w:val="20"/>
                <w:szCs w:val="20"/>
                <w:color w:val="auto"/>
              </w:rPr>
            </w:pPr>
            <w:r>
              <w:rPr>
                <w:rFonts w:ascii="Arial" w:cs="Arial" w:eastAsia="Arial" w:hAnsi="Arial"/>
                <w:sz w:val="16"/>
                <w:szCs w:val="16"/>
                <w:color w:val="auto"/>
              </w:rPr>
              <w:t>Income from continuing operations</w:t>
            </w:r>
          </w:p>
        </w:tc>
        <w:tc>
          <w:tcPr>
            <w:tcW w:w="260" w:type="dxa"/>
            <w:vAlign w:val="bottom"/>
            <w:shd w:val="clear" w:color="auto" w:fill="DCE2EF"/>
          </w:tcPr>
          <w:p>
            <w:pPr>
              <w:jc w:val="right"/>
              <w:ind w:right="81"/>
              <w:spacing w:after="0"/>
              <w:rPr>
                <w:sz w:val="20"/>
                <w:szCs w:val="20"/>
                <w:color w:val="auto"/>
              </w:rPr>
            </w:pPr>
            <w:r>
              <w:rPr>
                <w:rFonts w:ascii="Arial" w:cs="Arial" w:eastAsia="Arial" w:hAnsi="Arial"/>
                <w:sz w:val="16"/>
                <w:szCs w:val="16"/>
                <w:color w:val="auto"/>
                <w:w w:val="89"/>
              </w:rPr>
              <w:t>$</w:t>
            </w:r>
          </w:p>
        </w:tc>
        <w:tc>
          <w:tcPr>
            <w:tcW w:w="1240" w:type="dxa"/>
            <w:vAlign w:val="bottom"/>
            <w:shd w:val="clear" w:color="auto" w:fill="DCE2EF"/>
          </w:tcPr>
          <w:p>
            <w:pPr>
              <w:jc w:val="right"/>
              <w:ind w:right="41"/>
              <w:spacing w:after="0"/>
              <w:rPr>
                <w:sz w:val="20"/>
                <w:szCs w:val="20"/>
                <w:color w:val="auto"/>
              </w:rPr>
            </w:pPr>
            <w:r>
              <w:rPr>
                <w:rFonts w:ascii="Arial" w:cs="Arial" w:eastAsia="Arial" w:hAnsi="Arial"/>
                <w:sz w:val="16"/>
                <w:szCs w:val="16"/>
                <w:color w:val="auto"/>
              </w:rPr>
              <w:t>0.38</w:t>
            </w:r>
          </w:p>
        </w:tc>
        <w:tc>
          <w:tcPr>
            <w:tcW w:w="120" w:type="dxa"/>
            <w:vAlign w:val="bottom"/>
            <w:shd w:val="clear" w:color="auto" w:fill="DCE2EF"/>
          </w:tcPr>
          <w:p>
            <w:pPr>
              <w:spacing w:after="0"/>
              <w:rPr>
                <w:sz w:val="23"/>
                <w:szCs w:val="23"/>
                <w:color w:val="auto"/>
              </w:rPr>
            </w:pPr>
          </w:p>
        </w:tc>
        <w:tc>
          <w:tcPr>
            <w:tcW w:w="340" w:type="dxa"/>
            <w:vAlign w:val="bottom"/>
            <w:shd w:val="clear" w:color="auto" w:fill="DCE2EF"/>
          </w:tcPr>
          <w:p>
            <w:pPr>
              <w:jc w:val="right"/>
              <w:ind w:right="141"/>
              <w:spacing w:after="0"/>
              <w:rPr>
                <w:sz w:val="20"/>
                <w:szCs w:val="20"/>
                <w:color w:val="auto"/>
              </w:rPr>
            </w:pPr>
            <w:r>
              <w:rPr>
                <w:rFonts w:ascii="Arial" w:cs="Arial" w:eastAsia="Arial" w:hAnsi="Arial"/>
                <w:sz w:val="16"/>
                <w:szCs w:val="16"/>
                <w:color w:val="auto"/>
              </w:rPr>
              <w:t>$</w:t>
            </w:r>
          </w:p>
        </w:tc>
        <w:tc>
          <w:tcPr>
            <w:tcW w:w="1140" w:type="dxa"/>
            <w:vAlign w:val="bottom"/>
            <w:shd w:val="clear" w:color="auto" w:fill="DCE2EF"/>
          </w:tcPr>
          <w:p>
            <w:pPr>
              <w:jc w:val="right"/>
              <w:ind w:right="41"/>
              <w:spacing w:after="0"/>
              <w:rPr>
                <w:sz w:val="20"/>
                <w:szCs w:val="20"/>
                <w:color w:val="auto"/>
              </w:rPr>
            </w:pPr>
            <w:r>
              <w:rPr>
                <w:rFonts w:ascii="Arial" w:cs="Arial" w:eastAsia="Arial" w:hAnsi="Arial"/>
                <w:sz w:val="16"/>
                <w:szCs w:val="16"/>
                <w:color w:val="auto"/>
              </w:rPr>
              <w:t>0.56</w:t>
            </w:r>
          </w:p>
        </w:tc>
        <w:tc>
          <w:tcPr>
            <w:tcW w:w="100" w:type="dxa"/>
            <w:vAlign w:val="bottom"/>
            <w:shd w:val="clear" w:color="auto" w:fill="DCE2EF"/>
          </w:tcPr>
          <w:p>
            <w:pPr>
              <w:spacing w:after="0"/>
              <w:rPr>
                <w:sz w:val="23"/>
                <w:szCs w:val="23"/>
                <w:color w:val="auto"/>
              </w:rPr>
            </w:pPr>
          </w:p>
        </w:tc>
        <w:tc>
          <w:tcPr>
            <w:tcW w:w="320" w:type="dxa"/>
            <w:vAlign w:val="bottom"/>
            <w:shd w:val="clear" w:color="auto" w:fill="DCE2EF"/>
          </w:tcPr>
          <w:p>
            <w:pPr>
              <w:jc w:val="right"/>
              <w:ind w:right="121"/>
              <w:spacing w:after="0"/>
              <w:rPr>
                <w:sz w:val="20"/>
                <w:szCs w:val="20"/>
                <w:color w:val="auto"/>
              </w:rPr>
            </w:pPr>
            <w:r>
              <w:rPr>
                <w:rFonts w:ascii="Arial" w:cs="Arial" w:eastAsia="Arial" w:hAnsi="Arial"/>
                <w:sz w:val="16"/>
                <w:szCs w:val="16"/>
                <w:color w:val="auto"/>
              </w:rPr>
              <w:t>$</w:t>
            </w:r>
          </w:p>
        </w:tc>
        <w:tc>
          <w:tcPr>
            <w:tcW w:w="1160" w:type="dxa"/>
            <w:vAlign w:val="bottom"/>
            <w:shd w:val="clear" w:color="auto" w:fill="DCE2EF"/>
          </w:tcPr>
          <w:p>
            <w:pPr>
              <w:jc w:val="right"/>
              <w:ind w:right="41"/>
              <w:spacing w:after="0"/>
              <w:rPr>
                <w:sz w:val="20"/>
                <w:szCs w:val="20"/>
                <w:color w:val="auto"/>
              </w:rPr>
            </w:pPr>
            <w:r>
              <w:rPr>
                <w:rFonts w:ascii="Arial" w:cs="Arial" w:eastAsia="Arial" w:hAnsi="Arial"/>
                <w:sz w:val="16"/>
                <w:szCs w:val="16"/>
                <w:color w:val="auto"/>
              </w:rPr>
              <w:t>0.80</w:t>
            </w:r>
          </w:p>
        </w:tc>
        <w:tc>
          <w:tcPr>
            <w:tcW w:w="100" w:type="dxa"/>
            <w:vAlign w:val="bottom"/>
            <w:shd w:val="clear" w:color="auto" w:fill="DCE2EF"/>
          </w:tcPr>
          <w:p>
            <w:pPr>
              <w:spacing w:after="0"/>
              <w:rPr>
                <w:sz w:val="23"/>
                <w:szCs w:val="23"/>
                <w:color w:val="auto"/>
              </w:rPr>
            </w:pPr>
          </w:p>
        </w:tc>
        <w:tc>
          <w:tcPr>
            <w:tcW w:w="340" w:type="dxa"/>
            <w:vAlign w:val="bottom"/>
            <w:shd w:val="clear" w:color="auto" w:fill="DCE2EF"/>
          </w:tcPr>
          <w:p>
            <w:pPr>
              <w:jc w:val="right"/>
              <w:ind w:right="141"/>
              <w:spacing w:after="0"/>
              <w:rPr>
                <w:sz w:val="20"/>
                <w:szCs w:val="20"/>
                <w:color w:val="auto"/>
              </w:rPr>
            </w:pPr>
            <w:r>
              <w:rPr>
                <w:rFonts w:ascii="Arial" w:cs="Arial" w:eastAsia="Arial" w:hAnsi="Arial"/>
                <w:sz w:val="16"/>
                <w:szCs w:val="16"/>
                <w:color w:val="auto"/>
              </w:rPr>
              <w:t>$</w:t>
            </w:r>
          </w:p>
        </w:tc>
        <w:tc>
          <w:tcPr>
            <w:tcW w:w="1140" w:type="dxa"/>
            <w:vAlign w:val="bottom"/>
            <w:shd w:val="clear" w:color="auto" w:fill="DCE2EF"/>
          </w:tcPr>
          <w:p>
            <w:pPr>
              <w:jc w:val="right"/>
              <w:ind w:right="41"/>
              <w:spacing w:after="0"/>
              <w:rPr>
                <w:sz w:val="20"/>
                <w:szCs w:val="20"/>
                <w:color w:val="auto"/>
              </w:rPr>
            </w:pPr>
            <w:r>
              <w:rPr>
                <w:rFonts w:ascii="Arial" w:cs="Arial" w:eastAsia="Arial" w:hAnsi="Arial"/>
                <w:sz w:val="16"/>
                <w:szCs w:val="16"/>
                <w:color w:val="auto"/>
              </w:rPr>
              <w:t>0.84</w:t>
            </w:r>
          </w:p>
        </w:tc>
        <w:tc>
          <w:tcPr>
            <w:tcW w:w="0" w:type="dxa"/>
            <w:vAlign w:val="bottom"/>
          </w:tcPr>
          <w:p>
            <w:pPr>
              <w:spacing w:after="0"/>
              <w:rPr>
                <w:sz w:val="1"/>
                <w:szCs w:val="1"/>
                <w:color w:val="auto"/>
              </w:rPr>
            </w:pPr>
          </w:p>
        </w:tc>
      </w:tr>
      <w:tr>
        <w:trPr>
          <w:trHeight w:val="266"/>
        </w:trPr>
        <w:tc>
          <w:tcPr>
            <w:tcW w:w="20" w:type="dxa"/>
            <w:vAlign w:val="bottom"/>
            <w:tcBorders>
              <w:bottom w:val="single" w:sz="8" w:color="DCE2EF"/>
            </w:tcBorders>
          </w:tcPr>
          <w:p>
            <w:pPr>
              <w:spacing w:after="0"/>
              <w:rPr>
                <w:sz w:val="23"/>
                <w:szCs w:val="23"/>
                <w:color w:val="auto"/>
              </w:rPr>
            </w:pPr>
          </w:p>
        </w:tc>
        <w:tc>
          <w:tcPr>
            <w:tcW w:w="5120" w:type="dxa"/>
            <w:vAlign w:val="bottom"/>
            <w:tcBorders>
              <w:bottom w:val="single" w:sz="8" w:color="DCE2EF"/>
            </w:tcBorders>
            <w:gridSpan w:val="2"/>
          </w:tcPr>
          <w:p>
            <w:pPr>
              <w:ind w:left="360"/>
              <w:spacing w:after="0"/>
              <w:rPr>
                <w:sz w:val="20"/>
                <w:szCs w:val="20"/>
                <w:color w:val="auto"/>
              </w:rPr>
            </w:pPr>
            <w:r>
              <w:rPr>
                <w:rFonts w:ascii="Arial" w:cs="Arial" w:eastAsia="Arial" w:hAnsi="Arial"/>
                <w:sz w:val="16"/>
                <w:szCs w:val="16"/>
                <w:color w:val="auto"/>
              </w:rPr>
              <w:t>Income (loss) from discontinued operations</w:t>
            </w:r>
          </w:p>
        </w:tc>
        <w:tc>
          <w:tcPr>
            <w:tcW w:w="260" w:type="dxa"/>
            <w:vAlign w:val="bottom"/>
            <w:tcBorders>
              <w:bottom w:val="single" w:sz="8" w:color="auto"/>
            </w:tcBorders>
          </w:tcPr>
          <w:p>
            <w:pPr>
              <w:spacing w:after="0"/>
              <w:rPr>
                <w:sz w:val="23"/>
                <w:szCs w:val="23"/>
                <w:color w:val="auto"/>
              </w:rPr>
            </w:pPr>
          </w:p>
        </w:tc>
        <w:tc>
          <w:tcPr>
            <w:tcW w:w="124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color w:val="auto"/>
              </w:rPr>
              <w:t>0.02</w:t>
            </w:r>
          </w:p>
        </w:tc>
        <w:tc>
          <w:tcPr>
            <w:tcW w:w="120" w:type="dxa"/>
            <w:vAlign w:val="bottom"/>
            <w:tcBorders>
              <w:bottom w:val="single" w:sz="8" w:color="DCE2EF"/>
            </w:tcBorders>
          </w:tcPr>
          <w:p>
            <w:pPr>
              <w:spacing w:after="0"/>
              <w:rPr>
                <w:sz w:val="23"/>
                <w:szCs w:val="23"/>
                <w:color w:val="auto"/>
              </w:rPr>
            </w:pPr>
          </w:p>
        </w:tc>
        <w:tc>
          <w:tcPr>
            <w:tcW w:w="340" w:type="dxa"/>
            <w:vAlign w:val="bottom"/>
            <w:tcBorders>
              <w:bottom w:val="single" w:sz="8" w:color="auto"/>
            </w:tcBorders>
          </w:tcPr>
          <w:p>
            <w:pPr>
              <w:spacing w:after="0"/>
              <w:rPr>
                <w:sz w:val="23"/>
                <w:szCs w:val="23"/>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(0.01)</w:t>
            </w:r>
          </w:p>
        </w:tc>
        <w:tc>
          <w:tcPr>
            <w:tcW w:w="100" w:type="dxa"/>
            <w:vAlign w:val="bottom"/>
            <w:tcBorders>
              <w:bottom w:val="single" w:sz="8" w:color="DCE2EF"/>
            </w:tcBorders>
          </w:tcPr>
          <w:p>
            <w:pPr>
              <w:spacing w:after="0"/>
              <w:rPr>
                <w:sz w:val="23"/>
                <w:szCs w:val="23"/>
                <w:color w:val="auto"/>
              </w:rPr>
            </w:pPr>
          </w:p>
        </w:tc>
        <w:tc>
          <w:tcPr>
            <w:tcW w:w="320" w:type="dxa"/>
            <w:vAlign w:val="bottom"/>
            <w:tcBorders>
              <w:bottom w:val="single" w:sz="8" w:color="auto"/>
            </w:tcBorders>
          </w:tcPr>
          <w:p>
            <w:pPr>
              <w:spacing w:after="0"/>
              <w:rPr>
                <w:sz w:val="23"/>
                <w:szCs w:val="23"/>
                <w:color w:val="auto"/>
              </w:rPr>
            </w:pPr>
          </w:p>
        </w:tc>
        <w:tc>
          <w:tcPr>
            <w:tcW w:w="116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color w:val="auto"/>
              </w:rPr>
              <w:t>0.02</w:t>
            </w:r>
          </w:p>
        </w:tc>
        <w:tc>
          <w:tcPr>
            <w:tcW w:w="100" w:type="dxa"/>
            <w:vAlign w:val="bottom"/>
            <w:tcBorders>
              <w:bottom w:val="single" w:sz="8" w:color="DCE2EF"/>
            </w:tcBorders>
          </w:tcPr>
          <w:p>
            <w:pPr>
              <w:spacing w:after="0"/>
              <w:rPr>
                <w:sz w:val="23"/>
                <w:szCs w:val="23"/>
                <w:color w:val="auto"/>
              </w:rPr>
            </w:pPr>
          </w:p>
        </w:tc>
        <w:tc>
          <w:tcPr>
            <w:tcW w:w="340" w:type="dxa"/>
            <w:vAlign w:val="bottom"/>
            <w:tcBorders>
              <w:bottom w:val="single" w:sz="8" w:color="auto"/>
            </w:tcBorders>
          </w:tcPr>
          <w:p>
            <w:pPr>
              <w:spacing w:after="0"/>
              <w:rPr>
                <w:sz w:val="23"/>
                <w:szCs w:val="23"/>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(1.29)</w:t>
            </w:r>
          </w:p>
        </w:tc>
        <w:tc>
          <w:tcPr>
            <w:tcW w:w="0" w:type="dxa"/>
            <w:vAlign w:val="bottom"/>
          </w:tcPr>
          <w:p>
            <w:pPr>
              <w:spacing w:after="0"/>
              <w:rPr>
                <w:sz w:val="1"/>
                <w:szCs w:val="1"/>
                <w:color w:val="auto"/>
              </w:rPr>
            </w:pPr>
          </w:p>
        </w:tc>
      </w:tr>
      <w:tr>
        <w:trPr>
          <w:trHeight w:val="241"/>
        </w:trPr>
        <w:tc>
          <w:tcPr>
            <w:tcW w:w="20" w:type="dxa"/>
            <w:vAlign w:val="bottom"/>
            <w:tcBorders>
              <w:bottom w:val="single" w:sz="8" w:color="DCE2EF"/>
            </w:tcBorders>
            <w:shd w:val="clear" w:color="auto" w:fill="DCE2EF"/>
          </w:tcPr>
          <w:p>
            <w:pPr>
              <w:spacing w:after="0"/>
              <w:rPr>
                <w:sz w:val="20"/>
                <w:szCs w:val="20"/>
                <w:color w:val="auto"/>
              </w:rPr>
            </w:pPr>
          </w:p>
        </w:tc>
        <w:tc>
          <w:tcPr>
            <w:tcW w:w="5120" w:type="dxa"/>
            <w:vAlign w:val="bottom"/>
            <w:tcBorders>
              <w:bottom w:val="single" w:sz="8" w:color="DCE2EF"/>
            </w:tcBorders>
            <w:gridSpan w:val="2"/>
            <w:shd w:val="clear" w:color="auto" w:fill="DCE2EF"/>
          </w:tcPr>
          <w:p>
            <w:pPr>
              <w:ind w:left="360"/>
              <w:spacing w:after="0"/>
              <w:rPr>
                <w:sz w:val="20"/>
                <w:szCs w:val="20"/>
                <w:color w:val="auto"/>
              </w:rPr>
            </w:pPr>
            <w:r>
              <w:rPr>
                <w:rFonts w:ascii="Arial" w:cs="Arial" w:eastAsia="Arial" w:hAnsi="Arial"/>
                <w:sz w:val="16"/>
                <w:szCs w:val="16"/>
                <w:color w:val="auto"/>
              </w:rPr>
              <w:t>Net income (loss)</w:t>
            </w:r>
          </w:p>
        </w:tc>
        <w:tc>
          <w:tcPr>
            <w:tcW w:w="260" w:type="dxa"/>
            <w:vAlign w:val="bottom"/>
            <w:tcBorders>
              <w:bottom w:val="single" w:sz="8" w:color="auto"/>
            </w:tcBorders>
            <w:shd w:val="clear" w:color="auto" w:fill="DCE2EF"/>
          </w:tcPr>
          <w:p>
            <w:pPr>
              <w:jc w:val="right"/>
              <w:ind w:right="81"/>
              <w:spacing w:after="0"/>
              <w:rPr>
                <w:sz w:val="20"/>
                <w:szCs w:val="20"/>
                <w:color w:val="auto"/>
              </w:rPr>
            </w:pPr>
            <w:r>
              <w:rPr>
                <w:rFonts w:ascii="Arial" w:cs="Arial" w:eastAsia="Arial" w:hAnsi="Arial"/>
                <w:sz w:val="16"/>
                <w:szCs w:val="16"/>
                <w:color w:val="auto"/>
                <w:w w:val="89"/>
              </w:rPr>
              <w:t>$</w:t>
            </w:r>
          </w:p>
        </w:tc>
        <w:tc>
          <w:tcPr>
            <w:tcW w:w="1240" w:type="dxa"/>
            <w:vAlign w:val="bottom"/>
            <w:tcBorders>
              <w:bottom w:val="single" w:sz="8" w:color="auto"/>
            </w:tcBorders>
            <w:shd w:val="clear" w:color="auto" w:fill="DCE2EF"/>
          </w:tcPr>
          <w:p>
            <w:pPr>
              <w:jc w:val="right"/>
              <w:ind w:right="41"/>
              <w:spacing w:after="0"/>
              <w:rPr>
                <w:sz w:val="20"/>
                <w:szCs w:val="20"/>
                <w:color w:val="auto"/>
              </w:rPr>
            </w:pPr>
            <w:r>
              <w:rPr>
                <w:rFonts w:ascii="Arial" w:cs="Arial" w:eastAsia="Arial" w:hAnsi="Arial"/>
                <w:sz w:val="16"/>
                <w:szCs w:val="16"/>
                <w:color w:val="auto"/>
              </w:rPr>
              <w:t>0.40</w:t>
            </w:r>
          </w:p>
        </w:tc>
        <w:tc>
          <w:tcPr>
            <w:tcW w:w="120" w:type="dxa"/>
            <w:vAlign w:val="bottom"/>
            <w:tcBorders>
              <w:bottom w:val="single" w:sz="8" w:color="DCE2EF"/>
            </w:tcBorders>
            <w:shd w:val="clear" w:color="auto" w:fill="DCE2EF"/>
          </w:tcPr>
          <w:p>
            <w:pPr>
              <w:spacing w:after="0"/>
              <w:rPr>
                <w:sz w:val="20"/>
                <w:szCs w:val="20"/>
                <w:color w:val="auto"/>
              </w:rPr>
            </w:pPr>
          </w:p>
        </w:tc>
        <w:tc>
          <w:tcPr>
            <w:tcW w:w="340" w:type="dxa"/>
            <w:vAlign w:val="bottom"/>
            <w:tcBorders>
              <w:bottom w:val="single" w:sz="8" w:color="auto"/>
            </w:tcBorders>
            <w:shd w:val="clear" w:color="auto" w:fill="DCE2EF"/>
          </w:tcPr>
          <w:p>
            <w:pPr>
              <w:jc w:val="right"/>
              <w:ind w:right="141"/>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auto"/>
            </w:tcBorders>
            <w:shd w:val="clear" w:color="auto" w:fill="DCE2EF"/>
          </w:tcPr>
          <w:p>
            <w:pPr>
              <w:jc w:val="right"/>
              <w:ind w:right="41"/>
              <w:spacing w:after="0"/>
              <w:rPr>
                <w:sz w:val="20"/>
                <w:szCs w:val="20"/>
                <w:color w:val="auto"/>
              </w:rPr>
            </w:pPr>
            <w:r>
              <w:rPr>
                <w:rFonts w:ascii="Arial" w:cs="Arial" w:eastAsia="Arial" w:hAnsi="Arial"/>
                <w:sz w:val="16"/>
                <w:szCs w:val="16"/>
                <w:color w:val="auto"/>
              </w:rPr>
              <w:t>0.55</w:t>
            </w:r>
          </w:p>
        </w:tc>
        <w:tc>
          <w:tcPr>
            <w:tcW w:w="100" w:type="dxa"/>
            <w:vAlign w:val="bottom"/>
            <w:tcBorders>
              <w:bottom w:val="single" w:sz="8" w:color="DCE2EF"/>
            </w:tcBorders>
            <w:shd w:val="clear" w:color="auto" w:fill="DCE2EF"/>
          </w:tcPr>
          <w:p>
            <w:pPr>
              <w:spacing w:after="0"/>
              <w:rPr>
                <w:sz w:val="20"/>
                <w:szCs w:val="20"/>
                <w:color w:val="auto"/>
              </w:rPr>
            </w:pPr>
          </w:p>
        </w:tc>
        <w:tc>
          <w:tcPr>
            <w:tcW w:w="320" w:type="dxa"/>
            <w:vAlign w:val="bottom"/>
            <w:tcBorders>
              <w:bottom w:val="single" w:sz="8" w:color="auto"/>
            </w:tcBorders>
            <w:shd w:val="clear" w:color="auto" w:fill="DCE2EF"/>
          </w:tcPr>
          <w:p>
            <w:pPr>
              <w:jc w:val="right"/>
              <w:ind w:right="121"/>
              <w:spacing w:after="0"/>
              <w:rPr>
                <w:sz w:val="20"/>
                <w:szCs w:val="20"/>
                <w:color w:val="auto"/>
              </w:rPr>
            </w:pPr>
            <w:r>
              <w:rPr>
                <w:rFonts w:ascii="Arial" w:cs="Arial" w:eastAsia="Arial" w:hAnsi="Arial"/>
                <w:sz w:val="16"/>
                <w:szCs w:val="16"/>
                <w:color w:val="auto"/>
              </w:rPr>
              <w:t>$</w:t>
            </w:r>
          </w:p>
        </w:tc>
        <w:tc>
          <w:tcPr>
            <w:tcW w:w="1160" w:type="dxa"/>
            <w:vAlign w:val="bottom"/>
            <w:tcBorders>
              <w:bottom w:val="single" w:sz="8" w:color="auto"/>
            </w:tcBorders>
            <w:shd w:val="clear" w:color="auto" w:fill="DCE2EF"/>
          </w:tcPr>
          <w:p>
            <w:pPr>
              <w:jc w:val="right"/>
              <w:ind w:right="41"/>
              <w:spacing w:after="0"/>
              <w:rPr>
                <w:sz w:val="20"/>
                <w:szCs w:val="20"/>
                <w:color w:val="auto"/>
              </w:rPr>
            </w:pPr>
            <w:r>
              <w:rPr>
                <w:rFonts w:ascii="Arial" w:cs="Arial" w:eastAsia="Arial" w:hAnsi="Arial"/>
                <w:sz w:val="16"/>
                <w:szCs w:val="16"/>
                <w:color w:val="auto"/>
              </w:rPr>
              <w:t>0.82</w:t>
            </w:r>
          </w:p>
        </w:tc>
        <w:tc>
          <w:tcPr>
            <w:tcW w:w="100" w:type="dxa"/>
            <w:vAlign w:val="bottom"/>
            <w:tcBorders>
              <w:bottom w:val="single" w:sz="8" w:color="DCE2EF"/>
            </w:tcBorders>
            <w:shd w:val="clear" w:color="auto" w:fill="DCE2EF"/>
          </w:tcPr>
          <w:p>
            <w:pPr>
              <w:spacing w:after="0"/>
              <w:rPr>
                <w:sz w:val="20"/>
                <w:szCs w:val="20"/>
                <w:color w:val="auto"/>
              </w:rPr>
            </w:pPr>
          </w:p>
        </w:tc>
        <w:tc>
          <w:tcPr>
            <w:tcW w:w="340" w:type="dxa"/>
            <w:vAlign w:val="bottom"/>
            <w:tcBorders>
              <w:bottom w:val="single" w:sz="8" w:color="auto"/>
            </w:tcBorders>
            <w:shd w:val="clear" w:color="auto" w:fill="DCE2EF"/>
          </w:tcPr>
          <w:p>
            <w:pPr>
              <w:jc w:val="right"/>
              <w:ind w:right="141"/>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auto"/>
            </w:tcBorders>
            <w:shd w:val="clear" w:color="auto" w:fill="DCE2EF"/>
          </w:tcPr>
          <w:p>
            <w:pPr>
              <w:jc w:val="right"/>
              <w:spacing w:after="0"/>
              <w:rPr>
                <w:sz w:val="20"/>
                <w:szCs w:val="20"/>
                <w:color w:val="auto"/>
              </w:rPr>
            </w:pPr>
            <w:r>
              <w:rPr>
                <w:rFonts w:ascii="Arial" w:cs="Arial" w:eastAsia="Arial" w:hAnsi="Arial"/>
                <w:sz w:val="16"/>
                <w:szCs w:val="16"/>
                <w:color w:val="auto"/>
              </w:rPr>
              <w:t>(0.45)</w:t>
            </w:r>
          </w:p>
        </w:tc>
        <w:tc>
          <w:tcPr>
            <w:tcW w:w="0" w:type="dxa"/>
            <w:vAlign w:val="bottom"/>
          </w:tcPr>
          <w:p>
            <w:pPr>
              <w:spacing w:after="0"/>
              <w:rPr>
                <w:sz w:val="1"/>
                <w:szCs w:val="1"/>
                <w:color w:val="auto"/>
              </w:rPr>
            </w:pPr>
          </w:p>
        </w:tc>
      </w:tr>
      <w:tr>
        <w:trPr>
          <w:trHeight w:val="20"/>
        </w:trPr>
        <w:tc>
          <w:tcPr>
            <w:tcW w:w="5140" w:type="dxa"/>
            <w:vAlign w:val="bottom"/>
            <w:gridSpan w:val="3"/>
            <w:vMerge w:val="restart"/>
          </w:tcPr>
          <w:p>
            <w:pPr>
              <w:ind w:left="20"/>
              <w:spacing w:after="0" w:line="181" w:lineRule="exact"/>
              <w:rPr>
                <w:sz w:val="20"/>
                <w:szCs w:val="20"/>
                <w:color w:val="auto"/>
              </w:rPr>
            </w:pPr>
            <w:r>
              <w:rPr>
                <w:rFonts w:ascii="Arial" w:cs="Arial" w:eastAsia="Arial" w:hAnsi="Arial"/>
                <w:sz w:val="16"/>
                <w:szCs w:val="16"/>
                <w:b w:val="1"/>
                <w:bCs w:val="1"/>
                <w:color w:val="auto"/>
              </w:rPr>
              <w:t>Weighted-average common and common equivalent shares</w:t>
            </w:r>
          </w:p>
        </w:tc>
        <w:tc>
          <w:tcPr>
            <w:tcW w:w="2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1"/>
        </w:trPr>
        <w:tc>
          <w:tcPr>
            <w:tcW w:w="5140" w:type="dxa"/>
            <w:vAlign w:val="bottom"/>
            <w:gridSpan w:val="3"/>
            <w:vMerge w:val="continue"/>
          </w:tcPr>
          <w:p>
            <w:pPr>
              <w:spacing w:after="0"/>
              <w:rPr>
                <w:sz w:val="12"/>
                <w:szCs w:val="12"/>
                <w:color w:val="auto"/>
              </w:rPr>
            </w:pPr>
          </w:p>
        </w:tc>
        <w:tc>
          <w:tcPr>
            <w:tcW w:w="26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3"/>
        </w:trPr>
        <w:tc>
          <w:tcPr>
            <w:tcW w:w="5140" w:type="dxa"/>
            <w:vAlign w:val="bottom"/>
            <w:gridSpan w:val="3"/>
          </w:tcPr>
          <w:p>
            <w:pPr>
              <w:ind w:left="20"/>
              <w:spacing w:after="0"/>
              <w:rPr>
                <w:sz w:val="20"/>
                <w:szCs w:val="20"/>
                <w:color w:val="auto"/>
              </w:rPr>
            </w:pPr>
            <w:r>
              <w:rPr>
                <w:rFonts w:ascii="Arial" w:cs="Arial" w:eastAsia="Arial" w:hAnsi="Arial"/>
                <w:sz w:val="16"/>
                <w:szCs w:val="16"/>
                <w:b w:val="1"/>
                <w:bCs w:val="1"/>
                <w:color w:val="auto"/>
              </w:rPr>
              <w:t>outstanding</w:t>
            </w:r>
          </w:p>
        </w:tc>
        <w:tc>
          <w:tcPr>
            <w:tcW w:w="2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4"/>
        </w:trPr>
        <w:tc>
          <w:tcPr>
            <w:tcW w:w="20" w:type="dxa"/>
            <w:vAlign w:val="bottom"/>
            <w:shd w:val="clear" w:color="auto" w:fill="DCE2EF"/>
          </w:tcPr>
          <w:p>
            <w:pPr>
              <w:spacing w:after="0"/>
              <w:rPr>
                <w:sz w:val="23"/>
                <w:szCs w:val="23"/>
                <w:color w:val="auto"/>
              </w:rPr>
            </w:pPr>
          </w:p>
        </w:tc>
        <w:tc>
          <w:tcPr>
            <w:tcW w:w="5120" w:type="dxa"/>
            <w:vAlign w:val="bottom"/>
            <w:gridSpan w:val="2"/>
            <w:shd w:val="clear" w:color="auto" w:fill="DCE2EF"/>
          </w:tcPr>
          <w:p>
            <w:pPr>
              <w:ind w:left="360"/>
              <w:spacing w:after="0"/>
              <w:rPr>
                <w:sz w:val="20"/>
                <w:szCs w:val="20"/>
                <w:color w:val="auto"/>
              </w:rPr>
            </w:pPr>
            <w:r>
              <w:rPr>
                <w:rFonts w:ascii="Arial" w:cs="Arial" w:eastAsia="Arial" w:hAnsi="Arial"/>
                <w:sz w:val="16"/>
                <w:szCs w:val="16"/>
                <w:color w:val="auto"/>
              </w:rPr>
              <w:t>Basic</w:t>
            </w:r>
          </w:p>
        </w:tc>
        <w:tc>
          <w:tcPr>
            <w:tcW w:w="260" w:type="dxa"/>
            <w:vAlign w:val="bottom"/>
            <w:shd w:val="clear" w:color="auto" w:fill="DCE2EF"/>
          </w:tcPr>
          <w:p>
            <w:pPr>
              <w:spacing w:after="0"/>
              <w:rPr>
                <w:sz w:val="23"/>
                <w:szCs w:val="23"/>
                <w:color w:val="auto"/>
              </w:rPr>
            </w:pPr>
          </w:p>
        </w:tc>
        <w:tc>
          <w:tcPr>
            <w:tcW w:w="1240" w:type="dxa"/>
            <w:vAlign w:val="bottom"/>
            <w:shd w:val="clear" w:color="auto" w:fill="DCE2EF"/>
          </w:tcPr>
          <w:p>
            <w:pPr>
              <w:jc w:val="right"/>
              <w:ind w:right="41"/>
              <w:spacing w:after="0"/>
              <w:rPr>
                <w:sz w:val="20"/>
                <w:szCs w:val="20"/>
                <w:color w:val="auto"/>
              </w:rPr>
            </w:pPr>
            <w:r>
              <w:rPr>
                <w:rFonts w:ascii="Arial" w:cs="Arial" w:eastAsia="Arial" w:hAnsi="Arial"/>
                <w:sz w:val="16"/>
                <w:szCs w:val="16"/>
                <w:color w:val="auto"/>
              </w:rPr>
              <w:t>66.0</w:t>
            </w:r>
          </w:p>
        </w:tc>
        <w:tc>
          <w:tcPr>
            <w:tcW w:w="120" w:type="dxa"/>
            <w:vAlign w:val="bottom"/>
            <w:shd w:val="clear" w:color="auto" w:fill="DCE2EF"/>
          </w:tcPr>
          <w:p>
            <w:pPr>
              <w:spacing w:after="0"/>
              <w:rPr>
                <w:sz w:val="23"/>
                <w:szCs w:val="23"/>
                <w:color w:val="auto"/>
              </w:rPr>
            </w:pPr>
          </w:p>
        </w:tc>
        <w:tc>
          <w:tcPr>
            <w:tcW w:w="340" w:type="dxa"/>
            <w:vAlign w:val="bottom"/>
            <w:shd w:val="clear" w:color="auto" w:fill="DCE2EF"/>
          </w:tcPr>
          <w:p>
            <w:pPr>
              <w:spacing w:after="0"/>
              <w:rPr>
                <w:sz w:val="23"/>
                <w:szCs w:val="23"/>
                <w:color w:val="auto"/>
              </w:rPr>
            </w:pPr>
          </w:p>
        </w:tc>
        <w:tc>
          <w:tcPr>
            <w:tcW w:w="1140" w:type="dxa"/>
            <w:vAlign w:val="bottom"/>
            <w:shd w:val="clear" w:color="auto" w:fill="DCE2EF"/>
          </w:tcPr>
          <w:p>
            <w:pPr>
              <w:jc w:val="right"/>
              <w:ind w:right="41"/>
              <w:spacing w:after="0"/>
              <w:rPr>
                <w:sz w:val="20"/>
                <w:szCs w:val="20"/>
                <w:color w:val="auto"/>
              </w:rPr>
            </w:pPr>
            <w:r>
              <w:rPr>
                <w:rFonts w:ascii="Arial" w:cs="Arial" w:eastAsia="Arial" w:hAnsi="Arial"/>
                <w:sz w:val="16"/>
                <w:szCs w:val="16"/>
                <w:color w:val="auto"/>
              </w:rPr>
              <w:t>56.0</w:t>
            </w:r>
          </w:p>
        </w:tc>
        <w:tc>
          <w:tcPr>
            <w:tcW w:w="100" w:type="dxa"/>
            <w:vAlign w:val="bottom"/>
            <w:shd w:val="clear" w:color="auto" w:fill="DCE2EF"/>
          </w:tcPr>
          <w:p>
            <w:pPr>
              <w:spacing w:after="0"/>
              <w:rPr>
                <w:sz w:val="23"/>
                <w:szCs w:val="23"/>
                <w:color w:val="auto"/>
              </w:rPr>
            </w:pPr>
          </w:p>
        </w:tc>
        <w:tc>
          <w:tcPr>
            <w:tcW w:w="320" w:type="dxa"/>
            <w:vAlign w:val="bottom"/>
            <w:shd w:val="clear" w:color="auto" w:fill="DCE2EF"/>
          </w:tcPr>
          <w:p>
            <w:pPr>
              <w:spacing w:after="0"/>
              <w:rPr>
                <w:sz w:val="23"/>
                <w:szCs w:val="23"/>
                <w:color w:val="auto"/>
              </w:rPr>
            </w:pPr>
          </w:p>
        </w:tc>
        <w:tc>
          <w:tcPr>
            <w:tcW w:w="1160" w:type="dxa"/>
            <w:vAlign w:val="bottom"/>
            <w:shd w:val="clear" w:color="auto" w:fill="DCE2EF"/>
          </w:tcPr>
          <w:p>
            <w:pPr>
              <w:jc w:val="right"/>
              <w:ind w:right="41"/>
              <w:spacing w:after="0"/>
              <w:rPr>
                <w:sz w:val="20"/>
                <w:szCs w:val="20"/>
                <w:color w:val="auto"/>
              </w:rPr>
            </w:pPr>
            <w:r>
              <w:rPr>
                <w:rFonts w:ascii="Arial" w:cs="Arial" w:eastAsia="Arial" w:hAnsi="Arial"/>
                <w:sz w:val="16"/>
                <w:szCs w:val="16"/>
                <w:color w:val="auto"/>
              </w:rPr>
              <w:t>66.0</w:t>
            </w:r>
          </w:p>
        </w:tc>
        <w:tc>
          <w:tcPr>
            <w:tcW w:w="100" w:type="dxa"/>
            <w:vAlign w:val="bottom"/>
            <w:shd w:val="clear" w:color="auto" w:fill="DCE2EF"/>
          </w:tcPr>
          <w:p>
            <w:pPr>
              <w:spacing w:after="0"/>
              <w:rPr>
                <w:sz w:val="23"/>
                <w:szCs w:val="23"/>
                <w:color w:val="auto"/>
              </w:rPr>
            </w:pPr>
          </w:p>
        </w:tc>
        <w:tc>
          <w:tcPr>
            <w:tcW w:w="340" w:type="dxa"/>
            <w:vAlign w:val="bottom"/>
            <w:shd w:val="clear" w:color="auto" w:fill="DCE2EF"/>
          </w:tcPr>
          <w:p>
            <w:pPr>
              <w:spacing w:after="0"/>
              <w:rPr>
                <w:sz w:val="23"/>
                <w:szCs w:val="23"/>
                <w:color w:val="auto"/>
              </w:rPr>
            </w:pPr>
          </w:p>
        </w:tc>
        <w:tc>
          <w:tcPr>
            <w:tcW w:w="1140" w:type="dxa"/>
            <w:vAlign w:val="bottom"/>
            <w:shd w:val="clear" w:color="auto" w:fill="DCE2EF"/>
          </w:tcPr>
          <w:p>
            <w:pPr>
              <w:jc w:val="right"/>
              <w:ind w:right="41"/>
              <w:spacing w:after="0"/>
              <w:rPr>
                <w:sz w:val="20"/>
                <w:szCs w:val="20"/>
                <w:color w:val="auto"/>
              </w:rPr>
            </w:pPr>
            <w:r>
              <w:rPr>
                <w:rFonts w:ascii="Arial" w:cs="Arial" w:eastAsia="Arial" w:hAnsi="Arial"/>
                <w:sz w:val="16"/>
                <w:szCs w:val="16"/>
                <w:color w:val="auto"/>
              </w:rPr>
              <w:t>56.0</w:t>
            </w:r>
          </w:p>
        </w:tc>
        <w:tc>
          <w:tcPr>
            <w:tcW w:w="0" w:type="dxa"/>
            <w:vAlign w:val="bottom"/>
          </w:tcPr>
          <w:p>
            <w:pPr>
              <w:spacing w:after="0"/>
              <w:rPr>
                <w:sz w:val="1"/>
                <w:szCs w:val="1"/>
                <w:color w:val="auto"/>
              </w:rPr>
            </w:pPr>
          </w:p>
        </w:tc>
      </w:tr>
      <w:tr>
        <w:trPr>
          <w:trHeight w:val="266"/>
        </w:trPr>
        <w:tc>
          <w:tcPr>
            <w:tcW w:w="20" w:type="dxa"/>
            <w:vAlign w:val="bottom"/>
          </w:tcPr>
          <w:p>
            <w:pPr>
              <w:spacing w:after="0"/>
              <w:rPr>
                <w:sz w:val="23"/>
                <w:szCs w:val="23"/>
                <w:color w:val="auto"/>
              </w:rPr>
            </w:pPr>
          </w:p>
        </w:tc>
        <w:tc>
          <w:tcPr>
            <w:tcW w:w="5120" w:type="dxa"/>
            <w:vAlign w:val="bottom"/>
            <w:gridSpan w:val="2"/>
          </w:tcPr>
          <w:p>
            <w:pPr>
              <w:ind w:left="360"/>
              <w:spacing w:after="0"/>
              <w:rPr>
                <w:sz w:val="20"/>
                <w:szCs w:val="20"/>
                <w:color w:val="auto"/>
              </w:rPr>
            </w:pPr>
            <w:r>
              <w:rPr>
                <w:rFonts w:ascii="Arial" w:cs="Arial" w:eastAsia="Arial" w:hAnsi="Arial"/>
                <w:sz w:val="16"/>
                <w:szCs w:val="16"/>
                <w:color w:val="auto"/>
              </w:rPr>
              <w:t>Diluted</w:t>
            </w:r>
          </w:p>
        </w:tc>
        <w:tc>
          <w:tcPr>
            <w:tcW w:w="260" w:type="dxa"/>
            <w:vAlign w:val="bottom"/>
          </w:tcPr>
          <w:p>
            <w:pPr>
              <w:spacing w:after="0"/>
              <w:rPr>
                <w:sz w:val="23"/>
                <w:szCs w:val="23"/>
                <w:color w:val="auto"/>
              </w:rPr>
            </w:pPr>
          </w:p>
        </w:tc>
        <w:tc>
          <w:tcPr>
            <w:tcW w:w="1240" w:type="dxa"/>
            <w:vAlign w:val="bottom"/>
          </w:tcPr>
          <w:p>
            <w:pPr>
              <w:jc w:val="right"/>
              <w:ind w:right="41"/>
              <w:spacing w:after="0"/>
              <w:rPr>
                <w:sz w:val="20"/>
                <w:szCs w:val="20"/>
                <w:color w:val="auto"/>
              </w:rPr>
            </w:pPr>
            <w:r>
              <w:rPr>
                <w:rFonts w:ascii="Arial" w:cs="Arial" w:eastAsia="Arial" w:hAnsi="Arial"/>
                <w:sz w:val="16"/>
                <w:szCs w:val="16"/>
                <w:color w:val="auto"/>
              </w:rPr>
              <w:t>66.2</w:t>
            </w: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40" w:type="dxa"/>
            <w:vAlign w:val="bottom"/>
          </w:tcPr>
          <w:p>
            <w:pPr>
              <w:jc w:val="right"/>
              <w:ind w:right="41"/>
              <w:spacing w:after="0"/>
              <w:rPr>
                <w:sz w:val="20"/>
                <w:szCs w:val="20"/>
                <w:color w:val="auto"/>
              </w:rPr>
            </w:pPr>
            <w:r>
              <w:rPr>
                <w:rFonts w:ascii="Arial" w:cs="Arial" w:eastAsia="Arial" w:hAnsi="Arial"/>
                <w:sz w:val="16"/>
                <w:szCs w:val="16"/>
                <w:color w:val="auto"/>
              </w:rPr>
              <w:t>56.5</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160" w:type="dxa"/>
            <w:vAlign w:val="bottom"/>
          </w:tcPr>
          <w:p>
            <w:pPr>
              <w:jc w:val="right"/>
              <w:ind w:right="41"/>
              <w:spacing w:after="0"/>
              <w:rPr>
                <w:sz w:val="20"/>
                <w:szCs w:val="20"/>
                <w:color w:val="auto"/>
              </w:rPr>
            </w:pPr>
            <w:r>
              <w:rPr>
                <w:rFonts w:ascii="Arial" w:cs="Arial" w:eastAsia="Arial" w:hAnsi="Arial"/>
                <w:sz w:val="16"/>
                <w:szCs w:val="16"/>
                <w:color w:val="auto"/>
              </w:rPr>
              <w:t>66.3</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40" w:type="dxa"/>
            <w:vAlign w:val="bottom"/>
          </w:tcPr>
          <w:p>
            <w:pPr>
              <w:jc w:val="right"/>
              <w:ind w:right="41"/>
              <w:spacing w:after="0"/>
              <w:rPr>
                <w:sz w:val="20"/>
                <w:szCs w:val="20"/>
                <w:color w:val="auto"/>
              </w:rPr>
            </w:pPr>
            <w:r>
              <w:rPr>
                <w:rFonts w:ascii="Arial" w:cs="Arial" w:eastAsia="Arial" w:hAnsi="Arial"/>
                <w:sz w:val="16"/>
                <w:szCs w:val="16"/>
                <w:color w:val="auto"/>
              </w:rPr>
              <w:t>56.6</w:t>
            </w:r>
          </w:p>
        </w:tc>
        <w:tc>
          <w:tcPr>
            <w:tcW w:w="0" w:type="dxa"/>
            <w:vAlign w:val="bottom"/>
          </w:tcPr>
          <w:p>
            <w:pPr>
              <w:spacing w:after="0"/>
              <w:rPr>
                <w:sz w:val="1"/>
                <w:szCs w:val="1"/>
                <w:color w:val="auto"/>
              </w:rPr>
            </w:pPr>
          </w:p>
        </w:tc>
      </w:tr>
      <w:tr>
        <w:trPr>
          <w:trHeight w:val="274"/>
        </w:trPr>
        <w:tc>
          <w:tcPr>
            <w:tcW w:w="5140" w:type="dxa"/>
            <w:vAlign w:val="bottom"/>
            <w:gridSpan w:val="3"/>
            <w:shd w:val="clear" w:color="auto" w:fill="DCE2EF"/>
          </w:tcPr>
          <w:p>
            <w:pPr>
              <w:ind w:left="20"/>
              <w:spacing w:after="0"/>
              <w:rPr>
                <w:sz w:val="20"/>
                <w:szCs w:val="20"/>
                <w:color w:val="auto"/>
              </w:rPr>
            </w:pPr>
            <w:r>
              <w:rPr>
                <w:rFonts w:ascii="Arial" w:cs="Arial" w:eastAsia="Arial" w:hAnsi="Arial"/>
                <w:sz w:val="16"/>
                <w:szCs w:val="16"/>
                <w:b w:val="1"/>
                <w:bCs w:val="1"/>
                <w:color w:val="auto"/>
              </w:rPr>
              <w:t>Dividends declared per common share</w:t>
            </w:r>
          </w:p>
        </w:tc>
        <w:tc>
          <w:tcPr>
            <w:tcW w:w="260" w:type="dxa"/>
            <w:vAlign w:val="bottom"/>
            <w:shd w:val="clear" w:color="auto" w:fill="DCE2EF"/>
          </w:tcPr>
          <w:p>
            <w:pPr>
              <w:jc w:val="right"/>
              <w:ind w:right="81"/>
              <w:spacing w:after="0"/>
              <w:rPr>
                <w:sz w:val="20"/>
                <w:szCs w:val="20"/>
                <w:color w:val="auto"/>
              </w:rPr>
            </w:pPr>
            <w:r>
              <w:rPr>
                <w:rFonts w:ascii="Arial" w:cs="Arial" w:eastAsia="Arial" w:hAnsi="Arial"/>
                <w:sz w:val="16"/>
                <w:szCs w:val="16"/>
                <w:color w:val="auto"/>
                <w:w w:val="89"/>
              </w:rPr>
              <w:t>$</w:t>
            </w:r>
          </w:p>
        </w:tc>
        <w:tc>
          <w:tcPr>
            <w:tcW w:w="1240" w:type="dxa"/>
            <w:vAlign w:val="bottom"/>
            <w:shd w:val="clear" w:color="auto" w:fill="DCE2EF"/>
          </w:tcPr>
          <w:p>
            <w:pPr>
              <w:jc w:val="right"/>
              <w:ind w:right="41"/>
              <w:spacing w:after="0"/>
              <w:rPr>
                <w:sz w:val="20"/>
                <w:szCs w:val="20"/>
                <w:color w:val="auto"/>
              </w:rPr>
            </w:pPr>
            <w:r>
              <w:rPr>
                <w:rFonts w:ascii="Arial" w:cs="Arial" w:eastAsia="Arial" w:hAnsi="Arial"/>
                <w:sz w:val="16"/>
                <w:szCs w:val="16"/>
                <w:color w:val="auto"/>
              </w:rPr>
              <w:t>0.175</w:t>
            </w:r>
          </w:p>
        </w:tc>
        <w:tc>
          <w:tcPr>
            <w:tcW w:w="120" w:type="dxa"/>
            <w:vAlign w:val="bottom"/>
            <w:shd w:val="clear" w:color="auto" w:fill="DCE2EF"/>
          </w:tcPr>
          <w:p>
            <w:pPr>
              <w:spacing w:after="0"/>
              <w:rPr>
                <w:sz w:val="23"/>
                <w:szCs w:val="23"/>
                <w:color w:val="auto"/>
              </w:rPr>
            </w:pPr>
          </w:p>
        </w:tc>
        <w:tc>
          <w:tcPr>
            <w:tcW w:w="340" w:type="dxa"/>
            <w:vAlign w:val="bottom"/>
            <w:shd w:val="clear" w:color="auto" w:fill="DCE2EF"/>
          </w:tcPr>
          <w:p>
            <w:pPr>
              <w:jc w:val="right"/>
              <w:ind w:right="141"/>
              <w:spacing w:after="0"/>
              <w:rPr>
                <w:sz w:val="20"/>
                <w:szCs w:val="20"/>
                <w:color w:val="auto"/>
              </w:rPr>
            </w:pPr>
            <w:r>
              <w:rPr>
                <w:rFonts w:ascii="Arial" w:cs="Arial" w:eastAsia="Arial" w:hAnsi="Arial"/>
                <w:sz w:val="16"/>
                <w:szCs w:val="16"/>
                <w:color w:val="auto"/>
              </w:rPr>
              <w:t>$</w:t>
            </w:r>
          </w:p>
        </w:tc>
        <w:tc>
          <w:tcPr>
            <w:tcW w:w="1140" w:type="dxa"/>
            <w:vAlign w:val="bottom"/>
            <w:shd w:val="clear" w:color="auto" w:fill="DCE2EF"/>
          </w:tcPr>
          <w:p>
            <w:pPr>
              <w:jc w:val="right"/>
              <w:ind w:right="41"/>
              <w:spacing w:after="0"/>
              <w:rPr>
                <w:sz w:val="20"/>
                <w:szCs w:val="20"/>
                <w:color w:val="auto"/>
              </w:rPr>
            </w:pPr>
            <w:r>
              <w:rPr>
                <w:rFonts w:ascii="Arial" w:cs="Arial" w:eastAsia="Arial" w:hAnsi="Arial"/>
                <w:sz w:val="16"/>
                <w:szCs w:val="16"/>
                <w:color w:val="auto"/>
              </w:rPr>
              <w:t>0.170</w:t>
            </w:r>
          </w:p>
        </w:tc>
        <w:tc>
          <w:tcPr>
            <w:tcW w:w="100" w:type="dxa"/>
            <w:vAlign w:val="bottom"/>
            <w:shd w:val="clear" w:color="auto" w:fill="DCE2EF"/>
          </w:tcPr>
          <w:p>
            <w:pPr>
              <w:spacing w:after="0"/>
              <w:rPr>
                <w:sz w:val="23"/>
                <w:szCs w:val="23"/>
                <w:color w:val="auto"/>
              </w:rPr>
            </w:pPr>
          </w:p>
        </w:tc>
        <w:tc>
          <w:tcPr>
            <w:tcW w:w="320" w:type="dxa"/>
            <w:vAlign w:val="bottom"/>
            <w:shd w:val="clear" w:color="auto" w:fill="DCE2EF"/>
          </w:tcPr>
          <w:p>
            <w:pPr>
              <w:jc w:val="right"/>
              <w:ind w:right="121"/>
              <w:spacing w:after="0"/>
              <w:rPr>
                <w:sz w:val="20"/>
                <w:szCs w:val="20"/>
                <w:color w:val="auto"/>
              </w:rPr>
            </w:pPr>
            <w:r>
              <w:rPr>
                <w:rFonts w:ascii="Arial" w:cs="Arial" w:eastAsia="Arial" w:hAnsi="Arial"/>
                <w:sz w:val="16"/>
                <w:szCs w:val="16"/>
                <w:color w:val="auto"/>
              </w:rPr>
              <w:t>$</w:t>
            </w:r>
          </w:p>
        </w:tc>
        <w:tc>
          <w:tcPr>
            <w:tcW w:w="1160" w:type="dxa"/>
            <w:vAlign w:val="bottom"/>
            <w:shd w:val="clear" w:color="auto" w:fill="DCE2EF"/>
          </w:tcPr>
          <w:p>
            <w:pPr>
              <w:jc w:val="right"/>
              <w:ind w:right="41"/>
              <w:spacing w:after="0"/>
              <w:rPr>
                <w:sz w:val="20"/>
                <w:szCs w:val="20"/>
                <w:color w:val="auto"/>
              </w:rPr>
            </w:pPr>
            <w:r>
              <w:rPr>
                <w:rFonts w:ascii="Arial" w:cs="Arial" w:eastAsia="Arial" w:hAnsi="Arial"/>
                <w:sz w:val="16"/>
                <w:szCs w:val="16"/>
                <w:color w:val="auto"/>
              </w:rPr>
              <w:t>0.350</w:t>
            </w:r>
          </w:p>
        </w:tc>
        <w:tc>
          <w:tcPr>
            <w:tcW w:w="100" w:type="dxa"/>
            <w:vAlign w:val="bottom"/>
            <w:shd w:val="clear" w:color="auto" w:fill="DCE2EF"/>
          </w:tcPr>
          <w:p>
            <w:pPr>
              <w:spacing w:after="0"/>
              <w:rPr>
                <w:sz w:val="23"/>
                <w:szCs w:val="23"/>
                <w:color w:val="auto"/>
              </w:rPr>
            </w:pPr>
          </w:p>
        </w:tc>
        <w:tc>
          <w:tcPr>
            <w:tcW w:w="340" w:type="dxa"/>
            <w:vAlign w:val="bottom"/>
            <w:shd w:val="clear" w:color="auto" w:fill="DCE2EF"/>
          </w:tcPr>
          <w:p>
            <w:pPr>
              <w:jc w:val="right"/>
              <w:ind w:right="141"/>
              <w:spacing w:after="0"/>
              <w:rPr>
                <w:sz w:val="20"/>
                <w:szCs w:val="20"/>
                <w:color w:val="auto"/>
              </w:rPr>
            </w:pPr>
            <w:r>
              <w:rPr>
                <w:rFonts w:ascii="Arial" w:cs="Arial" w:eastAsia="Arial" w:hAnsi="Arial"/>
                <w:sz w:val="16"/>
                <w:szCs w:val="16"/>
                <w:color w:val="auto"/>
              </w:rPr>
              <w:t>$</w:t>
            </w:r>
          </w:p>
        </w:tc>
        <w:tc>
          <w:tcPr>
            <w:tcW w:w="1140" w:type="dxa"/>
            <w:vAlign w:val="bottom"/>
            <w:shd w:val="clear" w:color="auto" w:fill="DCE2EF"/>
          </w:tcPr>
          <w:p>
            <w:pPr>
              <w:jc w:val="right"/>
              <w:ind w:right="41"/>
              <w:spacing w:after="0"/>
              <w:rPr>
                <w:sz w:val="20"/>
                <w:szCs w:val="20"/>
                <w:color w:val="auto"/>
              </w:rPr>
            </w:pPr>
            <w:r>
              <w:rPr>
                <w:rFonts w:ascii="Arial" w:cs="Arial" w:eastAsia="Arial" w:hAnsi="Arial"/>
                <w:sz w:val="16"/>
                <w:szCs w:val="16"/>
                <w:color w:val="auto"/>
              </w:rPr>
              <w:t>0.340</w:t>
            </w:r>
          </w:p>
        </w:tc>
        <w:tc>
          <w:tcPr>
            <w:tcW w:w="0" w:type="dxa"/>
            <w:vAlign w:val="bottom"/>
          </w:tcPr>
          <w:p>
            <w:pPr>
              <w:spacing w:after="0"/>
              <w:rPr>
                <w:sz w:val="1"/>
                <w:szCs w:val="1"/>
                <w:color w:val="auto"/>
              </w:rPr>
            </w:pPr>
          </w:p>
        </w:tc>
      </w:tr>
    </w:tbl>
    <w:p>
      <w:pPr>
        <w:spacing w:after="0" w:line="269"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See accompanying notes to unaudited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00"/>
          </w:cols>
          <w:pgMar w:left="260" w:top="468" w:right="239" w:bottom="1440" w:gutter="0" w:footer="0" w:header="0"/>
        </w:sectPr>
      </w:pPr>
    </w:p>
    <w:bookmarkStart w:id="7" w:name="page8"/>
    <w:bookmarkEnd w:id="7"/>
    <w:p>
      <w:pPr>
        <w:jc w:val="center"/>
        <w:spacing w:after="0"/>
        <w:rPr>
          <w:sz w:val="20"/>
          <w:szCs w:val="20"/>
          <w:color w:val="auto"/>
        </w:rPr>
      </w:pPr>
      <w:r>
        <w:rPr>
          <w:rFonts w:ascii="Arial" w:cs="Arial" w:eastAsia="Arial" w:hAnsi="Arial"/>
          <w:sz w:val="16"/>
          <w:szCs w:val="16"/>
          <w:b w:val="1"/>
          <w:bCs w:val="1"/>
          <w:color w:val="0046AD"/>
        </w:rPr>
        <w:t>ABM INDUSTRIES INCORPORATED AND SUBSIDIARIES</w:t>
      </w:r>
    </w:p>
    <w:p>
      <w:pPr>
        <w:spacing w:after="0" w:line="11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0046AD"/>
        </w:rPr>
        <w:t>CONSOLIDATED STATEMENTS OF CASH FLOWS</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0046AD"/>
        </w:rPr>
        <w:t>(UNAUDITED)</w:t>
      </w:r>
    </w:p>
    <w:p>
      <w:pPr>
        <w:spacing w:after="0" w:line="240" w:lineRule="exact"/>
        <w:rPr>
          <w:sz w:val="20"/>
          <w:szCs w:val="20"/>
          <w:color w:val="auto"/>
        </w:rPr>
      </w:pPr>
    </w:p>
    <w:p>
      <w:pPr>
        <w:ind w:left="8960"/>
        <w:spacing w:after="0"/>
        <w:rPr>
          <w:sz w:val="20"/>
          <w:szCs w:val="20"/>
          <w:color w:val="auto"/>
        </w:rPr>
      </w:pPr>
      <w:r>
        <w:rPr>
          <w:rFonts w:ascii="Arial" w:cs="Arial" w:eastAsia="Arial" w:hAnsi="Arial"/>
          <w:sz w:val="14"/>
          <w:szCs w:val="14"/>
          <w:b w:val="1"/>
          <w:bCs w:val="1"/>
          <w:color w:val="auto"/>
        </w:rPr>
        <w:t>Six Months Ended April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5296535</wp:posOffset>
            </wp:positionH>
            <wp:positionV relativeFrom="paragraph">
              <wp:posOffset>26035</wp:posOffset>
            </wp:positionV>
            <wp:extent cx="195516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955165" cy="8890"/>
                    </a:xfrm>
                    <a:prstGeom prst="rect">
                      <a:avLst/>
                    </a:prstGeom>
                    <a:noFill/>
                  </pic:spPr>
                </pic:pic>
              </a:graphicData>
            </a:graphic>
          </wp:anchor>
        </w:drawing>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8340" w:type="dxa"/>
            <w:vAlign w:val="bottom"/>
            <w:gridSpan w:val="3"/>
          </w:tcPr>
          <w:p>
            <w:pPr>
              <w:ind w:left="40"/>
              <w:spacing w:after="0"/>
              <w:rPr>
                <w:sz w:val="20"/>
                <w:szCs w:val="20"/>
                <w:color w:val="auto"/>
              </w:rPr>
            </w:pPr>
            <w:r>
              <w:rPr>
                <w:rFonts w:ascii="Arial" w:cs="Arial" w:eastAsia="Arial" w:hAnsi="Arial"/>
                <w:sz w:val="13"/>
                <w:szCs w:val="13"/>
                <w:i w:val="1"/>
                <w:iCs w:val="1"/>
                <w:color w:val="auto"/>
              </w:rPr>
              <w:t>(in millions)</w:t>
            </w:r>
          </w:p>
        </w:tc>
        <w:tc>
          <w:tcPr>
            <w:tcW w:w="340" w:type="dxa"/>
            <w:vAlign w:val="bottom"/>
          </w:tcPr>
          <w:p>
            <w:pPr>
              <w:spacing w:after="0"/>
              <w:rPr>
                <w:sz w:val="14"/>
                <w:szCs w:val="14"/>
                <w:color w:val="auto"/>
              </w:rPr>
            </w:pPr>
          </w:p>
        </w:tc>
        <w:tc>
          <w:tcPr>
            <w:tcW w:w="1160" w:type="dxa"/>
            <w:vAlign w:val="bottom"/>
          </w:tcPr>
          <w:p>
            <w:pPr>
              <w:jc w:val="right"/>
              <w:ind w:right="508"/>
              <w:spacing w:after="0"/>
              <w:rPr>
                <w:sz w:val="20"/>
                <w:szCs w:val="20"/>
                <w:color w:val="auto"/>
              </w:rPr>
            </w:pPr>
            <w:r>
              <w:rPr>
                <w:rFonts w:ascii="Arial" w:cs="Arial" w:eastAsia="Arial" w:hAnsi="Arial"/>
                <w:sz w:val="14"/>
                <w:szCs w:val="14"/>
                <w:b w:val="1"/>
                <w:bCs w:val="1"/>
                <w:color w:val="auto"/>
              </w:rPr>
              <w:t>2018</w:t>
            </w:r>
          </w:p>
        </w:tc>
        <w:tc>
          <w:tcPr>
            <w:tcW w:w="1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20" w:type="dxa"/>
            <w:vAlign w:val="bottom"/>
          </w:tcPr>
          <w:p>
            <w:pPr>
              <w:jc w:val="right"/>
              <w:ind w:right="488"/>
              <w:spacing w:after="0"/>
              <w:rPr>
                <w:sz w:val="20"/>
                <w:szCs w:val="20"/>
                <w:color w:val="auto"/>
              </w:rPr>
            </w:pPr>
            <w:r>
              <w:rPr>
                <w:rFonts w:ascii="Arial" w:cs="Arial" w:eastAsia="Arial" w:hAnsi="Arial"/>
                <w:sz w:val="14"/>
                <w:szCs w:val="14"/>
                <w:b w:val="1"/>
                <w:bCs w:val="1"/>
                <w:color w:val="auto"/>
              </w:rPr>
              <w:t>2017</w:t>
            </w:r>
          </w:p>
        </w:tc>
      </w:tr>
      <w:tr>
        <w:trPr>
          <w:trHeight w:val="21"/>
        </w:trPr>
        <w:tc>
          <w:tcPr>
            <w:tcW w:w="40" w:type="dxa"/>
            <w:vAlign w:val="bottom"/>
            <w:tcBorders>
              <w:bottom w:val="single" w:sz="8" w:color="DCE2EF"/>
            </w:tcBorders>
          </w:tcPr>
          <w:p>
            <w:pPr>
              <w:spacing w:after="0" w:line="20" w:lineRule="exact"/>
              <w:rPr>
                <w:sz w:val="1"/>
                <w:szCs w:val="1"/>
                <w:color w:val="auto"/>
              </w:rPr>
            </w:pPr>
          </w:p>
        </w:tc>
        <w:tc>
          <w:tcPr>
            <w:tcW w:w="620" w:type="dxa"/>
            <w:vAlign w:val="bottom"/>
            <w:tcBorders>
              <w:top w:val="single" w:sz="8" w:color="auto"/>
              <w:bottom w:val="single" w:sz="8" w:color="DCE2EF"/>
            </w:tcBorders>
          </w:tcPr>
          <w:p>
            <w:pPr>
              <w:spacing w:after="0" w:line="20" w:lineRule="exact"/>
              <w:rPr>
                <w:sz w:val="1"/>
                <w:szCs w:val="1"/>
                <w:color w:val="auto"/>
              </w:rPr>
            </w:pPr>
          </w:p>
        </w:tc>
        <w:tc>
          <w:tcPr>
            <w:tcW w:w="7680" w:type="dxa"/>
            <w:vAlign w:val="bottom"/>
            <w:tcBorders>
              <w:bottom w:val="single" w:sz="8" w:color="DCE2E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DCE2E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r>
        <w:trPr>
          <w:trHeight w:val="264"/>
        </w:trPr>
        <w:tc>
          <w:tcPr>
            <w:tcW w:w="8340" w:type="dxa"/>
            <w:vAlign w:val="bottom"/>
            <w:gridSpan w:val="3"/>
            <w:shd w:val="clear" w:color="auto" w:fill="DCE2EF"/>
          </w:tcPr>
          <w:p>
            <w:pPr>
              <w:ind w:left="40"/>
              <w:spacing w:after="0"/>
              <w:rPr>
                <w:sz w:val="20"/>
                <w:szCs w:val="20"/>
                <w:color w:val="auto"/>
              </w:rPr>
            </w:pPr>
            <w:r>
              <w:rPr>
                <w:rFonts w:ascii="Arial" w:cs="Arial" w:eastAsia="Arial" w:hAnsi="Arial"/>
                <w:sz w:val="14"/>
                <w:szCs w:val="14"/>
                <w:b w:val="1"/>
                <w:bCs w:val="1"/>
                <w:color w:val="auto"/>
              </w:rPr>
              <w:t>Cash flows from operating activities</w:t>
            </w:r>
          </w:p>
        </w:tc>
        <w:tc>
          <w:tcPr>
            <w:tcW w:w="340" w:type="dxa"/>
            <w:vAlign w:val="bottom"/>
            <w:shd w:val="clear" w:color="auto" w:fill="DCE2EF"/>
          </w:tcPr>
          <w:p>
            <w:pPr>
              <w:spacing w:after="0"/>
              <w:rPr>
                <w:sz w:val="22"/>
                <w:szCs w:val="22"/>
                <w:color w:val="auto"/>
              </w:rPr>
            </w:pPr>
          </w:p>
        </w:tc>
        <w:tc>
          <w:tcPr>
            <w:tcW w:w="1160" w:type="dxa"/>
            <w:vAlign w:val="bottom"/>
            <w:shd w:val="clear" w:color="auto" w:fill="DCE2EF"/>
          </w:tcPr>
          <w:p>
            <w:pPr>
              <w:spacing w:after="0"/>
              <w:rPr>
                <w:sz w:val="22"/>
                <w:szCs w:val="22"/>
                <w:color w:val="auto"/>
              </w:rPr>
            </w:pPr>
          </w:p>
        </w:tc>
        <w:tc>
          <w:tcPr>
            <w:tcW w:w="120" w:type="dxa"/>
            <w:vAlign w:val="bottom"/>
            <w:shd w:val="clear" w:color="auto" w:fill="DCE2EF"/>
          </w:tcPr>
          <w:p>
            <w:pPr>
              <w:spacing w:after="0"/>
              <w:rPr>
                <w:sz w:val="22"/>
                <w:szCs w:val="22"/>
                <w:color w:val="auto"/>
              </w:rPr>
            </w:pPr>
          </w:p>
        </w:tc>
        <w:tc>
          <w:tcPr>
            <w:tcW w:w="340" w:type="dxa"/>
            <w:vAlign w:val="bottom"/>
            <w:shd w:val="clear" w:color="auto" w:fill="DCE2EF"/>
          </w:tcPr>
          <w:p>
            <w:pPr>
              <w:spacing w:after="0"/>
              <w:rPr>
                <w:sz w:val="22"/>
                <w:szCs w:val="22"/>
                <w:color w:val="auto"/>
              </w:rPr>
            </w:pPr>
          </w:p>
        </w:tc>
        <w:tc>
          <w:tcPr>
            <w:tcW w:w="1120" w:type="dxa"/>
            <w:vAlign w:val="bottom"/>
            <w:shd w:val="clear" w:color="auto" w:fill="DCE2EF"/>
          </w:tcPr>
          <w:p>
            <w:pPr>
              <w:spacing w:after="0"/>
              <w:rPr>
                <w:sz w:val="22"/>
                <w:szCs w:val="22"/>
                <w:color w:val="auto"/>
              </w:rPr>
            </w:pPr>
          </w:p>
        </w:tc>
      </w:tr>
      <w:tr>
        <w:trPr>
          <w:trHeight w:val="264"/>
        </w:trPr>
        <w:tc>
          <w:tcPr>
            <w:tcW w:w="8340" w:type="dxa"/>
            <w:vAlign w:val="bottom"/>
            <w:gridSpan w:val="3"/>
          </w:tcPr>
          <w:p>
            <w:pPr>
              <w:ind w:left="40"/>
              <w:spacing w:after="0"/>
              <w:rPr>
                <w:sz w:val="20"/>
                <w:szCs w:val="20"/>
                <w:color w:val="auto"/>
              </w:rPr>
            </w:pPr>
            <w:r>
              <w:rPr>
                <w:rFonts w:ascii="Arial" w:cs="Arial" w:eastAsia="Arial" w:hAnsi="Arial"/>
                <w:sz w:val="14"/>
                <w:szCs w:val="14"/>
                <w:color w:val="auto"/>
              </w:rPr>
              <w:t>Net income (loss)</w:t>
            </w:r>
          </w:p>
        </w:tc>
        <w:tc>
          <w:tcPr>
            <w:tcW w:w="34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1160" w:type="dxa"/>
            <w:vAlign w:val="bottom"/>
          </w:tcPr>
          <w:p>
            <w:pPr>
              <w:jc w:val="right"/>
              <w:ind w:right="48"/>
              <w:spacing w:after="0"/>
              <w:rPr>
                <w:sz w:val="20"/>
                <w:szCs w:val="20"/>
                <w:color w:val="auto"/>
              </w:rPr>
            </w:pPr>
            <w:r>
              <w:rPr>
                <w:rFonts w:ascii="Arial" w:cs="Arial" w:eastAsia="Arial" w:hAnsi="Arial"/>
                <w:sz w:val="14"/>
                <w:szCs w:val="14"/>
                <w:color w:val="auto"/>
              </w:rPr>
              <w:t>54.4</w:t>
            </w:r>
          </w:p>
        </w:tc>
        <w:tc>
          <w:tcPr>
            <w:tcW w:w="120" w:type="dxa"/>
            <w:vAlign w:val="bottom"/>
          </w:tcPr>
          <w:p>
            <w:pPr>
              <w:spacing w:after="0"/>
              <w:rPr>
                <w:sz w:val="22"/>
                <w:szCs w:val="22"/>
                <w:color w:val="auto"/>
              </w:rPr>
            </w:pPr>
          </w:p>
        </w:tc>
        <w:tc>
          <w:tcPr>
            <w:tcW w:w="34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1120" w:type="dxa"/>
            <w:vAlign w:val="bottom"/>
          </w:tcPr>
          <w:p>
            <w:pPr>
              <w:jc w:val="right"/>
              <w:spacing w:after="0"/>
              <w:rPr>
                <w:sz w:val="20"/>
                <w:szCs w:val="20"/>
                <w:color w:val="auto"/>
              </w:rPr>
            </w:pPr>
            <w:r>
              <w:rPr>
                <w:rFonts w:ascii="Arial" w:cs="Arial" w:eastAsia="Arial" w:hAnsi="Arial"/>
                <w:sz w:val="14"/>
                <w:szCs w:val="14"/>
                <w:color w:val="auto"/>
              </w:rPr>
              <w:t>(25.5)</w:t>
            </w:r>
          </w:p>
        </w:tc>
      </w:tr>
      <w:tr>
        <w:trPr>
          <w:trHeight w:val="270"/>
        </w:trPr>
        <w:tc>
          <w:tcPr>
            <w:tcW w:w="8340" w:type="dxa"/>
            <w:vAlign w:val="bottom"/>
            <w:gridSpan w:val="3"/>
            <w:shd w:val="clear" w:color="auto" w:fill="DCE2EF"/>
          </w:tcPr>
          <w:p>
            <w:pPr>
              <w:ind w:left="40"/>
              <w:spacing w:after="0"/>
              <w:rPr>
                <w:sz w:val="20"/>
                <w:szCs w:val="20"/>
                <w:color w:val="auto"/>
              </w:rPr>
            </w:pPr>
            <w:r>
              <w:rPr>
                <w:rFonts w:ascii="Arial" w:cs="Arial" w:eastAsia="Arial" w:hAnsi="Arial"/>
                <w:sz w:val="14"/>
                <w:szCs w:val="14"/>
                <w:color w:val="auto"/>
              </w:rPr>
              <w:t>(Income) loss from discontinued operations, net of taxes</w:t>
            </w:r>
          </w:p>
        </w:tc>
        <w:tc>
          <w:tcPr>
            <w:tcW w:w="340" w:type="dxa"/>
            <w:vAlign w:val="bottom"/>
            <w:tcBorders>
              <w:bottom w:val="single" w:sz="8" w:color="auto"/>
            </w:tcBorders>
            <w:shd w:val="clear" w:color="auto" w:fill="DCE2EF"/>
          </w:tcPr>
          <w:p>
            <w:pPr>
              <w:spacing w:after="0"/>
              <w:rPr>
                <w:sz w:val="23"/>
                <w:szCs w:val="23"/>
                <w:color w:val="auto"/>
              </w:rPr>
            </w:pPr>
          </w:p>
        </w:tc>
        <w:tc>
          <w:tcPr>
            <w:tcW w:w="1160" w:type="dxa"/>
            <w:vAlign w:val="bottom"/>
            <w:tcBorders>
              <w:bottom w:val="single" w:sz="8" w:color="auto"/>
            </w:tcBorders>
            <w:shd w:val="clear" w:color="auto" w:fill="DCE2EF"/>
          </w:tcPr>
          <w:p>
            <w:pPr>
              <w:jc w:val="right"/>
              <w:ind w:right="8"/>
              <w:spacing w:after="0"/>
              <w:rPr>
                <w:sz w:val="20"/>
                <w:szCs w:val="20"/>
                <w:color w:val="auto"/>
              </w:rPr>
            </w:pPr>
            <w:r>
              <w:rPr>
                <w:rFonts w:ascii="Arial" w:cs="Arial" w:eastAsia="Arial" w:hAnsi="Arial"/>
                <w:sz w:val="14"/>
                <w:szCs w:val="14"/>
                <w:color w:val="auto"/>
              </w:rPr>
              <w:t>(1.1)</w:t>
            </w:r>
          </w:p>
        </w:tc>
        <w:tc>
          <w:tcPr>
            <w:tcW w:w="120" w:type="dxa"/>
            <w:vAlign w:val="bottom"/>
            <w:shd w:val="clear" w:color="auto" w:fill="DCE2EF"/>
          </w:tcPr>
          <w:p>
            <w:pPr>
              <w:spacing w:after="0"/>
              <w:rPr>
                <w:sz w:val="23"/>
                <w:szCs w:val="23"/>
                <w:color w:val="auto"/>
              </w:rPr>
            </w:pPr>
          </w:p>
        </w:tc>
        <w:tc>
          <w:tcPr>
            <w:tcW w:w="340" w:type="dxa"/>
            <w:vAlign w:val="bottom"/>
            <w:tcBorders>
              <w:bottom w:val="single" w:sz="8" w:color="auto"/>
            </w:tcBorders>
            <w:shd w:val="clear" w:color="auto" w:fill="DCE2EF"/>
          </w:tcPr>
          <w:p>
            <w:pPr>
              <w:spacing w:after="0"/>
              <w:rPr>
                <w:sz w:val="23"/>
                <w:szCs w:val="23"/>
                <w:color w:val="auto"/>
              </w:rPr>
            </w:pPr>
          </w:p>
        </w:tc>
        <w:tc>
          <w:tcPr>
            <w:tcW w:w="1120" w:type="dxa"/>
            <w:vAlign w:val="bottom"/>
            <w:tcBorders>
              <w:bottom w:val="single" w:sz="8" w:color="auto"/>
            </w:tcBorders>
            <w:shd w:val="clear" w:color="auto" w:fill="DCE2EF"/>
          </w:tcPr>
          <w:p>
            <w:pPr>
              <w:jc w:val="right"/>
              <w:ind w:right="28"/>
              <w:spacing w:after="0"/>
              <w:rPr>
                <w:sz w:val="20"/>
                <w:szCs w:val="20"/>
                <w:color w:val="auto"/>
              </w:rPr>
            </w:pPr>
            <w:r>
              <w:rPr>
                <w:rFonts w:ascii="Arial" w:cs="Arial" w:eastAsia="Arial" w:hAnsi="Arial"/>
                <w:sz w:val="14"/>
                <w:szCs w:val="14"/>
                <w:color w:val="auto"/>
              </w:rPr>
              <w:t>73.2</w:t>
            </w:r>
          </w:p>
        </w:tc>
      </w:tr>
      <w:tr>
        <w:trPr>
          <w:trHeight w:val="250"/>
        </w:trPr>
        <w:tc>
          <w:tcPr>
            <w:tcW w:w="8340" w:type="dxa"/>
            <w:vAlign w:val="bottom"/>
            <w:gridSpan w:val="3"/>
          </w:tcPr>
          <w:p>
            <w:pPr>
              <w:ind w:left="40"/>
              <w:spacing w:after="0"/>
              <w:rPr>
                <w:sz w:val="20"/>
                <w:szCs w:val="20"/>
                <w:color w:val="auto"/>
              </w:rPr>
            </w:pPr>
            <w:r>
              <w:rPr>
                <w:rFonts w:ascii="Arial" w:cs="Arial" w:eastAsia="Arial" w:hAnsi="Arial"/>
                <w:sz w:val="14"/>
                <w:szCs w:val="14"/>
                <w:color w:val="auto"/>
              </w:rPr>
              <w:t>Income from continuing operations</w:t>
            </w:r>
          </w:p>
        </w:tc>
        <w:tc>
          <w:tcPr>
            <w:tcW w:w="340" w:type="dxa"/>
            <w:vAlign w:val="bottom"/>
          </w:tcPr>
          <w:p>
            <w:pPr>
              <w:spacing w:after="0"/>
              <w:rPr>
                <w:sz w:val="21"/>
                <w:szCs w:val="21"/>
                <w:color w:val="auto"/>
              </w:rPr>
            </w:pPr>
          </w:p>
        </w:tc>
        <w:tc>
          <w:tcPr>
            <w:tcW w:w="1160" w:type="dxa"/>
            <w:vAlign w:val="bottom"/>
          </w:tcPr>
          <w:p>
            <w:pPr>
              <w:jc w:val="right"/>
              <w:ind w:right="48"/>
              <w:spacing w:after="0"/>
              <w:rPr>
                <w:sz w:val="20"/>
                <w:szCs w:val="20"/>
                <w:color w:val="auto"/>
              </w:rPr>
            </w:pPr>
            <w:r>
              <w:rPr>
                <w:rFonts w:ascii="Arial" w:cs="Arial" w:eastAsia="Arial" w:hAnsi="Arial"/>
                <w:sz w:val="14"/>
                <w:szCs w:val="14"/>
                <w:color w:val="auto"/>
              </w:rPr>
              <w:t>53.3</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47.7</w:t>
            </w:r>
          </w:p>
        </w:tc>
      </w:tr>
      <w:tr>
        <w:trPr>
          <w:trHeight w:val="182"/>
        </w:trPr>
        <w:tc>
          <w:tcPr>
            <w:tcW w:w="8340" w:type="dxa"/>
            <w:vAlign w:val="bottom"/>
            <w:gridSpan w:val="3"/>
            <w:shd w:val="clear" w:color="auto" w:fill="DCE2EF"/>
          </w:tcPr>
          <w:p>
            <w:pPr>
              <w:ind w:left="40"/>
              <w:spacing w:after="0"/>
              <w:rPr>
                <w:sz w:val="20"/>
                <w:szCs w:val="20"/>
                <w:color w:val="auto"/>
              </w:rPr>
            </w:pPr>
            <w:r>
              <w:rPr>
                <w:rFonts w:ascii="Arial" w:cs="Arial" w:eastAsia="Arial" w:hAnsi="Arial"/>
                <w:sz w:val="14"/>
                <w:szCs w:val="14"/>
                <w:b w:val="1"/>
                <w:bCs w:val="1"/>
                <w:color w:val="auto"/>
              </w:rPr>
              <w:t>Adjustments to reconcile income from continuing operations to net cash provided by operating activities of continuing</w:t>
            </w:r>
          </w:p>
        </w:tc>
        <w:tc>
          <w:tcPr>
            <w:tcW w:w="340" w:type="dxa"/>
            <w:vAlign w:val="bottom"/>
            <w:shd w:val="clear" w:color="auto" w:fill="DCE2EF"/>
          </w:tcPr>
          <w:p>
            <w:pPr>
              <w:spacing w:after="0"/>
              <w:rPr>
                <w:sz w:val="15"/>
                <w:szCs w:val="15"/>
                <w:color w:val="auto"/>
              </w:rPr>
            </w:pPr>
          </w:p>
        </w:tc>
        <w:tc>
          <w:tcPr>
            <w:tcW w:w="1160" w:type="dxa"/>
            <w:vAlign w:val="bottom"/>
            <w:shd w:val="clear" w:color="auto" w:fill="DCE2EF"/>
          </w:tcPr>
          <w:p>
            <w:pPr>
              <w:spacing w:after="0"/>
              <w:rPr>
                <w:sz w:val="15"/>
                <w:szCs w:val="15"/>
                <w:color w:val="auto"/>
              </w:rPr>
            </w:pPr>
          </w:p>
        </w:tc>
        <w:tc>
          <w:tcPr>
            <w:tcW w:w="120" w:type="dxa"/>
            <w:vAlign w:val="bottom"/>
            <w:shd w:val="clear" w:color="auto" w:fill="DCE2EF"/>
          </w:tcPr>
          <w:p>
            <w:pPr>
              <w:spacing w:after="0"/>
              <w:rPr>
                <w:sz w:val="15"/>
                <w:szCs w:val="15"/>
                <w:color w:val="auto"/>
              </w:rPr>
            </w:pPr>
          </w:p>
        </w:tc>
        <w:tc>
          <w:tcPr>
            <w:tcW w:w="340" w:type="dxa"/>
            <w:vAlign w:val="bottom"/>
            <w:shd w:val="clear" w:color="auto" w:fill="DCE2EF"/>
          </w:tcPr>
          <w:p>
            <w:pPr>
              <w:spacing w:after="0"/>
              <w:rPr>
                <w:sz w:val="15"/>
                <w:szCs w:val="15"/>
                <w:color w:val="auto"/>
              </w:rPr>
            </w:pPr>
          </w:p>
        </w:tc>
        <w:tc>
          <w:tcPr>
            <w:tcW w:w="1120" w:type="dxa"/>
            <w:vAlign w:val="bottom"/>
            <w:shd w:val="clear" w:color="auto" w:fill="DCE2EF"/>
          </w:tcPr>
          <w:p>
            <w:pPr>
              <w:spacing w:after="0"/>
              <w:rPr>
                <w:sz w:val="15"/>
                <w:szCs w:val="15"/>
                <w:color w:val="auto"/>
              </w:rPr>
            </w:pPr>
          </w:p>
        </w:tc>
      </w:tr>
      <w:tr>
        <w:trPr>
          <w:trHeight w:val="202"/>
        </w:trPr>
        <w:tc>
          <w:tcPr>
            <w:tcW w:w="40" w:type="dxa"/>
            <w:vAlign w:val="bottom"/>
            <w:shd w:val="clear" w:color="auto" w:fill="DCE2EF"/>
          </w:tcPr>
          <w:p>
            <w:pPr>
              <w:spacing w:after="0"/>
              <w:rPr>
                <w:sz w:val="17"/>
                <w:szCs w:val="17"/>
                <w:color w:val="auto"/>
              </w:rPr>
            </w:pPr>
          </w:p>
        </w:tc>
        <w:tc>
          <w:tcPr>
            <w:tcW w:w="8300" w:type="dxa"/>
            <w:vAlign w:val="bottom"/>
            <w:gridSpan w:val="2"/>
            <w:shd w:val="clear" w:color="auto" w:fill="DCE2EF"/>
          </w:tcPr>
          <w:p>
            <w:pPr>
              <w:ind w:left="160"/>
              <w:spacing w:after="0"/>
              <w:rPr>
                <w:sz w:val="20"/>
                <w:szCs w:val="20"/>
                <w:color w:val="auto"/>
              </w:rPr>
            </w:pPr>
            <w:r>
              <w:rPr>
                <w:rFonts w:ascii="Arial" w:cs="Arial" w:eastAsia="Arial" w:hAnsi="Arial"/>
                <w:sz w:val="14"/>
                <w:szCs w:val="14"/>
                <w:b w:val="1"/>
                <w:bCs w:val="1"/>
                <w:color w:val="auto"/>
              </w:rPr>
              <w:t>operations</w:t>
            </w:r>
          </w:p>
        </w:tc>
        <w:tc>
          <w:tcPr>
            <w:tcW w:w="340" w:type="dxa"/>
            <w:vAlign w:val="bottom"/>
            <w:shd w:val="clear" w:color="auto" w:fill="DCE2EF"/>
          </w:tcPr>
          <w:p>
            <w:pPr>
              <w:spacing w:after="0"/>
              <w:rPr>
                <w:sz w:val="17"/>
                <w:szCs w:val="17"/>
                <w:color w:val="auto"/>
              </w:rPr>
            </w:pPr>
          </w:p>
        </w:tc>
        <w:tc>
          <w:tcPr>
            <w:tcW w:w="1160" w:type="dxa"/>
            <w:vAlign w:val="bottom"/>
            <w:shd w:val="clear" w:color="auto" w:fill="DCE2EF"/>
          </w:tcPr>
          <w:p>
            <w:pPr>
              <w:spacing w:after="0"/>
              <w:rPr>
                <w:sz w:val="17"/>
                <w:szCs w:val="17"/>
                <w:color w:val="auto"/>
              </w:rPr>
            </w:pPr>
          </w:p>
        </w:tc>
        <w:tc>
          <w:tcPr>
            <w:tcW w:w="120" w:type="dxa"/>
            <w:vAlign w:val="bottom"/>
            <w:shd w:val="clear" w:color="auto" w:fill="DCE2EF"/>
          </w:tcPr>
          <w:p>
            <w:pPr>
              <w:spacing w:after="0"/>
              <w:rPr>
                <w:sz w:val="17"/>
                <w:szCs w:val="17"/>
                <w:color w:val="auto"/>
              </w:rPr>
            </w:pPr>
          </w:p>
        </w:tc>
        <w:tc>
          <w:tcPr>
            <w:tcW w:w="340" w:type="dxa"/>
            <w:vAlign w:val="bottom"/>
            <w:shd w:val="clear" w:color="auto" w:fill="DCE2EF"/>
          </w:tcPr>
          <w:p>
            <w:pPr>
              <w:spacing w:after="0"/>
              <w:rPr>
                <w:sz w:val="17"/>
                <w:szCs w:val="17"/>
                <w:color w:val="auto"/>
              </w:rPr>
            </w:pPr>
          </w:p>
        </w:tc>
        <w:tc>
          <w:tcPr>
            <w:tcW w:w="1120" w:type="dxa"/>
            <w:vAlign w:val="bottom"/>
            <w:shd w:val="clear" w:color="auto" w:fill="DCE2EF"/>
          </w:tcPr>
          <w:p>
            <w:pPr>
              <w:spacing w:after="0"/>
              <w:rPr>
                <w:sz w:val="17"/>
                <w:szCs w:val="17"/>
                <w:color w:val="auto"/>
              </w:rPr>
            </w:pPr>
          </w:p>
        </w:tc>
      </w:tr>
      <w:tr>
        <w:trPr>
          <w:trHeight w:val="264"/>
        </w:trPr>
        <w:tc>
          <w:tcPr>
            <w:tcW w:w="8340" w:type="dxa"/>
            <w:vAlign w:val="bottom"/>
            <w:gridSpan w:val="3"/>
          </w:tcPr>
          <w:p>
            <w:pPr>
              <w:ind w:left="40"/>
              <w:spacing w:after="0"/>
              <w:rPr>
                <w:sz w:val="20"/>
                <w:szCs w:val="20"/>
                <w:color w:val="auto"/>
              </w:rPr>
            </w:pPr>
            <w:r>
              <w:rPr>
                <w:rFonts w:ascii="Arial" w:cs="Arial" w:eastAsia="Arial" w:hAnsi="Arial"/>
                <w:sz w:val="14"/>
                <w:szCs w:val="14"/>
                <w:color w:val="auto"/>
              </w:rPr>
              <w:t>Depreciation and amortization</w:t>
            </w:r>
          </w:p>
        </w:tc>
        <w:tc>
          <w:tcPr>
            <w:tcW w:w="340" w:type="dxa"/>
            <w:vAlign w:val="bottom"/>
          </w:tcPr>
          <w:p>
            <w:pPr>
              <w:spacing w:after="0"/>
              <w:rPr>
                <w:sz w:val="22"/>
                <w:szCs w:val="22"/>
                <w:color w:val="auto"/>
              </w:rPr>
            </w:pPr>
          </w:p>
        </w:tc>
        <w:tc>
          <w:tcPr>
            <w:tcW w:w="1160" w:type="dxa"/>
            <w:vAlign w:val="bottom"/>
          </w:tcPr>
          <w:p>
            <w:pPr>
              <w:jc w:val="right"/>
              <w:ind w:right="48"/>
              <w:spacing w:after="0"/>
              <w:rPr>
                <w:sz w:val="20"/>
                <w:szCs w:val="20"/>
                <w:color w:val="auto"/>
              </w:rPr>
            </w:pPr>
            <w:r>
              <w:rPr>
                <w:rFonts w:ascii="Arial" w:cs="Arial" w:eastAsia="Arial" w:hAnsi="Arial"/>
                <w:sz w:val="14"/>
                <w:szCs w:val="14"/>
                <w:color w:val="auto"/>
              </w:rPr>
              <w:t>57.5</w:t>
            </w: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28.5</w:t>
            </w:r>
          </w:p>
        </w:tc>
      </w:tr>
      <w:tr>
        <w:trPr>
          <w:trHeight w:val="276"/>
        </w:trPr>
        <w:tc>
          <w:tcPr>
            <w:tcW w:w="8340" w:type="dxa"/>
            <w:vAlign w:val="bottom"/>
            <w:gridSpan w:val="3"/>
            <w:shd w:val="clear" w:color="auto" w:fill="DCE2EF"/>
          </w:tcPr>
          <w:p>
            <w:pPr>
              <w:ind w:left="40"/>
              <w:spacing w:after="0"/>
              <w:rPr>
                <w:sz w:val="20"/>
                <w:szCs w:val="20"/>
                <w:color w:val="auto"/>
              </w:rPr>
            </w:pPr>
            <w:r>
              <w:rPr>
                <w:rFonts w:ascii="Arial" w:cs="Arial" w:eastAsia="Arial" w:hAnsi="Arial"/>
                <w:sz w:val="14"/>
                <w:szCs w:val="14"/>
                <w:color w:val="auto"/>
              </w:rPr>
              <w:t>Proceeds from termination of interest rate swaps</w:t>
            </w:r>
          </w:p>
        </w:tc>
        <w:tc>
          <w:tcPr>
            <w:tcW w:w="340" w:type="dxa"/>
            <w:vAlign w:val="bottom"/>
            <w:shd w:val="clear" w:color="auto" w:fill="DCE2EF"/>
          </w:tcPr>
          <w:p>
            <w:pPr>
              <w:spacing w:after="0"/>
              <w:rPr>
                <w:sz w:val="24"/>
                <w:szCs w:val="24"/>
                <w:color w:val="auto"/>
              </w:rPr>
            </w:pPr>
          </w:p>
        </w:tc>
        <w:tc>
          <w:tcPr>
            <w:tcW w:w="1160" w:type="dxa"/>
            <w:vAlign w:val="bottom"/>
            <w:shd w:val="clear" w:color="auto" w:fill="DCE2EF"/>
          </w:tcPr>
          <w:p>
            <w:pPr>
              <w:jc w:val="right"/>
              <w:ind w:right="48"/>
              <w:spacing w:after="0"/>
              <w:rPr>
                <w:sz w:val="20"/>
                <w:szCs w:val="20"/>
                <w:color w:val="auto"/>
              </w:rPr>
            </w:pPr>
            <w:r>
              <w:rPr>
                <w:rFonts w:ascii="Arial" w:cs="Arial" w:eastAsia="Arial" w:hAnsi="Arial"/>
                <w:sz w:val="14"/>
                <w:szCs w:val="14"/>
                <w:color w:val="auto"/>
              </w:rPr>
              <w:t>25.9</w:t>
            </w:r>
          </w:p>
        </w:tc>
        <w:tc>
          <w:tcPr>
            <w:tcW w:w="120" w:type="dxa"/>
            <w:vAlign w:val="bottom"/>
            <w:shd w:val="clear" w:color="auto" w:fill="DCE2EF"/>
          </w:tcPr>
          <w:p>
            <w:pPr>
              <w:spacing w:after="0"/>
              <w:rPr>
                <w:sz w:val="24"/>
                <w:szCs w:val="24"/>
                <w:color w:val="auto"/>
              </w:rPr>
            </w:pPr>
          </w:p>
        </w:tc>
        <w:tc>
          <w:tcPr>
            <w:tcW w:w="340" w:type="dxa"/>
            <w:vAlign w:val="bottom"/>
            <w:shd w:val="clear" w:color="auto" w:fill="DCE2EF"/>
          </w:tcPr>
          <w:p>
            <w:pPr>
              <w:spacing w:after="0"/>
              <w:rPr>
                <w:sz w:val="24"/>
                <w:szCs w:val="24"/>
                <w:color w:val="auto"/>
              </w:rPr>
            </w:pPr>
          </w:p>
        </w:tc>
        <w:tc>
          <w:tcPr>
            <w:tcW w:w="1120" w:type="dxa"/>
            <w:vAlign w:val="bottom"/>
            <w:shd w:val="clear" w:color="auto" w:fill="DCE2EF"/>
          </w:tcPr>
          <w:p>
            <w:pPr>
              <w:jc w:val="right"/>
              <w:ind w:right="28"/>
              <w:spacing w:after="0"/>
              <w:rPr>
                <w:sz w:val="20"/>
                <w:szCs w:val="20"/>
                <w:color w:val="auto"/>
              </w:rPr>
            </w:pPr>
            <w:r>
              <w:rPr>
                <w:rFonts w:ascii="Arial" w:cs="Arial" w:eastAsia="Arial" w:hAnsi="Arial"/>
                <w:sz w:val="14"/>
                <w:szCs w:val="14"/>
                <w:color w:val="auto"/>
              </w:rPr>
              <w:t>—</w:t>
            </w:r>
          </w:p>
        </w:tc>
      </w:tr>
      <w:tr>
        <w:trPr>
          <w:trHeight w:val="264"/>
        </w:trPr>
        <w:tc>
          <w:tcPr>
            <w:tcW w:w="8340" w:type="dxa"/>
            <w:vAlign w:val="bottom"/>
            <w:gridSpan w:val="3"/>
          </w:tcPr>
          <w:p>
            <w:pPr>
              <w:ind w:left="40"/>
              <w:spacing w:after="0"/>
              <w:rPr>
                <w:sz w:val="20"/>
                <w:szCs w:val="20"/>
                <w:color w:val="auto"/>
              </w:rPr>
            </w:pPr>
            <w:r>
              <w:rPr>
                <w:rFonts w:ascii="Arial" w:cs="Arial" w:eastAsia="Arial" w:hAnsi="Arial"/>
                <w:sz w:val="14"/>
                <w:szCs w:val="14"/>
                <w:color w:val="auto"/>
              </w:rPr>
              <w:t>Impairment recovery</w:t>
            </w:r>
          </w:p>
        </w:tc>
        <w:tc>
          <w:tcPr>
            <w:tcW w:w="340" w:type="dxa"/>
            <w:vAlign w:val="bottom"/>
          </w:tcPr>
          <w:p>
            <w:pPr>
              <w:spacing w:after="0"/>
              <w:rPr>
                <w:sz w:val="22"/>
                <w:szCs w:val="22"/>
                <w:color w:val="auto"/>
              </w:rPr>
            </w:pPr>
          </w:p>
        </w:tc>
        <w:tc>
          <w:tcPr>
            <w:tcW w:w="12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(17.4)</w:t>
            </w:r>
          </w:p>
        </w:tc>
      </w:tr>
      <w:tr>
        <w:trPr>
          <w:trHeight w:val="276"/>
        </w:trPr>
        <w:tc>
          <w:tcPr>
            <w:tcW w:w="8340" w:type="dxa"/>
            <w:vAlign w:val="bottom"/>
            <w:gridSpan w:val="3"/>
            <w:shd w:val="clear" w:color="auto" w:fill="DCE2EF"/>
          </w:tcPr>
          <w:p>
            <w:pPr>
              <w:ind w:left="40"/>
              <w:spacing w:after="0"/>
              <w:rPr>
                <w:sz w:val="20"/>
                <w:szCs w:val="20"/>
                <w:color w:val="auto"/>
              </w:rPr>
            </w:pPr>
            <w:r>
              <w:rPr>
                <w:rFonts w:ascii="Arial" w:cs="Arial" w:eastAsia="Arial" w:hAnsi="Arial"/>
                <w:sz w:val="14"/>
                <w:szCs w:val="14"/>
                <w:color w:val="auto"/>
              </w:rPr>
              <w:t>Deferred income taxes</w:t>
            </w:r>
          </w:p>
        </w:tc>
        <w:tc>
          <w:tcPr>
            <w:tcW w:w="340" w:type="dxa"/>
            <w:vAlign w:val="bottom"/>
            <w:shd w:val="clear" w:color="auto" w:fill="DCE2EF"/>
          </w:tcPr>
          <w:p>
            <w:pPr>
              <w:spacing w:after="0"/>
              <w:rPr>
                <w:sz w:val="24"/>
                <w:szCs w:val="24"/>
                <w:color w:val="auto"/>
              </w:rPr>
            </w:pPr>
          </w:p>
        </w:tc>
        <w:tc>
          <w:tcPr>
            <w:tcW w:w="1160" w:type="dxa"/>
            <w:vAlign w:val="bottom"/>
            <w:shd w:val="clear" w:color="auto" w:fill="DCE2EF"/>
          </w:tcPr>
          <w:p>
            <w:pPr>
              <w:jc w:val="right"/>
              <w:ind w:right="8"/>
              <w:spacing w:after="0"/>
              <w:rPr>
                <w:sz w:val="20"/>
                <w:szCs w:val="20"/>
                <w:color w:val="auto"/>
              </w:rPr>
            </w:pPr>
            <w:r>
              <w:rPr>
                <w:rFonts w:ascii="Arial" w:cs="Arial" w:eastAsia="Arial" w:hAnsi="Arial"/>
                <w:sz w:val="14"/>
                <w:szCs w:val="14"/>
                <w:color w:val="auto"/>
              </w:rPr>
              <w:t>(23.3)</w:t>
            </w:r>
          </w:p>
        </w:tc>
        <w:tc>
          <w:tcPr>
            <w:tcW w:w="120" w:type="dxa"/>
            <w:vAlign w:val="bottom"/>
            <w:shd w:val="clear" w:color="auto" w:fill="DCE2EF"/>
          </w:tcPr>
          <w:p>
            <w:pPr>
              <w:spacing w:after="0"/>
              <w:rPr>
                <w:sz w:val="24"/>
                <w:szCs w:val="24"/>
                <w:color w:val="auto"/>
              </w:rPr>
            </w:pPr>
          </w:p>
        </w:tc>
        <w:tc>
          <w:tcPr>
            <w:tcW w:w="340" w:type="dxa"/>
            <w:vAlign w:val="bottom"/>
            <w:shd w:val="clear" w:color="auto" w:fill="DCE2EF"/>
          </w:tcPr>
          <w:p>
            <w:pPr>
              <w:spacing w:after="0"/>
              <w:rPr>
                <w:sz w:val="24"/>
                <w:szCs w:val="24"/>
                <w:color w:val="auto"/>
              </w:rPr>
            </w:pPr>
          </w:p>
        </w:tc>
        <w:tc>
          <w:tcPr>
            <w:tcW w:w="1120" w:type="dxa"/>
            <w:vAlign w:val="bottom"/>
            <w:shd w:val="clear" w:color="auto" w:fill="DCE2EF"/>
          </w:tcPr>
          <w:p>
            <w:pPr>
              <w:jc w:val="right"/>
              <w:ind w:right="28"/>
              <w:spacing w:after="0"/>
              <w:rPr>
                <w:sz w:val="20"/>
                <w:szCs w:val="20"/>
                <w:color w:val="auto"/>
              </w:rPr>
            </w:pPr>
            <w:r>
              <w:rPr>
                <w:rFonts w:ascii="Arial" w:cs="Arial" w:eastAsia="Arial" w:hAnsi="Arial"/>
                <w:sz w:val="14"/>
                <w:szCs w:val="14"/>
                <w:color w:val="auto"/>
              </w:rPr>
              <w:t>9.7</w:t>
            </w:r>
          </w:p>
        </w:tc>
      </w:tr>
      <w:tr>
        <w:trPr>
          <w:trHeight w:val="264"/>
        </w:trPr>
        <w:tc>
          <w:tcPr>
            <w:tcW w:w="8340" w:type="dxa"/>
            <w:vAlign w:val="bottom"/>
            <w:gridSpan w:val="3"/>
          </w:tcPr>
          <w:p>
            <w:pPr>
              <w:ind w:left="40"/>
              <w:spacing w:after="0"/>
              <w:rPr>
                <w:sz w:val="20"/>
                <w:szCs w:val="20"/>
                <w:color w:val="auto"/>
              </w:rPr>
            </w:pPr>
            <w:r>
              <w:rPr>
                <w:rFonts w:ascii="Arial" w:cs="Arial" w:eastAsia="Arial" w:hAnsi="Arial"/>
                <w:sz w:val="14"/>
                <w:szCs w:val="14"/>
                <w:color w:val="auto"/>
              </w:rPr>
              <w:t>Share-based compensation expense</w:t>
            </w:r>
          </w:p>
        </w:tc>
        <w:tc>
          <w:tcPr>
            <w:tcW w:w="340" w:type="dxa"/>
            <w:vAlign w:val="bottom"/>
          </w:tcPr>
          <w:p>
            <w:pPr>
              <w:spacing w:after="0"/>
              <w:rPr>
                <w:sz w:val="22"/>
                <w:szCs w:val="22"/>
                <w:color w:val="auto"/>
              </w:rPr>
            </w:pPr>
          </w:p>
        </w:tc>
        <w:tc>
          <w:tcPr>
            <w:tcW w:w="1160" w:type="dxa"/>
            <w:vAlign w:val="bottom"/>
          </w:tcPr>
          <w:p>
            <w:pPr>
              <w:jc w:val="right"/>
              <w:ind w:right="48"/>
              <w:spacing w:after="0"/>
              <w:rPr>
                <w:sz w:val="20"/>
                <w:szCs w:val="20"/>
                <w:color w:val="auto"/>
              </w:rPr>
            </w:pPr>
            <w:r>
              <w:rPr>
                <w:rFonts w:ascii="Arial" w:cs="Arial" w:eastAsia="Arial" w:hAnsi="Arial"/>
                <w:sz w:val="14"/>
                <w:szCs w:val="14"/>
                <w:color w:val="auto"/>
              </w:rPr>
              <w:t>8.3</w:t>
            </w: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7.3</w:t>
            </w:r>
          </w:p>
        </w:tc>
      </w:tr>
      <w:tr>
        <w:trPr>
          <w:trHeight w:val="276"/>
        </w:trPr>
        <w:tc>
          <w:tcPr>
            <w:tcW w:w="8340" w:type="dxa"/>
            <w:vAlign w:val="bottom"/>
            <w:gridSpan w:val="3"/>
            <w:shd w:val="clear" w:color="auto" w:fill="DCE2EF"/>
          </w:tcPr>
          <w:p>
            <w:pPr>
              <w:ind w:left="40"/>
              <w:spacing w:after="0"/>
              <w:rPr>
                <w:sz w:val="20"/>
                <w:szCs w:val="20"/>
                <w:color w:val="auto"/>
              </w:rPr>
            </w:pPr>
            <w:r>
              <w:rPr>
                <w:rFonts w:ascii="Arial" w:cs="Arial" w:eastAsia="Arial" w:hAnsi="Arial"/>
                <w:sz w:val="14"/>
                <w:szCs w:val="14"/>
                <w:color w:val="auto"/>
              </w:rPr>
              <w:t>Provision for bad debt</w:t>
            </w:r>
          </w:p>
        </w:tc>
        <w:tc>
          <w:tcPr>
            <w:tcW w:w="340" w:type="dxa"/>
            <w:vAlign w:val="bottom"/>
            <w:shd w:val="clear" w:color="auto" w:fill="DCE2EF"/>
          </w:tcPr>
          <w:p>
            <w:pPr>
              <w:spacing w:after="0"/>
              <w:rPr>
                <w:sz w:val="24"/>
                <w:szCs w:val="24"/>
                <w:color w:val="auto"/>
              </w:rPr>
            </w:pPr>
          </w:p>
        </w:tc>
        <w:tc>
          <w:tcPr>
            <w:tcW w:w="1160" w:type="dxa"/>
            <w:vAlign w:val="bottom"/>
            <w:shd w:val="clear" w:color="auto" w:fill="DCE2EF"/>
          </w:tcPr>
          <w:p>
            <w:pPr>
              <w:jc w:val="right"/>
              <w:ind w:right="48"/>
              <w:spacing w:after="0"/>
              <w:rPr>
                <w:sz w:val="20"/>
                <w:szCs w:val="20"/>
                <w:color w:val="auto"/>
              </w:rPr>
            </w:pPr>
            <w:r>
              <w:rPr>
                <w:rFonts w:ascii="Arial" w:cs="Arial" w:eastAsia="Arial" w:hAnsi="Arial"/>
                <w:sz w:val="14"/>
                <w:szCs w:val="14"/>
                <w:color w:val="auto"/>
              </w:rPr>
              <w:t>3.9</w:t>
            </w:r>
          </w:p>
        </w:tc>
        <w:tc>
          <w:tcPr>
            <w:tcW w:w="120" w:type="dxa"/>
            <w:vAlign w:val="bottom"/>
            <w:shd w:val="clear" w:color="auto" w:fill="DCE2EF"/>
          </w:tcPr>
          <w:p>
            <w:pPr>
              <w:spacing w:after="0"/>
              <w:rPr>
                <w:sz w:val="24"/>
                <w:szCs w:val="24"/>
                <w:color w:val="auto"/>
              </w:rPr>
            </w:pPr>
          </w:p>
        </w:tc>
        <w:tc>
          <w:tcPr>
            <w:tcW w:w="340" w:type="dxa"/>
            <w:vAlign w:val="bottom"/>
            <w:shd w:val="clear" w:color="auto" w:fill="DCE2EF"/>
          </w:tcPr>
          <w:p>
            <w:pPr>
              <w:spacing w:after="0"/>
              <w:rPr>
                <w:sz w:val="24"/>
                <w:szCs w:val="24"/>
                <w:color w:val="auto"/>
              </w:rPr>
            </w:pPr>
          </w:p>
        </w:tc>
        <w:tc>
          <w:tcPr>
            <w:tcW w:w="1120" w:type="dxa"/>
            <w:vAlign w:val="bottom"/>
            <w:shd w:val="clear" w:color="auto" w:fill="DCE2EF"/>
          </w:tcPr>
          <w:p>
            <w:pPr>
              <w:jc w:val="right"/>
              <w:ind w:right="28"/>
              <w:spacing w:after="0"/>
              <w:rPr>
                <w:sz w:val="20"/>
                <w:szCs w:val="20"/>
                <w:color w:val="auto"/>
              </w:rPr>
            </w:pPr>
            <w:r>
              <w:rPr>
                <w:rFonts w:ascii="Arial" w:cs="Arial" w:eastAsia="Arial" w:hAnsi="Arial"/>
                <w:sz w:val="14"/>
                <w:szCs w:val="14"/>
                <w:color w:val="auto"/>
              </w:rPr>
              <w:t>2.0</w:t>
            </w:r>
          </w:p>
        </w:tc>
      </w:tr>
      <w:tr>
        <w:trPr>
          <w:trHeight w:val="264"/>
        </w:trPr>
        <w:tc>
          <w:tcPr>
            <w:tcW w:w="8340" w:type="dxa"/>
            <w:vAlign w:val="bottom"/>
            <w:gridSpan w:val="3"/>
          </w:tcPr>
          <w:p>
            <w:pPr>
              <w:ind w:left="40"/>
              <w:spacing w:after="0"/>
              <w:rPr>
                <w:sz w:val="20"/>
                <w:szCs w:val="20"/>
                <w:color w:val="auto"/>
              </w:rPr>
            </w:pPr>
            <w:r>
              <w:rPr>
                <w:rFonts w:ascii="Arial" w:cs="Arial" w:eastAsia="Arial" w:hAnsi="Arial"/>
                <w:sz w:val="14"/>
                <w:szCs w:val="14"/>
                <w:color w:val="auto"/>
              </w:rPr>
              <w:t>Discount accretion on insurance claims</w:t>
            </w:r>
          </w:p>
        </w:tc>
        <w:tc>
          <w:tcPr>
            <w:tcW w:w="340" w:type="dxa"/>
            <w:vAlign w:val="bottom"/>
          </w:tcPr>
          <w:p>
            <w:pPr>
              <w:spacing w:after="0"/>
              <w:rPr>
                <w:sz w:val="22"/>
                <w:szCs w:val="22"/>
                <w:color w:val="auto"/>
              </w:rPr>
            </w:pPr>
          </w:p>
        </w:tc>
        <w:tc>
          <w:tcPr>
            <w:tcW w:w="1160" w:type="dxa"/>
            <w:vAlign w:val="bottom"/>
          </w:tcPr>
          <w:p>
            <w:pPr>
              <w:jc w:val="right"/>
              <w:ind w:right="48"/>
              <w:spacing w:after="0"/>
              <w:rPr>
                <w:sz w:val="20"/>
                <w:szCs w:val="20"/>
                <w:color w:val="auto"/>
              </w:rPr>
            </w:pPr>
            <w:r>
              <w:rPr>
                <w:rFonts w:ascii="Arial" w:cs="Arial" w:eastAsia="Arial" w:hAnsi="Arial"/>
                <w:sz w:val="14"/>
                <w:szCs w:val="14"/>
                <w:color w:val="auto"/>
              </w:rPr>
              <w:t>0.4</w:t>
            </w: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0.1</w:t>
            </w:r>
          </w:p>
        </w:tc>
      </w:tr>
      <w:tr>
        <w:trPr>
          <w:trHeight w:val="276"/>
        </w:trPr>
        <w:tc>
          <w:tcPr>
            <w:tcW w:w="8340" w:type="dxa"/>
            <w:vAlign w:val="bottom"/>
            <w:gridSpan w:val="3"/>
            <w:shd w:val="clear" w:color="auto" w:fill="DCE2EF"/>
          </w:tcPr>
          <w:p>
            <w:pPr>
              <w:ind w:left="40"/>
              <w:spacing w:after="0"/>
              <w:rPr>
                <w:sz w:val="20"/>
                <w:szCs w:val="20"/>
                <w:color w:val="auto"/>
              </w:rPr>
            </w:pPr>
            <w:r>
              <w:rPr>
                <w:rFonts w:ascii="Arial" w:cs="Arial" w:eastAsia="Arial" w:hAnsi="Arial"/>
                <w:sz w:val="14"/>
                <w:szCs w:val="14"/>
                <w:color w:val="auto"/>
              </w:rPr>
              <w:t>Loss (gain) on sale of assets</w:t>
            </w:r>
          </w:p>
        </w:tc>
        <w:tc>
          <w:tcPr>
            <w:tcW w:w="340" w:type="dxa"/>
            <w:vAlign w:val="bottom"/>
            <w:shd w:val="clear" w:color="auto" w:fill="DCE2EF"/>
          </w:tcPr>
          <w:p>
            <w:pPr>
              <w:spacing w:after="0"/>
              <w:rPr>
                <w:sz w:val="24"/>
                <w:szCs w:val="24"/>
                <w:color w:val="auto"/>
              </w:rPr>
            </w:pPr>
          </w:p>
        </w:tc>
        <w:tc>
          <w:tcPr>
            <w:tcW w:w="1160" w:type="dxa"/>
            <w:vAlign w:val="bottom"/>
            <w:shd w:val="clear" w:color="auto" w:fill="DCE2EF"/>
          </w:tcPr>
          <w:p>
            <w:pPr>
              <w:jc w:val="right"/>
              <w:ind w:right="48"/>
              <w:spacing w:after="0"/>
              <w:rPr>
                <w:sz w:val="20"/>
                <w:szCs w:val="20"/>
                <w:color w:val="auto"/>
              </w:rPr>
            </w:pPr>
            <w:r>
              <w:rPr>
                <w:rFonts w:ascii="Arial" w:cs="Arial" w:eastAsia="Arial" w:hAnsi="Arial"/>
                <w:sz w:val="14"/>
                <w:szCs w:val="14"/>
                <w:color w:val="auto"/>
              </w:rPr>
              <w:t>0.4</w:t>
            </w:r>
          </w:p>
        </w:tc>
        <w:tc>
          <w:tcPr>
            <w:tcW w:w="120" w:type="dxa"/>
            <w:vAlign w:val="bottom"/>
            <w:shd w:val="clear" w:color="auto" w:fill="DCE2EF"/>
          </w:tcPr>
          <w:p>
            <w:pPr>
              <w:spacing w:after="0"/>
              <w:rPr>
                <w:sz w:val="24"/>
                <w:szCs w:val="24"/>
                <w:color w:val="auto"/>
              </w:rPr>
            </w:pPr>
          </w:p>
        </w:tc>
        <w:tc>
          <w:tcPr>
            <w:tcW w:w="340" w:type="dxa"/>
            <w:vAlign w:val="bottom"/>
            <w:shd w:val="clear" w:color="auto" w:fill="DCE2EF"/>
          </w:tcPr>
          <w:p>
            <w:pPr>
              <w:spacing w:after="0"/>
              <w:rPr>
                <w:sz w:val="24"/>
                <w:szCs w:val="24"/>
                <w:color w:val="auto"/>
              </w:rPr>
            </w:pPr>
          </w:p>
        </w:tc>
        <w:tc>
          <w:tcPr>
            <w:tcW w:w="1120" w:type="dxa"/>
            <w:vAlign w:val="bottom"/>
            <w:shd w:val="clear" w:color="auto" w:fill="DCE2EF"/>
          </w:tcPr>
          <w:p>
            <w:pPr>
              <w:jc w:val="right"/>
              <w:spacing w:after="0"/>
              <w:rPr>
                <w:sz w:val="20"/>
                <w:szCs w:val="20"/>
                <w:color w:val="auto"/>
              </w:rPr>
            </w:pPr>
            <w:r>
              <w:rPr>
                <w:rFonts w:ascii="Arial" w:cs="Arial" w:eastAsia="Arial" w:hAnsi="Arial"/>
                <w:sz w:val="14"/>
                <w:szCs w:val="14"/>
                <w:color w:val="auto"/>
              </w:rPr>
              <w:t>(0.1)</w:t>
            </w:r>
          </w:p>
        </w:tc>
      </w:tr>
      <w:tr>
        <w:trPr>
          <w:trHeight w:val="264"/>
        </w:trPr>
        <w:tc>
          <w:tcPr>
            <w:tcW w:w="8340" w:type="dxa"/>
            <w:vAlign w:val="bottom"/>
            <w:gridSpan w:val="3"/>
          </w:tcPr>
          <w:p>
            <w:pPr>
              <w:ind w:left="40"/>
              <w:spacing w:after="0"/>
              <w:rPr>
                <w:sz w:val="20"/>
                <w:szCs w:val="20"/>
                <w:color w:val="auto"/>
              </w:rPr>
            </w:pPr>
            <w:r>
              <w:rPr>
                <w:rFonts w:ascii="Arial" w:cs="Arial" w:eastAsia="Arial" w:hAnsi="Arial"/>
                <w:sz w:val="14"/>
                <w:szCs w:val="14"/>
                <w:color w:val="auto"/>
              </w:rPr>
              <w:t>Income from unconsolidated affiliates, net</w:t>
            </w:r>
          </w:p>
        </w:tc>
        <w:tc>
          <w:tcPr>
            <w:tcW w:w="340" w:type="dxa"/>
            <w:vAlign w:val="bottom"/>
          </w:tcPr>
          <w:p>
            <w:pPr>
              <w:spacing w:after="0"/>
              <w:rPr>
                <w:sz w:val="22"/>
                <w:szCs w:val="22"/>
                <w:color w:val="auto"/>
              </w:rPr>
            </w:pPr>
          </w:p>
        </w:tc>
        <w:tc>
          <w:tcPr>
            <w:tcW w:w="1160" w:type="dxa"/>
            <w:vAlign w:val="bottom"/>
          </w:tcPr>
          <w:p>
            <w:pPr>
              <w:jc w:val="right"/>
              <w:ind w:right="8"/>
              <w:spacing w:after="0"/>
              <w:rPr>
                <w:sz w:val="20"/>
                <w:szCs w:val="20"/>
                <w:color w:val="auto"/>
              </w:rPr>
            </w:pPr>
            <w:r>
              <w:rPr>
                <w:rFonts w:ascii="Arial" w:cs="Arial" w:eastAsia="Arial" w:hAnsi="Arial"/>
                <w:sz w:val="14"/>
                <w:szCs w:val="14"/>
                <w:color w:val="auto"/>
              </w:rPr>
              <w:t>(1.6)</w:t>
            </w: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(2.3)</w:t>
            </w:r>
          </w:p>
        </w:tc>
      </w:tr>
      <w:tr>
        <w:trPr>
          <w:trHeight w:val="276"/>
        </w:trPr>
        <w:tc>
          <w:tcPr>
            <w:tcW w:w="8340" w:type="dxa"/>
            <w:vAlign w:val="bottom"/>
            <w:gridSpan w:val="3"/>
            <w:shd w:val="clear" w:color="auto" w:fill="DCE2EF"/>
          </w:tcPr>
          <w:p>
            <w:pPr>
              <w:ind w:left="40"/>
              <w:spacing w:after="0"/>
              <w:rPr>
                <w:sz w:val="20"/>
                <w:szCs w:val="20"/>
                <w:color w:val="auto"/>
              </w:rPr>
            </w:pPr>
            <w:r>
              <w:rPr>
                <w:rFonts w:ascii="Arial" w:cs="Arial" w:eastAsia="Arial" w:hAnsi="Arial"/>
                <w:sz w:val="14"/>
                <w:szCs w:val="14"/>
                <w:color w:val="auto"/>
              </w:rPr>
              <w:t>Distributions from unconsolidated affiliates</w:t>
            </w:r>
          </w:p>
        </w:tc>
        <w:tc>
          <w:tcPr>
            <w:tcW w:w="340" w:type="dxa"/>
            <w:vAlign w:val="bottom"/>
            <w:shd w:val="clear" w:color="auto" w:fill="DCE2EF"/>
          </w:tcPr>
          <w:p>
            <w:pPr>
              <w:spacing w:after="0"/>
              <w:rPr>
                <w:sz w:val="24"/>
                <w:szCs w:val="24"/>
                <w:color w:val="auto"/>
              </w:rPr>
            </w:pPr>
          </w:p>
        </w:tc>
        <w:tc>
          <w:tcPr>
            <w:tcW w:w="1160" w:type="dxa"/>
            <w:vAlign w:val="bottom"/>
            <w:shd w:val="clear" w:color="auto" w:fill="DCE2EF"/>
          </w:tcPr>
          <w:p>
            <w:pPr>
              <w:jc w:val="right"/>
              <w:ind w:right="48"/>
              <w:spacing w:after="0"/>
              <w:rPr>
                <w:sz w:val="20"/>
                <w:szCs w:val="20"/>
                <w:color w:val="auto"/>
              </w:rPr>
            </w:pPr>
            <w:r>
              <w:rPr>
                <w:rFonts w:ascii="Arial" w:cs="Arial" w:eastAsia="Arial" w:hAnsi="Arial"/>
                <w:sz w:val="14"/>
                <w:szCs w:val="14"/>
                <w:color w:val="auto"/>
              </w:rPr>
              <w:t>0.1</w:t>
            </w:r>
          </w:p>
        </w:tc>
        <w:tc>
          <w:tcPr>
            <w:tcW w:w="120" w:type="dxa"/>
            <w:vAlign w:val="bottom"/>
            <w:shd w:val="clear" w:color="auto" w:fill="DCE2EF"/>
          </w:tcPr>
          <w:p>
            <w:pPr>
              <w:spacing w:after="0"/>
              <w:rPr>
                <w:sz w:val="24"/>
                <w:szCs w:val="24"/>
                <w:color w:val="auto"/>
              </w:rPr>
            </w:pPr>
          </w:p>
        </w:tc>
        <w:tc>
          <w:tcPr>
            <w:tcW w:w="340" w:type="dxa"/>
            <w:vAlign w:val="bottom"/>
            <w:shd w:val="clear" w:color="auto" w:fill="DCE2EF"/>
          </w:tcPr>
          <w:p>
            <w:pPr>
              <w:spacing w:after="0"/>
              <w:rPr>
                <w:sz w:val="24"/>
                <w:szCs w:val="24"/>
                <w:color w:val="auto"/>
              </w:rPr>
            </w:pPr>
          </w:p>
        </w:tc>
        <w:tc>
          <w:tcPr>
            <w:tcW w:w="1120" w:type="dxa"/>
            <w:vAlign w:val="bottom"/>
            <w:shd w:val="clear" w:color="auto" w:fill="DCE2EF"/>
          </w:tcPr>
          <w:p>
            <w:pPr>
              <w:jc w:val="right"/>
              <w:ind w:right="28"/>
              <w:spacing w:after="0"/>
              <w:rPr>
                <w:sz w:val="20"/>
                <w:szCs w:val="20"/>
                <w:color w:val="auto"/>
              </w:rPr>
            </w:pPr>
            <w:r>
              <w:rPr>
                <w:rFonts w:ascii="Arial" w:cs="Arial" w:eastAsia="Arial" w:hAnsi="Arial"/>
                <w:sz w:val="14"/>
                <w:szCs w:val="14"/>
                <w:color w:val="auto"/>
              </w:rPr>
              <w:t>0.8</w:t>
            </w:r>
          </w:p>
        </w:tc>
      </w:tr>
      <w:tr>
        <w:trPr>
          <w:trHeight w:val="264"/>
        </w:trPr>
        <w:tc>
          <w:tcPr>
            <w:tcW w:w="8340" w:type="dxa"/>
            <w:vAlign w:val="bottom"/>
            <w:gridSpan w:val="3"/>
          </w:tcPr>
          <w:p>
            <w:pPr>
              <w:ind w:left="40"/>
              <w:spacing w:after="0"/>
              <w:rPr>
                <w:sz w:val="20"/>
                <w:szCs w:val="20"/>
                <w:color w:val="auto"/>
              </w:rPr>
            </w:pPr>
            <w:r>
              <w:rPr>
                <w:rFonts w:ascii="Arial" w:cs="Arial" w:eastAsia="Arial" w:hAnsi="Arial"/>
                <w:sz w:val="14"/>
                <w:szCs w:val="14"/>
                <w:color w:val="auto"/>
              </w:rPr>
              <w:t>Changes in operating assets and liabilities, net of effects of acquisitions</w:t>
            </w:r>
          </w:p>
        </w:tc>
        <w:tc>
          <w:tcPr>
            <w:tcW w:w="34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20" w:type="dxa"/>
            <w:vAlign w:val="bottom"/>
          </w:tcPr>
          <w:p>
            <w:pPr>
              <w:spacing w:after="0"/>
              <w:rPr>
                <w:sz w:val="22"/>
                <w:szCs w:val="22"/>
                <w:color w:val="auto"/>
              </w:rPr>
            </w:pPr>
          </w:p>
        </w:tc>
      </w:tr>
      <w:tr>
        <w:trPr>
          <w:trHeight w:val="276"/>
        </w:trPr>
        <w:tc>
          <w:tcPr>
            <w:tcW w:w="40" w:type="dxa"/>
            <w:vAlign w:val="bottom"/>
            <w:shd w:val="clear" w:color="auto" w:fill="DCE2EF"/>
          </w:tcPr>
          <w:p>
            <w:pPr>
              <w:spacing w:after="0"/>
              <w:rPr>
                <w:sz w:val="24"/>
                <w:szCs w:val="24"/>
                <w:color w:val="auto"/>
              </w:rPr>
            </w:pPr>
          </w:p>
        </w:tc>
        <w:tc>
          <w:tcPr>
            <w:tcW w:w="8300" w:type="dxa"/>
            <w:vAlign w:val="bottom"/>
            <w:gridSpan w:val="2"/>
            <w:shd w:val="clear" w:color="auto" w:fill="DCE2EF"/>
          </w:tcPr>
          <w:p>
            <w:pPr>
              <w:ind w:left="340"/>
              <w:spacing w:after="0"/>
              <w:rPr>
                <w:sz w:val="20"/>
                <w:szCs w:val="20"/>
                <w:color w:val="auto"/>
              </w:rPr>
            </w:pPr>
            <w:r>
              <w:rPr>
                <w:rFonts w:ascii="Arial" w:cs="Arial" w:eastAsia="Arial" w:hAnsi="Arial"/>
                <w:sz w:val="14"/>
                <w:szCs w:val="14"/>
                <w:color w:val="auto"/>
              </w:rPr>
              <w:t>Trade accounts receivable</w:t>
            </w:r>
          </w:p>
        </w:tc>
        <w:tc>
          <w:tcPr>
            <w:tcW w:w="340" w:type="dxa"/>
            <w:vAlign w:val="bottom"/>
            <w:shd w:val="clear" w:color="auto" w:fill="DCE2EF"/>
          </w:tcPr>
          <w:p>
            <w:pPr>
              <w:spacing w:after="0"/>
              <w:rPr>
                <w:sz w:val="24"/>
                <w:szCs w:val="24"/>
                <w:color w:val="auto"/>
              </w:rPr>
            </w:pPr>
          </w:p>
        </w:tc>
        <w:tc>
          <w:tcPr>
            <w:tcW w:w="1160" w:type="dxa"/>
            <w:vAlign w:val="bottom"/>
            <w:shd w:val="clear" w:color="auto" w:fill="DCE2EF"/>
          </w:tcPr>
          <w:p>
            <w:pPr>
              <w:jc w:val="right"/>
              <w:ind w:right="48"/>
              <w:spacing w:after="0"/>
              <w:rPr>
                <w:sz w:val="20"/>
                <w:szCs w:val="20"/>
                <w:color w:val="auto"/>
              </w:rPr>
            </w:pPr>
            <w:r>
              <w:rPr>
                <w:rFonts w:ascii="Arial" w:cs="Arial" w:eastAsia="Arial" w:hAnsi="Arial"/>
                <w:sz w:val="14"/>
                <w:szCs w:val="14"/>
                <w:color w:val="auto"/>
              </w:rPr>
              <w:t>28.7</w:t>
            </w:r>
          </w:p>
        </w:tc>
        <w:tc>
          <w:tcPr>
            <w:tcW w:w="120" w:type="dxa"/>
            <w:vAlign w:val="bottom"/>
            <w:shd w:val="clear" w:color="auto" w:fill="DCE2EF"/>
          </w:tcPr>
          <w:p>
            <w:pPr>
              <w:spacing w:after="0"/>
              <w:rPr>
                <w:sz w:val="24"/>
                <w:szCs w:val="24"/>
                <w:color w:val="auto"/>
              </w:rPr>
            </w:pPr>
          </w:p>
        </w:tc>
        <w:tc>
          <w:tcPr>
            <w:tcW w:w="340" w:type="dxa"/>
            <w:vAlign w:val="bottom"/>
            <w:shd w:val="clear" w:color="auto" w:fill="DCE2EF"/>
          </w:tcPr>
          <w:p>
            <w:pPr>
              <w:spacing w:after="0"/>
              <w:rPr>
                <w:sz w:val="24"/>
                <w:szCs w:val="24"/>
                <w:color w:val="auto"/>
              </w:rPr>
            </w:pPr>
          </w:p>
        </w:tc>
        <w:tc>
          <w:tcPr>
            <w:tcW w:w="1120" w:type="dxa"/>
            <w:vAlign w:val="bottom"/>
            <w:shd w:val="clear" w:color="auto" w:fill="DCE2EF"/>
          </w:tcPr>
          <w:p>
            <w:pPr>
              <w:jc w:val="right"/>
              <w:spacing w:after="0"/>
              <w:rPr>
                <w:sz w:val="20"/>
                <w:szCs w:val="20"/>
                <w:color w:val="auto"/>
              </w:rPr>
            </w:pPr>
            <w:r>
              <w:rPr>
                <w:rFonts w:ascii="Arial" w:cs="Arial" w:eastAsia="Arial" w:hAnsi="Arial"/>
                <w:sz w:val="14"/>
                <w:szCs w:val="14"/>
                <w:color w:val="auto"/>
              </w:rPr>
              <w:t>(47.3)</w:t>
            </w:r>
          </w:p>
        </w:tc>
      </w:tr>
      <w:tr>
        <w:trPr>
          <w:trHeight w:val="264"/>
        </w:trPr>
        <w:tc>
          <w:tcPr>
            <w:tcW w:w="40" w:type="dxa"/>
            <w:vAlign w:val="bottom"/>
          </w:tcPr>
          <w:p>
            <w:pPr>
              <w:spacing w:after="0"/>
              <w:rPr>
                <w:sz w:val="22"/>
                <w:szCs w:val="22"/>
                <w:color w:val="auto"/>
              </w:rPr>
            </w:pPr>
          </w:p>
        </w:tc>
        <w:tc>
          <w:tcPr>
            <w:tcW w:w="8300" w:type="dxa"/>
            <w:vAlign w:val="bottom"/>
            <w:gridSpan w:val="2"/>
          </w:tcPr>
          <w:p>
            <w:pPr>
              <w:ind w:left="340"/>
              <w:spacing w:after="0"/>
              <w:rPr>
                <w:sz w:val="20"/>
                <w:szCs w:val="20"/>
                <w:color w:val="auto"/>
              </w:rPr>
            </w:pPr>
            <w:r>
              <w:rPr>
                <w:rFonts w:ascii="Arial" w:cs="Arial" w:eastAsia="Arial" w:hAnsi="Arial"/>
                <w:sz w:val="14"/>
                <w:szCs w:val="14"/>
                <w:color w:val="auto"/>
              </w:rPr>
              <w:t>Prepaid expenses and other current assets</w:t>
            </w:r>
          </w:p>
        </w:tc>
        <w:tc>
          <w:tcPr>
            <w:tcW w:w="340" w:type="dxa"/>
            <w:vAlign w:val="bottom"/>
          </w:tcPr>
          <w:p>
            <w:pPr>
              <w:spacing w:after="0"/>
              <w:rPr>
                <w:sz w:val="22"/>
                <w:szCs w:val="22"/>
                <w:color w:val="auto"/>
              </w:rPr>
            </w:pPr>
          </w:p>
        </w:tc>
        <w:tc>
          <w:tcPr>
            <w:tcW w:w="1160" w:type="dxa"/>
            <w:vAlign w:val="bottom"/>
          </w:tcPr>
          <w:p>
            <w:pPr>
              <w:jc w:val="right"/>
              <w:ind w:right="48"/>
              <w:spacing w:after="0"/>
              <w:rPr>
                <w:sz w:val="20"/>
                <w:szCs w:val="20"/>
                <w:color w:val="auto"/>
              </w:rPr>
            </w:pPr>
            <w:r>
              <w:rPr>
                <w:rFonts w:ascii="Arial" w:cs="Arial" w:eastAsia="Arial" w:hAnsi="Arial"/>
                <w:sz w:val="14"/>
                <w:szCs w:val="14"/>
                <w:color w:val="auto"/>
              </w:rPr>
              <w:t>0.4</w:t>
            </w: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(2.7)</w:t>
            </w:r>
          </w:p>
        </w:tc>
      </w:tr>
      <w:tr>
        <w:trPr>
          <w:trHeight w:val="276"/>
        </w:trPr>
        <w:tc>
          <w:tcPr>
            <w:tcW w:w="40" w:type="dxa"/>
            <w:vAlign w:val="bottom"/>
            <w:shd w:val="clear" w:color="auto" w:fill="DCE2EF"/>
          </w:tcPr>
          <w:p>
            <w:pPr>
              <w:spacing w:after="0"/>
              <w:rPr>
                <w:sz w:val="24"/>
                <w:szCs w:val="24"/>
                <w:color w:val="auto"/>
              </w:rPr>
            </w:pPr>
          </w:p>
        </w:tc>
        <w:tc>
          <w:tcPr>
            <w:tcW w:w="8300" w:type="dxa"/>
            <w:vAlign w:val="bottom"/>
            <w:gridSpan w:val="2"/>
            <w:shd w:val="clear" w:color="auto" w:fill="DCE2EF"/>
          </w:tcPr>
          <w:p>
            <w:pPr>
              <w:ind w:left="340"/>
              <w:spacing w:after="0"/>
              <w:rPr>
                <w:sz w:val="20"/>
                <w:szCs w:val="20"/>
                <w:color w:val="auto"/>
              </w:rPr>
            </w:pPr>
            <w:r>
              <w:rPr>
                <w:rFonts w:ascii="Arial" w:cs="Arial" w:eastAsia="Arial" w:hAnsi="Arial"/>
                <w:sz w:val="14"/>
                <w:szCs w:val="14"/>
                <w:color w:val="auto"/>
              </w:rPr>
              <w:t>Other noncurrent assets</w:t>
            </w:r>
          </w:p>
        </w:tc>
        <w:tc>
          <w:tcPr>
            <w:tcW w:w="340" w:type="dxa"/>
            <w:vAlign w:val="bottom"/>
            <w:shd w:val="clear" w:color="auto" w:fill="DCE2EF"/>
          </w:tcPr>
          <w:p>
            <w:pPr>
              <w:spacing w:after="0"/>
              <w:rPr>
                <w:sz w:val="24"/>
                <w:szCs w:val="24"/>
                <w:color w:val="auto"/>
              </w:rPr>
            </w:pPr>
          </w:p>
        </w:tc>
        <w:tc>
          <w:tcPr>
            <w:tcW w:w="1160" w:type="dxa"/>
            <w:vAlign w:val="bottom"/>
            <w:shd w:val="clear" w:color="auto" w:fill="DCE2EF"/>
          </w:tcPr>
          <w:p>
            <w:pPr>
              <w:jc w:val="right"/>
              <w:ind w:right="48"/>
              <w:spacing w:after="0"/>
              <w:rPr>
                <w:sz w:val="20"/>
                <w:szCs w:val="20"/>
                <w:color w:val="auto"/>
              </w:rPr>
            </w:pPr>
            <w:r>
              <w:rPr>
                <w:rFonts w:ascii="Arial" w:cs="Arial" w:eastAsia="Arial" w:hAnsi="Arial"/>
                <w:sz w:val="14"/>
                <w:szCs w:val="14"/>
                <w:color w:val="auto"/>
              </w:rPr>
              <w:t>1.3</w:t>
            </w:r>
          </w:p>
        </w:tc>
        <w:tc>
          <w:tcPr>
            <w:tcW w:w="120" w:type="dxa"/>
            <w:vAlign w:val="bottom"/>
            <w:shd w:val="clear" w:color="auto" w:fill="DCE2EF"/>
          </w:tcPr>
          <w:p>
            <w:pPr>
              <w:spacing w:after="0"/>
              <w:rPr>
                <w:sz w:val="24"/>
                <w:szCs w:val="24"/>
                <w:color w:val="auto"/>
              </w:rPr>
            </w:pPr>
          </w:p>
        </w:tc>
        <w:tc>
          <w:tcPr>
            <w:tcW w:w="340" w:type="dxa"/>
            <w:vAlign w:val="bottom"/>
            <w:shd w:val="clear" w:color="auto" w:fill="DCE2EF"/>
          </w:tcPr>
          <w:p>
            <w:pPr>
              <w:spacing w:after="0"/>
              <w:rPr>
                <w:sz w:val="24"/>
                <w:szCs w:val="24"/>
                <w:color w:val="auto"/>
              </w:rPr>
            </w:pPr>
          </w:p>
        </w:tc>
        <w:tc>
          <w:tcPr>
            <w:tcW w:w="1120" w:type="dxa"/>
            <w:vAlign w:val="bottom"/>
            <w:shd w:val="clear" w:color="auto" w:fill="DCE2EF"/>
          </w:tcPr>
          <w:p>
            <w:pPr>
              <w:jc w:val="right"/>
              <w:spacing w:after="0"/>
              <w:rPr>
                <w:sz w:val="20"/>
                <w:szCs w:val="20"/>
                <w:color w:val="auto"/>
              </w:rPr>
            </w:pPr>
            <w:r>
              <w:rPr>
                <w:rFonts w:ascii="Arial" w:cs="Arial" w:eastAsia="Arial" w:hAnsi="Arial"/>
                <w:sz w:val="14"/>
                <w:szCs w:val="14"/>
                <w:color w:val="auto"/>
              </w:rPr>
              <w:t>(6.4)</w:t>
            </w:r>
          </w:p>
        </w:tc>
      </w:tr>
      <w:tr>
        <w:trPr>
          <w:trHeight w:val="264"/>
        </w:trPr>
        <w:tc>
          <w:tcPr>
            <w:tcW w:w="40" w:type="dxa"/>
            <w:vAlign w:val="bottom"/>
          </w:tcPr>
          <w:p>
            <w:pPr>
              <w:spacing w:after="0"/>
              <w:rPr>
                <w:sz w:val="22"/>
                <w:szCs w:val="22"/>
                <w:color w:val="auto"/>
              </w:rPr>
            </w:pPr>
          </w:p>
        </w:tc>
        <w:tc>
          <w:tcPr>
            <w:tcW w:w="8300" w:type="dxa"/>
            <w:vAlign w:val="bottom"/>
            <w:gridSpan w:val="2"/>
          </w:tcPr>
          <w:p>
            <w:pPr>
              <w:ind w:left="340"/>
              <w:spacing w:after="0"/>
              <w:rPr>
                <w:sz w:val="20"/>
                <w:szCs w:val="20"/>
                <w:color w:val="auto"/>
              </w:rPr>
            </w:pPr>
            <w:r>
              <w:rPr>
                <w:rFonts w:ascii="Arial" w:cs="Arial" w:eastAsia="Arial" w:hAnsi="Arial"/>
                <w:sz w:val="14"/>
                <w:szCs w:val="14"/>
                <w:color w:val="auto"/>
              </w:rPr>
              <w:t>Trade accounts payable and other accrued liabilities</w:t>
            </w:r>
          </w:p>
        </w:tc>
        <w:tc>
          <w:tcPr>
            <w:tcW w:w="340" w:type="dxa"/>
            <w:vAlign w:val="bottom"/>
          </w:tcPr>
          <w:p>
            <w:pPr>
              <w:spacing w:after="0"/>
              <w:rPr>
                <w:sz w:val="22"/>
                <w:szCs w:val="22"/>
                <w:color w:val="auto"/>
              </w:rPr>
            </w:pPr>
          </w:p>
        </w:tc>
        <w:tc>
          <w:tcPr>
            <w:tcW w:w="1160" w:type="dxa"/>
            <w:vAlign w:val="bottom"/>
          </w:tcPr>
          <w:p>
            <w:pPr>
              <w:jc w:val="right"/>
              <w:ind w:right="8"/>
              <w:spacing w:after="0"/>
              <w:rPr>
                <w:sz w:val="20"/>
                <w:szCs w:val="20"/>
                <w:color w:val="auto"/>
              </w:rPr>
            </w:pPr>
            <w:r>
              <w:rPr>
                <w:rFonts w:ascii="Arial" w:cs="Arial" w:eastAsia="Arial" w:hAnsi="Arial"/>
                <w:sz w:val="14"/>
                <w:szCs w:val="14"/>
                <w:color w:val="auto"/>
              </w:rPr>
              <w:t>(37.2)</w:t>
            </w: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1.1</w:t>
            </w:r>
          </w:p>
        </w:tc>
      </w:tr>
      <w:tr>
        <w:trPr>
          <w:trHeight w:val="276"/>
        </w:trPr>
        <w:tc>
          <w:tcPr>
            <w:tcW w:w="40" w:type="dxa"/>
            <w:vAlign w:val="bottom"/>
            <w:shd w:val="clear" w:color="auto" w:fill="DCE2EF"/>
          </w:tcPr>
          <w:p>
            <w:pPr>
              <w:spacing w:after="0"/>
              <w:rPr>
                <w:sz w:val="24"/>
                <w:szCs w:val="24"/>
                <w:color w:val="auto"/>
              </w:rPr>
            </w:pPr>
          </w:p>
        </w:tc>
        <w:tc>
          <w:tcPr>
            <w:tcW w:w="8300" w:type="dxa"/>
            <w:vAlign w:val="bottom"/>
            <w:gridSpan w:val="2"/>
            <w:shd w:val="clear" w:color="auto" w:fill="DCE2EF"/>
          </w:tcPr>
          <w:p>
            <w:pPr>
              <w:ind w:left="340"/>
              <w:spacing w:after="0"/>
              <w:rPr>
                <w:sz w:val="20"/>
                <w:szCs w:val="20"/>
                <w:color w:val="auto"/>
              </w:rPr>
            </w:pPr>
            <w:r>
              <w:rPr>
                <w:rFonts w:ascii="Arial" w:cs="Arial" w:eastAsia="Arial" w:hAnsi="Arial"/>
                <w:sz w:val="14"/>
                <w:szCs w:val="14"/>
                <w:color w:val="auto"/>
              </w:rPr>
              <w:t>Insurance claims</w:t>
            </w:r>
          </w:p>
        </w:tc>
        <w:tc>
          <w:tcPr>
            <w:tcW w:w="340" w:type="dxa"/>
            <w:vAlign w:val="bottom"/>
            <w:shd w:val="clear" w:color="auto" w:fill="DCE2EF"/>
          </w:tcPr>
          <w:p>
            <w:pPr>
              <w:spacing w:after="0"/>
              <w:rPr>
                <w:sz w:val="24"/>
                <w:szCs w:val="24"/>
                <w:color w:val="auto"/>
              </w:rPr>
            </w:pPr>
          </w:p>
        </w:tc>
        <w:tc>
          <w:tcPr>
            <w:tcW w:w="1160" w:type="dxa"/>
            <w:vAlign w:val="bottom"/>
            <w:shd w:val="clear" w:color="auto" w:fill="DCE2EF"/>
          </w:tcPr>
          <w:p>
            <w:pPr>
              <w:jc w:val="right"/>
              <w:ind w:right="48"/>
              <w:spacing w:after="0"/>
              <w:rPr>
                <w:sz w:val="20"/>
                <w:szCs w:val="20"/>
                <w:color w:val="auto"/>
              </w:rPr>
            </w:pPr>
            <w:r>
              <w:rPr>
                <w:rFonts w:ascii="Arial" w:cs="Arial" w:eastAsia="Arial" w:hAnsi="Arial"/>
                <w:sz w:val="14"/>
                <w:szCs w:val="14"/>
                <w:color w:val="auto"/>
              </w:rPr>
              <w:t>9.7</w:t>
            </w:r>
          </w:p>
        </w:tc>
        <w:tc>
          <w:tcPr>
            <w:tcW w:w="120" w:type="dxa"/>
            <w:vAlign w:val="bottom"/>
            <w:shd w:val="clear" w:color="auto" w:fill="DCE2EF"/>
          </w:tcPr>
          <w:p>
            <w:pPr>
              <w:spacing w:after="0"/>
              <w:rPr>
                <w:sz w:val="24"/>
                <w:szCs w:val="24"/>
                <w:color w:val="auto"/>
              </w:rPr>
            </w:pPr>
          </w:p>
        </w:tc>
        <w:tc>
          <w:tcPr>
            <w:tcW w:w="340" w:type="dxa"/>
            <w:vAlign w:val="bottom"/>
            <w:shd w:val="clear" w:color="auto" w:fill="DCE2EF"/>
          </w:tcPr>
          <w:p>
            <w:pPr>
              <w:spacing w:after="0"/>
              <w:rPr>
                <w:sz w:val="24"/>
                <w:szCs w:val="24"/>
                <w:color w:val="auto"/>
              </w:rPr>
            </w:pPr>
          </w:p>
        </w:tc>
        <w:tc>
          <w:tcPr>
            <w:tcW w:w="1120" w:type="dxa"/>
            <w:vAlign w:val="bottom"/>
            <w:shd w:val="clear" w:color="auto" w:fill="DCE2EF"/>
          </w:tcPr>
          <w:p>
            <w:pPr>
              <w:jc w:val="right"/>
              <w:ind w:right="28"/>
              <w:spacing w:after="0"/>
              <w:rPr>
                <w:sz w:val="20"/>
                <w:szCs w:val="20"/>
                <w:color w:val="auto"/>
              </w:rPr>
            </w:pPr>
            <w:r>
              <w:rPr>
                <w:rFonts w:ascii="Arial" w:cs="Arial" w:eastAsia="Arial" w:hAnsi="Arial"/>
                <w:sz w:val="14"/>
                <w:szCs w:val="14"/>
                <w:color w:val="auto"/>
              </w:rPr>
              <w:t>15.6</w:t>
            </w:r>
          </w:p>
        </w:tc>
      </w:tr>
      <w:tr>
        <w:trPr>
          <w:trHeight w:val="264"/>
        </w:trPr>
        <w:tc>
          <w:tcPr>
            <w:tcW w:w="40" w:type="dxa"/>
            <w:vAlign w:val="bottom"/>
          </w:tcPr>
          <w:p>
            <w:pPr>
              <w:spacing w:after="0"/>
              <w:rPr>
                <w:sz w:val="22"/>
                <w:szCs w:val="22"/>
                <w:color w:val="auto"/>
              </w:rPr>
            </w:pPr>
          </w:p>
        </w:tc>
        <w:tc>
          <w:tcPr>
            <w:tcW w:w="8300" w:type="dxa"/>
            <w:vAlign w:val="bottom"/>
            <w:gridSpan w:val="2"/>
          </w:tcPr>
          <w:p>
            <w:pPr>
              <w:ind w:left="340"/>
              <w:spacing w:after="0"/>
              <w:rPr>
                <w:sz w:val="20"/>
                <w:szCs w:val="20"/>
                <w:color w:val="auto"/>
              </w:rPr>
            </w:pPr>
            <w:r>
              <w:rPr>
                <w:rFonts w:ascii="Arial" w:cs="Arial" w:eastAsia="Arial" w:hAnsi="Arial"/>
                <w:sz w:val="14"/>
                <w:szCs w:val="14"/>
                <w:color w:val="auto"/>
              </w:rPr>
              <w:t>Income taxes payable</w:t>
            </w:r>
          </w:p>
        </w:tc>
        <w:tc>
          <w:tcPr>
            <w:tcW w:w="340" w:type="dxa"/>
            <w:vAlign w:val="bottom"/>
          </w:tcPr>
          <w:p>
            <w:pPr>
              <w:spacing w:after="0"/>
              <w:rPr>
                <w:sz w:val="22"/>
                <w:szCs w:val="22"/>
                <w:color w:val="auto"/>
              </w:rPr>
            </w:pPr>
          </w:p>
        </w:tc>
        <w:tc>
          <w:tcPr>
            <w:tcW w:w="1160" w:type="dxa"/>
            <w:vAlign w:val="bottom"/>
          </w:tcPr>
          <w:p>
            <w:pPr>
              <w:jc w:val="right"/>
              <w:ind w:right="48"/>
              <w:spacing w:after="0"/>
              <w:rPr>
                <w:sz w:val="20"/>
                <w:szCs w:val="20"/>
                <w:color w:val="auto"/>
              </w:rPr>
            </w:pPr>
            <w:r>
              <w:rPr>
                <w:rFonts w:ascii="Arial" w:cs="Arial" w:eastAsia="Arial" w:hAnsi="Arial"/>
                <w:sz w:val="14"/>
                <w:szCs w:val="14"/>
                <w:color w:val="auto"/>
              </w:rPr>
              <w:t>2.6</w:t>
            </w: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5.1</w:t>
            </w:r>
          </w:p>
        </w:tc>
      </w:tr>
      <w:tr>
        <w:trPr>
          <w:trHeight w:val="270"/>
        </w:trPr>
        <w:tc>
          <w:tcPr>
            <w:tcW w:w="40" w:type="dxa"/>
            <w:vAlign w:val="bottom"/>
            <w:shd w:val="clear" w:color="auto" w:fill="DCE2EF"/>
          </w:tcPr>
          <w:p>
            <w:pPr>
              <w:spacing w:after="0"/>
              <w:rPr>
                <w:sz w:val="23"/>
                <w:szCs w:val="23"/>
                <w:color w:val="auto"/>
              </w:rPr>
            </w:pPr>
          </w:p>
        </w:tc>
        <w:tc>
          <w:tcPr>
            <w:tcW w:w="8300" w:type="dxa"/>
            <w:vAlign w:val="bottom"/>
            <w:gridSpan w:val="2"/>
            <w:shd w:val="clear" w:color="auto" w:fill="DCE2EF"/>
          </w:tcPr>
          <w:p>
            <w:pPr>
              <w:ind w:left="340"/>
              <w:spacing w:after="0"/>
              <w:rPr>
                <w:sz w:val="20"/>
                <w:szCs w:val="20"/>
                <w:color w:val="auto"/>
              </w:rPr>
            </w:pPr>
            <w:r>
              <w:rPr>
                <w:rFonts w:ascii="Arial" w:cs="Arial" w:eastAsia="Arial" w:hAnsi="Arial"/>
                <w:sz w:val="14"/>
                <w:szCs w:val="14"/>
                <w:color w:val="auto"/>
              </w:rPr>
              <w:t>Other noncurrent liabilities</w:t>
            </w:r>
          </w:p>
        </w:tc>
        <w:tc>
          <w:tcPr>
            <w:tcW w:w="340" w:type="dxa"/>
            <w:vAlign w:val="bottom"/>
            <w:tcBorders>
              <w:bottom w:val="single" w:sz="8" w:color="auto"/>
            </w:tcBorders>
            <w:shd w:val="clear" w:color="auto" w:fill="DCE2EF"/>
          </w:tcPr>
          <w:p>
            <w:pPr>
              <w:spacing w:after="0"/>
              <w:rPr>
                <w:sz w:val="23"/>
                <w:szCs w:val="23"/>
                <w:color w:val="auto"/>
              </w:rPr>
            </w:pPr>
          </w:p>
        </w:tc>
        <w:tc>
          <w:tcPr>
            <w:tcW w:w="1160" w:type="dxa"/>
            <w:vAlign w:val="bottom"/>
            <w:tcBorders>
              <w:bottom w:val="single" w:sz="8" w:color="auto"/>
            </w:tcBorders>
            <w:shd w:val="clear" w:color="auto" w:fill="DCE2EF"/>
          </w:tcPr>
          <w:p>
            <w:pPr>
              <w:jc w:val="right"/>
              <w:ind w:right="48"/>
              <w:spacing w:after="0"/>
              <w:rPr>
                <w:sz w:val="20"/>
                <w:szCs w:val="20"/>
                <w:color w:val="auto"/>
              </w:rPr>
            </w:pPr>
            <w:r>
              <w:rPr>
                <w:rFonts w:ascii="Arial" w:cs="Arial" w:eastAsia="Arial" w:hAnsi="Arial"/>
                <w:sz w:val="14"/>
                <w:szCs w:val="14"/>
                <w:color w:val="auto"/>
              </w:rPr>
              <w:t>1.7</w:t>
            </w:r>
          </w:p>
        </w:tc>
        <w:tc>
          <w:tcPr>
            <w:tcW w:w="120" w:type="dxa"/>
            <w:vAlign w:val="bottom"/>
            <w:shd w:val="clear" w:color="auto" w:fill="DCE2EF"/>
          </w:tcPr>
          <w:p>
            <w:pPr>
              <w:spacing w:after="0"/>
              <w:rPr>
                <w:sz w:val="23"/>
                <w:szCs w:val="23"/>
                <w:color w:val="auto"/>
              </w:rPr>
            </w:pPr>
          </w:p>
        </w:tc>
        <w:tc>
          <w:tcPr>
            <w:tcW w:w="340" w:type="dxa"/>
            <w:vAlign w:val="bottom"/>
            <w:tcBorders>
              <w:bottom w:val="single" w:sz="8" w:color="auto"/>
            </w:tcBorders>
            <w:shd w:val="clear" w:color="auto" w:fill="DCE2EF"/>
          </w:tcPr>
          <w:p>
            <w:pPr>
              <w:spacing w:after="0"/>
              <w:rPr>
                <w:sz w:val="23"/>
                <w:szCs w:val="23"/>
                <w:color w:val="auto"/>
              </w:rPr>
            </w:pPr>
          </w:p>
        </w:tc>
        <w:tc>
          <w:tcPr>
            <w:tcW w:w="1120" w:type="dxa"/>
            <w:vAlign w:val="bottom"/>
            <w:tcBorders>
              <w:bottom w:val="single" w:sz="8" w:color="auto"/>
            </w:tcBorders>
            <w:shd w:val="clear" w:color="auto" w:fill="DCE2EF"/>
          </w:tcPr>
          <w:p>
            <w:pPr>
              <w:jc w:val="right"/>
              <w:ind w:right="28"/>
              <w:spacing w:after="0"/>
              <w:rPr>
                <w:sz w:val="20"/>
                <w:szCs w:val="20"/>
                <w:color w:val="auto"/>
              </w:rPr>
            </w:pPr>
            <w:r>
              <w:rPr>
                <w:rFonts w:ascii="Arial" w:cs="Arial" w:eastAsia="Arial" w:hAnsi="Arial"/>
                <w:sz w:val="14"/>
                <w:szCs w:val="14"/>
                <w:color w:val="auto"/>
              </w:rPr>
              <w:t>8.4</w:t>
            </w:r>
          </w:p>
        </w:tc>
      </w:tr>
      <w:tr>
        <w:trPr>
          <w:trHeight w:val="250"/>
        </w:trPr>
        <w:tc>
          <w:tcPr>
            <w:tcW w:w="8340" w:type="dxa"/>
            <w:vAlign w:val="bottom"/>
            <w:tcBorders>
              <w:bottom w:val="single" w:sz="8" w:color="DCE2EF"/>
            </w:tcBorders>
            <w:gridSpan w:val="3"/>
          </w:tcPr>
          <w:p>
            <w:pPr>
              <w:ind w:left="40"/>
              <w:spacing w:after="0"/>
              <w:rPr>
                <w:sz w:val="20"/>
                <w:szCs w:val="20"/>
                <w:color w:val="auto"/>
              </w:rPr>
            </w:pPr>
            <w:r>
              <w:rPr>
                <w:rFonts w:ascii="Arial" w:cs="Arial" w:eastAsia="Arial" w:hAnsi="Arial"/>
                <w:sz w:val="14"/>
                <w:szCs w:val="14"/>
                <w:color w:val="auto"/>
              </w:rPr>
              <w:t>Total adjustments</w:t>
            </w:r>
          </w:p>
        </w:tc>
        <w:tc>
          <w:tcPr>
            <w:tcW w:w="34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78.8</w:t>
            </w:r>
          </w:p>
        </w:tc>
        <w:tc>
          <w:tcPr>
            <w:tcW w:w="120" w:type="dxa"/>
            <w:vAlign w:val="bottom"/>
            <w:tcBorders>
              <w:bottom w:val="single" w:sz="8" w:color="DCE2EF"/>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2.4</w:t>
            </w:r>
          </w:p>
        </w:tc>
      </w:tr>
      <w:tr>
        <w:trPr>
          <w:trHeight w:val="256"/>
        </w:trPr>
        <w:tc>
          <w:tcPr>
            <w:tcW w:w="8340" w:type="dxa"/>
            <w:vAlign w:val="bottom"/>
            <w:gridSpan w:val="3"/>
            <w:shd w:val="clear" w:color="auto" w:fill="DCE2EF"/>
          </w:tcPr>
          <w:p>
            <w:pPr>
              <w:ind w:left="40"/>
              <w:spacing w:after="0"/>
              <w:rPr>
                <w:sz w:val="20"/>
                <w:szCs w:val="20"/>
                <w:color w:val="auto"/>
              </w:rPr>
            </w:pPr>
            <w:r>
              <w:rPr>
                <w:rFonts w:ascii="Arial" w:cs="Arial" w:eastAsia="Arial" w:hAnsi="Arial"/>
                <w:sz w:val="14"/>
                <w:szCs w:val="14"/>
                <w:color w:val="auto"/>
              </w:rPr>
              <w:t>Net cash provided by operating activities of continuing operations</w:t>
            </w:r>
          </w:p>
        </w:tc>
        <w:tc>
          <w:tcPr>
            <w:tcW w:w="340" w:type="dxa"/>
            <w:vAlign w:val="bottom"/>
            <w:shd w:val="clear" w:color="auto" w:fill="DCE2EF"/>
          </w:tcPr>
          <w:p>
            <w:pPr>
              <w:spacing w:after="0"/>
              <w:rPr>
                <w:sz w:val="22"/>
                <w:szCs w:val="22"/>
                <w:color w:val="auto"/>
              </w:rPr>
            </w:pPr>
          </w:p>
        </w:tc>
        <w:tc>
          <w:tcPr>
            <w:tcW w:w="1160" w:type="dxa"/>
            <w:vAlign w:val="bottom"/>
            <w:shd w:val="clear" w:color="auto" w:fill="DCE2EF"/>
          </w:tcPr>
          <w:p>
            <w:pPr>
              <w:jc w:val="right"/>
              <w:ind w:right="48"/>
              <w:spacing w:after="0"/>
              <w:rPr>
                <w:sz w:val="20"/>
                <w:szCs w:val="20"/>
                <w:color w:val="auto"/>
              </w:rPr>
            </w:pPr>
            <w:r>
              <w:rPr>
                <w:rFonts w:ascii="Arial" w:cs="Arial" w:eastAsia="Arial" w:hAnsi="Arial"/>
                <w:sz w:val="14"/>
                <w:szCs w:val="14"/>
                <w:color w:val="auto"/>
              </w:rPr>
              <w:t>132.2</w:t>
            </w:r>
          </w:p>
        </w:tc>
        <w:tc>
          <w:tcPr>
            <w:tcW w:w="120" w:type="dxa"/>
            <w:vAlign w:val="bottom"/>
            <w:shd w:val="clear" w:color="auto" w:fill="DCE2EF"/>
          </w:tcPr>
          <w:p>
            <w:pPr>
              <w:spacing w:after="0"/>
              <w:rPr>
                <w:sz w:val="22"/>
                <w:szCs w:val="22"/>
                <w:color w:val="auto"/>
              </w:rPr>
            </w:pPr>
          </w:p>
        </w:tc>
        <w:tc>
          <w:tcPr>
            <w:tcW w:w="340" w:type="dxa"/>
            <w:vAlign w:val="bottom"/>
            <w:shd w:val="clear" w:color="auto" w:fill="DCE2EF"/>
          </w:tcPr>
          <w:p>
            <w:pPr>
              <w:spacing w:after="0"/>
              <w:rPr>
                <w:sz w:val="22"/>
                <w:szCs w:val="22"/>
                <w:color w:val="auto"/>
              </w:rPr>
            </w:pPr>
          </w:p>
        </w:tc>
        <w:tc>
          <w:tcPr>
            <w:tcW w:w="1120" w:type="dxa"/>
            <w:vAlign w:val="bottom"/>
            <w:shd w:val="clear" w:color="auto" w:fill="DCE2EF"/>
          </w:tcPr>
          <w:p>
            <w:pPr>
              <w:jc w:val="right"/>
              <w:ind w:right="28"/>
              <w:spacing w:after="0"/>
              <w:rPr>
                <w:sz w:val="20"/>
                <w:szCs w:val="20"/>
                <w:color w:val="auto"/>
              </w:rPr>
            </w:pPr>
            <w:r>
              <w:rPr>
                <w:rFonts w:ascii="Arial" w:cs="Arial" w:eastAsia="Arial" w:hAnsi="Arial"/>
                <w:sz w:val="14"/>
                <w:szCs w:val="14"/>
                <w:color w:val="auto"/>
              </w:rPr>
              <w:t>50.1</w:t>
            </w:r>
          </w:p>
        </w:tc>
      </w:tr>
      <w:tr>
        <w:trPr>
          <w:trHeight w:val="264"/>
        </w:trPr>
        <w:tc>
          <w:tcPr>
            <w:tcW w:w="8340" w:type="dxa"/>
            <w:vAlign w:val="bottom"/>
            <w:tcBorders>
              <w:bottom w:val="single" w:sz="8" w:color="DCE2EF"/>
            </w:tcBorders>
            <w:gridSpan w:val="3"/>
          </w:tcPr>
          <w:p>
            <w:pPr>
              <w:ind w:left="40"/>
              <w:spacing w:after="0"/>
              <w:rPr>
                <w:sz w:val="20"/>
                <w:szCs w:val="20"/>
                <w:color w:val="auto"/>
              </w:rPr>
            </w:pPr>
            <w:r>
              <w:rPr>
                <w:rFonts w:ascii="Arial" w:cs="Arial" w:eastAsia="Arial" w:hAnsi="Arial"/>
                <w:sz w:val="14"/>
                <w:szCs w:val="14"/>
                <w:color w:val="auto"/>
              </w:rPr>
              <w:t>Net cash provided by (used in) operating activities of discontinued operations</w:t>
            </w:r>
          </w:p>
        </w:tc>
        <w:tc>
          <w:tcPr>
            <w:tcW w:w="34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1.1</w:t>
            </w:r>
          </w:p>
        </w:tc>
        <w:tc>
          <w:tcPr>
            <w:tcW w:w="120" w:type="dxa"/>
            <w:vAlign w:val="bottom"/>
            <w:tcBorders>
              <w:bottom w:val="single" w:sz="8" w:color="DCE2E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w:t>
            </w:r>
          </w:p>
        </w:tc>
      </w:tr>
      <w:tr>
        <w:trPr>
          <w:trHeight w:val="256"/>
        </w:trPr>
        <w:tc>
          <w:tcPr>
            <w:tcW w:w="8340" w:type="dxa"/>
            <w:vAlign w:val="bottom"/>
            <w:gridSpan w:val="3"/>
            <w:shd w:val="clear" w:color="auto" w:fill="DCE2EF"/>
          </w:tcPr>
          <w:p>
            <w:pPr>
              <w:ind w:left="40"/>
              <w:spacing w:after="0"/>
              <w:rPr>
                <w:sz w:val="20"/>
                <w:szCs w:val="20"/>
                <w:color w:val="auto"/>
              </w:rPr>
            </w:pPr>
            <w:r>
              <w:rPr>
                <w:rFonts w:ascii="Arial" w:cs="Arial" w:eastAsia="Arial" w:hAnsi="Arial"/>
                <w:sz w:val="14"/>
                <w:szCs w:val="14"/>
                <w:b w:val="1"/>
                <w:bCs w:val="1"/>
                <w:color w:val="auto"/>
              </w:rPr>
              <w:t>Net cash provided by operating activities</w:t>
            </w:r>
          </w:p>
        </w:tc>
        <w:tc>
          <w:tcPr>
            <w:tcW w:w="340" w:type="dxa"/>
            <w:vAlign w:val="bottom"/>
            <w:tcBorders>
              <w:bottom w:val="single" w:sz="8" w:color="auto"/>
            </w:tcBorders>
            <w:shd w:val="clear" w:color="auto" w:fill="DCE2EF"/>
          </w:tcPr>
          <w:p>
            <w:pPr>
              <w:spacing w:after="0"/>
              <w:rPr>
                <w:sz w:val="22"/>
                <w:szCs w:val="22"/>
                <w:color w:val="auto"/>
              </w:rPr>
            </w:pPr>
          </w:p>
        </w:tc>
        <w:tc>
          <w:tcPr>
            <w:tcW w:w="1160" w:type="dxa"/>
            <w:vAlign w:val="bottom"/>
            <w:tcBorders>
              <w:bottom w:val="single" w:sz="8" w:color="auto"/>
            </w:tcBorders>
            <w:shd w:val="clear" w:color="auto" w:fill="DCE2EF"/>
          </w:tcPr>
          <w:p>
            <w:pPr>
              <w:jc w:val="right"/>
              <w:ind w:right="48"/>
              <w:spacing w:after="0"/>
              <w:rPr>
                <w:sz w:val="20"/>
                <w:szCs w:val="20"/>
                <w:color w:val="auto"/>
              </w:rPr>
            </w:pPr>
            <w:r>
              <w:rPr>
                <w:rFonts w:ascii="Arial" w:cs="Arial" w:eastAsia="Arial" w:hAnsi="Arial"/>
                <w:sz w:val="14"/>
                <w:szCs w:val="14"/>
                <w:color w:val="auto"/>
              </w:rPr>
              <w:t>133.3</w:t>
            </w:r>
          </w:p>
        </w:tc>
        <w:tc>
          <w:tcPr>
            <w:tcW w:w="120" w:type="dxa"/>
            <w:vAlign w:val="bottom"/>
            <w:shd w:val="clear" w:color="auto" w:fill="DCE2EF"/>
          </w:tcPr>
          <w:p>
            <w:pPr>
              <w:spacing w:after="0"/>
              <w:rPr>
                <w:sz w:val="22"/>
                <w:szCs w:val="22"/>
                <w:color w:val="auto"/>
              </w:rPr>
            </w:pPr>
          </w:p>
        </w:tc>
        <w:tc>
          <w:tcPr>
            <w:tcW w:w="340" w:type="dxa"/>
            <w:vAlign w:val="bottom"/>
            <w:tcBorders>
              <w:bottom w:val="single" w:sz="8" w:color="auto"/>
            </w:tcBorders>
            <w:shd w:val="clear" w:color="auto" w:fill="DCE2EF"/>
          </w:tcPr>
          <w:p>
            <w:pPr>
              <w:spacing w:after="0"/>
              <w:rPr>
                <w:sz w:val="22"/>
                <w:szCs w:val="22"/>
                <w:color w:val="auto"/>
              </w:rPr>
            </w:pPr>
          </w:p>
        </w:tc>
        <w:tc>
          <w:tcPr>
            <w:tcW w:w="1120" w:type="dxa"/>
            <w:vAlign w:val="bottom"/>
            <w:tcBorders>
              <w:bottom w:val="single" w:sz="8" w:color="auto"/>
            </w:tcBorders>
            <w:shd w:val="clear" w:color="auto" w:fill="DCE2EF"/>
          </w:tcPr>
          <w:p>
            <w:pPr>
              <w:jc w:val="right"/>
              <w:ind w:right="28"/>
              <w:spacing w:after="0"/>
              <w:rPr>
                <w:sz w:val="20"/>
                <w:szCs w:val="20"/>
                <w:color w:val="auto"/>
              </w:rPr>
            </w:pPr>
            <w:r>
              <w:rPr>
                <w:rFonts w:ascii="Arial" w:cs="Arial" w:eastAsia="Arial" w:hAnsi="Arial"/>
                <w:sz w:val="14"/>
                <w:szCs w:val="14"/>
                <w:color w:val="auto"/>
              </w:rPr>
              <w:t>48.1</w:t>
            </w:r>
          </w:p>
        </w:tc>
      </w:tr>
      <w:tr>
        <w:trPr>
          <w:trHeight w:val="258"/>
        </w:trPr>
        <w:tc>
          <w:tcPr>
            <w:tcW w:w="8340" w:type="dxa"/>
            <w:vAlign w:val="bottom"/>
            <w:gridSpan w:val="3"/>
          </w:tcPr>
          <w:p>
            <w:pPr>
              <w:ind w:left="40"/>
              <w:spacing w:after="0"/>
              <w:rPr>
                <w:sz w:val="20"/>
                <w:szCs w:val="20"/>
                <w:color w:val="auto"/>
              </w:rPr>
            </w:pPr>
            <w:r>
              <w:rPr>
                <w:rFonts w:ascii="Arial" w:cs="Arial" w:eastAsia="Arial" w:hAnsi="Arial"/>
                <w:sz w:val="14"/>
                <w:szCs w:val="14"/>
                <w:b w:val="1"/>
                <w:bCs w:val="1"/>
                <w:color w:val="auto"/>
              </w:rPr>
              <w:t>Cash flows from investing activities</w:t>
            </w:r>
          </w:p>
        </w:tc>
        <w:tc>
          <w:tcPr>
            <w:tcW w:w="34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20" w:type="dxa"/>
            <w:vAlign w:val="bottom"/>
          </w:tcPr>
          <w:p>
            <w:pPr>
              <w:spacing w:after="0"/>
              <w:rPr>
                <w:sz w:val="22"/>
                <w:szCs w:val="22"/>
                <w:color w:val="auto"/>
              </w:rPr>
            </w:pPr>
          </w:p>
        </w:tc>
      </w:tr>
      <w:tr>
        <w:trPr>
          <w:trHeight w:val="276"/>
        </w:trPr>
        <w:tc>
          <w:tcPr>
            <w:tcW w:w="8340" w:type="dxa"/>
            <w:vAlign w:val="bottom"/>
            <w:gridSpan w:val="3"/>
            <w:shd w:val="clear" w:color="auto" w:fill="DCE2EF"/>
          </w:tcPr>
          <w:p>
            <w:pPr>
              <w:ind w:left="40"/>
              <w:spacing w:after="0"/>
              <w:rPr>
                <w:sz w:val="20"/>
                <w:szCs w:val="20"/>
                <w:color w:val="auto"/>
              </w:rPr>
            </w:pPr>
            <w:r>
              <w:rPr>
                <w:rFonts w:ascii="Arial" w:cs="Arial" w:eastAsia="Arial" w:hAnsi="Arial"/>
                <w:sz w:val="14"/>
                <w:szCs w:val="14"/>
                <w:color w:val="auto"/>
              </w:rPr>
              <w:t>Additions to property, plant and equipment</w:t>
            </w:r>
          </w:p>
        </w:tc>
        <w:tc>
          <w:tcPr>
            <w:tcW w:w="340" w:type="dxa"/>
            <w:vAlign w:val="bottom"/>
            <w:shd w:val="clear" w:color="auto" w:fill="DCE2EF"/>
          </w:tcPr>
          <w:p>
            <w:pPr>
              <w:spacing w:after="0"/>
              <w:rPr>
                <w:sz w:val="24"/>
                <w:szCs w:val="24"/>
                <w:color w:val="auto"/>
              </w:rPr>
            </w:pPr>
          </w:p>
        </w:tc>
        <w:tc>
          <w:tcPr>
            <w:tcW w:w="1160" w:type="dxa"/>
            <w:vAlign w:val="bottom"/>
            <w:shd w:val="clear" w:color="auto" w:fill="DCE2EF"/>
          </w:tcPr>
          <w:p>
            <w:pPr>
              <w:jc w:val="right"/>
              <w:ind w:right="8"/>
              <w:spacing w:after="0"/>
              <w:rPr>
                <w:sz w:val="20"/>
                <w:szCs w:val="20"/>
                <w:color w:val="auto"/>
              </w:rPr>
            </w:pPr>
            <w:r>
              <w:rPr>
                <w:rFonts w:ascii="Arial" w:cs="Arial" w:eastAsia="Arial" w:hAnsi="Arial"/>
                <w:sz w:val="14"/>
                <w:szCs w:val="14"/>
                <w:color w:val="auto"/>
              </w:rPr>
              <w:t>(22.1)</w:t>
            </w:r>
          </w:p>
        </w:tc>
        <w:tc>
          <w:tcPr>
            <w:tcW w:w="120" w:type="dxa"/>
            <w:vAlign w:val="bottom"/>
            <w:shd w:val="clear" w:color="auto" w:fill="DCE2EF"/>
          </w:tcPr>
          <w:p>
            <w:pPr>
              <w:spacing w:after="0"/>
              <w:rPr>
                <w:sz w:val="24"/>
                <w:szCs w:val="24"/>
                <w:color w:val="auto"/>
              </w:rPr>
            </w:pPr>
          </w:p>
        </w:tc>
        <w:tc>
          <w:tcPr>
            <w:tcW w:w="340" w:type="dxa"/>
            <w:vAlign w:val="bottom"/>
            <w:shd w:val="clear" w:color="auto" w:fill="DCE2EF"/>
          </w:tcPr>
          <w:p>
            <w:pPr>
              <w:spacing w:after="0"/>
              <w:rPr>
                <w:sz w:val="24"/>
                <w:szCs w:val="24"/>
                <w:color w:val="auto"/>
              </w:rPr>
            </w:pPr>
          </w:p>
        </w:tc>
        <w:tc>
          <w:tcPr>
            <w:tcW w:w="1120" w:type="dxa"/>
            <w:vAlign w:val="bottom"/>
            <w:shd w:val="clear" w:color="auto" w:fill="DCE2EF"/>
          </w:tcPr>
          <w:p>
            <w:pPr>
              <w:jc w:val="right"/>
              <w:spacing w:after="0"/>
              <w:rPr>
                <w:sz w:val="20"/>
                <w:szCs w:val="20"/>
                <w:color w:val="auto"/>
              </w:rPr>
            </w:pPr>
            <w:r>
              <w:rPr>
                <w:rFonts w:ascii="Arial" w:cs="Arial" w:eastAsia="Arial" w:hAnsi="Arial"/>
                <w:sz w:val="14"/>
                <w:szCs w:val="14"/>
                <w:color w:val="auto"/>
              </w:rPr>
              <w:t>(27.8)</w:t>
            </w:r>
          </w:p>
        </w:tc>
      </w:tr>
      <w:tr>
        <w:trPr>
          <w:trHeight w:val="264"/>
        </w:trPr>
        <w:tc>
          <w:tcPr>
            <w:tcW w:w="8340" w:type="dxa"/>
            <w:vAlign w:val="bottom"/>
            <w:gridSpan w:val="3"/>
          </w:tcPr>
          <w:p>
            <w:pPr>
              <w:ind w:left="40"/>
              <w:spacing w:after="0"/>
              <w:rPr>
                <w:sz w:val="20"/>
                <w:szCs w:val="20"/>
                <w:color w:val="auto"/>
              </w:rPr>
            </w:pPr>
            <w:r>
              <w:rPr>
                <w:rFonts w:ascii="Arial" w:cs="Arial" w:eastAsia="Arial" w:hAnsi="Arial"/>
                <w:sz w:val="14"/>
                <w:szCs w:val="14"/>
                <w:color w:val="auto"/>
              </w:rPr>
              <w:t>Proceeds from sale of assets</w:t>
            </w:r>
          </w:p>
        </w:tc>
        <w:tc>
          <w:tcPr>
            <w:tcW w:w="340" w:type="dxa"/>
            <w:vAlign w:val="bottom"/>
          </w:tcPr>
          <w:p>
            <w:pPr>
              <w:spacing w:after="0"/>
              <w:rPr>
                <w:sz w:val="22"/>
                <w:szCs w:val="22"/>
                <w:color w:val="auto"/>
              </w:rPr>
            </w:pPr>
          </w:p>
        </w:tc>
        <w:tc>
          <w:tcPr>
            <w:tcW w:w="1160" w:type="dxa"/>
            <w:vAlign w:val="bottom"/>
          </w:tcPr>
          <w:p>
            <w:pPr>
              <w:jc w:val="right"/>
              <w:ind w:right="48"/>
              <w:spacing w:after="0"/>
              <w:rPr>
                <w:sz w:val="20"/>
                <w:szCs w:val="20"/>
                <w:color w:val="auto"/>
              </w:rPr>
            </w:pPr>
            <w:r>
              <w:rPr>
                <w:rFonts w:ascii="Arial" w:cs="Arial" w:eastAsia="Arial" w:hAnsi="Arial"/>
                <w:sz w:val="14"/>
                <w:szCs w:val="14"/>
                <w:color w:val="auto"/>
              </w:rPr>
              <w:t>0.2</w:t>
            </w: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0.4</w:t>
            </w:r>
          </w:p>
        </w:tc>
      </w:tr>
      <w:tr>
        <w:trPr>
          <w:trHeight w:val="276"/>
        </w:trPr>
        <w:tc>
          <w:tcPr>
            <w:tcW w:w="8340" w:type="dxa"/>
            <w:vAlign w:val="bottom"/>
            <w:gridSpan w:val="3"/>
            <w:shd w:val="clear" w:color="auto" w:fill="DCE2EF"/>
          </w:tcPr>
          <w:p>
            <w:pPr>
              <w:ind w:left="40"/>
              <w:spacing w:after="0"/>
              <w:rPr>
                <w:sz w:val="20"/>
                <w:szCs w:val="20"/>
                <w:color w:val="auto"/>
              </w:rPr>
            </w:pPr>
            <w:r>
              <w:rPr>
                <w:rFonts w:ascii="Arial" w:cs="Arial" w:eastAsia="Arial" w:hAnsi="Arial"/>
                <w:sz w:val="14"/>
                <w:szCs w:val="14"/>
                <w:color w:val="auto"/>
              </w:rPr>
              <w:t>Adjustments to purchase and sale of business</w:t>
            </w:r>
          </w:p>
        </w:tc>
        <w:tc>
          <w:tcPr>
            <w:tcW w:w="340" w:type="dxa"/>
            <w:vAlign w:val="bottom"/>
            <w:shd w:val="clear" w:color="auto" w:fill="DCE2EF"/>
          </w:tcPr>
          <w:p>
            <w:pPr>
              <w:spacing w:after="0"/>
              <w:rPr>
                <w:sz w:val="24"/>
                <w:szCs w:val="24"/>
                <w:color w:val="auto"/>
              </w:rPr>
            </w:pPr>
          </w:p>
        </w:tc>
        <w:tc>
          <w:tcPr>
            <w:tcW w:w="1160" w:type="dxa"/>
            <w:vAlign w:val="bottom"/>
            <w:shd w:val="clear" w:color="auto" w:fill="DCE2EF"/>
          </w:tcPr>
          <w:p>
            <w:pPr>
              <w:jc w:val="right"/>
              <w:ind w:right="8"/>
              <w:spacing w:after="0"/>
              <w:rPr>
                <w:sz w:val="20"/>
                <w:szCs w:val="20"/>
                <w:color w:val="auto"/>
              </w:rPr>
            </w:pPr>
            <w:r>
              <w:rPr>
                <w:rFonts w:ascii="Arial" w:cs="Arial" w:eastAsia="Arial" w:hAnsi="Arial"/>
                <w:sz w:val="14"/>
                <w:szCs w:val="14"/>
                <w:color w:val="auto"/>
              </w:rPr>
              <w:t>(1.8)</w:t>
            </w:r>
          </w:p>
        </w:tc>
        <w:tc>
          <w:tcPr>
            <w:tcW w:w="120" w:type="dxa"/>
            <w:vAlign w:val="bottom"/>
            <w:shd w:val="clear" w:color="auto" w:fill="DCE2EF"/>
          </w:tcPr>
          <w:p>
            <w:pPr>
              <w:spacing w:after="0"/>
              <w:rPr>
                <w:sz w:val="24"/>
                <w:szCs w:val="24"/>
                <w:color w:val="auto"/>
              </w:rPr>
            </w:pPr>
          </w:p>
        </w:tc>
        <w:tc>
          <w:tcPr>
            <w:tcW w:w="340" w:type="dxa"/>
            <w:vAlign w:val="bottom"/>
            <w:shd w:val="clear" w:color="auto" w:fill="DCE2EF"/>
          </w:tcPr>
          <w:p>
            <w:pPr>
              <w:spacing w:after="0"/>
              <w:rPr>
                <w:sz w:val="24"/>
                <w:szCs w:val="24"/>
                <w:color w:val="auto"/>
              </w:rPr>
            </w:pPr>
          </w:p>
        </w:tc>
        <w:tc>
          <w:tcPr>
            <w:tcW w:w="1120" w:type="dxa"/>
            <w:vAlign w:val="bottom"/>
            <w:shd w:val="clear" w:color="auto" w:fill="DCE2EF"/>
          </w:tcPr>
          <w:p>
            <w:pPr>
              <w:jc w:val="right"/>
              <w:ind w:right="28"/>
              <w:spacing w:after="0"/>
              <w:rPr>
                <w:sz w:val="20"/>
                <w:szCs w:val="20"/>
                <w:color w:val="auto"/>
              </w:rPr>
            </w:pPr>
            <w:r>
              <w:rPr>
                <w:rFonts w:ascii="Arial" w:cs="Arial" w:eastAsia="Arial" w:hAnsi="Arial"/>
                <w:sz w:val="14"/>
                <w:szCs w:val="14"/>
                <w:color w:val="auto"/>
              </w:rPr>
              <w:t>—</w:t>
            </w:r>
          </w:p>
        </w:tc>
      </w:tr>
      <w:tr>
        <w:trPr>
          <w:trHeight w:val="264"/>
        </w:trPr>
        <w:tc>
          <w:tcPr>
            <w:tcW w:w="8340" w:type="dxa"/>
            <w:vAlign w:val="bottom"/>
            <w:gridSpan w:val="3"/>
          </w:tcPr>
          <w:p>
            <w:pPr>
              <w:ind w:left="40"/>
              <w:spacing w:after="0"/>
              <w:rPr>
                <w:sz w:val="20"/>
                <w:szCs w:val="20"/>
                <w:color w:val="auto"/>
              </w:rPr>
            </w:pPr>
            <w:r>
              <w:rPr>
                <w:rFonts w:ascii="Arial" w:cs="Arial" w:eastAsia="Arial" w:hAnsi="Arial"/>
                <w:sz w:val="14"/>
                <w:szCs w:val="14"/>
                <w:color w:val="auto"/>
              </w:rPr>
              <w:t>Purchase of businesses, net of cash acquired</w:t>
            </w:r>
          </w:p>
        </w:tc>
        <w:tc>
          <w:tcPr>
            <w:tcW w:w="340" w:type="dxa"/>
            <w:vAlign w:val="bottom"/>
          </w:tcPr>
          <w:p>
            <w:pPr>
              <w:spacing w:after="0"/>
              <w:rPr>
                <w:sz w:val="22"/>
                <w:szCs w:val="22"/>
                <w:color w:val="auto"/>
              </w:rPr>
            </w:pPr>
          </w:p>
        </w:tc>
        <w:tc>
          <w:tcPr>
            <w:tcW w:w="12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(18.6)</w:t>
            </w:r>
          </w:p>
        </w:tc>
      </w:tr>
      <w:tr>
        <w:trPr>
          <w:trHeight w:val="276"/>
        </w:trPr>
        <w:tc>
          <w:tcPr>
            <w:tcW w:w="8340" w:type="dxa"/>
            <w:vAlign w:val="bottom"/>
            <w:gridSpan w:val="3"/>
            <w:shd w:val="clear" w:color="auto" w:fill="DCE2EF"/>
          </w:tcPr>
          <w:p>
            <w:pPr>
              <w:ind w:left="40"/>
              <w:spacing w:after="0"/>
              <w:rPr>
                <w:sz w:val="20"/>
                <w:szCs w:val="20"/>
                <w:color w:val="auto"/>
              </w:rPr>
            </w:pPr>
            <w:r>
              <w:rPr>
                <w:rFonts w:ascii="Arial" w:cs="Arial" w:eastAsia="Arial" w:hAnsi="Arial"/>
                <w:sz w:val="14"/>
                <w:szCs w:val="14"/>
                <w:color w:val="auto"/>
              </w:rPr>
              <w:t>Investments in unconsolidated affiliates</w:t>
            </w:r>
          </w:p>
        </w:tc>
        <w:tc>
          <w:tcPr>
            <w:tcW w:w="340" w:type="dxa"/>
            <w:vAlign w:val="bottom"/>
            <w:tcBorders>
              <w:bottom w:val="single" w:sz="8" w:color="auto"/>
            </w:tcBorders>
            <w:shd w:val="clear" w:color="auto" w:fill="DCE2EF"/>
          </w:tcPr>
          <w:p>
            <w:pPr>
              <w:spacing w:after="0"/>
              <w:rPr>
                <w:sz w:val="24"/>
                <w:szCs w:val="24"/>
                <w:color w:val="auto"/>
              </w:rPr>
            </w:pPr>
          </w:p>
        </w:tc>
        <w:tc>
          <w:tcPr>
            <w:tcW w:w="1160" w:type="dxa"/>
            <w:vAlign w:val="bottom"/>
            <w:tcBorders>
              <w:bottom w:val="single" w:sz="8" w:color="auto"/>
            </w:tcBorders>
            <w:shd w:val="clear" w:color="auto" w:fill="DCE2EF"/>
          </w:tcPr>
          <w:p>
            <w:pPr>
              <w:jc w:val="right"/>
              <w:ind w:right="8"/>
              <w:spacing w:after="0"/>
              <w:rPr>
                <w:sz w:val="20"/>
                <w:szCs w:val="20"/>
                <w:color w:val="auto"/>
              </w:rPr>
            </w:pPr>
            <w:r>
              <w:rPr>
                <w:rFonts w:ascii="Arial" w:cs="Arial" w:eastAsia="Arial" w:hAnsi="Arial"/>
                <w:sz w:val="14"/>
                <w:szCs w:val="14"/>
                <w:color w:val="auto"/>
              </w:rPr>
              <w:t>(0.6)</w:t>
            </w:r>
          </w:p>
        </w:tc>
        <w:tc>
          <w:tcPr>
            <w:tcW w:w="120" w:type="dxa"/>
            <w:vAlign w:val="bottom"/>
            <w:shd w:val="clear" w:color="auto" w:fill="DCE2EF"/>
          </w:tcPr>
          <w:p>
            <w:pPr>
              <w:spacing w:after="0"/>
              <w:rPr>
                <w:sz w:val="24"/>
                <w:szCs w:val="24"/>
                <w:color w:val="auto"/>
              </w:rPr>
            </w:pPr>
          </w:p>
        </w:tc>
        <w:tc>
          <w:tcPr>
            <w:tcW w:w="340" w:type="dxa"/>
            <w:vAlign w:val="bottom"/>
            <w:tcBorders>
              <w:bottom w:val="single" w:sz="8" w:color="auto"/>
            </w:tcBorders>
            <w:shd w:val="clear" w:color="auto" w:fill="DCE2EF"/>
          </w:tcPr>
          <w:p>
            <w:pPr>
              <w:spacing w:after="0"/>
              <w:rPr>
                <w:sz w:val="24"/>
                <w:szCs w:val="24"/>
                <w:color w:val="auto"/>
              </w:rPr>
            </w:pPr>
          </w:p>
        </w:tc>
        <w:tc>
          <w:tcPr>
            <w:tcW w:w="1120" w:type="dxa"/>
            <w:vAlign w:val="bottom"/>
            <w:tcBorders>
              <w:bottom w:val="single" w:sz="8" w:color="auto"/>
            </w:tcBorders>
            <w:shd w:val="clear" w:color="auto" w:fill="DCE2EF"/>
          </w:tcPr>
          <w:p>
            <w:pPr>
              <w:jc w:val="right"/>
              <w:ind w:right="28"/>
              <w:spacing w:after="0"/>
              <w:rPr>
                <w:sz w:val="20"/>
                <w:szCs w:val="20"/>
                <w:color w:val="auto"/>
              </w:rPr>
            </w:pPr>
            <w:r>
              <w:rPr>
                <w:rFonts w:ascii="Arial" w:cs="Arial" w:eastAsia="Arial" w:hAnsi="Arial"/>
                <w:sz w:val="14"/>
                <w:szCs w:val="14"/>
                <w:color w:val="auto"/>
              </w:rPr>
              <w:t>—</w:t>
            </w:r>
          </w:p>
        </w:tc>
      </w:tr>
      <w:tr>
        <w:trPr>
          <w:trHeight w:val="244"/>
        </w:trPr>
        <w:tc>
          <w:tcPr>
            <w:tcW w:w="8340" w:type="dxa"/>
            <w:vAlign w:val="bottom"/>
            <w:tcBorders>
              <w:bottom w:val="single" w:sz="8" w:color="DCE2EF"/>
            </w:tcBorders>
            <w:gridSpan w:val="3"/>
          </w:tcPr>
          <w:p>
            <w:pPr>
              <w:ind w:left="40"/>
              <w:spacing w:after="0"/>
              <w:rPr>
                <w:sz w:val="20"/>
                <w:szCs w:val="20"/>
                <w:color w:val="auto"/>
              </w:rPr>
            </w:pPr>
            <w:r>
              <w:rPr>
                <w:rFonts w:ascii="Arial" w:cs="Arial" w:eastAsia="Arial" w:hAnsi="Arial"/>
                <w:sz w:val="14"/>
                <w:szCs w:val="14"/>
                <w:b w:val="1"/>
                <w:bCs w:val="1"/>
                <w:color w:val="auto"/>
              </w:rPr>
              <w:t>Net cash used in investing activities</w:t>
            </w:r>
          </w:p>
        </w:tc>
        <w:tc>
          <w:tcPr>
            <w:tcW w:w="34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(24.4)</w:t>
            </w:r>
          </w:p>
        </w:tc>
        <w:tc>
          <w:tcPr>
            <w:tcW w:w="120" w:type="dxa"/>
            <w:vAlign w:val="bottom"/>
            <w:tcBorders>
              <w:bottom w:val="single" w:sz="8" w:color="DCE2EF"/>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(46.0)</w:t>
            </w:r>
          </w:p>
        </w:tc>
      </w:tr>
      <w:tr>
        <w:trPr>
          <w:trHeight w:val="270"/>
        </w:trPr>
        <w:tc>
          <w:tcPr>
            <w:tcW w:w="8340" w:type="dxa"/>
            <w:vAlign w:val="bottom"/>
            <w:gridSpan w:val="3"/>
            <w:shd w:val="clear" w:color="auto" w:fill="DCE2EF"/>
          </w:tcPr>
          <w:p>
            <w:pPr>
              <w:ind w:left="40"/>
              <w:spacing w:after="0"/>
              <w:rPr>
                <w:sz w:val="20"/>
                <w:szCs w:val="20"/>
                <w:color w:val="auto"/>
              </w:rPr>
            </w:pPr>
            <w:r>
              <w:rPr>
                <w:rFonts w:ascii="Arial" w:cs="Arial" w:eastAsia="Arial" w:hAnsi="Arial"/>
                <w:sz w:val="14"/>
                <w:szCs w:val="14"/>
                <w:b w:val="1"/>
                <w:bCs w:val="1"/>
                <w:color w:val="auto"/>
              </w:rPr>
              <w:t>Cash flows from financing activities</w:t>
            </w:r>
          </w:p>
        </w:tc>
        <w:tc>
          <w:tcPr>
            <w:tcW w:w="340" w:type="dxa"/>
            <w:vAlign w:val="bottom"/>
            <w:shd w:val="clear" w:color="auto" w:fill="DCE2EF"/>
          </w:tcPr>
          <w:p>
            <w:pPr>
              <w:spacing w:after="0"/>
              <w:rPr>
                <w:sz w:val="23"/>
                <w:szCs w:val="23"/>
                <w:color w:val="auto"/>
              </w:rPr>
            </w:pPr>
          </w:p>
        </w:tc>
        <w:tc>
          <w:tcPr>
            <w:tcW w:w="1160" w:type="dxa"/>
            <w:vAlign w:val="bottom"/>
            <w:shd w:val="clear" w:color="auto" w:fill="DCE2EF"/>
          </w:tcPr>
          <w:p>
            <w:pPr>
              <w:spacing w:after="0"/>
              <w:rPr>
                <w:sz w:val="23"/>
                <w:szCs w:val="23"/>
                <w:color w:val="auto"/>
              </w:rPr>
            </w:pPr>
          </w:p>
        </w:tc>
        <w:tc>
          <w:tcPr>
            <w:tcW w:w="120" w:type="dxa"/>
            <w:vAlign w:val="bottom"/>
            <w:shd w:val="clear" w:color="auto" w:fill="DCE2EF"/>
          </w:tcPr>
          <w:p>
            <w:pPr>
              <w:spacing w:after="0"/>
              <w:rPr>
                <w:sz w:val="23"/>
                <w:szCs w:val="23"/>
                <w:color w:val="auto"/>
              </w:rPr>
            </w:pPr>
          </w:p>
        </w:tc>
        <w:tc>
          <w:tcPr>
            <w:tcW w:w="340" w:type="dxa"/>
            <w:vAlign w:val="bottom"/>
            <w:shd w:val="clear" w:color="auto" w:fill="DCE2EF"/>
          </w:tcPr>
          <w:p>
            <w:pPr>
              <w:spacing w:after="0"/>
              <w:rPr>
                <w:sz w:val="23"/>
                <w:szCs w:val="23"/>
                <w:color w:val="auto"/>
              </w:rPr>
            </w:pPr>
          </w:p>
        </w:tc>
        <w:tc>
          <w:tcPr>
            <w:tcW w:w="1120" w:type="dxa"/>
            <w:vAlign w:val="bottom"/>
            <w:shd w:val="clear" w:color="auto" w:fill="DCE2EF"/>
          </w:tcPr>
          <w:p>
            <w:pPr>
              <w:spacing w:after="0"/>
              <w:rPr>
                <w:sz w:val="23"/>
                <w:szCs w:val="23"/>
                <w:color w:val="auto"/>
              </w:rPr>
            </w:pPr>
          </w:p>
        </w:tc>
      </w:tr>
      <w:tr>
        <w:trPr>
          <w:trHeight w:val="264"/>
        </w:trPr>
        <w:tc>
          <w:tcPr>
            <w:tcW w:w="8340" w:type="dxa"/>
            <w:vAlign w:val="bottom"/>
            <w:gridSpan w:val="3"/>
          </w:tcPr>
          <w:p>
            <w:pPr>
              <w:ind w:left="40"/>
              <w:spacing w:after="0"/>
              <w:rPr>
                <w:sz w:val="20"/>
                <w:szCs w:val="20"/>
                <w:color w:val="auto"/>
              </w:rPr>
            </w:pPr>
            <w:r>
              <w:rPr>
                <w:rFonts w:ascii="Arial" w:cs="Arial" w:eastAsia="Arial" w:hAnsi="Arial"/>
                <w:sz w:val="14"/>
                <w:szCs w:val="14"/>
                <w:color w:val="auto"/>
              </w:rPr>
              <w:t>(Taxes withheld) and proceeds from issuance of share-based compensation awards, net</w:t>
            </w:r>
          </w:p>
        </w:tc>
        <w:tc>
          <w:tcPr>
            <w:tcW w:w="340" w:type="dxa"/>
            <w:vAlign w:val="bottom"/>
          </w:tcPr>
          <w:p>
            <w:pPr>
              <w:spacing w:after="0"/>
              <w:rPr>
                <w:sz w:val="22"/>
                <w:szCs w:val="22"/>
                <w:color w:val="auto"/>
              </w:rPr>
            </w:pPr>
          </w:p>
        </w:tc>
        <w:tc>
          <w:tcPr>
            <w:tcW w:w="1160" w:type="dxa"/>
            <w:vAlign w:val="bottom"/>
          </w:tcPr>
          <w:p>
            <w:pPr>
              <w:jc w:val="right"/>
              <w:ind w:right="8"/>
              <w:spacing w:after="0"/>
              <w:rPr>
                <w:sz w:val="20"/>
                <w:szCs w:val="20"/>
                <w:color w:val="auto"/>
              </w:rPr>
            </w:pPr>
            <w:r>
              <w:rPr>
                <w:rFonts w:ascii="Arial" w:cs="Arial" w:eastAsia="Arial" w:hAnsi="Arial"/>
                <w:sz w:val="14"/>
                <w:szCs w:val="14"/>
                <w:color w:val="auto"/>
              </w:rPr>
              <w:t>(0.7)</w:t>
            </w: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0.8</w:t>
            </w:r>
          </w:p>
        </w:tc>
      </w:tr>
      <w:tr>
        <w:trPr>
          <w:trHeight w:val="276"/>
        </w:trPr>
        <w:tc>
          <w:tcPr>
            <w:tcW w:w="8340" w:type="dxa"/>
            <w:vAlign w:val="bottom"/>
            <w:gridSpan w:val="3"/>
            <w:shd w:val="clear" w:color="auto" w:fill="DCE2EF"/>
          </w:tcPr>
          <w:p>
            <w:pPr>
              <w:ind w:left="40"/>
              <w:spacing w:after="0"/>
              <w:rPr>
                <w:sz w:val="20"/>
                <w:szCs w:val="20"/>
                <w:color w:val="auto"/>
              </w:rPr>
            </w:pPr>
            <w:r>
              <w:rPr>
                <w:rFonts w:ascii="Arial" w:cs="Arial" w:eastAsia="Arial" w:hAnsi="Arial"/>
                <w:sz w:val="14"/>
                <w:szCs w:val="14"/>
                <w:color w:val="auto"/>
              </w:rPr>
              <w:t>Repurchases of common stock</w:t>
            </w:r>
          </w:p>
        </w:tc>
        <w:tc>
          <w:tcPr>
            <w:tcW w:w="340" w:type="dxa"/>
            <w:vAlign w:val="bottom"/>
            <w:shd w:val="clear" w:color="auto" w:fill="DCE2EF"/>
          </w:tcPr>
          <w:p>
            <w:pPr>
              <w:spacing w:after="0"/>
              <w:rPr>
                <w:sz w:val="24"/>
                <w:szCs w:val="24"/>
                <w:color w:val="auto"/>
              </w:rPr>
            </w:pPr>
          </w:p>
        </w:tc>
        <w:tc>
          <w:tcPr>
            <w:tcW w:w="1280" w:type="dxa"/>
            <w:vAlign w:val="bottom"/>
            <w:gridSpan w:val="2"/>
            <w:shd w:val="clear" w:color="auto" w:fill="DCE2EF"/>
          </w:tcPr>
          <w:p>
            <w:pPr>
              <w:jc w:val="right"/>
              <w:ind w:right="240"/>
              <w:spacing w:after="0"/>
              <w:rPr>
                <w:sz w:val="20"/>
                <w:szCs w:val="20"/>
                <w:color w:val="auto"/>
              </w:rPr>
            </w:pPr>
            <w:r>
              <w:rPr>
                <w:rFonts w:ascii="Arial" w:cs="Arial" w:eastAsia="Arial" w:hAnsi="Arial"/>
                <w:sz w:val="14"/>
                <w:szCs w:val="14"/>
                <w:color w:val="auto"/>
              </w:rPr>
              <w:t>—</w:t>
            </w:r>
          </w:p>
        </w:tc>
        <w:tc>
          <w:tcPr>
            <w:tcW w:w="340" w:type="dxa"/>
            <w:vAlign w:val="bottom"/>
            <w:shd w:val="clear" w:color="auto" w:fill="DCE2EF"/>
          </w:tcPr>
          <w:p>
            <w:pPr>
              <w:spacing w:after="0"/>
              <w:rPr>
                <w:sz w:val="24"/>
                <w:szCs w:val="24"/>
                <w:color w:val="auto"/>
              </w:rPr>
            </w:pPr>
          </w:p>
        </w:tc>
        <w:tc>
          <w:tcPr>
            <w:tcW w:w="1120" w:type="dxa"/>
            <w:vAlign w:val="bottom"/>
            <w:shd w:val="clear" w:color="auto" w:fill="DCE2EF"/>
          </w:tcPr>
          <w:p>
            <w:pPr>
              <w:jc w:val="right"/>
              <w:spacing w:after="0"/>
              <w:rPr>
                <w:sz w:val="20"/>
                <w:szCs w:val="20"/>
                <w:color w:val="auto"/>
              </w:rPr>
            </w:pPr>
            <w:r>
              <w:rPr>
                <w:rFonts w:ascii="Arial" w:cs="Arial" w:eastAsia="Arial" w:hAnsi="Arial"/>
                <w:sz w:val="14"/>
                <w:szCs w:val="14"/>
                <w:color w:val="auto"/>
              </w:rPr>
              <w:t>(7.9)</w:t>
            </w:r>
          </w:p>
        </w:tc>
      </w:tr>
      <w:tr>
        <w:trPr>
          <w:trHeight w:val="264"/>
        </w:trPr>
        <w:tc>
          <w:tcPr>
            <w:tcW w:w="8340" w:type="dxa"/>
            <w:vAlign w:val="bottom"/>
            <w:gridSpan w:val="3"/>
          </w:tcPr>
          <w:p>
            <w:pPr>
              <w:ind w:left="40"/>
              <w:spacing w:after="0"/>
              <w:rPr>
                <w:sz w:val="20"/>
                <w:szCs w:val="20"/>
                <w:color w:val="auto"/>
              </w:rPr>
            </w:pPr>
            <w:r>
              <w:rPr>
                <w:rFonts w:ascii="Arial" w:cs="Arial" w:eastAsia="Arial" w:hAnsi="Arial"/>
                <w:sz w:val="14"/>
                <w:szCs w:val="14"/>
                <w:color w:val="auto"/>
              </w:rPr>
              <w:t>Dividends paid</w:t>
            </w:r>
          </w:p>
        </w:tc>
        <w:tc>
          <w:tcPr>
            <w:tcW w:w="340" w:type="dxa"/>
            <w:vAlign w:val="bottom"/>
          </w:tcPr>
          <w:p>
            <w:pPr>
              <w:spacing w:after="0"/>
              <w:rPr>
                <w:sz w:val="22"/>
                <w:szCs w:val="22"/>
                <w:color w:val="auto"/>
              </w:rPr>
            </w:pPr>
          </w:p>
        </w:tc>
        <w:tc>
          <w:tcPr>
            <w:tcW w:w="1160" w:type="dxa"/>
            <w:vAlign w:val="bottom"/>
          </w:tcPr>
          <w:p>
            <w:pPr>
              <w:jc w:val="right"/>
              <w:ind w:right="8"/>
              <w:spacing w:after="0"/>
              <w:rPr>
                <w:sz w:val="20"/>
                <w:szCs w:val="20"/>
                <w:color w:val="auto"/>
              </w:rPr>
            </w:pPr>
            <w:r>
              <w:rPr>
                <w:rFonts w:ascii="Arial" w:cs="Arial" w:eastAsia="Arial" w:hAnsi="Arial"/>
                <w:sz w:val="14"/>
                <w:szCs w:val="14"/>
                <w:color w:val="auto"/>
              </w:rPr>
              <w:t>(23.0)</w:t>
            </w: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(18.9)</w:t>
            </w:r>
          </w:p>
        </w:tc>
      </w:tr>
      <w:tr>
        <w:trPr>
          <w:trHeight w:val="276"/>
        </w:trPr>
        <w:tc>
          <w:tcPr>
            <w:tcW w:w="8340" w:type="dxa"/>
            <w:vAlign w:val="bottom"/>
            <w:gridSpan w:val="3"/>
            <w:shd w:val="clear" w:color="auto" w:fill="DCE2EF"/>
          </w:tcPr>
          <w:p>
            <w:pPr>
              <w:ind w:left="40"/>
              <w:spacing w:after="0"/>
              <w:rPr>
                <w:sz w:val="20"/>
                <w:szCs w:val="20"/>
                <w:color w:val="auto"/>
              </w:rPr>
            </w:pPr>
            <w:r>
              <w:rPr>
                <w:rFonts w:ascii="Arial" w:cs="Arial" w:eastAsia="Arial" w:hAnsi="Arial"/>
                <w:sz w:val="14"/>
                <w:szCs w:val="14"/>
                <w:color w:val="auto"/>
              </w:rPr>
              <w:t>Deferred financing costs paid</w:t>
            </w:r>
          </w:p>
        </w:tc>
        <w:tc>
          <w:tcPr>
            <w:tcW w:w="340" w:type="dxa"/>
            <w:vAlign w:val="bottom"/>
            <w:shd w:val="clear" w:color="auto" w:fill="DCE2EF"/>
          </w:tcPr>
          <w:p>
            <w:pPr>
              <w:spacing w:after="0"/>
              <w:rPr>
                <w:sz w:val="24"/>
                <w:szCs w:val="24"/>
                <w:color w:val="auto"/>
              </w:rPr>
            </w:pPr>
          </w:p>
        </w:tc>
        <w:tc>
          <w:tcPr>
            <w:tcW w:w="1160" w:type="dxa"/>
            <w:vAlign w:val="bottom"/>
            <w:shd w:val="clear" w:color="auto" w:fill="DCE2EF"/>
          </w:tcPr>
          <w:p>
            <w:pPr>
              <w:jc w:val="right"/>
              <w:ind w:right="8"/>
              <w:spacing w:after="0"/>
              <w:rPr>
                <w:sz w:val="20"/>
                <w:szCs w:val="20"/>
                <w:color w:val="auto"/>
              </w:rPr>
            </w:pPr>
            <w:r>
              <w:rPr>
                <w:rFonts w:ascii="Arial" w:cs="Arial" w:eastAsia="Arial" w:hAnsi="Arial"/>
                <w:sz w:val="14"/>
                <w:szCs w:val="14"/>
                <w:color w:val="auto"/>
              </w:rPr>
              <w:t>(0.1)</w:t>
            </w:r>
          </w:p>
        </w:tc>
        <w:tc>
          <w:tcPr>
            <w:tcW w:w="120" w:type="dxa"/>
            <w:vAlign w:val="bottom"/>
            <w:shd w:val="clear" w:color="auto" w:fill="DCE2EF"/>
          </w:tcPr>
          <w:p>
            <w:pPr>
              <w:spacing w:after="0"/>
              <w:rPr>
                <w:sz w:val="24"/>
                <w:szCs w:val="24"/>
                <w:color w:val="auto"/>
              </w:rPr>
            </w:pPr>
          </w:p>
        </w:tc>
        <w:tc>
          <w:tcPr>
            <w:tcW w:w="340" w:type="dxa"/>
            <w:vAlign w:val="bottom"/>
            <w:shd w:val="clear" w:color="auto" w:fill="DCE2EF"/>
          </w:tcPr>
          <w:p>
            <w:pPr>
              <w:spacing w:after="0"/>
              <w:rPr>
                <w:sz w:val="24"/>
                <w:szCs w:val="24"/>
                <w:color w:val="auto"/>
              </w:rPr>
            </w:pPr>
          </w:p>
        </w:tc>
        <w:tc>
          <w:tcPr>
            <w:tcW w:w="1120" w:type="dxa"/>
            <w:vAlign w:val="bottom"/>
            <w:shd w:val="clear" w:color="auto" w:fill="DCE2EF"/>
          </w:tcPr>
          <w:p>
            <w:pPr>
              <w:jc w:val="right"/>
              <w:ind w:right="28"/>
              <w:spacing w:after="0"/>
              <w:rPr>
                <w:sz w:val="20"/>
                <w:szCs w:val="20"/>
                <w:color w:val="auto"/>
              </w:rPr>
            </w:pPr>
            <w:r>
              <w:rPr>
                <w:rFonts w:ascii="Arial" w:cs="Arial" w:eastAsia="Arial" w:hAnsi="Arial"/>
                <w:sz w:val="14"/>
                <w:szCs w:val="14"/>
                <w:color w:val="auto"/>
              </w:rPr>
              <w:t>—</w:t>
            </w:r>
          </w:p>
        </w:tc>
      </w:tr>
      <w:tr>
        <w:trPr>
          <w:trHeight w:val="264"/>
        </w:trPr>
        <w:tc>
          <w:tcPr>
            <w:tcW w:w="8340" w:type="dxa"/>
            <w:vAlign w:val="bottom"/>
            <w:gridSpan w:val="3"/>
          </w:tcPr>
          <w:p>
            <w:pPr>
              <w:ind w:left="40"/>
              <w:spacing w:after="0"/>
              <w:rPr>
                <w:sz w:val="20"/>
                <w:szCs w:val="20"/>
                <w:color w:val="auto"/>
              </w:rPr>
            </w:pPr>
            <w:r>
              <w:rPr>
                <w:rFonts w:ascii="Arial" w:cs="Arial" w:eastAsia="Arial" w:hAnsi="Arial"/>
                <w:sz w:val="14"/>
                <w:szCs w:val="14"/>
                <w:color w:val="auto"/>
              </w:rPr>
              <w:t>Borrowings from credit facility</w:t>
            </w:r>
          </w:p>
        </w:tc>
        <w:tc>
          <w:tcPr>
            <w:tcW w:w="340" w:type="dxa"/>
            <w:vAlign w:val="bottom"/>
          </w:tcPr>
          <w:p>
            <w:pPr>
              <w:spacing w:after="0"/>
              <w:rPr>
                <w:sz w:val="22"/>
                <w:szCs w:val="22"/>
                <w:color w:val="auto"/>
              </w:rPr>
            </w:pPr>
          </w:p>
        </w:tc>
        <w:tc>
          <w:tcPr>
            <w:tcW w:w="1160" w:type="dxa"/>
            <w:vAlign w:val="bottom"/>
          </w:tcPr>
          <w:p>
            <w:pPr>
              <w:jc w:val="right"/>
              <w:ind w:right="48"/>
              <w:spacing w:after="0"/>
              <w:rPr>
                <w:sz w:val="20"/>
                <w:szCs w:val="20"/>
                <w:color w:val="auto"/>
              </w:rPr>
            </w:pPr>
            <w:r>
              <w:rPr>
                <w:rFonts w:ascii="Arial" w:cs="Arial" w:eastAsia="Arial" w:hAnsi="Arial"/>
                <w:sz w:val="14"/>
                <w:szCs w:val="14"/>
                <w:color w:val="auto"/>
              </w:rPr>
              <w:t>468.5</w:t>
            </w: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441.9</w:t>
            </w:r>
          </w:p>
        </w:tc>
      </w:tr>
      <w:tr>
        <w:trPr>
          <w:trHeight w:val="276"/>
        </w:trPr>
        <w:tc>
          <w:tcPr>
            <w:tcW w:w="8340" w:type="dxa"/>
            <w:vAlign w:val="bottom"/>
            <w:gridSpan w:val="3"/>
            <w:shd w:val="clear" w:color="auto" w:fill="DCE2EF"/>
          </w:tcPr>
          <w:p>
            <w:pPr>
              <w:ind w:left="40"/>
              <w:spacing w:after="0"/>
              <w:rPr>
                <w:sz w:val="20"/>
                <w:szCs w:val="20"/>
                <w:color w:val="auto"/>
              </w:rPr>
            </w:pPr>
            <w:r>
              <w:rPr>
                <w:rFonts w:ascii="Arial" w:cs="Arial" w:eastAsia="Arial" w:hAnsi="Arial"/>
                <w:sz w:val="14"/>
                <w:szCs w:val="14"/>
                <w:color w:val="auto"/>
              </w:rPr>
              <w:t>Repayment of borrowings from credit facility</w:t>
            </w:r>
          </w:p>
        </w:tc>
        <w:tc>
          <w:tcPr>
            <w:tcW w:w="340" w:type="dxa"/>
            <w:vAlign w:val="bottom"/>
            <w:shd w:val="clear" w:color="auto" w:fill="DCE2EF"/>
          </w:tcPr>
          <w:p>
            <w:pPr>
              <w:spacing w:after="0"/>
              <w:rPr>
                <w:sz w:val="24"/>
                <w:szCs w:val="24"/>
                <w:color w:val="auto"/>
              </w:rPr>
            </w:pPr>
          </w:p>
        </w:tc>
        <w:tc>
          <w:tcPr>
            <w:tcW w:w="1160" w:type="dxa"/>
            <w:vAlign w:val="bottom"/>
            <w:shd w:val="clear" w:color="auto" w:fill="DCE2EF"/>
          </w:tcPr>
          <w:p>
            <w:pPr>
              <w:jc w:val="right"/>
              <w:ind w:right="8"/>
              <w:spacing w:after="0"/>
              <w:rPr>
                <w:sz w:val="20"/>
                <w:szCs w:val="20"/>
                <w:color w:val="auto"/>
              </w:rPr>
            </w:pPr>
            <w:r>
              <w:rPr>
                <w:rFonts w:ascii="Arial" w:cs="Arial" w:eastAsia="Arial" w:hAnsi="Arial"/>
                <w:sz w:val="14"/>
                <w:szCs w:val="14"/>
                <w:color w:val="auto"/>
              </w:rPr>
              <w:t>(541.0)</w:t>
            </w:r>
          </w:p>
        </w:tc>
        <w:tc>
          <w:tcPr>
            <w:tcW w:w="120" w:type="dxa"/>
            <w:vAlign w:val="bottom"/>
            <w:shd w:val="clear" w:color="auto" w:fill="DCE2EF"/>
          </w:tcPr>
          <w:p>
            <w:pPr>
              <w:spacing w:after="0"/>
              <w:rPr>
                <w:sz w:val="24"/>
                <w:szCs w:val="24"/>
                <w:color w:val="auto"/>
              </w:rPr>
            </w:pPr>
          </w:p>
        </w:tc>
        <w:tc>
          <w:tcPr>
            <w:tcW w:w="340" w:type="dxa"/>
            <w:vAlign w:val="bottom"/>
            <w:shd w:val="clear" w:color="auto" w:fill="DCE2EF"/>
          </w:tcPr>
          <w:p>
            <w:pPr>
              <w:spacing w:after="0"/>
              <w:rPr>
                <w:sz w:val="24"/>
                <w:szCs w:val="24"/>
                <w:color w:val="auto"/>
              </w:rPr>
            </w:pPr>
          </w:p>
        </w:tc>
        <w:tc>
          <w:tcPr>
            <w:tcW w:w="1120" w:type="dxa"/>
            <w:vAlign w:val="bottom"/>
            <w:shd w:val="clear" w:color="auto" w:fill="DCE2EF"/>
          </w:tcPr>
          <w:p>
            <w:pPr>
              <w:jc w:val="right"/>
              <w:spacing w:after="0"/>
              <w:rPr>
                <w:sz w:val="20"/>
                <w:szCs w:val="20"/>
                <w:color w:val="auto"/>
              </w:rPr>
            </w:pPr>
            <w:r>
              <w:rPr>
                <w:rFonts w:ascii="Arial" w:cs="Arial" w:eastAsia="Arial" w:hAnsi="Arial"/>
                <w:sz w:val="14"/>
                <w:szCs w:val="14"/>
                <w:color w:val="auto"/>
              </w:rPr>
              <w:t>(432.3)</w:t>
            </w:r>
          </w:p>
        </w:tc>
      </w:tr>
      <w:tr>
        <w:trPr>
          <w:trHeight w:val="264"/>
        </w:trPr>
        <w:tc>
          <w:tcPr>
            <w:tcW w:w="8340" w:type="dxa"/>
            <w:vAlign w:val="bottom"/>
            <w:gridSpan w:val="3"/>
          </w:tcPr>
          <w:p>
            <w:pPr>
              <w:ind w:left="40"/>
              <w:spacing w:after="0"/>
              <w:rPr>
                <w:sz w:val="20"/>
                <w:szCs w:val="20"/>
                <w:color w:val="auto"/>
              </w:rPr>
            </w:pPr>
            <w:r>
              <w:rPr>
                <w:rFonts w:ascii="Arial" w:cs="Arial" w:eastAsia="Arial" w:hAnsi="Arial"/>
                <w:sz w:val="14"/>
                <w:szCs w:val="14"/>
                <w:color w:val="auto"/>
              </w:rPr>
              <w:t>Changes in book cash overdrafts</w:t>
            </w:r>
          </w:p>
        </w:tc>
        <w:tc>
          <w:tcPr>
            <w:tcW w:w="340" w:type="dxa"/>
            <w:vAlign w:val="bottom"/>
          </w:tcPr>
          <w:p>
            <w:pPr>
              <w:spacing w:after="0"/>
              <w:rPr>
                <w:sz w:val="22"/>
                <w:szCs w:val="22"/>
                <w:color w:val="auto"/>
              </w:rPr>
            </w:pPr>
          </w:p>
        </w:tc>
        <w:tc>
          <w:tcPr>
            <w:tcW w:w="1160" w:type="dxa"/>
            <w:vAlign w:val="bottom"/>
          </w:tcPr>
          <w:p>
            <w:pPr>
              <w:jc w:val="right"/>
              <w:ind w:right="8"/>
              <w:spacing w:after="0"/>
              <w:rPr>
                <w:sz w:val="20"/>
                <w:szCs w:val="20"/>
                <w:color w:val="auto"/>
              </w:rPr>
            </w:pPr>
            <w:r>
              <w:rPr>
                <w:rFonts w:ascii="Arial" w:cs="Arial" w:eastAsia="Arial" w:hAnsi="Arial"/>
                <w:sz w:val="14"/>
                <w:szCs w:val="14"/>
                <w:color w:val="auto"/>
              </w:rPr>
              <w:t>(4.8)</w:t>
            </w: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17.2</w:t>
            </w:r>
          </w:p>
        </w:tc>
      </w:tr>
      <w:tr>
        <w:trPr>
          <w:trHeight w:val="276"/>
        </w:trPr>
        <w:tc>
          <w:tcPr>
            <w:tcW w:w="8340" w:type="dxa"/>
            <w:vAlign w:val="bottom"/>
            <w:gridSpan w:val="3"/>
            <w:shd w:val="clear" w:color="auto" w:fill="DCE2EF"/>
          </w:tcPr>
          <w:p>
            <w:pPr>
              <w:ind w:left="40"/>
              <w:spacing w:after="0"/>
              <w:rPr>
                <w:sz w:val="20"/>
                <w:szCs w:val="20"/>
                <w:color w:val="auto"/>
              </w:rPr>
            </w:pPr>
            <w:r>
              <w:rPr>
                <w:rFonts w:ascii="Arial" w:cs="Arial" w:eastAsia="Arial" w:hAnsi="Arial"/>
                <w:sz w:val="14"/>
                <w:szCs w:val="14"/>
                <w:color w:val="auto"/>
              </w:rPr>
              <w:t>Financing of energy savings performance contracts</w:t>
            </w:r>
          </w:p>
        </w:tc>
        <w:tc>
          <w:tcPr>
            <w:tcW w:w="340" w:type="dxa"/>
            <w:vAlign w:val="bottom"/>
            <w:shd w:val="clear" w:color="auto" w:fill="DCE2EF"/>
          </w:tcPr>
          <w:p>
            <w:pPr>
              <w:spacing w:after="0"/>
              <w:rPr>
                <w:sz w:val="24"/>
                <w:szCs w:val="24"/>
                <w:color w:val="auto"/>
              </w:rPr>
            </w:pPr>
          </w:p>
        </w:tc>
        <w:tc>
          <w:tcPr>
            <w:tcW w:w="1280" w:type="dxa"/>
            <w:vAlign w:val="bottom"/>
            <w:gridSpan w:val="2"/>
            <w:shd w:val="clear" w:color="auto" w:fill="DCE2EF"/>
          </w:tcPr>
          <w:p>
            <w:pPr>
              <w:jc w:val="right"/>
              <w:ind w:right="240"/>
              <w:spacing w:after="0"/>
              <w:rPr>
                <w:sz w:val="20"/>
                <w:szCs w:val="20"/>
                <w:color w:val="auto"/>
              </w:rPr>
            </w:pPr>
            <w:r>
              <w:rPr>
                <w:rFonts w:ascii="Arial" w:cs="Arial" w:eastAsia="Arial" w:hAnsi="Arial"/>
                <w:sz w:val="14"/>
                <w:szCs w:val="14"/>
                <w:color w:val="auto"/>
              </w:rPr>
              <w:t>—</w:t>
            </w:r>
          </w:p>
        </w:tc>
        <w:tc>
          <w:tcPr>
            <w:tcW w:w="340" w:type="dxa"/>
            <w:vAlign w:val="bottom"/>
            <w:shd w:val="clear" w:color="auto" w:fill="DCE2EF"/>
          </w:tcPr>
          <w:p>
            <w:pPr>
              <w:spacing w:after="0"/>
              <w:rPr>
                <w:sz w:val="24"/>
                <w:szCs w:val="24"/>
                <w:color w:val="auto"/>
              </w:rPr>
            </w:pPr>
          </w:p>
        </w:tc>
        <w:tc>
          <w:tcPr>
            <w:tcW w:w="1120" w:type="dxa"/>
            <w:vAlign w:val="bottom"/>
            <w:shd w:val="clear" w:color="auto" w:fill="DCE2EF"/>
          </w:tcPr>
          <w:p>
            <w:pPr>
              <w:jc w:val="right"/>
              <w:ind w:right="28"/>
              <w:spacing w:after="0"/>
              <w:rPr>
                <w:sz w:val="20"/>
                <w:szCs w:val="20"/>
                <w:color w:val="auto"/>
              </w:rPr>
            </w:pPr>
            <w:r>
              <w:rPr>
                <w:rFonts w:ascii="Arial" w:cs="Arial" w:eastAsia="Arial" w:hAnsi="Arial"/>
                <w:sz w:val="14"/>
                <w:szCs w:val="14"/>
                <w:color w:val="auto"/>
              </w:rPr>
              <w:t>2.6</w:t>
            </w:r>
          </w:p>
        </w:tc>
      </w:tr>
      <w:tr>
        <w:trPr>
          <w:trHeight w:val="264"/>
        </w:trPr>
        <w:tc>
          <w:tcPr>
            <w:tcW w:w="8340" w:type="dxa"/>
            <w:vAlign w:val="bottom"/>
            <w:gridSpan w:val="3"/>
          </w:tcPr>
          <w:p>
            <w:pPr>
              <w:ind w:left="40"/>
              <w:spacing w:after="0"/>
              <w:rPr>
                <w:sz w:val="20"/>
                <w:szCs w:val="20"/>
                <w:color w:val="auto"/>
              </w:rPr>
            </w:pPr>
            <w:r>
              <w:rPr>
                <w:rFonts w:ascii="Arial" w:cs="Arial" w:eastAsia="Arial" w:hAnsi="Arial"/>
                <w:sz w:val="14"/>
                <w:szCs w:val="14"/>
                <w:color w:val="auto"/>
              </w:rPr>
              <w:t>Payment of contingent consideration</w:t>
            </w:r>
          </w:p>
        </w:tc>
        <w:tc>
          <w:tcPr>
            <w:tcW w:w="340" w:type="dxa"/>
            <w:vAlign w:val="bottom"/>
          </w:tcPr>
          <w:p>
            <w:pPr>
              <w:spacing w:after="0"/>
              <w:rPr>
                <w:sz w:val="22"/>
                <w:szCs w:val="22"/>
                <w:color w:val="auto"/>
              </w:rPr>
            </w:pPr>
          </w:p>
        </w:tc>
        <w:tc>
          <w:tcPr>
            <w:tcW w:w="12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(3.8)</w:t>
            </w:r>
          </w:p>
        </w:tc>
      </w:tr>
      <w:tr>
        <w:trPr>
          <w:trHeight w:val="276"/>
        </w:trPr>
        <w:tc>
          <w:tcPr>
            <w:tcW w:w="8340" w:type="dxa"/>
            <w:vAlign w:val="bottom"/>
            <w:gridSpan w:val="3"/>
            <w:shd w:val="clear" w:color="auto" w:fill="DCE2EF"/>
          </w:tcPr>
          <w:p>
            <w:pPr>
              <w:ind w:left="40"/>
              <w:spacing w:after="0"/>
              <w:rPr>
                <w:sz w:val="20"/>
                <w:szCs w:val="20"/>
                <w:color w:val="auto"/>
              </w:rPr>
            </w:pPr>
            <w:r>
              <w:rPr>
                <w:rFonts w:ascii="Arial" w:cs="Arial" w:eastAsia="Arial" w:hAnsi="Arial"/>
                <w:sz w:val="14"/>
                <w:szCs w:val="14"/>
                <w:color w:val="auto"/>
              </w:rPr>
              <w:t>Repayment of capital lease obligations</w:t>
            </w:r>
          </w:p>
        </w:tc>
        <w:tc>
          <w:tcPr>
            <w:tcW w:w="340" w:type="dxa"/>
            <w:vAlign w:val="bottom"/>
            <w:tcBorders>
              <w:bottom w:val="single" w:sz="8" w:color="auto"/>
            </w:tcBorders>
            <w:shd w:val="clear" w:color="auto" w:fill="DCE2EF"/>
          </w:tcPr>
          <w:p>
            <w:pPr>
              <w:spacing w:after="0"/>
              <w:rPr>
                <w:sz w:val="24"/>
                <w:szCs w:val="24"/>
                <w:color w:val="auto"/>
              </w:rPr>
            </w:pPr>
          </w:p>
        </w:tc>
        <w:tc>
          <w:tcPr>
            <w:tcW w:w="1160" w:type="dxa"/>
            <w:vAlign w:val="bottom"/>
            <w:tcBorders>
              <w:bottom w:val="single" w:sz="8" w:color="auto"/>
            </w:tcBorders>
            <w:shd w:val="clear" w:color="auto" w:fill="DCE2EF"/>
          </w:tcPr>
          <w:p>
            <w:pPr>
              <w:jc w:val="right"/>
              <w:ind w:right="8"/>
              <w:spacing w:after="0"/>
              <w:rPr>
                <w:sz w:val="20"/>
                <w:szCs w:val="20"/>
                <w:color w:val="auto"/>
              </w:rPr>
            </w:pPr>
            <w:r>
              <w:rPr>
                <w:rFonts w:ascii="Arial" w:cs="Arial" w:eastAsia="Arial" w:hAnsi="Arial"/>
                <w:sz w:val="14"/>
                <w:szCs w:val="14"/>
                <w:color w:val="auto"/>
              </w:rPr>
              <w:t>(1.7)</w:t>
            </w:r>
          </w:p>
        </w:tc>
        <w:tc>
          <w:tcPr>
            <w:tcW w:w="120" w:type="dxa"/>
            <w:vAlign w:val="bottom"/>
            <w:shd w:val="clear" w:color="auto" w:fill="DCE2EF"/>
          </w:tcPr>
          <w:p>
            <w:pPr>
              <w:spacing w:after="0"/>
              <w:rPr>
                <w:sz w:val="24"/>
                <w:szCs w:val="24"/>
                <w:color w:val="auto"/>
              </w:rPr>
            </w:pPr>
          </w:p>
        </w:tc>
        <w:tc>
          <w:tcPr>
            <w:tcW w:w="340" w:type="dxa"/>
            <w:vAlign w:val="bottom"/>
            <w:tcBorders>
              <w:bottom w:val="single" w:sz="8" w:color="auto"/>
            </w:tcBorders>
            <w:shd w:val="clear" w:color="auto" w:fill="DCE2EF"/>
          </w:tcPr>
          <w:p>
            <w:pPr>
              <w:spacing w:after="0"/>
              <w:rPr>
                <w:sz w:val="24"/>
                <w:szCs w:val="24"/>
                <w:color w:val="auto"/>
              </w:rPr>
            </w:pPr>
          </w:p>
        </w:tc>
        <w:tc>
          <w:tcPr>
            <w:tcW w:w="1120" w:type="dxa"/>
            <w:vAlign w:val="bottom"/>
            <w:tcBorders>
              <w:bottom w:val="single" w:sz="8" w:color="auto"/>
            </w:tcBorders>
            <w:shd w:val="clear" w:color="auto" w:fill="DCE2EF"/>
          </w:tcPr>
          <w:p>
            <w:pPr>
              <w:jc w:val="right"/>
              <w:spacing w:after="0"/>
              <w:rPr>
                <w:sz w:val="20"/>
                <w:szCs w:val="20"/>
                <w:color w:val="auto"/>
              </w:rPr>
            </w:pPr>
            <w:r>
              <w:rPr>
                <w:rFonts w:ascii="Arial" w:cs="Arial" w:eastAsia="Arial" w:hAnsi="Arial"/>
                <w:sz w:val="14"/>
                <w:szCs w:val="14"/>
                <w:color w:val="auto"/>
              </w:rPr>
              <w:t>(0.1)</w:t>
            </w:r>
          </w:p>
        </w:tc>
      </w:tr>
      <w:tr>
        <w:trPr>
          <w:trHeight w:val="244"/>
        </w:trPr>
        <w:tc>
          <w:tcPr>
            <w:tcW w:w="8340" w:type="dxa"/>
            <w:vAlign w:val="bottom"/>
            <w:tcBorders>
              <w:bottom w:val="single" w:sz="8" w:color="DCE2EF"/>
            </w:tcBorders>
            <w:gridSpan w:val="3"/>
          </w:tcPr>
          <w:p>
            <w:pPr>
              <w:ind w:left="40"/>
              <w:spacing w:after="0"/>
              <w:rPr>
                <w:sz w:val="20"/>
                <w:szCs w:val="20"/>
                <w:color w:val="auto"/>
              </w:rPr>
            </w:pPr>
            <w:r>
              <w:rPr>
                <w:rFonts w:ascii="Arial" w:cs="Arial" w:eastAsia="Arial" w:hAnsi="Arial"/>
                <w:sz w:val="14"/>
                <w:szCs w:val="14"/>
                <w:b w:val="1"/>
                <w:bCs w:val="1"/>
                <w:color w:val="auto"/>
              </w:rPr>
              <w:t>Net cash used in financing activities</w:t>
            </w:r>
          </w:p>
        </w:tc>
        <w:tc>
          <w:tcPr>
            <w:tcW w:w="34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(102.7)</w:t>
            </w:r>
          </w:p>
        </w:tc>
        <w:tc>
          <w:tcPr>
            <w:tcW w:w="120" w:type="dxa"/>
            <w:vAlign w:val="bottom"/>
            <w:tcBorders>
              <w:bottom w:val="single" w:sz="8" w:color="DCE2EF"/>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(0.5)</w:t>
            </w:r>
          </w:p>
        </w:tc>
      </w:tr>
      <w:tr>
        <w:trPr>
          <w:trHeight w:val="256"/>
        </w:trPr>
        <w:tc>
          <w:tcPr>
            <w:tcW w:w="8340" w:type="dxa"/>
            <w:vAlign w:val="bottom"/>
            <w:gridSpan w:val="3"/>
            <w:shd w:val="clear" w:color="auto" w:fill="DCE2EF"/>
          </w:tcPr>
          <w:p>
            <w:pPr>
              <w:ind w:left="40"/>
              <w:spacing w:after="0"/>
              <w:rPr>
                <w:sz w:val="20"/>
                <w:szCs w:val="20"/>
                <w:color w:val="auto"/>
              </w:rPr>
            </w:pPr>
            <w:r>
              <w:rPr>
                <w:rFonts w:ascii="Arial" w:cs="Arial" w:eastAsia="Arial" w:hAnsi="Arial"/>
                <w:sz w:val="14"/>
                <w:szCs w:val="14"/>
                <w:b w:val="1"/>
                <w:bCs w:val="1"/>
                <w:color w:val="auto"/>
              </w:rPr>
              <w:t>Effect of exchange rate changes on cash and cash equivalents</w:t>
            </w:r>
          </w:p>
        </w:tc>
        <w:tc>
          <w:tcPr>
            <w:tcW w:w="340" w:type="dxa"/>
            <w:vAlign w:val="bottom"/>
            <w:tcBorders>
              <w:bottom w:val="single" w:sz="8" w:color="auto"/>
            </w:tcBorders>
            <w:shd w:val="clear" w:color="auto" w:fill="DCE2EF"/>
          </w:tcPr>
          <w:p>
            <w:pPr>
              <w:spacing w:after="0"/>
              <w:rPr>
                <w:sz w:val="22"/>
                <w:szCs w:val="22"/>
                <w:color w:val="auto"/>
              </w:rPr>
            </w:pPr>
          </w:p>
        </w:tc>
        <w:tc>
          <w:tcPr>
            <w:tcW w:w="1160" w:type="dxa"/>
            <w:vAlign w:val="bottom"/>
            <w:tcBorders>
              <w:bottom w:val="single" w:sz="8" w:color="auto"/>
            </w:tcBorders>
            <w:shd w:val="clear" w:color="auto" w:fill="DCE2EF"/>
          </w:tcPr>
          <w:p>
            <w:pPr>
              <w:jc w:val="right"/>
              <w:ind w:right="48"/>
              <w:spacing w:after="0"/>
              <w:rPr>
                <w:sz w:val="20"/>
                <w:szCs w:val="20"/>
                <w:color w:val="auto"/>
              </w:rPr>
            </w:pPr>
            <w:r>
              <w:rPr>
                <w:rFonts w:ascii="Arial" w:cs="Arial" w:eastAsia="Arial" w:hAnsi="Arial"/>
                <w:sz w:val="14"/>
                <w:szCs w:val="14"/>
                <w:color w:val="auto"/>
              </w:rPr>
              <w:t>0.8</w:t>
            </w:r>
          </w:p>
        </w:tc>
        <w:tc>
          <w:tcPr>
            <w:tcW w:w="120" w:type="dxa"/>
            <w:vAlign w:val="bottom"/>
            <w:shd w:val="clear" w:color="auto" w:fill="DCE2EF"/>
          </w:tcPr>
          <w:p>
            <w:pPr>
              <w:spacing w:after="0"/>
              <w:rPr>
                <w:sz w:val="22"/>
                <w:szCs w:val="22"/>
                <w:color w:val="auto"/>
              </w:rPr>
            </w:pPr>
          </w:p>
        </w:tc>
        <w:tc>
          <w:tcPr>
            <w:tcW w:w="340" w:type="dxa"/>
            <w:vAlign w:val="bottom"/>
            <w:tcBorders>
              <w:bottom w:val="single" w:sz="8" w:color="auto"/>
            </w:tcBorders>
            <w:shd w:val="clear" w:color="auto" w:fill="DCE2EF"/>
          </w:tcPr>
          <w:p>
            <w:pPr>
              <w:spacing w:after="0"/>
              <w:rPr>
                <w:sz w:val="22"/>
                <w:szCs w:val="22"/>
                <w:color w:val="auto"/>
              </w:rPr>
            </w:pPr>
          </w:p>
        </w:tc>
        <w:tc>
          <w:tcPr>
            <w:tcW w:w="1120" w:type="dxa"/>
            <w:vAlign w:val="bottom"/>
            <w:tcBorders>
              <w:bottom w:val="single" w:sz="8" w:color="auto"/>
            </w:tcBorders>
            <w:shd w:val="clear" w:color="auto" w:fill="DCE2EF"/>
          </w:tcPr>
          <w:p>
            <w:pPr>
              <w:jc w:val="right"/>
              <w:ind w:right="28"/>
              <w:spacing w:after="0"/>
              <w:rPr>
                <w:sz w:val="20"/>
                <w:szCs w:val="20"/>
                <w:color w:val="auto"/>
              </w:rPr>
            </w:pPr>
            <w:r>
              <w:rPr>
                <w:rFonts w:ascii="Arial" w:cs="Arial" w:eastAsia="Arial" w:hAnsi="Arial"/>
                <w:sz w:val="14"/>
                <w:szCs w:val="14"/>
                <w:color w:val="auto"/>
              </w:rPr>
              <w:t>0.6</w:t>
            </w:r>
          </w:p>
        </w:tc>
      </w:tr>
      <w:tr>
        <w:trPr>
          <w:trHeight w:val="244"/>
        </w:trPr>
        <w:tc>
          <w:tcPr>
            <w:tcW w:w="8340" w:type="dxa"/>
            <w:vAlign w:val="bottom"/>
            <w:gridSpan w:val="3"/>
          </w:tcPr>
          <w:p>
            <w:pPr>
              <w:ind w:left="40"/>
              <w:spacing w:after="0"/>
              <w:rPr>
                <w:sz w:val="20"/>
                <w:szCs w:val="20"/>
                <w:color w:val="auto"/>
              </w:rPr>
            </w:pPr>
            <w:r>
              <w:rPr>
                <w:rFonts w:ascii="Arial" w:cs="Arial" w:eastAsia="Arial" w:hAnsi="Arial"/>
                <w:sz w:val="14"/>
                <w:szCs w:val="14"/>
                <w:b w:val="1"/>
                <w:bCs w:val="1"/>
                <w:color w:val="auto"/>
              </w:rPr>
              <w:t>Net increase in cash and cash equivalents</w:t>
            </w:r>
          </w:p>
        </w:tc>
        <w:tc>
          <w:tcPr>
            <w:tcW w:w="340" w:type="dxa"/>
            <w:vAlign w:val="bottom"/>
          </w:tcPr>
          <w:p>
            <w:pPr>
              <w:spacing w:after="0"/>
              <w:rPr>
                <w:sz w:val="21"/>
                <w:szCs w:val="21"/>
                <w:color w:val="auto"/>
              </w:rPr>
            </w:pPr>
          </w:p>
        </w:tc>
        <w:tc>
          <w:tcPr>
            <w:tcW w:w="1160" w:type="dxa"/>
            <w:vAlign w:val="bottom"/>
          </w:tcPr>
          <w:p>
            <w:pPr>
              <w:jc w:val="right"/>
              <w:ind w:right="48"/>
              <w:spacing w:after="0"/>
              <w:rPr>
                <w:sz w:val="20"/>
                <w:szCs w:val="20"/>
                <w:color w:val="auto"/>
              </w:rPr>
            </w:pPr>
            <w:r>
              <w:rPr>
                <w:rFonts w:ascii="Arial" w:cs="Arial" w:eastAsia="Arial" w:hAnsi="Arial"/>
                <w:sz w:val="14"/>
                <w:szCs w:val="14"/>
                <w:color w:val="auto"/>
              </w:rPr>
              <w:t>6.9</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2.2</w:t>
            </w:r>
          </w:p>
        </w:tc>
      </w:tr>
      <w:tr>
        <w:trPr>
          <w:trHeight w:val="276"/>
        </w:trPr>
        <w:tc>
          <w:tcPr>
            <w:tcW w:w="8340" w:type="dxa"/>
            <w:vAlign w:val="bottom"/>
            <w:gridSpan w:val="3"/>
            <w:shd w:val="clear" w:color="auto" w:fill="DCE2EF"/>
          </w:tcPr>
          <w:p>
            <w:pPr>
              <w:ind w:left="40"/>
              <w:spacing w:after="0"/>
              <w:rPr>
                <w:sz w:val="20"/>
                <w:szCs w:val="20"/>
                <w:color w:val="auto"/>
              </w:rPr>
            </w:pPr>
            <w:r>
              <w:rPr>
                <w:rFonts w:ascii="Arial" w:cs="Arial" w:eastAsia="Arial" w:hAnsi="Arial"/>
                <w:sz w:val="14"/>
                <w:szCs w:val="14"/>
                <w:b w:val="1"/>
                <w:bCs w:val="1"/>
                <w:color w:val="auto"/>
              </w:rPr>
              <w:t>Cash and cash equivalents at beginning of year</w:t>
            </w:r>
          </w:p>
        </w:tc>
        <w:tc>
          <w:tcPr>
            <w:tcW w:w="340" w:type="dxa"/>
            <w:vAlign w:val="bottom"/>
            <w:tcBorders>
              <w:bottom w:val="single" w:sz="8" w:color="auto"/>
            </w:tcBorders>
            <w:shd w:val="clear" w:color="auto" w:fill="DCE2EF"/>
          </w:tcPr>
          <w:p>
            <w:pPr>
              <w:spacing w:after="0"/>
              <w:rPr>
                <w:sz w:val="24"/>
                <w:szCs w:val="24"/>
                <w:color w:val="auto"/>
              </w:rPr>
            </w:pPr>
          </w:p>
        </w:tc>
        <w:tc>
          <w:tcPr>
            <w:tcW w:w="1160" w:type="dxa"/>
            <w:vAlign w:val="bottom"/>
            <w:tcBorders>
              <w:bottom w:val="single" w:sz="8" w:color="auto"/>
            </w:tcBorders>
            <w:shd w:val="clear" w:color="auto" w:fill="DCE2EF"/>
          </w:tcPr>
          <w:p>
            <w:pPr>
              <w:jc w:val="right"/>
              <w:ind w:right="48"/>
              <w:spacing w:after="0"/>
              <w:rPr>
                <w:sz w:val="20"/>
                <w:szCs w:val="20"/>
                <w:color w:val="auto"/>
              </w:rPr>
            </w:pPr>
            <w:r>
              <w:rPr>
                <w:rFonts w:ascii="Arial" w:cs="Arial" w:eastAsia="Arial" w:hAnsi="Arial"/>
                <w:sz w:val="14"/>
                <w:szCs w:val="14"/>
                <w:color w:val="auto"/>
              </w:rPr>
              <w:t>62.8</w:t>
            </w:r>
          </w:p>
        </w:tc>
        <w:tc>
          <w:tcPr>
            <w:tcW w:w="120" w:type="dxa"/>
            <w:vAlign w:val="bottom"/>
            <w:shd w:val="clear" w:color="auto" w:fill="DCE2EF"/>
          </w:tcPr>
          <w:p>
            <w:pPr>
              <w:spacing w:after="0"/>
              <w:rPr>
                <w:sz w:val="24"/>
                <w:szCs w:val="24"/>
                <w:color w:val="auto"/>
              </w:rPr>
            </w:pPr>
          </w:p>
        </w:tc>
        <w:tc>
          <w:tcPr>
            <w:tcW w:w="340" w:type="dxa"/>
            <w:vAlign w:val="bottom"/>
            <w:tcBorders>
              <w:bottom w:val="single" w:sz="8" w:color="auto"/>
            </w:tcBorders>
            <w:shd w:val="clear" w:color="auto" w:fill="DCE2EF"/>
          </w:tcPr>
          <w:p>
            <w:pPr>
              <w:spacing w:after="0"/>
              <w:rPr>
                <w:sz w:val="24"/>
                <w:szCs w:val="24"/>
                <w:color w:val="auto"/>
              </w:rPr>
            </w:pPr>
          </w:p>
        </w:tc>
        <w:tc>
          <w:tcPr>
            <w:tcW w:w="1120" w:type="dxa"/>
            <w:vAlign w:val="bottom"/>
            <w:tcBorders>
              <w:bottom w:val="single" w:sz="8" w:color="auto"/>
            </w:tcBorders>
            <w:shd w:val="clear" w:color="auto" w:fill="DCE2EF"/>
          </w:tcPr>
          <w:p>
            <w:pPr>
              <w:jc w:val="right"/>
              <w:ind w:right="28"/>
              <w:spacing w:after="0"/>
              <w:rPr>
                <w:sz w:val="20"/>
                <w:szCs w:val="20"/>
                <w:color w:val="auto"/>
              </w:rPr>
            </w:pPr>
            <w:r>
              <w:rPr>
                <w:rFonts w:ascii="Arial" w:cs="Arial" w:eastAsia="Arial" w:hAnsi="Arial"/>
                <w:sz w:val="14"/>
                <w:szCs w:val="14"/>
                <w:color w:val="auto"/>
              </w:rPr>
              <w:t>53.5</w:t>
            </w:r>
          </w:p>
        </w:tc>
      </w:tr>
      <w:tr>
        <w:trPr>
          <w:trHeight w:val="237"/>
        </w:trPr>
        <w:tc>
          <w:tcPr>
            <w:tcW w:w="8340" w:type="dxa"/>
            <w:vAlign w:val="bottom"/>
            <w:gridSpan w:val="3"/>
          </w:tcPr>
          <w:p>
            <w:pPr>
              <w:ind w:left="40"/>
              <w:spacing w:after="0"/>
              <w:rPr>
                <w:sz w:val="20"/>
                <w:szCs w:val="20"/>
                <w:color w:val="auto"/>
              </w:rPr>
            </w:pPr>
            <w:r>
              <w:rPr>
                <w:rFonts w:ascii="Arial" w:cs="Arial" w:eastAsia="Arial" w:hAnsi="Arial"/>
                <w:sz w:val="14"/>
                <w:szCs w:val="14"/>
                <w:b w:val="1"/>
                <w:bCs w:val="1"/>
                <w:color w:val="auto"/>
              </w:rPr>
              <w:t>Cash and cash equivalents at end of period</w:t>
            </w:r>
          </w:p>
        </w:tc>
        <w:tc>
          <w:tcPr>
            <w:tcW w:w="34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color w:val="auto"/>
              </w:rPr>
              <w:t>$</w:t>
            </w:r>
          </w:p>
        </w:tc>
        <w:tc>
          <w:tcPr>
            <w:tcW w:w="11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69.7</w:t>
            </w:r>
          </w:p>
        </w:tc>
        <w:tc>
          <w:tcPr>
            <w:tcW w:w="120" w:type="dxa"/>
            <w:vAlign w:val="bottom"/>
          </w:tcPr>
          <w:p>
            <w:pPr>
              <w:spacing w:after="0"/>
              <w:rPr>
                <w:sz w:val="20"/>
                <w:szCs w:val="20"/>
                <w:color w:val="auto"/>
              </w:rPr>
            </w:pPr>
          </w:p>
        </w:tc>
        <w:tc>
          <w:tcPr>
            <w:tcW w:w="34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color w:val="auto"/>
              </w:rPr>
              <w:t>$</w:t>
            </w:r>
          </w:p>
        </w:tc>
        <w:tc>
          <w:tcPr>
            <w:tcW w:w="11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55.7</w:t>
            </w:r>
          </w:p>
        </w:tc>
      </w:tr>
      <w:tr>
        <w:trPr>
          <w:trHeight w:val="20"/>
        </w:trPr>
        <w:tc>
          <w:tcPr>
            <w:tcW w:w="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76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11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See accompanying notes to unaudited consolidated financial statements.</w:t>
      </w:r>
    </w:p>
    <w:p>
      <w:pPr>
        <w:sectPr>
          <w:pgSz w:w="11900" w:h="16838" w:orient="portrait"/>
          <w:cols w:equalWidth="0" w:num="1">
            <w:col w:w="11420"/>
          </w:cols>
          <w:pgMar w:left="240" w:top="364" w:right="239" w:bottom="0" w:gutter="0" w:footer="0" w:header="0"/>
        </w:sectPr>
      </w:pPr>
    </w:p>
    <w:p>
      <w:pPr>
        <w:spacing w:after="0" w:line="35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w:t>
      </w:r>
    </w:p>
    <w:p>
      <w:pPr>
        <w:sectPr>
          <w:pgSz w:w="11900" w:h="16838" w:orient="portrait"/>
          <w:cols w:equalWidth="0" w:num="1">
            <w:col w:w="11420"/>
          </w:cols>
          <w:pgMar w:left="240" w:top="364" w:right="239" w:bottom="0" w:gutter="0" w:footer="0" w:header="0"/>
          <w:type w:val="continuous"/>
        </w:sectPr>
      </w:pPr>
    </w:p>
    <w:bookmarkStart w:id="8" w:name="page9"/>
    <w:bookmarkEnd w:id="8"/>
    <w:p>
      <w:pPr>
        <w:jc w:val="center"/>
        <w:spacing w:after="0"/>
        <w:rPr>
          <w:sz w:val="20"/>
          <w:szCs w:val="20"/>
          <w:color w:val="auto"/>
        </w:rPr>
      </w:pPr>
      <w:r>
        <w:rPr>
          <w:rFonts w:ascii="Arial" w:cs="Arial" w:eastAsia="Arial" w:hAnsi="Arial"/>
          <w:sz w:val="18"/>
          <w:szCs w:val="18"/>
          <w:b w:val="1"/>
          <w:bCs w:val="1"/>
          <w:color w:val="0046AD"/>
        </w:rPr>
        <w:t>ABM INDUSTRIES INCORPORATED AND SUBSIDIARIES</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0046AD"/>
        </w:rPr>
        <w:t>NOTES TO CONSOLIDATED FINANCIAL STATEMENTS</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0046AD"/>
        </w:rPr>
        <w:t>(UNAUDITED)</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color w:val="0046AD"/>
        </w:rPr>
        <w:t>1. THE COMPANY AND NATURE OF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106045</wp:posOffset>
            </wp:positionV>
            <wp:extent cx="723773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37730" cy="8890"/>
                    </a:xfrm>
                    <a:prstGeom prst="rect">
                      <a:avLst/>
                    </a:prstGeom>
                    <a:noFill/>
                  </pic:spPr>
                </pic:pic>
              </a:graphicData>
            </a:graphic>
          </wp:anchor>
        </w:drawing>
      </w:r>
    </w:p>
    <w:p>
      <w:pPr>
        <w:spacing w:after="0" w:line="200" w:lineRule="exact"/>
        <w:rPr>
          <w:sz w:val="20"/>
          <w:szCs w:val="20"/>
          <w:color w:val="auto"/>
        </w:rPr>
      </w:pPr>
    </w:p>
    <w:p>
      <w:pPr>
        <w:spacing w:after="0" w:line="243"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color w:val="auto"/>
        </w:rPr>
        <w:t xml:space="preserve">ABM Industries Incorporated, which operates through its subsidiaries (collectively referred to as “ABM,” “we,” “us,” “our,” or the “Company”), is a leading provider of integrated facility services with a mission to </w:t>
      </w:r>
      <w:r>
        <w:rPr>
          <w:rFonts w:ascii="Arial" w:cs="Arial" w:eastAsia="Arial" w:hAnsi="Arial"/>
          <w:sz w:val="18"/>
          <w:szCs w:val="18"/>
          <w:b w:val="1"/>
          <w:bCs w:val="1"/>
          <w:color w:val="006EBF"/>
        </w:rPr>
        <w:t>make a difference, every person, every day</w:t>
      </w:r>
      <w:r>
        <w:rPr>
          <w:rFonts w:ascii="Arial" w:cs="Arial" w:eastAsia="Arial" w:hAnsi="Arial"/>
          <w:sz w:val="18"/>
          <w:szCs w:val="18"/>
          <w:color w:val="auto"/>
        </w:rPr>
        <w:t>. We are organized into five industry groups and one Technical Solutions segment: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725170</wp:posOffset>
            </wp:positionH>
            <wp:positionV relativeFrom="paragraph">
              <wp:posOffset>94615</wp:posOffset>
            </wp:positionV>
            <wp:extent cx="5814695" cy="79756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814695" cy="7975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both"/>
        <w:ind w:right="20"/>
        <w:spacing w:after="0" w:line="262" w:lineRule="auto"/>
        <w:rPr>
          <w:sz w:val="20"/>
          <w:szCs w:val="20"/>
          <w:color w:val="auto"/>
        </w:rPr>
      </w:pPr>
      <w:r>
        <w:rPr>
          <w:rFonts w:ascii="Arial" w:cs="Arial" w:eastAsia="Arial" w:hAnsi="Arial"/>
          <w:sz w:val="18"/>
          <w:szCs w:val="18"/>
          <w:color w:val="auto"/>
        </w:rPr>
        <w:t>Through these groups, we offer janitorial, facilities engineering, parking, and specialized mechanical and electrical technical solutions, on a standalone basis or in combination with other services.</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0046AD"/>
        </w:rPr>
        <w:t>2. BASIS OF PRESENTATION AND SIGNIFICANT ACCOUNTING POLICIES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106045</wp:posOffset>
            </wp:positionV>
            <wp:extent cx="723773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37730" cy="8890"/>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0046AD"/>
        </w:rPr>
        <w:t>Basis of Presentation</w:t>
      </w:r>
    </w:p>
    <w:p>
      <w:pPr>
        <w:spacing w:after="0" w:line="139"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8"/>
          <w:szCs w:val="18"/>
          <w:color w:val="auto"/>
        </w:rPr>
        <w:t>The accompanying unaudited consolidated financial statements have been prepared in accordance with (i) United States generally accepted accounting principles (“U.S. GAAP”) for interim financial information and (ii) the instructions to Form 10-Q and Article 10 of Regulation S-X. In the opinion of our management, our unaudited consolidated financial statements and accompanying notes (the “Financial Statements”) include all normal recurring adjustments that are necessary for the fair statement of the interim periods presented. Interim results of operations are not necessarily indicative of results for the full year. The Financial Statements should be read in conjunction with our audited consolidated financial statements (and notes thereto) in our Annual Report on Form 10-K for the fiscal year ended October 31, 2017. Unless otherwise indicated, all references to years are to our fiscal year, which ends on October 31.</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color w:val="0046AD"/>
        </w:rPr>
        <w:t>Acquisition of GCA Services Group</w:t>
      </w:r>
    </w:p>
    <w:p>
      <w:pPr>
        <w:spacing w:after="0" w:line="139"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On September 1, 2017 (the “Acquisition Date”), we completed the acquisition of GCA Services Group (“GCA”). Accordingly, our consolidated statements of comprehensive income (loss) and statements of cash flows include GCA’s results of operations in the three and six months ended April 30, 2018, but exclude GCA’s results of operations in the three and six months ended April 30, 2017, as that was prior to the Acquisition Date. See Note 3, “Acquisitions,” for further information on the acquisition of GCA.</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color w:val="0046AD"/>
        </w:rPr>
        <w:t>Government Services</w:t>
      </w:r>
    </w:p>
    <w:p>
      <w:pPr>
        <w:spacing w:after="0" w:line="193" w:lineRule="exact"/>
        <w:rPr>
          <w:sz w:val="20"/>
          <w:szCs w:val="20"/>
          <w:color w:val="auto"/>
        </w:rPr>
      </w:pPr>
    </w:p>
    <w:p>
      <w:pPr>
        <w:jc w:val="both"/>
        <w:ind w:right="20" w:firstLine="648"/>
        <w:spacing w:after="0" w:line="256" w:lineRule="auto"/>
        <w:rPr>
          <w:sz w:val="20"/>
          <w:szCs w:val="20"/>
          <w:color w:val="auto"/>
        </w:rPr>
      </w:pPr>
      <w:r>
        <w:rPr>
          <w:rFonts w:ascii="Arial" w:cs="Arial" w:eastAsia="Arial" w:hAnsi="Arial"/>
          <w:sz w:val="18"/>
          <w:szCs w:val="18"/>
          <w:color w:val="auto"/>
        </w:rPr>
        <w:t>On May 31, 2017, we sold our Government Services business for $ 35.5 million and recorded a pre-tax gain of $1.2 million during the third quarter of 2017. The reported results for this business are through the date of sale. Future results could include run-off costs associated with this former business.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0046AD"/>
        </w:rPr>
        <w:t>Discontinued Operations</w:t>
      </w:r>
    </w:p>
    <w:p>
      <w:pPr>
        <w:spacing w:after="0" w:line="139" w:lineRule="exact"/>
        <w:rPr>
          <w:sz w:val="20"/>
          <w:szCs w:val="20"/>
          <w:color w:val="auto"/>
        </w:rPr>
      </w:pPr>
    </w:p>
    <w:p>
      <w:pPr>
        <w:jc w:val="both"/>
        <w:ind w:right="20" w:firstLine="648"/>
        <w:spacing w:after="0" w:line="262" w:lineRule="auto"/>
        <w:rPr>
          <w:sz w:val="20"/>
          <w:szCs w:val="20"/>
          <w:color w:val="auto"/>
        </w:rPr>
      </w:pPr>
      <w:r>
        <w:rPr>
          <w:rFonts w:ascii="Arial" w:cs="Arial" w:eastAsia="Arial" w:hAnsi="Arial"/>
          <w:sz w:val="18"/>
          <w:szCs w:val="18"/>
          <w:color w:val="auto"/>
        </w:rPr>
        <w:t>Following the sale of our Security business in 2015, we record all costs associated with this former business in discontinued operations. Such costs generally relate to litigation we retained and insurance reserves.</w:t>
      </w: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360" w:right="239" w:bottom="1440" w:gutter="0" w:footer="0" w:header="0"/>
        </w:sectPr>
      </w:pPr>
    </w:p>
    <w:bookmarkStart w:id="9" w:name="page10"/>
    <w:bookmarkEnd w:id="9"/>
    <w:p>
      <w:pPr>
        <w:spacing w:after="0"/>
        <w:rPr>
          <w:sz w:val="20"/>
          <w:szCs w:val="20"/>
          <w:color w:val="auto"/>
        </w:rPr>
      </w:pPr>
      <w:r>
        <w:rPr>
          <w:rFonts w:ascii="Arial" w:cs="Arial" w:eastAsia="Arial" w:hAnsi="Arial"/>
          <w:sz w:val="18"/>
          <w:szCs w:val="18"/>
          <w:b w:val="1"/>
          <w:bCs w:val="1"/>
          <w:color w:val="0046AD"/>
        </w:rPr>
        <w:t>Prior Year Reclassifications</w:t>
      </w:r>
    </w:p>
    <w:p>
      <w:pPr>
        <w:spacing w:after="0" w:line="139"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Effective November 1, 2017, we made changes to our operating structure as a result of the GCA acquisition. To reflect these changes, certain prior year amounts, including operating segment data, have been reclassified to conform with our fiscal 2018 presentation. These changes had no impact on our previously reported consolidated balance sheets, statements of comprehensive income (loss), or statements of cash flows. See Note 12, “Segment Information,” for further details.</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color w:val="0046AD"/>
        </w:rPr>
        <w:t>Rounding</w:t>
      </w:r>
    </w:p>
    <w:p>
      <w:pPr>
        <w:spacing w:after="0" w:line="193" w:lineRule="exact"/>
        <w:rPr>
          <w:sz w:val="20"/>
          <w:szCs w:val="20"/>
          <w:color w:val="auto"/>
        </w:rPr>
      </w:pPr>
    </w:p>
    <w:p>
      <w:pPr>
        <w:jc w:val="both"/>
        <w:ind w:right="20" w:firstLine="648"/>
        <w:spacing w:after="0" w:line="262" w:lineRule="auto"/>
        <w:rPr>
          <w:sz w:val="20"/>
          <w:szCs w:val="20"/>
          <w:color w:val="auto"/>
        </w:rPr>
      </w:pPr>
      <w:r>
        <w:rPr>
          <w:rFonts w:ascii="Arial" w:cs="Arial" w:eastAsia="Arial" w:hAnsi="Arial"/>
          <w:sz w:val="18"/>
          <w:szCs w:val="18"/>
          <w:color w:val="auto"/>
        </w:rPr>
        <w:t>We round amounts in the Financial Statements to millions and calculate all percentages and per-share data from the underlying whole-dollar amounts. Thus, certain amounts may not foot, crossfoot, or recalculate based on reported numbers due to rounding.</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0046AD"/>
        </w:rPr>
        <w:t>Management Reimbursement Revenue by Segment</w:t>
      </w:r>
    </w:p>
    <w:p>
      <w:pPr>
        <w:spacing w:after="0" w:line="193"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color w:val="auto"/>
        </w:rPr>
        <w:t>We operate certain parking facilities under managed location arrangements. Under these arrangements, we manage the parking facility for a management fee and pass through the revenue and expenses associated with the facility to the owner. These revenues and expenses are reported in equal amounts as costs reimbursed from our managed locations:</w:t>
      </w:r>
    </w:p>
    <w:p>
      <w:pPr>
        <w:spacing w:after="0" w:line="302" w:lineRule="exact"/>
        <w:rPr>
          <w:sz w:val="20"/>
          <w:szCs w:val="20"/>
          <w:color w:val="auto"/>
        </w:rPr>
      </w:pPr>
    </w:p>
    <w:tbl>
      <w:tblPr>
        <w:tblLayout w:type="fixed"/>
        <w:tblInd w:w="0" w:type="dxa"/>
        <w:tblCellMar>
          <w:top w:w="0" w:type="dxa"/>
          <w:left w:w="0" w:type="dxa"/>
          <w:bottom w:w="0" w:type="dxa"/>
          <w:right w:w="0" w:type="dxa"/>
        </w:tblCellMar>
      </w:tblPr>
      <w:tr>
        <w:trPr>
          <w:trHeight w:val="246"/>
        </w:trPr>
        <w:tc>
          <w:tcPr>
            <w:tcW w:w="4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39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3160" w:type="dxa"/>
            <w:vAlign w:val="bottom"/>
            <w:gridSpan w:val="5"/>
          </w:tcPr>
          <w:p>
            <w:pPr>
              <w:ind w:left="140"/>
              <w:spacing w:after="0"/>
              <w:rPr>
                <w:sz w:val="20"/>
                <w:szCs w:val="20"/>
                <w:color w:val="auto"/>
              </w:rPr>
            </w:pPr>
            <w:r>
              <w:rPr>
                <w:rFonts w:ascii="Arial" w:cs="Arial" w:eastAsia="Arial" w:hAnsi="Arial"/>
                <w:sz w:val="18"/>
                <w:szCs w:val="18"/>
                <w:b w:val="1"/>
                <w:bCs w:val="1"/>
                <w:color w:val="auto"/>
              </w:rPr>
              <w:t>Three Months Ended April 30,</w:t>
            </w:r>
          </w:p>
        </w:tc>
        <w:tc>
          <w:tcPr>
            <w:tcW w:w="320" w:type="dxa"/>
            <w:vAlign w:val="bottom"/>
          </w:tcPr>
          <w:p>
            <w:pPr>
              <w:spacing w:after="0"/>
              <w:rPr>
                <w:sz w:val="21"/>
                <w:szCs w:val="21"/>
                <w:color w:val="auto"/>
              </w:rPr>
            </w:pPr>
          </w:p>
        </w:tc>
        <w:tc>
          <w:tcPr>
            <w:tcW w:w="3000" w:type="dxa"/>
            <w:vAlign w:val="bottom"/>
            <w:gridSpan w:val="4"/>
          </w:tcPr>
          <w:p>
            <w:pPr>
              <w:jc w:val="right"/>
              <w:ind w:right="390"/>
              <w:spacing w:after="0"/>
              <w:rPr>
                <w:sz w:val="20"/>
                <w:szCs w:val="20"/>
                <w:color w:val="auto"/>
              </w:rPr>
            </w:pPr>
            <w:r>
              <w:rPr>
                <w:rFonts w:ascii="Arial" w:cs="Arial" w:eastAsia="Arial" w:hAnsi="Arial"/>
                <w:sz w:val="18"/>
                <w:szCs w:val="18"/>
                <w:b w:val="1"/>
                <w:bCs w:val="1"/>
                <w:color w:val="auto"/>
              </w:rPr>
              <w:t>Six Months Ended April 30,</w:t>
            </w:r>
          </w:p>
        </w:tc>
      </w:tr>
      <w:tr>
        <w:trPr>
          <w:trHeight w:val="230"/>
        </w:trPr>
        <w:tc>
          <w:tcPr>
            <w:tcW w:w="4660" w:type="dxa"/>
            <w:vAlign w:val="bottom"/>
            <w:gridSpan w:val="3"/>
          </w:tcPr>
          <w:p>
            <w:pPr>
              <w:ind w:left="40"/>
              <w:spacing w:after="0"/>
              <w:rPr>
                <w:sz w:val="20"/>
                <w:szCs w:val="20"/>
                <w:color w:val="auto"/>
              </w:rPr>
            </w:pPr>
            <w:r>
              <w:rPr>
                <w:rFonts w:ascii="Arial" w:cs="Arial" w:eastAsia="Arial" w:hAnsi="Arial"/>
                <w:sz w:val="14"/>
                <w:szCs w:val="14"/>
                <w:i w:val="1"/>
                <w:iCs w:val="1"/>
                <w:color w:val="auto"/>
              </w:rPr>
              <w:t>(in millions)</w:t>
            </w:r>
          </w:p>
        </w:tc>
        <w:tc>
          <w:tcPr>
            <w:tcW w:w="280" w:type="dxa"/>
            <w:vAlign w:val="bottom"/>
            <w:tcBorders>
              <w:top w:val="single" w:sz="8" w:color="auto"/>
            </w:tcBorders>
          </w:tcPr>
          <w:p>
            <w:pPr>
              <w:spacing w:after="0"/>
              <w:rPr>
                <w:sz w:val="19"/>
                <w:szCs w:val="19"/>
                <w:color w:val="auto"/>
              </w:rPr>
            </w:pPr>
          </w:p>
        </w:tc>
        <w:tc>
          <w:tcPr>
            <w:tcW w:w="1340" w:type="dxa"/>
            <w:vAlign w:val="bottom"/>
            <w:tcBorders>
              <w:top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2018</w:t>
            </w:r>
          </w:p>
        </w:tc>
        <w:tc>
          <w:tcPr>
            <w:tcW w:w="100" w:type="dxa"/>
            <w:vAlign w:val="bottom"/>
            <w:tcBorders>
              <w:top w:val="single" w:sz="8" w:color="auto"/>
            </w:tcBorders>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1240" w:type="dxa"/>
            <w:vAlign w:val="bottom"/>
            <w:tcBorders>
              <w:top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2017</w:t>
            </w:r>
          </w:p>
        </w:tc>
        <w:tc>
          <w:tcPr>
            <w:tcW w:w="120" w:type="dxa"/>
            <w:vAlign w:val="bottom"/>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1280" w:type="dxa"/>
            <w:vAlign w:val="bottom"/>
            <w:tcBorders>
              <w:top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2018</w:t>
            </w:r>
          </w:p>
        </w:tc>
        <w:tc>
          <w:tcPr>
            <w:tcW w:w="120" w:type="dxa"/>
            <w:vAlign w:val="bottom"/>
            <w:tcBorders>
              <w:top w:val="single" w:sz="8" w:color="auto"/>
            </w:tcBorders>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1240" w:type="dxa"/>
            <w:vAlign w:val="bottom"/>
            <w:tcBorders>
              <w:top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2017</w:t>
            </w:r>
          </w:p>
        </w:tc>
      </w:tr>
      <w:tr>
        <w:trPr>
          <w:trHeight w:val="21"/>
        </w:trPr>
        <w:tc>
          <w:tcPr>
            <w:tcW w:w="40" w:type="dxa"/>
            <w:vAlign w:val="bottom"/>
            <w:tcBorders>
              <w:bottom w:val="single" w:sz="8" w:color="DCE2EF"/>
            </w:tcBorders>
          </w:tcPr>
          <w:p>
            <w:pPr>
              <w:spacing w:after="0" w:line="20" w:lineRule="exact"/>
              <w:rPr>
                <w:sz w:val="1"/>
                <w:szCs w:val="1"/>
                <w:color w:val="auto"/>
              </w:rPr>
            </w:pPr>
          </w:p>
        </w:tc>
        <w:tc>
          <w:tcPr>
            <w:tcW w:w="700" w:type="dxa"/>
            <w:vAlign w:val="bottom"/>
            <w:tcBorders>
              <w:top w:val="single" w:sz="8" w:color="auto"/>
              <w:bottom w:val="single" w:sz="8" w:color="DCE2EF"/>
            </w:tcBorders>
          </w:tcPr>
          <w:p>
            <w:pPr>
              <w:spacing w:after="0" w:line="20" w:lineRule="exact"/>
              <w:rPr>
                <w:sz w:val="1"/>
                <w:szCs w:val="1"/>
                <w:color w:val="auto"/>
              </w:rPr>
            </w:pPr>
          </w:p>
        </w:tc>
        <w:tc>
          <w:tcPr>
            <w:tcW w:w="3920" w:type="dxa"/>
            <w:vAlign w:val="bottom"/>
            <w:tcBorders>
              <w:bottom w:val="single" w:sz="8" w:color="DCE2E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DCE2E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DCE2E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DCE2E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r>
        <w:trPr>
          <w:trHeight w:val="250"/>
        </w:trPr>
        <w:tc>
          <w:tcPr>
            <w:tcW w:w="4660" w:type="dxa"/>
            <w:vAlign w:val="bottom"/>
            <w:gridSpan w:val="3"/>
            <w:shd w:val="clear" w:color="auto" w:fill="DCE2EF"/>
          </w:tcPr>
          <w:p>
            <w:pPr>
              <w:ind w:left="40"/>
              <w:spacing w:after="0"/>
              <w:rPr>
                <w:sz w:val="20"/>
                <w:szCs w:val="20"/>
                <w:color w:val="auto"/>
              </w:rPr>
            </w:pPr>
            <w:r>
              <w:rPr>
                <w:rFonts w:ascii="Arial" w:cs="Arial" w:eastAsia="Arial" w:hAnsi="Arial"/>
                <w:sz w:val="18"/>
                <w:szCs w:val="18"/>
                <w:color w:val="auto"/>
              </w:rPr>
              <w:t>Business &amp; Industry</w:t>
            </w:r>
          </w:p>
        </w:tc>
        <w:tc>
          <w:tcPr>
            <w:tcW w:w="280" w:type="dxa"/>
            <w:vAlign w:val="bottom"/>
            <w:shd w:val="clear" w:color="auto" w:fill="DCE2EF"/>
          </w:tcPr>
          <w:p>
            <w:pPr>
              <w:jc w:val="right"/>
              <w:ind w:right="50"/>
              <w:spacing w:after="0"/>
              <w:rPr>
                <w:sz w:val="20"/>
                <w:szCs w:val="20"/>
                <w:color w:val="auto"/>
              </w:rPr>
            </w:pPr>
            <w:r>
              <w:rPr>
                <w:rFonts w:ascii="Arial" w:cs="Arial" w:eastAsia="Arial" w:hAnsi="Arial"/>
                <w:sz w:val="18"/>
                <w:szCs w:val="18"/>
                <w:color w:val="auto"/>
              </w:rPr>
              <w:t>$</w:t>
            </w:r>
          </w:p>
        </w:tc>
        <w:tc>
          <w:tcPr>
            <w:tcW w:w="1340" w:type="dxa"/>
            <w:vAlign w:val="bottom"/>
            <w:shd w:val="clear" w:color="auto" w:fill="DCE2EF"/>
          </w:tcPr>
          <w:p>
            <w:pPr>
              <w:jc w:val="right"/>
              <w:ind w:right="30"/>
              <w:spacing w:after="0"/>
              <w:rPr>
                <w:sz w:val="20"/>
                <w:szCs w:val="20"/>
                <w:color w:val="auto"/>
              </w:rPr>
            </w:pPr>
            <w:r>
              <w:rPr>
                <w:rFonts w:ascii="Arial" w:cs="Arial" w:eastAsia="Arial" w:hAnsi="Arial"/>
                <w:sz w:val="18"/>
                <w:szCs w:val="18"/>
                <w:color w:val="auto"/>
              </w:rPr>
              <w:t>63.5</w:t>
            </w:r>
          </w:p>
        </w:tc>
        <w:tc>
          <w:tcPr>
            <w:tcW w:w="100" w:type="dxa"/>
            <w:vAlign w:val="bottom"/>
            <w:shd w:val="clear" w:color="auto" w:fill="DCE2EF"/>
          </w:tcPr>
          <w:p>
            <w:pPr>
              <w:spacing w:after="0"/>
              <w:rPr>
                <w:sz w:val="21"/>
                <w:szCs w:val="21"/>
                <w:color w:val="auto"/>
              </w:rPr>
            </w:pPr>
          </w:p>
        </w:tc>
        <w:tc>
          <w:tcPr>
            <w:tcW w:w="360" w:type="dxa"/>
            <w:vAlign w:val="bottom"/>
            <w:shd w:val="clear" w:color="auto" w:fill="DCE2EF"/>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DCE2EF"/>
          </w:tcPr>
          <w:p>
            <w:pPr>
              <w:jc w:val="right"/>
              <w:ind w:right="10"/>
              <w:spacing w:after="0"/>
              <w:rPr>
                <w:sz w:val="20"/>
                <w:szCs w:val="20"/>
                <w:color w:val="auto"/>
              </w:rPr>
            </w:pPr>
            <w:r>
              <w:rPr>
                <w:rFonts w:ascii="Arial" w:cs="Arial" w:eastAsia="Arial" w:hAnsi="Arial"/>
                <w:sz w:val="18"/>
                <w:szCs w:val="18"/>
                <w:color w:val="auto"/>
              </w:rPr>
              <w:t>58.1</w:t>
            </w:r>
          </w:p>
        </w:tc>
        <w:tc>
          <w:tcPr>
            <w:tcW w:w="120" w:type="dxa"/>
            <w:vAlign w:val="bottom"/>
            <w:shd w:val="clear" w:color="auto" w:fill="DCE2EF"/>
          </w:tcPr>
          <w:p>
            <w:pPr>
              <w:spacing w:after="0"/>
              <w:rPr>
                <w:sz w:val="21"/>
                <w:szCs w:val="21"/>
                <w:color w:val="auto"/>
              </w:rPr>
            </w:pPr>
          </w:p>
        </w:tc>
        <w:tc>
          <w:tcPr>
            <w:tcW w:w="320" w:type="dxa"/>
            <w:vAlign w:val="bottom"/>
            <w:shd w:val="clear" w:color="auto" w:fill="DCE2EF"/>
          </w:tcPr>
          <w:p>
            <w:pPr>
              <w:jc w:val="right"/>
              <w:ind w:right="110"/>
              <w:spacing w:after="0"/>
              <w:rPr>
                <w:sz w:val="20"/>
                <w:szCs w:val="20"/>
                <w:color w:val="auto"/>
              </w:rPr>
            </w:pPr>
            <w:r>
              <w:rPr>
                <w:rFonts w:ascii="Arial" w:cs="Arial" w:eastAsia="Arial" w:hAnsi="Arial"/>
                <w:sz w:val="18"/>
                <w:szCs w:val="18"/>
                <w:color w:val="auto"/>
                <w:w w:val="99"/>
              </w:rPr>
              <w:t>$</w:t>
            </w:r>
          </w:p>
        </w:tc>
        <w:tc>
          <w:tcPr>
            <w:tcW w:w="1280" w:type="dxa"/>
            <w:vAlign w:val="bottom"/>
            <w:shd w:val="clear" w:color="auto" w:fill="DCE2EF"/>
          </w:tcPr>
          <w:p>
            <w:pPr>
              <w:jc w:val="right"/>
              <w:ind w:right="10"/>
              <w:spacing w:after="0"/>
              <w:rPr>
                <w:sz w:val="20"/>
                <w:szCs w:val="20"/>
                <w:color w:val="auto"/>
              </w:rPr>
            </w:pPr>
            <w:r>
              <w:rPr>
                <w:rFonts w:ascii="Arial" w:cs="Arial" w:eastAsia="Arial" w:hAnsi="Arial"/>
                <w:sz w:val="18"/>
                <w:szCs w:val="18"/>
                <w:color w:val="auto"/>
              </w:rPr>
              <w:t>126.5</w:t>
            </w:r>
          </w:p>
        </w:tc>
        <w:tc>
          <w:tcPr>
            <w:tcW w:w="120" w:type="dxa"/>
            <w:vAlign w:val="bottom"/>
            <w:shd w:val="clear" w:color="auto" w:fill="DCE2EF"/>
          </w:tcPr>
          <w:p>
            <w:pPr>
              <w:spacing w:after="0"/>
              <w:rPr>
                <w:sz w:val="21"/>
                <w:szCs w:val="21"/>
                <w:color w:val="auto"/>
              </w:rPr>
            </w:pPr>
          </w:p>
        </w:tc>
        <w:tc>
          <w:tcPr>
            <w:tcW w:w="360" w:type="dxa"/>
            <w:vAlign w:val="bottom"/>
            <w:shd w:val="clear" w:color="auto" w:fill="DCE2EF"/>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DCE2EF"/>
          </w:tcPr>
          <w:p>
            <w:pPr>
              <w:jc w:val="right"/>
              <w:ind w:right="10"/>
              <w:spacing w:after="0"/>
              <w:rPr>
                <w:sz w:val="20"/>
                <w:szCs w:val="20"/>
                <w:color w:val="auto"/>
              </w:rPr>
            </w:pPr>
            <w:r>
              <w:rPr>
                <w:rFonts w:ascii="Arial" w:cs="Arial" w:eastAsia="Arial" w:hAnsi="Arial"/>
                <w:sz w:val="18"/>
                <w:szCs w:val="18"/>
                <w:color w:val="auto"/>
              </w:rPr>
              <w:t>115.9</w:t>
            </w:r>
          </w:p>
        </w:tc>
      </w:tr>
      <w:tr>
        <w:trPr>
          <w:trHeight w:val="263"/>
        </w:trPr>
        <w:tc>
          <w:tcPr>
            <w:tcW w:w="4660" w:type="dxa"/>
            <w:vAlign w:val="bottom"/>
            <w:gridSpan w:val="3"/>
          </w:tcPr>
          <w:p>
            <w:pPr>
              <w:ind w:left="40"/>
              <w:spacing w:after="0"/>
              <w:rPr>
                <w:sz w:val="20"/>
                <w:szCs w:val="20"/>
                <w:color w:val="auto"/>
              </w:rPr>
            </w:pPr>
            <w:r>
              <w:rPr>
                <w:rFonts w:ascii="Arial" w:cs="Arial" w:eastAsia="Arial" w:hAnsi="Arial"/>
                <w:sz w:val="18"/>
                <w:szCs w:val="18"/>
                <w:color w:val="auto"/>
              </w:rPr>
              <w:t>Aviation</w:t>
            </w:r>
          </w:p>
        </w:tc>
        <w:tc>
          <w:tcPr>
            <w:tcW w:w="280" w:type="dxa"/>
            <w:vAlign w:val="bottom"/>
          </w:tcPr>
          <w:p>
            <w:pPr>
              <w:spacing w:after="0"/>
              <w:rPr>
                <w:sz w:val="22"/>
                <w:szCs w:val="22"/>
                <w:color w:val="auto"/>
              </w:rPr>
            </w:pPr>
          </w:p>
        </w:tc>
        <w:tc>
          <w:tcPr>
            <w:tcW w:w="1340" w:type="dxa"/>
            <w:vAlign w:val="bottom"/>
          </w:tcPr>
          <w:p>
            <w:pPr>
              <w:jc w:val="right"/>
              <w:ind w:right="30"/>
              <w:spacing w:after="0"/>
              <w:rPr>
                <w:sz w:val="20"/>
                <w:szCs w:val="20"/>
                <w:color w:val="auto"/>
              </w:rPr>
            </w:pPr>
            <w:r>
              <w:rPr>
                <w:rFonts w:ascii="Arial" w:cs="Arial" w:eastAsia="Arial" w:hAnsi="Arial"/>
                <w:sz w:val="18"/>
                <w:szCs w:val="18"/>
                <w:color w:val="auto"/>
              </w:rPr>
              <w:t>27.6</w:t>
            </w: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16.2</w:t>
            </w: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53.1</w:t>
            </w:r>
          </w:p>
        </w:tc>
        <w:tc>
          <w:tcPr>
            <w:tcW w:w="1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32.7</w:t>
            </w:r>
          </w:p>
        </w:tc>
      </w:tr>
      <w:tr>
        <w:trPr>
          <w:trHeight w:val="270"/>
        </w:trPr>
        <w:tc>
          <w:tcPr>
            <w:tcW w:w="4660" w:type="dxa"/>
            <w:vAlign w:val="bottom"/>
            <w:gridSpan w:val="3"/>
            <w:shd w:val="clear" w:color="auto" w:fill="DCE2EF"/>
          </w:tcPr>
          <w:p>
            <w:pPr>
              <w:ind w:left="40"/>
              <w:spacing w:after="0"/>
              <w:rPr>
                <w:sz w:val="20"/>
                <w:szCs w:val="20"/>
                <w:color w:val="auto"/>
              </w:rPr>
            </w:pPr>
            <w:r>
              <w:rPr>
                <w:rFonts w:ascii="Arial" w:cs="Arial" w:eastAsia="Arial" w:hAnsi="Arial"/>
                <w:sz w:val="18"/>
                <w:szCs w:val="18"/>
                <w:color w:val="auto"/>
              </w:rPr>
              <w:t>Healthcare</w:t>
            </w:r>
          </w:p>
        </w:tc>
        <w:tc>
          <w:tcPr>
            <w:tcW w:w="280" w:type="dxa"/>
            <w:vAlign w:val="bottom"/>
            <w:tcBorders>
              <w:bottom w:val="single" w:sz="8" w:color="auto"/>
            </w:tcBorders>
            <w:shd w:val="clear" w:color="auto" w:fill="DCE2EF"/>
          </w:tcPr>
          <w:p>
            <w:pPr>
              <w:spacing w:after="0"/>
              <w:rPr>
                <w:sz w:val="23"/>
                <w:szCs w:val="23"/>
                <w:color w:val="auto"/>
              </w:rPr>
            </w:pPr>
          </w:p>
        </w:tc>
        <w:tc>
          <w:tcPr>
            <w:tcW w:w="1340" w:type="dxa"/>
            <w:vAlign w:val="bottom"/>
            <w:tcBorders>
              <w:bottom w:val="single" w:sz="8" w:color="auto"/>
            </w:tcBorders>
            <w:shd w:val="clear" w:color="auto" w:fill="DCE2EF"/>
          </w:tcPr>
          <w:p>
            <w:pPr>
              <w:jc w:val="right"/>
              <w:ind w:right="30"/>
              <w:spacing w:after="0"/>
              <w:rPr>
                <w:sz w:val="20"/>
                <w:szCs w:val="20"/>
                <w:color w:val="auto"/>
              </w:rPr>
            </w:pPr>
            <w:r>
              <w:rPr>
                <w:rFonts w:ascii="Arial" w:cs="Arial" w:eastAsia="Arial" w:hAnsi="Arial"/>
                <w:sz w:val="18"/>
                <w:szCs w:val="18"/>
                <w:color w:val="auto"/>
              </w:rPr>
              <w:t>5.0</w:t>
            </w:r>
          </w:p>
        </w:tc>
        <w:tc>
          <w:tcPr>
            <w:tcW w:w="100" w:type="dxa"/>
            <w:vAlign w:val="bottom"/>
            <w:shd w:val="clear" w:color="auto" w:fill="DCE2EF"/>
          </w:tcPr>
          <w:p>
            <w:pPr>
              <w:spacing w:after="0"/>
              <w:rPr>
                <w:sz w:val="23"/>
                <w:szCs w:val="23"/>
                <w:color w:val="auto"/>
              </w:rPr>
            </w:pPr>
          </w:p>
        </w:tc>
        <w:tc>
          <w:tcPr>
            <w:tcW w:w="360" w:type="dxa"/>
            <w:vAlign w:val="bottom"/>
            <w:tcBorders>
              <w:bottom w:val="single" w:sz="8" w:color="auto"/>
            </w:tcBorders>
            <w:shd w:val="clear" w:color="auto" w:fill="DCE2EF"/>
          </w:tcPr>
          <w:p>
            <w:pPr>
              <w:spacing w:after="0"/>
              <w:rPr>
                <w:sz w:val="23"/>
                <w:szCs w:val="23"/>
                <w:color w:val="auto"/>
              </w:rPr>
            </w:pPr>
          </w:p>
        </w:tc>
        <w:tc>
          <w:tcPr>
            <w:tcW w:w="1240" w:type="dxa"/>
            <w:vAlign w:val="bottom"/>
            <w:tcBorders>
              <w:bottom w:val="single" w:sz="8" w:color="auto"/>
            </w:tcBorders>
            <w:shd w:val="clear" w:color="auto" w:fill="DCE2EF"/>
          </w:tcPr>
          <w:p>
            <w:pPr>
              <w:jc w:val="right"/>
              <w:ind w:right="10"/>
              <w:spacing w:after="0"/>
              <w:rPr>
                <w:sz w:val="20"/>
                <w:szCs w:val="20"/>
                <w:color w:val="auto"/>
              </w:rPr>
            </w:pPr>
            <w:r>
              <w:rPr>
                <w:rFonts w:ascii="Arial" w:cs="Arial" w:eastAsia="Arial" w:hAnsi="Arial"/>
                <w:sz w:val="18"/>
                <w:szCs w:val="18"/>
                <w:color w:val="auto"/>
              </w:rPr>
              <w:t>4.8</w:t>
            </w:r>
          </w:p>
        </w:tc>
        <w:tc>
          <w:tcPr>
            <w:tcW w:w="120" w:type="dxa"/>
            <w:vAlign w:val="bottom"/>
            <w:shd w:val="clear" w:color="auto" w:fill="DCE2EF"/>
          </w:tcPr>
          <w:p>
            <w:pPr>
              <w:spacing w:after="0"/>
              <w:rPr>
                <w:sz w:val="23"/>
                <w:szCs w:val="23"/>
                <w:color w:val="auto"/>
              </w:rPr>
            </w:pPr>
          </w:p>
        </w:tc>
        <w:tc>
          <w:tcPr>
            <w:tcW w:w="320" w:type="dxa"/>
            <w:vAlign w:val="bottom"/>
            <w:tcBorders>
              <w:bottom w:val="single" w:sz="8" w:color="auto"/>
            </w:tcBorders>
            <w:shd w:val="clear" w:color="auto" w:fill="DCE2EF"/>
          </w:tcPr>
          <w:p>
            <w:pPr>
              <w:spacing w:after="0"/>
              <w:rPr>
                <w:sz w:val="23"/>
                <w:szCs w:val="23"/>
                <w:color w:val="auto"/>
              </w:rPr>
            </w:pPr>
          </w:p>
        </w:tc>
        <w:tc>
          <w:tcPr>
            <w:tcW w:w="1280" w:type="dxa"/>
            <w:vAlign w:val="bottom"/>
            <w:tcBorders>
              <w:bottom w:val="single" w:sz="8" w:color="auto"/>
            </w:tcBorders>
            <w:shd w:val="clear" w:color="auto" w:fill="DCE2EF"/>
          </w:tcPr>
          <w:p>
            <w:pPr>
              <w:jc w:val="right"/>
              <w:ind w:right="10"/>
              <w:spacing w:after="0"/>
              <w:rPr>
                <w:sz w:val="20"/>
                <w:szCs w:val="20"/>
                <w:color w:val="auto"/>
              </w:rPr>
            </w:pPr>
            <w:r>
              <w:rPr>
                <w:rFonts w:ascii="Arial" w:cs="Arial" w:eastAsia="Arial" w:hAnsi="Arial"/>
                <w:sz w:val="18"/>
                <w:szCs w:val="18"/>
                <w:color w:val="auto"/>
              </w:rPr>
              <w:t>9.9</w:t>
            </w:r>
          </w:p>
        </w:tc>
        <w:tc>
          <w:tcPr>
            <w:tcW w:w="120" w:type="dxa"/>
            <w:vAlign w:val="bottom"/>
            <w:shd w:val="clear" w:color="auto" w:fill="DCE2EF"/>
          </w:tcPr>
          <w:p>
            <w:pPr>
              <w:spacing w:after="0"/>
              <w:rPr>
                <w:sz w:val="23"/>
                <w:szCs w:val="23"/>
                <w:color w:val="auto"/>
              </w:rPr>
            </w:pPr>
          </w:p>
        </w:tc>
        <w:tc>
          <w:tcPr>
            <w:tcW w:w="360" w:type="dxa"/>
            <w:vAlign w:val="bottom"/>
            <w:tcBorders>
              <w:bottom w:val="single" w:sz="8" w:color="auto"/>
            </w:tcBorders>
            <w:shd w:val="clear" w:color="auto" w:fill="DCE2EF"/>
          </w:tcPr>
          <w:p>
            <w:pPr>
              <w:spacing w:after="0"/>
              <w:rPr>
                <w:sz w:val="23"/>
                <w:szCs w:val="23"/>
                <w:color w:val="auto"/>
              </w:rPr>
            </w:pPr>
          </w:p>
        </w:tc>
        <w:tc>
          <w:tcPr>
            <w:tcW w:w="1240" w:type="dxa"/>
            <w:vAlign w:val="bottom"/>
            <w:tcBorders>
              <w:bottom w:val="single" w:sz="8" w:color="auto"/>
            </w:tcBorders>
            <w:shd w:val="clear" w:color="auto" w:fill="DCE2EF"/>
          </w:tcPr>
          <w:p>
            <w:pPr>
              <w:jc w:val="right"/>
              <w:ind w:right="10"/>
              <w:spacing w:after="0"/>
              <w:rPr>
                <w:sz w:val="20"/>
                <w:szCs w:val="20"/>
                <w:color w:val="auto"/>
              </w:rPr>
            </w:pPr>
            <w:r>
              <w:rPr>
                <w:rFonts w:ascii="Arial" w:cs="Arial" w:eastAsia="Arial" w:hAnsi="Arial"/>
                <w:sz w:val="18"/>
                <w:szCs w:val="18"/>
                <w:color w:val="auto"/>
              </w:rPr>
              <w:t>9.4</w:t>
            </w:r>
          </w:p>
        </w:tc>
      </w:tr>
      <w:tr>
        <w:trPr>
          <w:trHeight w:val="257"/>
        </w:trPr>
        <w:tc>
          <w:tcPr>
            <w:tcW w:w="4660" w:type="dxa"/>
            <w:vAlign w:val="bottom"/>
            <w:gridSpan w:val="3"/>
          </w:tcPr>
          <w:p>
            <w:pPr>
              <w:ind w:left="40"/>
              <w:spacing w:after="0"/>
              <w:rPr>
                <w:sz w:val="20"/>
                <w:szCs w:val="20"/>
                <w:color w:val="auto"/>
              </w:rPr>
            </w:pPr>
            <w:r>
              <w:rPr>
                <w:rFonts w:ascii="Arial" w:cs="Arial" w:eastAsia="Arial" w:hAnsi="Arial"/>
                <w:sz w:val="18"/>
                <w:szCs w:val="18"/>
                <w:color w:val="auto"/>
              </w:rPr>
              <w:t>Total</w:t>
            </w:r>
          </w:p>
        </w:tc>
        <w:tc>
          <w:tcPr>
            <w:tcW w:w="28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96.1</w:t>
            </w:r>
          </w:p>
        </w:tc>
        <w:tc>
          <w:tcPr>
            <w:tcW w:w="100" w:type="dxa"/>
            <w:vAlign w:val="bottom"/>
          </w:tcPr>
          <w:p>
            <w:pPr>
              <w:spacing w:after="0"/>
              <w:rPr>
                <w:sz w:val="22"/>
                <w:szCs w:val="22"/>
                <w:color w:val="auto"/>
              </w:rPr>
            </w:pP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79.1</w:t>
            </w:r>
          </w:p>
        </w:tc>
        <w:tc>
          <w:tcPr>
            <w:tcW w:w="120" w:type="dxa"/>
            <w:vAlign w:val="bottom"/>
          </w:tcPr>
          <w:p>
            <w:pPr>
              <w:spacing w:after="0"/>
              <w:rPr>
                <w:sz w:val="22"/>
                <w:szCs w:val="22"/>
                <w:color w:val="auto"/>
              </w:rPr>
            </w:pP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189.4</w:t>
            </w:r>
          </w:p>
        </w:tc>
        <w:tc>
          <w:tcPr>
            <w:tcW w:w="120" w:type="dxa"/>
            <w:vAlign w:val="bottom"/>
          </w:tcPr>
          <w:p>
            <w:pPr>
              <w:spacing w:after="0"/>
              <w:rPr>
                <w:sz w:val="22"/>
                <w:szCs w:val="22"/>
                <w:color w:val="auto"/>
              </w:rPr>
            </w:pP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158.0</w:t>
            </w:r>
          </w:p>
        </w:tc>
      </w:tr>
      <w:tr>
        <w:trPr>
          <w:trHeight w:val="20"/>
        </w:trPr>
        <w:tc>
          <w:tcPr>
            <w:tcW w:w="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9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bl>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0046AD"/>
        </w:rPr>
        <w:t>Impact of New Revenue Recognition Standard</w:t>
      </w:r>
    </w:p>
    <w:p>
      <w:pPr>
        <w:spacing w:after="0" w:line="193"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8"/>
          <w:szCs w:val="18"/>
          <w:color w:val="auto"/>
        </w:rPr>
        <w:t xml:space="preserve">In May 2014, the Financial Accounting Standards Board (“FASB”) issued Accounting Standards Update (“ASU”) 2014-09, establishing Accounting Standards Codification (“ASC”) Topic 606, </w:t>
      </w:r>
      <w:r>
        <w:rPr>
          <w:rFonts w:ascii="Arial" w:cs="Arial" w:eastAsia="Arial" w:hAnsi="Arial"/>
          <w:sz w:val="18"/>
          <w:szCs w:val="18"/>
          <w:i w:val="1"/>
          <w:iCs w:val="1"/>
          <w:color w:val="auto"/>
        </w:rPr>
        <w:t>Revenue from Contracts with Customers</w:t>
      </w:r>
      <w:r>
        <w:rPr>
          <w:rFonts w:ascii="Arial" w:cs="Arial" w:eastAsia="Arial" w:hAnsi="Arial"/>
          <w:sz w:val="18"/>
          <w:szCs w:val="18"/>
          <w:color w:val="auto"/>
        </w:rPr>
        <w:t>. The FASB subsequently issued several clarifying ASUs, collectively referred to as “ASC 606,” that introduce a new principles-based framework for revenue recognition and disclosure. The core requirement of the standard is when an entity transfers goods or services to customers it will recognize revenue in an amount that reflects the consideration the entity expects to be entitled to for those goods or services. ASC 606 allows either a full retrospective adoption to all periods presented or a modified retrospective adoption approach with a cumulative-effect adjustment to retained earnings as of the beginning of the year of adoption.</w:t>
      </w:r>
    </w:p>
    <w:p>
      <w:pPr>
        <w:spacing w:after="0" w:line="153"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18"/>
          <w:szCs w:val="18"/>
          <w:color w:val="auto"/>
        </w:rPr>
        <w:t>To assess the impact of this standard, we have established a cross-functional implementation team consisting of representatives from all of our operating segments. The implementation team is analyzing our contract portfolio to identify potential differences that would result from applying the requirements of this new standard. In addition, we are in the process of identifying and implementing the appropriate changes to our business processes and controls to support recognition and disclosure under this new standard. We expect the largest impact to our consolidated financial statements will result from the new qualitative and quantitative disclosures that will be required upon adoption of the new standard. Additionally, the accounting for certain direct and incremental contract costs is significantly different from our current capitalization policy; however, the impact of this difference is currently unknown. We are continuing to evaluate the impact of this standard and an estimate of the impact to our consolidated financial statements cannot be made at this time. We expect to adopt ASC 606 on November 1, 2018 using the modified retrospective approach, under which we will present the cumulative effect of adoption as an adjustment to the opening balance of retained earnings at the adoption date.</w:t>
      </w:r>
    </w:p>
    <w:p>
      <w:pPr>
        <w:spacing w:after="0" w:line="158"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No other recently issued standards are expected to have a significant impact on our fiscal 2019 consolidated financial statements.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522" w:right="239" w:bottom="1440" w:gutter="0" w:footer="0" w:header="0"/>
        </w:sectPr>
      </w:pPr>
    </w:p>
    <w:bookmarkStart w:id="10" w:name="page11"/>
    <w:bookmarkEnd w:id="10"/>
    <w:p>
      <w:pPr>
        <w:spacing w:after="0"/>
        <w:rPr>
          <w:sz w:val="20"/>
          <w:szCs w:val="20"/>
          <w:color w:val="auto"/>
        </w:rPr>
      </w:pPr>
      <w:r>
        <w:rPr>
          <w:rFonts w:ascii="Arial" w:cs="Arial" w:eastAsia="Arial" w:hAnsi="Arial"/>
          <w:sz w:val="18"/>
          <w:szCs w:val="18"/>
          <w:b w:val="1"/>
          <w:bCs w:val="1"/>
          <w:color w:val="0046AD"/>
        </w:rPr>
        <w:t>3. ACQUISITIONS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106045</wp:posOffset>
            </wp:positionV>
            <wp:extent cx="723773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37730" cy="8890"/>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0046AD"/>
        </w:rPr>
        <w:t>Acquisition of GCA during 2017</w:t>
      </w:r>
    </w:p>
    <w:p>
      <w:pPr>
        <w:spacing w:after="0" w:line="193"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On September 1, 2017, we acquired all of the outstanding stock of GCA, a provider of integrated facility services to educational institutions and commercial facilities, for a purchase price of approximately $1.3 billion. As described in Note 12, “Segment Information,” we integrated GCA’s operations into our industry group model effective November 1, 2017. As a result of the acquisition, we are now a leading facilities services provider in the education market.</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0046AD"/>
        </w:rPr>
        <w:t>Consideration Transferred</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360" w:type="dxa"/>
            <w:vAlign w:val="bottom"/>
            <w:gridSpan w:val="3"/>
          </w:tcPr>
          <w:p>
            <w:pPr>
              <w:ind w:left="40"/>
              <w:spacing w:after="0"/>
              <w:rPr>
                <w:sz w:val="20"/>
                <w:szCs w:val="20"/>
                <w:color w:val="auto"/>
              </w:rPr>
            </w:pPr>
            <w:r>
              <w:rPr>
                <w:rFonts w:ascii="Arial" w:cs="Arial" w:eastAsia="Arial" w:hAnsi="Arial"/>
                <w:sz w:val="14"/>
                <w:szCs w:val="14"/>
                <w:i w:val="1"/>
                <w:iCs w:val="1"/>
                <w:color w:val="auto"/>
              </w:rPr>
              <w:t>(in millions, except per share data)</w:t>
            </w:r>
          </w:p>
        </w:tc>
        <w:tc>
          <w:tcPr>
            <w:tcW w:w="740" w:type="dxa"/>
            <w:vAlign w:val="bottom"/>
          </w:tcPr>
          <w:p>
            <w:pPr>
              <w:spacing w:after="0"/>
              <w:rPr>
                <w:sz w:val="14"/>
                <w:szCs w:val="14"/>
                <w:color w:val="auto"/>
              </w:rPr>
            </w:pPr>
          </w:p>
        </w:tc>
        <w:tc>
          <w:tcPr>
            <w:tcW w:w="1320" w:type="dxa"/>
            <w:vAlign w:val="bottom"/>
          </w:tcPr>
          <w:p>
            <w:pPr>
              <w:spacing w:after="0"/>
              <w:rPr>
                <w:sz w:val="14"/>
                <w:szCs w:val="14"/>
                <w:color w:val="auto"/>
              </w:rPr>
            </w:pPr>
          </w:p>
        </w:tc>
      </w:tr>
      <w:tr>
        <w:trPr>
          <w:trHeight w:val="21"/>
        </w:trPr>
        <w:tc>
          <w:tcPr>
            <w:tcW w:w="40" w:type="dxa"/>
            <w:vAlign w:val="bottom"/>
          </w:tcPr>
          <w:p>
            <w:pPr>
              <w:spacing w:after="0" w:line="20" w:lineRule="exact"/>
              <w:rPr>
                <w:sz w:val="1"/>
                <w:szCs w:val="1"/>
                <w:color w:val="auto"/>
              </w:rPr>
            </w:pPr>
          </w:p>
        </w:tc>
        <w:tc>
          <w:tcPr>
            <w:tcW w:w="2020" w:type="dxa"/>
            <w:vAlign w:val="bottom"/>
            <w:tcBorders>
              <w:top w:val="single" w:sz="8" w:color="auto"/>
            </w:tcBorders>
          </w:tcPr>
          <w:p>
            <w:pPr>
              <w:spacing w:after="0" w:line="20" w:lineRule="exact"/>
              <w:rPr>
                <w:sz w:val="1"/>
                <w:szCs w:val="1"/>
                <w:color w:val="auto"/>
              </w:rPr>
            </w:pPr>
          </w:p>
        </w:tc>
        <w:tc>
          <w:tcPr>
            <w:tcW w:w="73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r>
      <w:tr>
        <w:trPr>
          <w:trHeight w:val="270"/>
        </w:trPr>
        <w:tc>
          <w:tcPr>
            <w:tcW w:w="9360" w:type="dxa"/>
            <w:vAlign w:val="bottom"/>
            <w:gridSpan w:val="3"/>
            <w:shd w:val="clear" w:color="auto" w:fill="DCE2EF"/>
          </w:tcPr>
          <w:p>
            <w:pPr>
              <w:ind w:left="40"/>
              <w:spacing w:after="0"/>
              <w:rPr>
                <w:sz w:val="20"/>
                <w:szCs w:val="20"/>
                <w:color w:val="auto"/>
              </w:rPr>
            </w:pPr>
            <w:r>
              <w:rPr>
                <w:rFonts w:ascii="Arial" w:cs="Arial" w:eastAsia="Arial" w:hAnsi="Arial"/>
                <w:sz w:val="18"/>
                <w:szCs w:val="18"/>
                <w:color w:val="auto"/>
              </w:rPr>
              <w:t>Shares of ABM common stock, net of shares withheld for taxes</w:t>
            </w:r>
          </w:p>
        </w:tc>
        <w:tc>
          <w:tcPr>
            <w:tcW w:w="740" w:type="dxa"/>
            <w:vAlign w:val="bottom"/>
            <w:shd w:val="clear" w:color="auto" w:fill="DCE2EF"/>
          </w:tcPr>
          <w:p>
            <w:pPr>
              <w:spacing w:after="0"/>
              <w:rPr>
                <w:sz w:val="23"/>
                <w:szCs w:val="23"/>
                <w:color w:val="auto"/>
              </w:rPr>
            </w:pPr>
          </w:p>
        </w:tc>
        <w:tc>
          <w:tcPr>
            <w:tcW w:w="1320" w:type="dxa"/>
            <w:vAlign w:val="bottom"/>
            <w:shd w:val="clear" w:color="auto" w:fill="DCE2EF"/>
          </w:tcPr>
          <w:p>
            <w:pPr>
              <w:jc w:val="right"/>
              <w:ind w:right="10"/>
              <w:spacing w:after="0"/>
              <w:rPr>
                <w:sz w:val="20"/>
                <w:szCs w:val="20"/>
                <w:color w:val="auto"/>
              </w:rPr>
            </w:pPr>
            <w:r>
              <w:rPr>
                <w:rFonts w:ascii="Arial" w:cs="Arial" w:eastAsia="Arial" w:hAnsi="Arial"/>
                <w:sz w:val="18"/>
                <w:szCs w:val="18"/>
                <w:color w:val="auto"/>
              </w:rPr>
              <w:t>9.4</w:t>
            </w:r>
          </w:p>
        </w:tc>
      </w:tr>
      <w:tr>
        <w:trPr>
          <w:trHeight w:val="264"/>
        </w:trPr>
        <w:tc>
          <w:tcPr>
            <w:tcW w:w="9360" w:type="dxa"/>
            <w:vAlign w:val="bottom"/>
            <w:tcBorders>
              <w:bottom w:val="single" w:sz="8" w:color="DCE2EF"/>
            </w:tcBorders>
            <w:gridSpan w:val="3"/>
          </w:tcPr>
          <w:p>
            <w:pPr>
              <w:ind w:left="40"/>
              <w:spacing w:after="0"/>
              <w:rPr>
                <w:sz w:val="20"/>
                <w:szCs w:val="20"/>
                <w:color w:val="auto"/>
              </w:rPr>
            </w:pPr>
            <w:r>
              <w:rPr>
                <w:rFonts w:ascii="Arial" w:cs="Arial" w:eastAsia="Arial" w:hAnsi="Arial"/>
                <w:sz w:val="18"/>
                <w:szCs w:val="18"/>
                <w:color w:val="auto"/>
              </w:rPr>
              <w:t>ABM common stock closing market price at acquisition date</w:t>
            </w:r>
          </w:p>
        </w:tc>
        <w:tc>
          <w:tcPr>
            <w:tcW w:w="74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44.63</w:t>
            </w:r>
          </w:p>
        </w:tc>
      </w:tr>
      <w:tr>
        <w:trPr>
          <w:trHeight w:val="257"/>
        </w:trPr>
        <w:tc>
          <w:tcPr>
            <w:tcW w:w="9360" w:type="dxa"/>
            <w:vAlign w:val="bottom"/>
            <w:gridSpan w:val="3"/>
            <w:shd w:val="clear" w:color="auto" w:fill="DCE2EF"/>
          </w:tcPr>
          <w:p>
            <w:pPr>
              <w:ind w:left="40"/>
              <w:spacing w:after="0"/>
              <w:rPr>
                <w:sz w:val="20"/>
                <w:szCs w:val="20"/>
                <w:color w:val="auto"/>
              </w:rPr>
            </w:pPr>
            <w:r>
              <w:rPr>
                <w:rFonts w:ascii="Arial" w:cs="Arial" w:eastAsia="Arial" w:hAnsi="Arial"/>
                <w:sz w:val="18"/>
                <w:szCs w:val="18"/>
                <w:color w:val="auto"/>
              </w:rPr>
              <w:t>Fair value of ABM common stock at closing</w:t>
            </w:r>
          </w:p>
        </w:tc>
        <w:tc>
          <w:tcPr>
            <w:tcW w:w="740" w:type="dxa"/>
            <w:vAlign w:val="bottom"/>
            <w:shd w:val="clear" w:color="auto" w:fill="DCE2EF"/>
          </w:tcPr>
          <w:p>
            <w:pPr>
              <w:spacing w:after="0"/>
              <w:rPr>
                <w:sz w:val="22"/>
                <w:szCs w:val="22"/>
                <w:color w:val="auto"/>
              </w:rPr>
            </w:pPr>
          </w:p>
        </w:tc>
        <w:tc>
          <w:tcPr>
            <w:tcW w:w="1320" w:type="dxa"/>
            <w:vAlign w:val="bottom"/>
            <w:shd w:val="clear" w:color="auto" w:fill="DCE2EF"/>
          </w:tcPr>
          <w:p>
            <w:pPr>
              <w:jc w:val="right"/>
              <w:ind w:right="10"/>
              <w:spacing w:after="0"/>
              <w:rPr>
                <w:sz w:val="20"/>
                <w:szCs w:val="20"/>
                <w:color w:val="auto"/>
              </w:rPr>
            </w:pPr>
            <w:r>
              <w:rPr>
                <w:rFonts w:ascii="Arial" w:cs="Arial" w:eastAsia="Arial" w:hAnsi="Arial"/>
                <w:sz w:val="18"/>
                <w:szCs w:val="18"/>
                <w:color w:val="auto"/>
              </w:rPr>
              <w:t>421.3</w:t>
            </w:r>
          </w:p>
        </w:tc>
      </w:tr>
      <w:tr>
        <w:trPr>
          <w:trHeight w:val="270"/>
        </w:trPr>
        <w:tc>
          <w:tcPr>
            <w:tcW w:w="9360" w:type="dxa"/>
            <w:vAlign w:val="bottom"/>
            <w:tcBorders>
              <w:bottom w:val="single" w:sz="8" w:color="DCE2EF"/>
            </w:tcBorders>
            <w:gridSpan w:val="3"/>
          </w:tcPr>
          <w:p>
            <w:pPr>
              <w:ind w:left="40"/>
              <w:spacing w:after="0"/>
              <w:rPr>
                <w:sz w:val="20"/>
                <w:szCs w:val="20"/>
                <w:color w:val="auto"/>
              </w:rPr>
            </w:pPr>
            <w:r>
              <w:rPr>
                <w:rFonts w:ascii="Arial" w:cs="Arial" w:eastAsia="Arial" w:hAnsi="Arial"/>
                <w:sz w:val="18"/>
                <w:szCs w:val="18"/>
                <w:color w:val="auto"/>
              </w:rPr>
              <w:t>Cash consideration</w:t>
            </w:r>
            <w:r>
              <w:rPr>
                <w:rFonts w:ascii="Arial" w:cs="Arial" w:eastAsia="Arial" w:hAnsi="Arial"/>
                <w:sz w:val="21"/>
                <w:szCs w:val="21"/>
                <w:color w:val="auto"/>
                <w:vertAlign w:val="superscript"/>
              </w:rPr>
              <w:t>(1)</w:t>
            </w:r>
          </w:p>
        </w:tc>
        <w:tc>
          <w:tcPr>
            <w:tcW w:w="740" w:type="dxa"/>
            <w:vAlign w:val="bottom"/>
            <w:tcBorders>
              <w:bottom w:val="single" w:sz="8" w:color="auto"/>
            </w:tcBorders>
          </w:tcPr>
          <w:p>
            <w:pPr>
              <w:spacing w:after="0"/>
              <w:rPr>
                <w:sz w:val="23"/>
                <w:szCs w:val="23"/>
                <w:color w:val="auto"/>
              </w:rPr>
            </w:pPr>
          </w:p>
        </w:tc>
        <w:tc>
          <w:tcPr>
            <w:tcW w:w="13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837.5</w:t>
            </w:r>
          </w:p>
        </w:tc>
      </w:tr>
      <w:tr>
        <w:trPr>
          <w:trHeight w:val="250"/>
        </w:trPr>
        <w:tc>
          <w:tcPr>
            <w:tcW w:w="40" w:type="dxa"/>
            <w:vAlign w:val="bottom"/>
            <w:tcBorders>
              <w:bottom w:val="single" w:sz="8" w:color="DCE2EF"/>
            </w:tcBorders>
            <w:shd w:val="clear" w:color="auto" w:fill="DCE2EF"/>
          </w:tcPr>
          <w:p>
            <w:pPr>
              <w:spacing w:after="0"/>
              <w:rPr>
                <w:sz w:val="21"/>
                <w:szCs w:val="21"/>
                <w:color w:val="auto"/>
              </w:rPr>
            </w:pPr>
          </w:p>
        </w:tc>
        <w:tc>
          <w:tcPr>
            <w:tcW w:w="9320" w:type="dxa"/>
            <w:vAlign w:val="bottom"/>
            <w:tcBorders>
              <w:bottom w:val="single" w:sz="8" w:color="DCE2EF"/>
            </w:tcBorders>
            <w:gridSpan w:val="2"/>
            <w:shd w:val="clear" w:color="auto" w:fill="DCE2EF"/>
          </w:tcPr>
          <w:p>
            <w:pPr>
              <w:ind w:left="240"/>
              <w:spacing w:after="0"/>
              <w:rPr>
                <w:sz w:val="20"/>
                <w:szCs w:val="20"/>
                <w:color w:val="auto"/>
              </w:rPr>
            </w:pPr>
            <w:r>
              <w:rPr>
                <w:rFonts w:ascii="Arial" w:cs="Arial" w:eastAsia="Arial" w:hAnsi="Arial"/>
                <w:sz w:val="18"/>
                <w:szCs w:val="18"/>
                <w:color w:val="auto"/>
              </w:rPr>
              <w:t>Total consideration transferred</w:t>
            </w:r>
          </w:p>
        </w:tc>
        <w:tc>
          <w:tcPr>
            <w:tcW w:w="740" w:type="dxa"/>
            <w:vAlign w:val="bottom"/>
            <w:tcBorders>
              <w:bottom w:val="single" w:sz="8" w:color="auto"/>
            </w:tcBorders>
            <w:shd w:val="clear" w:color="auto" w:fill="DCE2EF"/>
          </w:tcPr>
          <w:p>
            <w:pPr>
              <w:jc w:val="right"/>
              <w:ind w:right="53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shd w:val="clear" w:color="auto" w:fill="DCE2EF"/>
          </w:tcPr>
          <w:p>
            <w:pPr>
              <w:jc w:val="right"/>
              <w:ind w:right="10"/>
              <w:spacing w:after="0"/>
              <w:rPr>
                <w:sz w:val="20"/>
                <w:szCs w:val="20"/>
                <w:color w:val="auto"/>
              </w:rPr>
            </w:pPr>
            <w:r>
              <w:rPr>
                <w:rFonts w:ascii="Arial" w:cs="Arial" w:eastAsia="Arial" w:hAnsi="Arial"/>
                <w:sz w:val="18"/>
                <w:szCs w:val="18"/>
                <w:color w:val="auto"/>
              </w:rPr>
              <w:t>1,258.8</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5939790</wp:posOffset>
            </wp:positionH>
            <wp:positionV relativeFrom="paragraph">
              <wp:posOffset>8890</wp:posOffset>
            </wp:positionV>
            <wp:extent cx="131191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311910" cy="8890"/>
                    </a:xfrm>
                    <a:prstGeom prst="rect">
                      <a:avLst/>
                    </a:prstGeom>
                    <a:noFill/>
                  </pic:spPr>
                </pic:pic>
              </a:graphicData>
            </a:graphic>
          </wp:anchor>
        </w:drawing>
      </w:r>
    </w:p>
    <w:p>
      <w:pPr>
        <w:ind w:left="180" w:hanging="172"/>
        <w:spacing w:after="0" w:line="222" w:lineRule="auto"/>
        <w:tabs>
          <w:tab w:leader="none" w:pos="180" w:val="left"/>
        </w:tabs>
        <w:numPr>
          <w:ilvl w:val="0"/>
          <w:numId w:val="5"/>
        </w:numPr>
        <w:rPr>
          <w:rFonts w:ascii="Arial" w:cs="Arial" w:eastAsia="Arial" w:hAnsi="Arial"/>
          <w:sz w:val="21"/>
          <w:szCs w:val="21"/>
          <w:color w:val="auto"/>
          <w:vertAlign w:val="superscript"/>
        </w:rPr>
      </w:pPr>
      <w:r>
        <w:rPr>
          <w:rFonts w:ascii="Arial" w:cs="Arial" w:eastAsia="Arial" w:hAnsi="Arial"/>
          <w:sz w:val="15"/>
          <w:szCs w:val="15"/>
          <w:color w:val="auto"/>
        </w:rPr>
        <w:t>Revised during the second quarter of 2018 to reflect a post-closing purchase price adjustment related to a net working capital settlement.</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0046AD"/>
        </w:rPr>
        <w:t>Preliminary Purchase Price Allocation</w:t>
      </w:r>
    </w:p>
    <w:p>
      <w:pPr>
        <w:spacing w:after="0" w:line="193"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Our preliminary purchase price allocation is based on information that is currently available, and we are continuing to evaluate the underlying inputs and assumptions used in our valuations. Accordingly, the purchase price allocation is subject to, among other items: further analysis of tax accounts, including deferred tax liabilities, and final valuation of identifiable intangible assets. During the six months ended April 30, 2018, we refined our valuation of customer relationships and certain other estimates.</w:t>
      </w:r>
    </w:p>
    <w:p>
      <w:pPr>
        <w:spacing w:after="0" w:line="204" w:lineRule="exact"/>
        <w:rPr>
          <w:sz w:val="20"/>
          <w:szCs w:val="20"/>
          <w:color w:val="auto"/>
        </w:rPr>
      </w:pPr>
    </w:p>
    <w:p>
      <w:pPr>
        <w:jc w:val="both"/>
        <w:ind w:right="20" w:firstLine="648"/>
        <w:spacing w:after="0" w:line="262" w:lineRule="auto"/>
        <w:rPr>
          <w:sz w:val="20"/>
          <w:szCs w:val="20"/>
          <w:color w:val="auto"/>
        </w:rPr>
      </w:pPr>
      <w:r>
        <w:rPr>
          <w:rFonts w:ascii="Arial" w:cs="Arial" w:eastAsia="Arial" w:hAnsi="Arial"/>
          <w:sz w:val="18"/>
          <w:szCs w:val="18"/>
          <w:color w:val="auto"/>
        </w:rPr>
        <w:t>The following table presents our preliminary estimates of fair values of the assets we acquired and the liabilities we assumed on the date of acquisition as previously reported at year-end 2017 and at the end of the second quarter of 2018.</w:t>
      </w:r>
    </w:p>
    <w:p>
      <w:pPr>
        <w:spacing w:after="0" w:line="152" w:lineRule="exact"/>
        <w:rPr>
          <w:sz w:val="20"/>
          <w:szCs w:val="20"/>
          <w:color w:val="auto"/>
        </w:rPr>
      </w:pPr>
    </w:p>
    <w:tbl>
      <w:tblPr>
        <w:tblLayout w:type="fixed"/>
        <w:tblInd w:w="20" w:type="dxa"/>
        <w:tblCellMar>
          <w:top w:w="0" w:type="dxa"/>
          <w:left w:w="0" w:type="dxa"/>
          <w:bottom w:w="0" w:type="dxa"/>
          <w:right w:w="0" w:type="dxa"/>
        </w:tblCellMar>
      </w:tblPr>
      <w:tr>
        <w:trPr>
          <w:trHeight w:val="215"/>
        </w:trPr>
        <w:tc>
          <w:tcPr>
            <w:tcW w:w="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4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rPr>
              <w:t>As reported at</w:t>
            </w:r>
          </w:p>
        </w:tc>
        <w:tc>
          <w:tcPr>
            <w:tcW w:w="26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0" w:type="dxa"/>
            <w:vAlign w:val="bottom"/>
          </w:tcPr>
          <w:p>
            <w:pPr>
              <w:jc w:val="right"/>
              <w:ind w:right="279"/>
              <w:spacing w:after="0"/>
              <w:rPr>
                <w:sz w:val="20"/>
                <w:szCs w:val="20"/>
                <w:color w:val="auto"/>
              </w:rPr>
            </w:pPr>
            <w:r>
              <w:rPr>
                <w:rFonts w:ascii="Arial" w:cs="Arial" w:eastAsia="Arial" w:hAnsi="Arial"/>
                <w:sz w:val="16"/>
                <w:szCs w:val="16"/>
                <w:b w:val="1"/>
                <w:bCs w:val="1"/>
                <w:color w:val="auto"/>
              </w:rPr>
              <w:t>As reported at</w:t>
            </w:r>
          </w:p>
        </w:tc>
      </w:tr>
      <w:tr>
        <w:trPr>
          <w:trHeight w:val="249"/>
        </w:trPr>
        <w:tc>
          <w:tcPr>
            <w:tcW w:w="5720" w:type="dxa"/>
            <w:vAlign w:val="bottom"/>
            <w:gridSpan w:val="3"/>
          </w:tcPr>
          <w:p>
            <w:pPr>
              <w:ind w:left="20"/>
              <w:spacing w:after="0"/>
              <w:rPr>
                <w:sz w:val="20"/>
                <w:szCs w:val="20"/>
                <w:color w:val="auto"/>
              </w:rPr>
            </w:pPr>
            <w:r>
              <w:rPr>
                <w:rFonts w:ascii="Arial" w:cs="Arial" w:eastAsia="Arial" w:hAnsi="Arial"/>
                <w:sz w:val="14"/>
                <w:szCs w:val="14"/>
                <w:i w:val="1"/>
                <w:iCs w:val="1"/>
                <w:color w:val="auto"/>
              </w:rPr>
              <w:t>(in millions)</w:t>
            </w:r>
          </w:p>
        </w:tc>
        <w:tc>
          <w:tcPr>
            <w:tcW w:w="180" w:type="dxa"/>
            <w:vAlign w:val="bottom"/>
          </w:tcPr>
          <w:p>
            <w:pPr>
              <w:spacing w:after="0"/>
              <w:rPr>
                <w:sz w:val="21"/>
                <w:szCs w:val="21"/>
                <w:color w:val="auto"/>
              </w:rPr>
            </w:pPr>
          </w:p>
        </w:tc>
        <w:tc>
          <w:tcPr>
            <w:tcW w:w="174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99"/>
              </w:rPr>
              <w:t>October 31, 2017</w:t>
            </w:r>
          </w:p>
        </w:tc>
        <w:tc>
          <w:tcPr>
            <w:tcW w:w="260" w:type="dxa"/>
            <w:vAlign w:val="bottom"/>
          </w:tcPr>
          <w:p>
            <w:pPr>
              <w:spacing w:after="0"/>
              <w:rPr>
                <w:sz w:val="21"/>
                <w:szCs w:val="21"/>
                <w:color w:val="auto"/>
              </w:rPr>
            </w:pPr>
          </w:p>
        </w:tc>
        <w:tc>
          <w:tcPr>
            <w:tcW w:w="1680" w:type="dxa"/>
            <w:vAlign w:val="bottom"/>
            <w:gridSpan w:val="2"/>
          </w:tcPr>
          <w:p>
            <w:pPr>
              <w:ind w:left="160"/>
              <w:spacing w:after="0"/>
              <w:rPr>
                <w:sz w:val="20"/>
                <w:szCs w:val="20"/>
                <w:color w:val="auto"/>
              </w:rPr>
            </w:pPr>
            <w:r>
              <w:rPr>
                <w:rFonts w:ascii="Arial" w:cs="Arial" w:eastAsia="Arial" w:hAnsi="Arial"/>
                <w:sz w:val="16"/>
                <w:szCs w:val="16"/>
                <w:b w:val="1"/>
                <w:bCs w:val="1"/>
                <w:color w:val="auto"/>
              </w:rPr>
              <w:t>Adjustments</w:t>
            </w:r>
          </w:p>
        </w:tc>
        <w:tc>
          <w:tcPr>
            <w:tcW w:w="220" w:type="dxa"/>
            <w:vAlign w:val="bottom"/>
          </w:tcPr>
          <w:p>
            <w:pPr>
              <w:spacing w:after="0"/>
              <w:rPr>
                <w:sz w:val="21"/>
                <w:szCs w:val="21"/>
                <w:color w:val="auto"/>
              </w:rPr>
            </w:pPr>
          </w:p>
        </w:tc>
        <w:tc>
          <w:tcPr>
            <w:tcW w:w="1600" w:type="dxa"/>
            <w:vAlign w:val="bottom"/>
          </w:tcPr>
          <w:p>
            <w:pPr>
              <w:jc w:val="right"/>
              <w:ind w:right="319"/>
              <w:spacing w:after="0"/>
              <w:rPr>
                <w:sz w:val="20"/>
                <w:szCs w:val="20"/>
                <w:color w:val="auto"/>
              </w:rPr>
            </w:pPr>
            <w:r>
              <w:rPr>
                <w:rFonts w:ascii="Arial" w:cs="Arial" w:eastAsia="Arial" w:hAnsi="Arial"/>
                <w:sz w:val="16"/>
                <w:szCs w:val="16"/>
                <w:b w:val="1"/>
                <w:bCs w:val="1"/>
                <w:color w:val="auto"/>
              </w:rPr>
              <w:t>April 30, 2018</w:t>
            </w:r>
          </w:p>
        </w:tc>
      </w:tr>
      <w:tr>
        <w:trPr>
          <w:trHeight w:val="21"/>
        </w:trPr>
        <w:tc>
          <w:tcPr>
            <w:tcW w:w="20" w:type="dxa"/>
            <w:vAlign w:val="bottom"/>
            <w:tcBorders>
              <w:bottom w:val="single" w:sz="8" w:color="DCE2EF"/>
            </w:tcBorders>
          </w:tcPr>
          <w:p>
            <w:pPr>
              <w:spacing w:after="0" w:line="20" w:lineRule="exact"/>
              <w:rPr>
                <w:sz w:val="1"/>
                <w:szCs w:val="1"/>
                <w:color w:val="auto"/>
              </w:rPr>
            </w:pPr>
          </w:p>
        </w:tc>
        <w:tc>
          <w:tcPr>
            <w:tcW w:w="700" w:type="dxa"/>
            <w:vAlign w:val="bottom"/>
            <w:tcBorders>
              <w:top w:val="single" w:sz="8" w:color="auto"/>
              <w:bottom w:val="single" w:sz="8" w:color="DCE2EF"/>
            </w:tcBorders>
          </w:tcPr>
          <w:p>
            <w:pPr>
              <w:spacing w:after="0" w:line="20" w:lineRule="exact"/>
              <w:rPr>
                <w:sz w:val="1"/>
                <w:szCs w:val="1"/>
                <w:color w:val="auto"/>
              </w:rPr>
            </w:pPr>
          </w:p>
        </w:tc>
        <w:tc>
          <w:tcPr>
            <w:tcW w:w="5000" w:type="dxa"/>
            <w:vAlign w:val="bottom"/>
            <w:tcBorders>
              <w:bottom w:val="single" w:sz="8" w:color="DCE2E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DCE2E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DCE2E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r>
      <w:tr>
        <w:trPr>
          <w:trHeight w:val="250"/>
        </w:trPr>
        <w:tc>
          <w:tcPr>
            <w:tcW w:w="5720" w:type="dxa"/>
            <w:vAlign w:val="bottom"/>
            <w:gridSpan w:val="3"/>
            <w:shd w:val="clear" w:color="auto" w:fill="DCE2EF"/>
          </w:tcPr>
          <w:p>
            <w:pPr>
              <w:ind w:left="20"/>
              <w:spacing w:after="0"/>
              <w:rPr>
                <w:sz w:val="20"/>
                <w:szCs w:val="20"/>
                <w:color w:val="auto"/>
              </w:rPr>
            </w:pPr>
            <w:r>
              <w:rPr>
                <w:rFonts w:ascii="Arial" w:cs="Arial" w:eastAsia="Arial" w:hAnsi="Arial"/>
                <w:sz w:val="16"/>
                <w:szCs w:val="16"/>
                <w:color w:val="auto"/>
              </w:rPr>
              <w:t>Cash and cash equivalents</w:t>
            </w:r>
          </w:p>
        </w:tc>
        <w:tc>
          <w:tcPr>
            <w:tcW w:w="180" w:type="dxa"/>
            <w:vAlign w:val="bottom"/>
            <w:shd w:val="clear" w:color="auto" w:fill="DCE2EF"/>
          </w:tcPr>
          <w:p>
            <w:pPr>
              <w:jc w:val="right"/>
              <w:spacing w:after="0"/>
              <w:rPr>
                <w:sz w:val="20"/>
                <w:szCs w:val="20"/>
                <w:color w:val="auto"/>
              </w:rPr>
            </w:pPr>
            <w:r>
              <w:rPr>
                <w:rFonts w:ascii="Arial" w:cs="Arial" w:eastAsia="Arial" w:hAnsi="Arial"/>
                <w:sz w:val="16"/>
                <w:szCs w:val="16"/>
                <w:color w:val="auto"/>
                <w:w w:val="89"/>
              </w:rPr>
              <w:t>$</w:t>
            </w:r>
          </w:p>
        </w:tc>
        <w:tc>
          <w:tcPr>
            <w:tcW w:w="1640" w:type="dxa"/>
            <w:vAlign w:val="bottom"/>
            <w:shd w:val="clear" w:color="auto" w:fill="DCE2EF"/>
          </w:tcPr>
          <w:p>
            <w:pPr>
              <w:jc w:val="right"/>
              <w:ind w:right="39"/>
              <w:spacing w:after="0"/>
              <w:rPr>
                <w:sz w:val="20"/>
                <w:szCs w:val="20"/>
                <w:color w:val="auto"/>
              </w:rPr>
            </w:pPr>
            <w:r>
              <w:rPr>
                <w:rFonts w:ascii="Arial" w:cs="Arial" w:eastAsia="Arial" w:hAnsi="Arial"/>
                <w:sz w:val="16"/>
                <w:szCs w:val="16"/>
                <w:color w:val="auto"/>
              </w:rPr>
              <w:t>2.5</w:t>
            </w:r>
          </w:p>
        </w:tc>
        <w:tc>
          <w:tcPr>
            <w:tcW w:w="100" w:type="dxa"/>
            <w:vAlign w:val="bottom"/>
            <w:shd w:val="clear" w:color="auto" w:fill="DCE2EF"/>
          </w:tcPr>
          <w:p>
            <w:pPr>
              <w:spacing w:after="0"/>
              <w:rPr>
                <w:sz w:val="21"/>
                <w:szCs w:val="21"/>
                <w:color w:val="auto"/>
              </w:rPr>
            </w:pPr>
          </w:p>
        </w:tc>
        <w:tc>
          <w:tcPr>
            <w:tcW w:w="260" w:type="dxa"/>
            <w:vAlign w:val="bottom"/>
            <w:shd w:val="clear" w:color="auto" w:fill="DCE2EF"/>
          </w:tcPr>
          <w:p>
            <w:pPr>
              <w:jc w:val="right"/>
              <w:ind w:right="59"/>
              <w:spacing w:after="0"/>
              <w:rPr>
                <w:sz w:val="20"/>
                <w:szCs w:val="20"/>
                <w:color w:val="auto"/>
              </w:rPr>
            </w:pPr>
            <w:r>
              <w:rPr>
                <w:rFonts w:ascii="Arial" w:cs="Arial" w:eastAsia="Arial" w:hAnsi="Arial"/>
                <w:sz w:val="16"/>
                <w:szCs w:val="16"/>
                <w:color w:val="auto"/>
              </w:rPr>
              <w:t>$</w:t>
            </w:r>
          </w:p>
        </w:tc>
        <w:tc>
          <w:tcPr>
            <w:tcW w:w="1560" w:type="dxa"/>
            <w:vAlign w:val="bottom"/>
            <w:shd w:val="clear" w:color="auto" w:fill="DCE2EF"/>
          </w:tcPr>
          <w:p>
            <w:pPr>
              <w:jc w:val="right"/>
              <w:spacing w:after="0"/>
              <w:rPr>
                <w:sz w:val="20"/>
                <w:szCs w:val="20"/>
                <w:color w:val="auto"/>
              </w:rPr>
            </w:pPr>
            <w:r>
              <w:rPr>
                <w:rFonts w:ascii="Arial" w:cs="Arial" w:eastAsia="Arial" w:hAnsi="Arial"/>
                <w:sz w:val="16"/>
                <w:szCs w:val="16"/>
                <w:color w:val="auto"/>
              </w:rPr>
              <w:t>(2.3)</w:t>
            </w:r>
          </w:p>
        </w:tc>
        <w:tc>
          <w:tcPr>
            <w:tcW w:w="120" w:type="dxa"/>
            <w:vAlign w:val="bottom"/>
            <w:shd w:val="clear" w:color="auto" w:fill="DCE2EF"/>
          </w:tcPr>
          <w:p>
            <w:pPr>
              <w:spacing w:after="0"/>
              <w:rPr>
                <w:sz w:val="21"/>
                <w:szCs w:val="21"/>
                <w:color w:val="auto"/>
              </w:rPr>
            </w:pPr>
          </w:p>
        </w:tc>
        <w:tc>
          <w:tcPr>
            <w:tcW w:w="220" w:type="dxa"/>
            <w:vAlign w:val="bottom"/>
            <w:shd w:val="clear" w:color="auto" w:fill="DCE2EF"/>
          </w:tcPr>
          <w:p>
            <w:pPr>
              <w:jc w:val="right"/>
              <w:ind w:right="39"/>
              <w:spacing w:after="0"/>
              <w:rPr>
                <w:sz w:val="20"/>
                <w:szCs w:val="20"/>
                <w:color w:val="auto"/>
              </w:rPr>
            </w:pPr>
            <w:r>
              <w:rPr>
                <w:rFonts w:ascii="Arial" w:cs="Arial" w:eastAsia="Arial" w:hAnsi="Arial"/>
                <w:sz w:val="16"/>
                <w:szCs w:val="16"/>
                <w:color w:val="auto"/>
                <w:w w:val="89"/>
              </w:rPr>
              <w:t>$</w:t>
            </w:r>
          </w:p>
        </w:tc>
        <w:tc>
          <w:tcPr>
            <w:tcW w:w="1600" w:type="dxa"/>
            <w:vAlign w:val="bottom"/>
            <w:shd w:val="clear" w:color="auto" w:fill="DCE2EF"/>
          </w:tcPr>
          <w:p>
            <w:pPr>
              <w:jc w:val="right"/>
              <w:ind w:right="39"/>
              <w:spacing w:after="0"/>
              <w:rPr>
                <w:sz w:val="20"/>
                <w:szCs w:val="20"/>
                <w:color w:val="auto"/>
              </w:rPr>
            </w:pPr>
            <w:r>
              <w:rPr>
                <w:rFonts w:ascii="Arial" w:cs="Arial" w:eastAsia="Arial" w:hAnsi="Arial"/>
                <w:sz w:val="16"/>
                <w:szCs w:val="16"/>
                <w:color w:val="auto"/>
              </w:rPr>
              <w:t>0.2</w:t>
            </w:r>
          </w:p>
        </w:tc>
      </w:tr>
      <w:tr>
        <w:trPr>
          <w:trHeight w:val="270"/>
        </w:trPr>
        <w:tc>
          <w:tcPr>
            <w:tcW w:w="5720" w:type="dxa"/>
            <w:vAlign w:val="bottom"/>
            <w:gridSpan w:val="3"/>
          </w:tcPr>
          <w:p>
            <w:pPr>
              <w:ind w:left="20"/>
              <w:spacing w:after="0"/>
              <w:rPr>
                <w:sz w:val="20"/>
                <w:szCs w:val="20"/>
                <w:color w:val="auto"/>
              </w:rPr>
            </w:pPr>
            <w:r>
              <w:rPr>
                <w:rFonts w:ascii="Arial" w:cs="Arial" w:eastAsia="Arial" w:hAnsi="Arial"/>
                <w:sz w:val="16"/>
                <w:szCs w:val="16"/>
                <w:color w:val="auto"/>
              </w:rPr>
              <w:t>Trade accounts receivable</w:t>
            </w:r>
            <w:r>
              <w:rPr>
                <w:rFonts w:ascii="Arial" w:cs="Arial" w:eastAsia="Arial" w:hAnsi="Arial"/>
                <w:sz w:val="21"/>
                <w:szCs w:val="21"/>
                <w:color w:val="auto"/>
                <w:vertAlign w:val="superscript"/>
              </w:rPr>
              <w:t>(1)</w:t>
            </w:r>
          </w:p>
        </w:tc>
        <w:tc>
          <w:tcPr>
            <w:tcW w:w="180" w:type="dxa"/>
            <w:vAlign w:val="bottom"/>
          </w:tcPr>
          <w:p>
            <w:pPr>
              <w:spacing w:after="0"/>
              <w:rPr>
                <w:sz w:val="23"/>
                <w:szCs w:val="23"/>
                <w:color w:val="auto"/>
              </w:rPr>
            </w:pPr>
          </w:p>
        </w:tc>
        <w:tc>
          <w:tcPr>
            <w:tcW w:w="1640" w:type="dxa"/>
            <w:vAlign w:val="bottom"/>
          </w:tcPr>
          <w:p>
            <w:pPr>
              <w:jc w:val="right"/>
              <w:ind w:right="39"/>
              <w:spacing w:after="0"/>
              <w:rPr>
                <w:sz w:val="20"/>
                <w:szCs w:val="20"/>
                <w:color w:val="auto"/>
              </w:rPr>
            </w:pPr>
            <w:r>
              <w:rPr>
                <w:rFonts w:ascii="Arial" w:cs="Arial" w:eastAsia="Arial" w:hAnsi="Arial"/>
                <w:sz w:val="16"/>
                <w:szCs w:val="16"/>
                <w:color w:val="auto"/>
              </w:rPr>
              <w:t>118.1</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5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600" w:type="dxa"/>
            <w:vAlign w:val="bottom"/>
          </w:tcPr>
          <w:p>
            <w:pPr>
              <w:jc w:val="right"/>
              <w:ind w:right="39"/>
              <w:spacing w:after="0"/>
              <w:rPr>
                <w:sz w:val="20"/>
                <w:szCs w:val="20"/>
                <w:color w:val="auto"/>
              </w:rPr>
            </w:pPr>
            <w:r>
              <w:rPr>
                <w:rFonts w:ascii="Arial" w:cs="Arial" w:eastAsia="Arial" w:hAnsi="Arial"/>
                <w:sz w:val="16"/>
                <w:szCs w:val="16"/>
                <w:color w:val="auto"/>
              </w:rPr>
              <w:t>118.1</w:t>
            </w:r>
          </w:p>
        </w:tc>
      </w:tr>
      <w:tr>
        <w:trPr>
          <w:trHeight w:val="270"/>
        </w:trPr>
        <w:tc>
          <w:tcPr>
            <w:tcW w:w="5720" w:type="dxa"/>
            <w:vAlign w:val="bottom"/>
            <w:gridSpan w:val="3"/>
            <w:shd w:val="clear" w:color="auto" w:fill="DCE2EF"/>
          </w:tcPr>
          <w:p>
            <w:pPr>
              <w:ind w:left="20"/>
              <w:spacing w:after="0"/>
              <w:rPr>
                <w:sz w:val="20"/>
                <w:szCs w:val="20"/>
                <w:color w:val="auto"/>
              </w:rPr>
            </w:pPr>
            <w:r>
              <w:rPr>
                <w:rFonts w:ascii="Arial" w:cs="Arial" w:eastAsia="Arial" w:hAnsi="Arial"/>
                <w:sz w:val="16"/>
                <w:szCs w:val="16"/>
                <w:color w:val="auto"/>
              </w:rPr>
              <w:t>Prepaid expenses and other current assets</w:t>
            </w:r>
          </w:p>
        </w:tc>
        <w:tc>
          <w:tcPr>
            <w:tcW w:w="180" w:type="dxa"/>
            <w:vAlign w:val="bottom"/>
            <w:shd w:val="clear" w:color="auto" w:fill="DCE2EF"/>
          </w:tcPr>
          <w:p>
            <w:pPr>
              <w:spacing w:after="0"/>
              <w:rPr>
                <w:sz w:val="23"/>
                <w:szCs w:val="23"/>
                <w:color w:val="auto"/>
              </w:rPr>
            </w:pPr>
          </w:p>
        </w:tc>
        <w:tc>
          <w:tcPr>
            <w:tcW w:w="1640" w:type="dxa"/>
            <w:vAlign w:val="bottom"/>
            <w:shd w:val="clear" w:color="auto" w:fill="DCE2EF"/>
          </w:tcPr>
          <w:p>
            <w:pPr>
              <w:jc w:val="right"/>
              <w:ind w:right="39"/>
              <w:spacing w:after="0"/>
              <w:rPr>
                <w:sz w:val="20"/>
                <w:szCs w:val="20"/>
                <w:color w:val="auto"/>
              </w:rPr>
            </w:pPr>
            <w:r>
              <w:rPr>
                <w:rFonts w:ascii="Arial" w:cs="Arial" w:eastAsia="Arial" w:hAnsi="Arial"/>
                <w:sz w:val="16"/>
                <w:szCs w:val="16"/>
                <w:color w:val="auto"/>
              </w:rPr>
              <w:t>10.3</w:t>
            </w:r>
          </w:p>
        </w:tc>
        <w:tc>
          <w:tcPr>
            <w:tcW w:w="100" w:type="dxa"/>
            <w:vAlign w:val="bottom"/>
            <w:shd w:val="clear" w:color="auto" w:fill="DCE2EF"/>
          </w:tcPr>
          <w:p>
            <w:pPr>
              <w:spacing w:after="0"/>
              <w:rPr>
                <w:sz w:val="23"/>
                <w:szCs w:val="23"/>
                <w:color w:val="auto"/>
              </w:rPr>
            </w:pPr>
          </w:p>
        </w:tc>
        <w:tc>
          <w:tcPr>
            <w:tcW w:w="260" w:type="dxa"/>
            <w:vAlign w:val="bottom"/>
            <w:shd w:val="clear" w:color="auto" w:fill="DCE2EF"/>
          </w:tcPr>
          <w:p>
            <w:pPr>
              <w:spacing w:after="0"/>
              <w:rPr>
                <w:sz w:val="23"/>
                <w:szCs w:val="23"/>
                <w:color w:val="auto"/>
              </w:rPr>
            </w:pPr>
          </w:p>
        </w:tc>
        <w:tc>
          <w:tcPr>
            <w:tcW w:w="1560" w:type="dxa"/>
            <w:vAlign w:val="bottom"/>
            <w:shd w:val="clear" w:color="auto" w:fill="DCE2EF"/>
          </w:tcPr>
          <w:p>
            <w:pPr>
              <w:spacing w:after="0"/>
              <w:rPr>
                <w:sz w:val="23"/>
                <w:szCs w:val="23"/>
                <w:color w:val="auto"/>
              </w:rPr>
            </w:pPr>
          </w:p>
        </w:tc>
        <w:tc>
          <w:tcPr>
            <w:tcW w:w="120" w:type="dxa"/>
            <w:vAlign w:val="bottom"/>
            <w:shd w:val="clear" w:color="auto" w:fill="DCE2EF"/>
          </w:tcPr>
          <w:p>
            <w:pPr>
              <w:spacing w:after="0"/>
              <w:rPr>
                <w:sz w:val="23"/>
                <w:szCs w:val="23"/>
                <w:color w:val="auto"/>
              </w:rPr>
            </w:pPr>
          </w:p>
        </w:tc>
        <w:tc>
          <w:tcPr>
            <w:tcW w:w="220" w:type="dxa"/>
            <w:vAlign w:val="bottom"/>
            <w:shd w:val="clear" w:color="auto" w:fill="DCE2EF"/>
          </w:tcPr>
          <w:p>
            <w:pPr>
              <w:spacing w:after="0"/>
              <w:rPr>
                <w:sz w:val="23"/>
                <w:szCs w:val="23"/>
                <w:color w:val="auto"/>
              </w:rPr>
            </w:pPr>
          </w:p>
        </w:tc>
        <w:tc>
          <w:tcPr>
            <w:tcW w:w="1600" w:type="dxa"/>
            <w:vAlign w:val="bottom"/>
            <w:shd w:val="clear" w:color="auto" w:fill="DCE2EF"/>
          </w:tcPr>
          <w:p>
            <w:pPr>
              <w:jc w:val="right"/>
              <w:ind w:right="39"/>
              <w:spacing w:after="0"/>
              <w:rPr>
                <w:sz w:val="20"/>
                <w:szCs w:val="20"/>
                <w:color w:val="auto"/>
              </w:rPr>
            </w:pPr>
            <w:r>
              <w:rPr>
                <w:rFonts w:ascii="Arial" w:cs="Arial" w:eastAsia="Arial" w:hAnsi="Arial"/>
                <w:sz w:val="16"/>
                <w:szCs w:val="16"/>
                <w:color w:val="auto"/>
              </w:rPr>
              <w:t>10.3</w:t>
            </w:r>
          </w:p>
        </w:tc>
      </w:tr>
      <w:tr>
        <w:trPr>
          <w:trHeight w:val="260"/>
        </w:trPr>
        <w:tc>
          <w:tcPr>
            <w:tcW w:w="5720" w:type="dxa"/>
            <w:vAlign w:val="bottom"/>
            <w:gridSpan w:val="3"/>
          </w:tcPr>
          <w:p>
            <w:pPr>
              <w:ind w:left="20"/>
              <w:spacing w:after="0"/>
              <w:rPr>
                <w:sz w:val="20"/>
                <w:szCs w:val="20"/>
                <w:color w:val="auto"/>
              </w:rPr>
            </w:pPr>
            <w:r>
              <w:rPr>
                <w:rFonts w:ascii="Arial" w:cs="Arial" w:eastAsia="Arial" w:hAnsi="Arial"/>
                <w:sz w:val="16"/>
                <w:szCs w:val="16"/>
                <w:color w:val="auto"/>
              </w:rPr>
              <w:t>Property, plant and equipment</w:t>
            </w:r>
          </w:p>
        </w:tc>
        <w:tc>
          <w:tcPr>
            <w:tcW w:w="180" w:type="dxa"/>
            <w:vAlign w:val="bottom"/>
          </w:tcPr>
          <w:p>
            <w:pPr>
              <w:spacing w:after="0"/>
              <w:rPr>
                <w:sz w:val="22"/>
                <w:szCs w:val="22"/>
                <w:color w:val="auto"/>
              </w:rPr>
            </w:pPr>
          </w:p>
        </w:tc>
        <w:tc>
          <w:tcPr>
            <w:tcW w:w="1640" w:type="dxa"/>
            <w:vAlign w:val="bottom"/>
          </w:tcPr>
          <w:p>
            <w:pPr>
              <w:jc w:val="right"/>
              <w:ind w:right="39"/>
              <w:spacing w:after="0"/>
              <w:rPr>
                <w:sz w:val="20"/>
                <w:szCs w:val="20"/>
                <w:color w:val="auto"/>
              </w:rPr>
            </w:pPr>
            <w:r>
              <w:rPr>
                <w:rFonts w:ascii="Arial" w:cs="Arial" w:eastAsia="Arial" w:hAnsi="Arial"/>
                <w:sz w:val="16"/>
                <w:szCs w:val="16"/>
                <w:color w:val="auto"/>
              </w:rPr>
              <w:t>41.4</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560" w:type="dxa"/>
            <w:vAlign w:val="bottom"/>
          </w:tcPr>
          <w:p>
            <w:pPr>
              <w:jc w:val="right"/>
              <w:ind w:right="19"/>
              <w:spacing w:after="0"/>
              <w:rPr>
                <w:sz w:val="20"/>
                <w:szCs w:val="20"/>
                <w:color w:val="auto"/>
              </w:rPr>
            </w:pPr>
            <w:r>
              <w:rPr>
                <w:rFonts w:ascii="Arial" w:cs="Arial" w:eastAsia="Arial" w:hAnsi="Arial"/>
                <w:sz w:val="16"/>
                <w:szCs w:val="16"/>
                <w:color w:val="auto"/>
              </w:rPr>
              <w:t>0.1</w:t>
            </w: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600" w:type="dxa"/>
            <w:vAlign w:val="bottom"/>
          </w:tcPr>
          <w:p>
            <w:pPr>
              <w:jc w:val="right"/>
              <w:ind w:right="39"/>
              <w:spacing w:after="0"/>
              <w:rPr>
                <w:sz w:val="20"/>
                <w:szCs w:val="20"/>
                <w:color w:val="auto"/>
              </w:rPr>
            </w:pPr>
            <w:r>
              <w:rPr>
                <w:rFonts w:ascii="Arial" w:cs="Arial" w:eastAsia="Arial" w:hAnsi="Arial"/>
                <w:sz w:val="16"/>
                <w:szCs w:val="16"/>
                <w:color w:val="auto"/>
              </w:rPr>
              <w:t>41.5</w:t>
            </w:r>
          </w:p>
        </w:tc>
      </w:tr>
      <w:tr>
        <w:trPr>
          <w:trHeight w:val="280"/>
        </w:trPr>
        <w:tc>
          <w:tcPr>
            <w:tcW w:w="5720" w:type="dxa"/>
            <w:vAlign w:val="bottom"/>
            <w:gridSpan w:val="3"/>
            <w:shd w:val="clear" w:color="auto" w:fill="DCE2EF"/>
          </w:tcPr>
          <w:p>
            <w:pPr>
              <w:ind w:left="20"/>
              <w:spacing w:after="0"/>
              <w:rPr>
                <w:sz w:val="20"/>
                <w:szCs w:val="20"/>
                <w:color w:val="auto"/>
              </w:rPr>
            </w:pPr>
            <w:r>
              <w:rPr>
                <w:rFonts w:ascii="Arial" w:cs="Arial" w:eastAsia="Arial" w:hAnsi="Arial"/>
                <w:sz w:val="16"/>
                <w:szCs w:val="16"/>
                <w:color w:val="auto"/>
              </w:rPr>
              <w:t>Customer relationships</w:t>
            </w:r>
            <w:r>
              <w:rPr>
                <w:rFonts w:ascii="Arial" w:cs="Arial" w:eastAsia="Arial" w:hAnsi="Arial"/>
                <w:sz w:val="21"/>
                <w:szCs w:val="21"/>
                <w:color w:val="auto"/>
                <w:vertAlign w:val="superscript"/>
              </w:rPr>
              <w:t>(2)</w:t>
            </w:r>
          </w:p>
        </w:tc>
        <w:tc>
          <w:tcPr>
            <w:tcW w:w="180" w:type="dxa"/>
            <w:vAlign w:val="bottom"/>
            <w:shd w:val="clear" w:color="auto" w:fill="DCE2EF"/>
          </w:tcPr>
          <w:p>
            <w:pPr>
              <w:spacing w:after="0"/>
              <w:rPr>
                <w:sz w:val="24"/>
                <w:szCs w:val="24"/>
                <w:color w:val="auto"/>
              </w:rPr>
            </w:pPr>
          </w:p>
        </w:tc>
        <w:tc>
          <w:tcPr>
            <w:tcW w:w="1640" w:type="dxa"/>
            <w:vAlign w:val="bottom"/>
            <w:shd w:val="clear" w:color="auto" w:fill="DCE2EF"/>
          </w:tcPr>
          <w:p>
            <w:pPr>
              <w:jc w:val="right"/>
              <w:ind w:right="39"/>
              <w:spacing w:after="0"/>
              <w:rPr>
                <w:sz w:val="20"/>
                <w:szCs w:val="20"/>
                <w:color w:val="auto"/>
              </w:rPr>
            </w:pPr>
            <w:r>
              <w:rPr>
                <w:rFonts w:ascii="Arial" w:cs="Arial" w:eastAsia="Arial" w:hAnsi="Arial"/>
                <w:sz w:val="16"/>
                <w:szCs w:val="16"/>
                <w:color w:val="auto"/>
              </w:rPr>
              <w:t>340.0</w:t>
            </w:r>
          </w:p>
        </w:tc>
        <w:tc>
          <w:tcPr>
            <w:tcW w:w="100" w:type="dxa"/>
            <w:vAlign w:val="bottom"/>
            <w:shd w:val="clear" w:color="auto" w:fill="DCE2EF"/>
          </w:tcPr>
          <w:p>
            <w:pPr>
              <w:spacing w:after="0"/>
              <w:rPr>
                <w:sz w:val="24"/>
                <w:szCs w:val="24"/>
                <w:color w:val="auto"/>
              </w:rPr>
            </w:pPr>
          </w:p>
        </w:tc>
        <w:tc>
          <w:tcPr>
            <w:tcW w:w="260" w:type="dxa"/>
            <w:vAlign w:val="bottom"/>
            <w:shd w:val="clear" w:color="auto" w:fill="DCE2EF"/>
          </w:tcPr>
          <w:p>
            <w:pPr>
              <w:spacing w:after="0"/>
              <w:rPr>
                <w:sz w:val="24"/>
                <w:szCs w:val="24"/>
                <w:color w:val="auto"/>
              </w:rPr>
            </w:pPr>
          </w:p>
        </w:tc>
        <w:tc>
          <w:tcPr>
            <w:tcW w:w="1560" w:type="dxa"/>
            <w:vAlign w:val="bottom"/>
            <w:shd w:val="clear" w:color="auto" w:fill="DCE2EF"/>
          </w:tcPr>
          <w:p>
            <w:pPr>
              <w:jc w:val="right"/>
              <w:spacing w:after="0"/>
              <w:rPr>
                <w:sz w:val="20"/>
                <w:szCs w:val="20"/>
                <w:color w:val="auto"/>
              </w:rPr>
            </w:pPr>
            <w:r>
              <w:rPr>
                <w:rFonts w:ascii="Arial" w:cs="Arial" w:eastAsia="Arial" w:hAnsi="Arial"/>
                <w:sz w:val="16"/>
                <w:szCs w:val="16"/>
                <w:color w:val="auto"/>
              </w:rPr>
              <w:t>(10.0)</w:t>
            </w:r>
          </w:p>
        </w:tc>
        <w:tc>
          <w:tcPr>
            <w:tcW w:w="120" w:type="dxa"/>
            <w:vAlign w:val="bottom"/>
            <w:shd w:val="clear" w:color="auto" w:fill="DCE2EF"/>
          </w:tcPr>
          <w:p>
            <w:pPr>
              <w:spacing w:after="0"/>
              <w:rPr>
                <w:sz w:val="24"/>
                <w:szCs w:val="24"/>
                <w:color w:val="auto"/>
              </w:rPr>
            </w:pPr>
          </w:p>
        </w:tc>
        <w:tc>
          <w:tcPr>
            <w:tcW w:w="220" w:type="dxa"/>
            <w:vAlign w:val="bottom"/>
            <w:shd w:val="clear" w:color="auto" w:fill="DCE2EF"/>
          </w:tcPr>
          <w:p>
            <w:pPr>
              <w:spacing w:after="0"/>
              <w:rPr>
                <w:sz w:val="24"/>
                <w:szCs w:val="24"/>
                <w:color w:val="auto"/>
              </w:rPr>
            </w:pPr>
          </w:p>
        </w:tc>
        <w:tc>
          <w:tcPr>
            <w:tcW w:w="1600" w:type="dxa"/>
            <w:vAlign w:val="bottom"/>
            <w:shd w:val="clear" w:color="auto" w:fill="DCE2EF"/>
          </w:tcPr>
          <w:p>
            <w:pPr>
              <w:jc w:val="right"/>
              <w:ind w:right="39"/>
              <w:spacing w:after="0"/>
              <w:rPr>
                <w:sz w:val="20"/>
                <w:szCs w:val="20"/>
                <w:color w:val="auto"/>
              </w:rPr>
            </w:pPr>
            <w:r>
              <w:rPr>
                <w:rFonts w:ascii="Arial" w:cs="Arial" w:eastAsia="Arial" w:hAnsi="Arial"/>
                <w:sz w:val="16"/>
                <w:szCs w:val="16"/>
                <w:color w:val="auto"/>
              </w:rPr>
              <w:t>330.0</w:t>
            </w:r>
          </w:p>
        </w:tc>
      </w:tr>
      <w:tr>
        <w:trPr>
          <w:trHeight w:val="270"/>
        </w:trPr>
        <w:tc>
          <w:tcPr>
            <w:tcW w:w="5720" w:type="dxa"/>
            <w:vAlign w:val="bottom"/>
            <w:gridSpan w:val="3"/>
          </w:tcPr>
          <w:p>
            <w:pPr>
              <w:ind w:left="20"/>
              <w:spacing w:after="0"/>
              <w:rPr>
                <w:sz w:val="20"/>
                <w:szCs w:val="20"/>
                <w:color w:val="auto"/>
              </w:rPr>
            </w:pPr>
            <w:r>
              <w:rPr>
                <w:rFonts w:ascii="Arial" w:cs="Arial" w:eastAsia="Arial" w:hAnsi="Arial"/>
                <w:sz w:val="16"/>
                <w:szCs w:val="16"/>
                <w:color w:val="auto"/>
              </w:rPr>
              <w:t>Trade names</w:t>
            </w:r>
            <w:r>
              <w:rPr>
                <w:rFonts w:ascii="Arial" w:cs="Arial" w:eastAsia="Arial" w:hAnsi="Arial"/>
                <w:sz w:val="21"/>
                <w:szCs w:val="21"/>
                <w:color w:val="auto"/>
                <w:vertAlign w:val="superscript"/>
              </w:rPr>
              <w:t>(2)</w:t>
            </w:r>
          </w:p>
        </w:tc>
        <w:tc>
          <w:tcPr>
            <w:tcW w:w="180" w:type="dxa"/>
            <w:vAlign w:val="bottom"/>
          </w:tcPr>
          <w:p>
            <w:pPr>
              <w:spacing w:after="0"/>
              <w:rPr>
                <w:sz w:val="23"/>
                <w:szCs w:val="23"/>
                <w:color w:val="auto"/>
              </w:rPr>
            </w:pPr>
          </w:p>
        </w:tc>
        <w:tc>
          <w:tcPr>
            <w:tcW w:w="1640" w:type="dxa"/>
            <w:vAlign w:val="bottom"/>
          </w:tcPr>
          <w:p>
            <w:pPr>
              <w:jc w:val="right"/>
              <w:ind w:right="39"/>
              <w:spacing w:after="0"/>
              <w:rPr>
                <w:sz w:val="20"/>
                <w:szCs w:val="20"/>
                <w:color w:val="auto"/>
              </w:rPr>
            </w:pPr>
            <w:r>
              <w:rPr>
                <w:rFonts w:ascii="Arial" w:cs="Arial" w:eastAsia="Arial" w:hAnsi="Arial"/>
                <w:sz w:val="16"/>
                <w:szCs w:val="16"/>
                <w:color w:val="auto"/>
              </w:rPr>
              <w:t>9.0</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5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600" w:type="dxa"/>
            <w:vAlign w:val="bottom"/>
          </w:tcPr>
          <w:p>
            <w:pPr>
              <w:jc w:val="right"/>
              <w:ind w:right="39"/>
              <w:spacing w:after="0"/>
              <w:rPr>
                <w:sz w:val="20"/>
                <w:szCs w:val="20"/>
                <w:color w:val="auto"/>
              </w:rPr>
            </w:pPr>
            <w:r>
              <w:rPr>
                <w:rFonts w:ascii="Arial" w:cs="Arial" w:eastAsia="Arial" w:hAnsi="Arial"/>
                <w:sz w:val="16"/>
                <w:szCs w:val="16"/>
                <w:color w:val="auto"/>
              </w:rPr>
              <w:t>9.0</w:t>
            </w:r>
          </w:p>
        </w:tc>
      </w:tr>
      <w:tr>
        <w:trPr>
          <w:trHeight w:val="270"/>
        </w:trPr>
        <w:tc>
          <w:tcPr>
            <w:tcW w:w="5720" w:type="dxa"/>
            <w:vAlign w:val="bottom"/>
            <w:gridSpan w:val="3"/>
            <w:shd w:val="clear" w:color="auto" w:fill="DCE2EF"/>
          </w:tcPr>
          <w:p>
            <w:pPr>
              <w:ind w:left="20"/>
              <w:spacing w:after="0"/>
              <w:rPr>
                <w:sz w:val="20"/>
                <w:szCs w:val="20"/>
                <w:color w:val="auto"/>
              </w:rPr>
            </w:pPr>
            <w:r>
              <w:rPr>
                <w:rFonts w:ascii="Arial" w:cs="Arial" w:eastAsia="Arial" w:hAnsi="Arial"/>
                <w:sz w:val="16"/>
                <w:szCs w:val="16"/>
                <w:color w:val="auto"/>
              </w:rPr>
              <w:t>Goodwill</w:t>
            </w:r>
            <w:r>
              <w:rPr>
                <w:rFonts w:ascii="Arial" w:cs="Arial" w:eastAsia="Arial" w:hAnsi="Arial"/>
                <w:sz w:val="21"/>
                <w:szCs w:val="21"/>
                <w:color w:val="auto"/>
                <w:vertAlign w:val="superscript"/>
              </w:rPr>
              <w:t>(3)</w:t>
            </w:r>
          </w:p>
        </w:tc>
        <w:tc>
          <w:tcPr>
            <w:tcW w:w="180" w:type="dxa"/>
            <w:vAlign w:val="bottom"/>
            <w:shd w:val="clear" w:color="auto" w:fill="DCE2EF"/>
          </w:tcPr>
          <w:p>
            <w:pPr>
              <w:spacing w:after="0"/>
              <w:rPr>
                <w:sz w:val="23"/>
                <w:szCs w:val="23"/>
                <w:color w:val="auto"/>
              </w:rPr>
            </w:pPr>
          </w:p>
        </w:tc>
        <w:tc>
          <w:tcPr>
            <w:tcW w:w="1640" w:type="dxa"/>
            <w:vAlign w:val="bottom"/>
            <w:shd w:val="clear" w:color="auto" w:fill="DCE2EF"/>
          </w:tcPr>
          <w:p>
            <w:pPr>
              <w:jc w:val="right"/>
              <w:ind w:right="39"/>
              <w:spacing w:after="0"/>
              <w:rPr>
                <w:sz w:val="20"/>
                <w:szCs w:val="20"/>
                <w:color w:val="auto"/>
              </w:rPr>
            </w:pPr>
            <w:r>
              <w:rPr>
                <w:rFonts w:ascii="Arial" w:cs="Arial" w:eastAsia="Arial" w:hAnsi="Arial"/>
                <w:sz w:val="16"/>
                <w:szCs w:val="16"/>
                <w:color w:val="auto"/>
              </w:rPr>
              <w:t>933.9</w:t>
            </w:r>
          </w:p>
        </w:tc>
        <w:tc>
          <w:tcPr>
            <w:tcW w:w="100" w:type="dxa"/>
            <w:vAlign w:val="bottom"/>
            <w:shd w:val="clear" w:color="auto" w:fill="DCE2EF"/>
          </w:tcPr>
          <w:p>
            <w:pPr>
              <w:spacing w:after="0"/>
              <w:rPr>
                <w:sz w:val="23"/>
                <w:szCs w:val="23"/>
                <w:color w:val="auto"/>
              </w:rPr>
            </w:pPr>
          </w:p>
        </w:tc>
        <w:tc>
          <w:tcPr>
            <w:tcW w:w="260" w:type="dxa"/>
            <w:vAlign w:val="bottom"/>
            <w:shd w:val="clear" w:color="auto" w:fill="DCE2EF"/>
          </w:tcPr>
          <w:p>
            <w:pPr>
              <w:spacing w:after="0"/>
              <w:rPr>
                <w:sz w:val="23"/>
                <w:szCs w:val="23"/>
                <w:color w:val="auto"/>
              </w:rPr>
            </w:pPr>
          </w:p>
        </w:tc>
        <w:tc>
          <w:tcPr>
            <w:tcW w:w="1560" w:type="dxa"/>
            <w:vAlign w:val="bottom"/>
            <w:shd w:val="clear" w:color="auto" w:fill="DCE2EF"/>
          </w:tcPr>
          <w:p>
            <w:pPr>
              <w:jc w:val="right"/>
              <w:spacing w:after="0"/>
              <w:rPr>
                <w:sz w:val="20"/>
                <w:szCs w:val="20"/>
                <w:color w:val="auto"/>
              </w:rPr>
            </w:pPr>
            <w:r>
              <w:rPr>
                <w:rFonts w:ascii="Arial" w:cs="Arial" w:eastAsia="Arial" w:hAnsi="Arial"/>
                <w:sz w:val="16"/>
                <w:szCs w:val="16"/>
                <w:color w:val="auto"/>
              </w:rPr>
              <w:t>(0.5)</w:t>
            </w:r>
          </w:p>
        </w:tc>
        <w:tc>
          <w:tcPr>
            <w:tcW w:w="120" w:type="dxa"/>
            <w:vAlign w:val="bottom"/>
            <w:shd w:val="clear" w:color="auto" w:fill="DCE2EF"/>
          </w:tcPr>
          <w:p>
            <w:pPr>
              <w:spacing w:after="0"/>
              <w:rPr>
                <w:sz w:val="23"/>
                <w:szCs w:val="23"/>
                <w:color w:val="auto"/>
              </w:rPr>
            </w:pPr>
          </w:p>
        </w:tc>
        <w:tc>
          <w:tcPr>
            <w:tcW w:w="220" w:type="dxa"/>
            <w:vAlign w:val="bottom"/>
            <w:shd w:val="clear" w:color="auto" w:fill="DCE2EF"/>
          </w:tcPr>
          <w:p>
            <w:pPr>
              <w:spacing w:after="0"/>
              <w:rPr>
                <w:sz w:val="23"/>
                <w:szCs w:val="23"/>
                <w:color w:val="auto"/>
              </w:rPr>
            </w:pPr>
          </w:p>
        </w:tc>
        <w:tc>
          <w:tcPr>
            <w:tcW w:w="1600" w:type="dxa"/>
            <w:vAlign w:val="bottom"/>
            <w:shd w:val="clear" w:color="auto" w:fill="DCE2EF"/>
          </w:tcPr>
          <w:p>
            <w:pPr>
              <w:jc w:val="right"/>
              <w:ind w:right="39"/>
              <w:spacing w:after="0"/>
              <w:rPr>
                <w:sz w:val="20"/>
                <w:szCs w:val="20"/>
                <w:color w:val="auto"/>
              </w:rPr>
            </w:pPr>
            <w:r>
              <w:rPr>
                <w:rFonts w:ascii="Arial" w:cs="Arial" w:eastAsia="Arial" w:hAnsi="Arial"/>
                <w:sz w:val="16"/>
                <w:szCs w:val="16"/>
                <w:color w:val="auto"/>
              </w:rPr>
              <w:t>933.4</w:t>
            </w:r>
          </w:p>
        </w:tc>
      </w:tr>
      <w:tr>
        <w:trPr>
          <w:trHeight w:val="260"/>
        </w:trPr>
        <w:tc>
          <w:tcPr>
            <w:tcW w:w="5720" w:type="dxa"/>
            <w:vAlign w:val="bottom"/>
            <w:gridSpan w:val="3"/>
          </w:tcPr>
          <w:p>
            <w:pPr>
              <w:ind w:left="20"/>
              <w:spacing w:after="0"/>
              <w:rPr>
                <w:sz w:val="20"/>
                <w:szCs w:val="20"/>
                <w:color w:val="auto"/>
              </w:rPr>
            </w:pPr>
            <w:r>
              <w:rPr>
                <w:rFonts w:ascii="Arial" w:cs="Arial" w:eastAsia="Arial" w:hAnsi="Arial"/>
                <w:sz w:val="16"/>
                <w:szCs w:val="16"/>
                <w:color w:val="auto"/>
              </w:rPr>
              <w:t>Other assets</w:t>
            </w:r>
          </w:p>
        </w:tc>
        <w:tc>
          <w:tcPr>
            <w:tcW w:w="180" w:type="dxa"/>
            <w:vAlign w:val="bottom"/>
          </w:tcPr>
          <w:p>
            <w:pPr>
              <w:spacing w:after="0"/>
              <w:rPr>
                <w:sz w:val="22"/>
                <w:szCs w:val="22"/>
                <w:color w:val="auto"/>
              </w:rPr>
            </w:pPr>
          </w:p>
        </w:tc>
        <w:tc>
          <w:tcPr>
            <w:tcW w:w="1640" w:type="dxa"/>
            <w:vAlign w:val="bottom"/>
          </w:tcPr>
          <w:p>
            <w:pPr>
              <w:jc w:val="right"/>
              <w:ind w:right="39"/>
              <w:spacing w:after="0"/>
              <w:rPr>
                <w:sz w:val="20"/>
                <w:szCs w:val="20"/>
                <w:color w:val="auto"/>
              </w:rPr>
            </w:pPr>
            <w:r>
              <w:rPr>
                <w:rFonts w:ascii="Arial" w:cs="Arial" w:eastAsia="Arial" w:hAnsi="Arial"/>
                <w:sz w:val="16"/>
                <w:szCs w:val="16"/>
                <w:color w:val="auto"/>
              </w:rPr>
              <w:t>4.2</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560" w:type="dxa"/>
            <w:vAlign w:val="bottom"/>
          </w:tcPr>
          <w:p>
            <w:pPr>
              <w:jc w:val="right"/>
              <w:spacing w:after="0"/>
              <w:rPr>
                <w:sz w:val="20"/>
                <w:szCs w:val="20"/>
                <w:color w:val="auto"/>
              </w:rPr>
            </w:pPr>
            <w:r>
              <w:rPr>
                <w:rFonts w:ascii="Arial" w:cs="Arial" w:eastAsia="Arial" w:hAnsi="Arial"/>
                <w:sz w:val="16"/>
                <w:szCs w:val="16"/>
                <w:color w:val="auto"/>
              </w:rPr>
              <w:t>(0.2)</w:t>
            </w: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600" w:type="dxa"/>
            <w:vAlign w:val="bottom"/>
          </w:tcPr>
          <w:p>
            <w:pPr>
              <w:jc w:val="right"/>
              <w:ind w:right="39"/>
              <w:spacing w:after="0"/>
              <w:rPr>
                <w:sz w:val="20"/>
                <w:szCs w:val="20"/>
                <w:color w:val="auto"/>
              </w:rPr>
            </w:pPr>
            <w:r>
              <w:rPr>
                <w:rFonts w:ascii="Arial" w:cs="Arial" w:eastAsia="Arial" w:hAnsi="Arial"/>
                <w:sz w:val="16"/>
                <w:szCs w:val="16"/>
                <w:color w:val="auto"/>
              </w:rPr>
              <w:t>4.0</w:t>
            </w:r>
          </w:p>
        </w:tc>
      </w:tr>
      <w:tr>
        <w:trPr>
          <w:trHeight w:val="280"/>
        </w:trPr>
        <w:tc>
          <w:tcPr>
            <w:tcW w:w="5720" w:type="dxa"/>
            <w:vAlign w:val="bottom"/>
            <w:gridSpan w:val="3"/>
            <w:shd w:val="clear" w:color="auto" w:fill="DCE2EF"/>
          </w:tcPr>
          <w:p>
            <w:pPr>
              <w:ind w:left="20"/>
              <w:spacing w:after="0"/>
              <w:rPr>
                <w:sz w:val="20"/>
                <w:szCs w:val="20"/>
                <w:color w:val="auto"/>
              </w:rPr>
            </w:pPr>
            <w:r>
              <w:rPr>
                <w:rFonts w:ascii="Arial" w:cs="Arial" w:eastAsia="Arial" w:hAnsi="Arial"/>
                <w:sz w:val="16"/>
                <w:szCs w:val="16"/>
                <w:color w:val="auto"/>
              </w:rPr>
              <w:t>Trade accounts payable</w:t>
            </w:r>
          </w:p>
        </w:tc>
        <w:tc>
          <w:tcPr>
            <w:tcW w:w="180" w:type="dxa"/>
            <w:vAlign w:val="bottom"/>
            <w:shd w:val="clear" w:color="auto" w:fill="DCE2EF"/>
          </w:tcPr>
          <w:p>
            <w:pPr>
              <w:spacing w:after="0"/>
              <w:rPr>
                <w:sz w:val="24"/>
                <w:szCs w:val="24"/>
                <w:color w:val="auto"/>
              </w:rPr>
            </w:pPr>
          </w:p>
        </w:tc>
        <w:tc>
          <w:tcPr>
            <w:tcW w:w="1640" w:type="dxa"/>
            <w:vAlign w:val="bottom"/>
            <w:shd w:val="clear" w:color="auto" w:fill="DCE2EF"/>
          </w:tcPr>
          <w:p>
            <w:pPr>
              <w:jc w:val="right"/>
              <w:spacing w:after="0"/>
              <w:rPr>
                <w:sz w:val="20"/>
                <w:szCs w:val="20"/>
                <w:color w:val="auto"/>
              </w:rPr>
            </w:pPr>
            <w:r>
              <w:rPr>
                <w:rFonts w:ascii="Arial" w:cs="Arial" w:eastAsia="Arial" w:hAnsi="Arial"/>
                <w:sz w:val="16"/>
                <w:szCs w:val="16"/>
                <w:color w:val="auto"/>
              </w:rPr>
              <w:t>(9.1)</w:t>
            </w:r>
          </w:p>
        </w:tc>
        <w:tc>
          <w:tcPr>
            <w:tcW w:w="100" w:type="dxa"/>
            <w:vAlign w:val="bottom"/>
            <w:shd w:val="clear" w:color="auto" w:fill="DCE2EF"/>
          </w:tcPr>
          <w:p>
            <w:pPr>
              <w:spacing w:after="0"/>
              <w:rPr>
                <w:sz w:val="24"/>
                <w:szCs w:val="24"/>
                <w:color w:val="auto"/>
              </w:rPr>
            </w:pPr>
          </w:p>
        </w:tc>
        <w:tc>
          <w:tcPr>
            <w:tcW w:w="260" w:type="dxa"/>
            <w:vAlign w:val="bottom"/>
            <w:shd w:val="clear" w:color="auto" w:fill="DCE2EF"/>
          </w:tcPr>
          <w:p>
            <w:pPr>
              <w:spacing w:after="0"/>
              <w:rPr>
                <w:sz w:val="24"/>
                <w:szCs w:val="24"/>
                <w:color w:val="auto"/>
              </w:rPr>
            </w:pPr>
          </w:p>
        </w:tc>
        <w:tc>
          <w:tcPr>
            <w:tcW w:w="1560" w:type="dxa"/>
            <w:vAlign w:val="bottom"/>
            <w:shd w:val="clear" w:color="auto" w:fill="DCE2EF"/>
          </w:tcPr>
          <w:p>
            <w:pPr>
              <w:jc w:val="right"/>
              <w:spacing w:after="0"/>
              <w:rPr>
                <w:sz w:val="20"/>
                <w:szCs w:val="20"/>
                <w:color w:val="auto"/>
              </w:rPr>
            </w:pPr>
            <w:r>
              <w:rPr>
                <w:rFonts w:ascii="Arial" w:cs="Arial" w:eastAsia="Arial" w:hAnsi="Arial"/>
                <w:sz w:val="16"/>
                <w:szCs w:val="16"/>
                <w:color w:val="auto"/>
              </w:rPr>
              <w:t>(0.4)</w:t>
            </w:r>
          </w:p>
        </w:tc>
        <w:tc>
          <w:tcPr>
            <w:tcW w:w="120" w:type="dxa"/>
            <w:vAlign w:val="bottom"/>
            <w:shd w:val="clear" w:color="auto" w:fill="DCE2EF"/>
          </w:tcPr>
          <w:p>
            <w:pPr>
              <w:spacing w:after="0"/>
              <w:rPr>
                <w:sz w:val="24"/>
                <w:szCs w:val="24"/>
                <w:color w:val="auto"/>
              </w:rPr>
            </w:pPr>
          </w:p>
        </w:tc>
        <w:tc>
          <w:tcPr>
            <w:tcW w:w="220" w:type="dxa"/>
            <w:vAlign w:val="bottom"/>
            <w:shd w:val="clear" w:color="auto" w:fill="DCE2EF"/>
          </w:tcPr>
          <w:p>
            <w:pPr>
              <w:spacing w:after="0"/>
              <w:rPr>
                <w:sz w:val="24"/>
                <w:szCs w:val="24"/>
                <w:color w:val="auto"/>
              </w:rPr>
            </w:pPr>
          </w:p>
        </w:tc>
        <w:tc>
          <w:tcPr>
            <w:tcW w:w="1600" w:type="dxa"/>
            <w:vAlign w:val="bottom"/>
            <w:shd w:val="clear" w:color="auto" w:fill="DCE2EF"/>
          </w:tcPr>
          <w:p>
            <w:pPr>
              <w:jc w:val="right"/>
              <w:spacing w:after="0"/>
              <w:rPr>
                <w:sz w:val="20"/>
                <w:szCs w:val="20"/>
                <w:color w:val="auto"/>
              </w:rPr>
            </w:pPr>
            <w:r>
              <w:rPr>
                <w:rFonts w:ascii="Arial" w:cs="Arial" w:eastAsia="Arial" w:hAnsi="Arial"/>
                <w:sz w:val="16"/>
                <w:szCs w:val="16"/>
                <w:color w:val="auto"/>
              </w:rPr>
              <w:t>(9.6)</w:t>
            </w:r>
          </w:p>
        </w:tc>
      </w:tr>
      <w:tr>
        <w:trPr>
          <w:trHeight w:val="260"/>
        </w:trPr>
        <w:tc>
          <w:tcPr>
            <w:tcW w:w="5720" w:type="dxa"/>
            <w:vAlign w:val="bottom"/>
            <w:gridSpan w:val="3"/>
          </w:tcPr>
          <w:p>
            <w:pPr>
              <w:ind w:left="20"/>
              <w:spacing w:after="0"/>
              <w:rPr>
                <w:sz w:val="20"/>
                <w:szCs w:val="20"/>
                <w:color w:val="auto"/>
              </w:rPr>
            </w:pPr>
            <w:r>
              <w:rPr>
                <w:rFonts w:ascii="Arial" w:cs="Arial" w:eastAsia="Arial" w:hAnsi="Arial"/>
                <w:sz w:val="16"/>
                <w:szCs w:val="16"/>
                <w:color w:val="auto"/>
              </w:rPr>
              <w:t>Insurance reserves</w:t>
            </w:r>
          </w:p>
        </w:tc>
        <w:tc>
          <w:tcPr>
            <w:tcW w:w="180" w:type="dxa"/>
            <w:vAlign w:val="bottom"/>
          </w:tcPr>
          <w:p>
            <w:pPr>
              <w:spacing w:after="0"/>
              <w:rPr>
                <w:sz w:val="22"/>
                <w:szCs w:val="22"/>
                <w:color w:val="auto"/>
              </w:rPr>
            </w:pPr>
          </w:p>
        </w:tc>
        <w:tc>
          <w:tcPr>
            <w:tcW w:w="1640" w:type="dxa"/>
            <w:vAlign w:val="bottom"/>
          </w:tcPr>
          <w:p>
            <w:pPr>
              <w:jc w:val="right"/>
              <w:spacing w:after="0"/>
              <w:rPr>
                <w:sz w:val="20"/>
                <w:szCs w:val="20"/>
                <w:color w:val="auto"/>
              </w:rPr>
            </w:pPr>
            <w:r>
              <w:rPr>
                <w:rFonts w:ascii="Arial" w:cs="Arial" w:eastAsia="Arial" w:hAnsi="Arial"/>
                <w:sz w:val="16"/>
                <w:szCs w:val="16"/>
                <w:color w:val="auto"/>
              </w:rPr>
              <w:t>(35.5)</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560" w:type="dxa"/>
            <w:vAlign w:val="bottom"/>
          </w:tcPr>
          <w:p>
            <w:pPr>
              <w:jc w:val="right"/>
              <w:spacing w:after="0"/>
              <w:rPr>
                <w:sz w:val="20"/>
                <w:szCs w:val="20"/>
                <w:color w:val="auto"/>
              </w:rPr>
            </w:pPr>
            <w:r>
              <w:rPr>
                <w:rFonts w:ascii="Arial" w:cs="Arial" w:eastAsia="Arial" w:hAnsi="Arial"/>
                <w:sz w:val="16"/>
                <w:szCs w:val="16"/>
                <w:color w:val="auto"/>
              </w:rPr>
              <w:t>(0.2)</w:t>
            </w: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600" w:type="dxa"/>
            <w:vAlign w:val="bottom"/>
          </w:tcPr>
          <w:p>
            <w:pPr>
              <w:jc w:val="right"/>
              <w:spacing w:after="0"/>
              <w:rPr>
                <w:sz w:val="20"/>
                <w:szCs w:val="20"/>
                <w:color w:val="auto"/>
              </w:rPr>
            </w:pPr>
            <w:r>
              <w:rPr>
                <w:rFonts w:ascii="Arial" w:cs="Arial" w:eastAsia="Arial" w:hAnsi="Arial"/>
                <w:sz w:val="16"/>
                <w:szCs w:val="16"/>
                <w:color w:val="auto"/>
              </w:rPr>
              <w:t>(35.6)</w:t>
            </w:r>
          </w:p>
        </w:tc>
      </w:tr>
      <w:tr>
        <w:trPr>
          <w:trHeight w:val="280"/>
        </w:trPr>
        <w:tc>
          <w:tcPr>
            <w:tcW w:w="5720" w:type="dxa"/>
            <w:vAlign w:val="bottom"/>
            <w:gridSpan w:val="3"/>
            <w:shd w:val="clear" w:color="auto" w:fill="DCE2EF"/>
          </w:tcPr>
          <w:p>
            <w:pPr>
              <w:ind w:left="20"/>
              <w:spacing w:after="0"/>
              <w:rPr>
                <w:sz w:val="20"/>
                <w:szCs w:val="20"/>
                <w:color w:val="auto"/>
              </w:rPr>
            </w:pPr>
            <w:r>
              <w:rPr>
                <w:rFonts w:ascii="Arial" w:cs="Arial" w:eastAsia="Arial" w:hAnsi="Arial"/>
                <w:sz w:val="16"/>
                <w:szCs w:val="16"/>
                <w:color w:val="auto"/>
              </w:rPr>
              <w:t>Income taxes payable</w:t>
            </w:r>
          </w:p>
        </w:tc>
        <w:tc>
          <w:tcPr>
            <w:tcW w:w="180" w:type="dxa"/>
            <w:vAlign w:val="bottom"/>
            <w:shd w:val="clear" w:color="auto" w:fill="DCE2EF"/>
          </w:tcPr>
          <w:p>
            <w:pPr>
              <w:spacing w:after="0"/>
              <w:rPr>
                <w:sz w:val="24"/>
                <w:szCs w:val="24"/>
                <w:color w:val="auto"/>
              </w:rPr>
            </w:pPr>
          </w:p>
        </w:tc>
        <w:tc>
          <w:tcPr>
            <w:tcW w:w="1640" w:type="dxa"/>
            <w:vAlign w:val="bottom"/>
            <w:shd w:val="clear" w:color="auto" w:fill="DCE2EF"/>
          </w:tcPr>
          <w:p>
            <w:pPr>
              <w:jc w:val="right"/>
              <w:spacing w:after="0"/>
              <w:rPr>
                <w:sz w:val="20"/>
                <w:szCs w:val="20"/>
                <w:color w:val="auto"/>
              </w:rPr>
            </w:pPr>
            <w:r>
              <w:rPr>
                <w:rFonts w:ascii="Arial" w:cs="Arial" w:eastAsia="Arial" w:hAnsi="Arial"/>
                <w:sz w:val="16"/>
                <w:szCs w:val="16"/>
                <w:color w:val="auto"/>
              </w:rPr>
              <w:t>(16.5)</w:t>
            </w:r>
          </w:p>
        </w:tc>
        <w:tc>
          <w:tcPr>
            <w:tcW w:w="100" w:type="dxa"/>
            <w:vAlign w:val="bottom"/>
            <w:shd w:val="clear" w:color="auto" w:fill="DCE2EF"/>
          </w:tcPr>
          <w:p>
            <w:pPr>
              <w:spacing w:after="0"/>
              <w:rPr>
                <w:sz w:val="24"/>
                <w:szCs w:val="24"/>
                <w:color w:val="auto"/>
              </w:rPr>
            </w:pPr>
          </w:p>
        </w:tc>
        <w:tc>
          <w:tcPr>
            <w:tcW w:w="260" w:type="dxa"/>
            <w:vAlign w:val="bottom"/>
            <w:shd w:val="clear" w:color="auto" w:fill="DCE2EF"/>
          </w:tcPr>
          <w:p>
            <w:pPr>
              <w:spacing w:after="0"/>
              <w:rPr>
                <w:sz w:val="24"/>
                <w:szCs w:val="24"/>
                <w:color w:val="auto"/>
              </w:rPr>
            </w:pPr>
          </w:p>
        </w:tc>
        <w:tc>
          <w:tcPr>
            <w:tcW w:w="1560" w:type="dxa"/>
            <w:vAlign w:val="bottom"/>
            <w:shd w:val="clear" w:color="auto" w:fill="DCE2EF"/>
          </w:tcPr>
          <w:p>
            <w:pPr>
              <w:jc w:val="right"/>
              <w:ind w:right="19"/>
              <w:spacing w:after="0"/>
              <w:rPr>
                <w:sz w:val="20"/>
                <w:szCs w:val="20"/>
                <w:color w:val="auto"/>
              </w:rPr>
            </w:pPr>
            <w:r>
              <w:rPr>
                <w:rFonts w:ascii="Arial" w:cs="Arial" w:eastAsia="Arial" w:hAnsi="Arial"/>
                <w:sz w:val="16"/>
                <w:szCs w:val="16"/>
                <w:color w:val="auto"/>
              </w:rPr>
              <w:t>8.2</w:t>
            </w:r>
          </w:p>
        </w:tc>
        <w:tc>
          <w:tcPr>
            <w:tcW w:w="120" w:type="dxa"/>
            <w:vAlign w:val="bottom"/>
            <w:shd w:val="clear" w:color="auto" w:fill="DCE2EF"/>
          </w:tcPr>
          <w:p>
            <w:pPr>
              <w:spacing w:after="0"/>
              <w:rPr>
                <w:sz w:val="24"/>
                <w:szCs w:val="24"/>
                <w:color w:val="auto"/>
              </w:rPr>
            </w:pPr>
          </w:p>
        </w:tc>
        <w:tc>
          <w:tcPr>
            <w:tcW w:w="220" w:type="dxa"/>
            <w:vAlign w:val="bottom"/>
            <w:shd w:val="clear" w:color="auto" w:fill="DCE2EF"/>
          </w:tcPr>
          <w:p>
            <w:pPr>
              <w:spacing w:after="0"/>
              <w:rPr>
                <w:sz w:val="24"/>
                <w:szCs w:val="24"/>
                <w:color w:val="auto"/>
              </w:rPr>
            </w:pPr>
          </w:p>
        </w:tc>
        <w:tc>
          <w:tcPr>
            <w:tcW w:w="1600" w:type="dxa"/>
            <w:vAlign w:val="bottom"/>
            <w:shd w:val="clear" w:color="auto" w:fill="DCE2EF"/>
          </w:tcPr>
          <w:p>
            <w:pPr>
              <w:jc w:val="right"/>
              <w:spacing w:after="0"/>
              <w:rPr>
                <w:sz w:val="20"/>
                <w:szCs w:val="20"/>
                <w:color w:val="auto"/>
              </w:rPr>
            </w:pPr>
            <w:r>
              <w:rPr>
                <w:rFonts w:ascii="Arial" w:cs="Arial" w:eastAsia="Arial" w:hAnsi="Arial"/>
                <w:sz w:val="16"/>
                <w:szCs w:val="16"/>
                <w:color w:val="auto"/>
              </w:rPr>
              <w:t>(8.3)</w:t>
            </w:r>
          </w:p>
        </w:tc>
      </w:tr>
      <w:tr>
        <w:trPr>
          <w:trHeight w:val="260"/>
        </w:trPr>
        <w:tc>
          <w:tcPr>
            <w:tcW w:w="5720" w:type="dxa"/>
            <w:vAlign w:val="bottom"/>
            <w:gridSpan w:val="3"/>
          </w:tcPr>
          <w:p>
            <w:pPr>
              <w:ind w:left="20"/>
              <w:spacing w:after="0"/>
              <w:rPr>
                <w:sz w:val="20"/>
                <w:szCs w:val="20"/>
                <w:color w:val="auto"/>
              </w:rPr>
            </w:pPr>
            <w:r>
              <w:rPr>
                <w:rFonts w:ascii="Arial" w:cs="Arial" w:eastAsia="Arial" w:hAnsi="Arial"/>
                <w:sz w:val="16"/>
                <w:szCs w:val="16"/>
                <w:color w:val="auto"/>
              </w:rPr>
              <w:t>Accrued liabilities</w:t>
            </w:r>
          </w:p>
        </w:tc>
        <w:tc>
          <w:tcPr>
            <w:tcW w:w="180" w:type="dxa"/>
            <w:vAlign w:val="bottom"/>
          </w:tcPr>
          <w:p>
            <w:pPr>
              <w:spacing w:after="0"/>
              <w:rPr>
                <w:sz w:val="22"/>
                <w:szCs w:val="22"/>
                <w:color w:val="auto"/>
              </w:rPr>
            </w:pPr>
          </w:p>
        </w:tc>
        <w:tc>
          <w:tcPr>
            <w:tcW w:w="1640" w:type="dxa"/>
            <w:vAlign w:val="bottom"/>
          </w:tcPr>
          <w:p>
            <w:pPr>
              <w:jc w:val="right"/>
              <w:spacing w:after="0"/>
              <w:rPr>
                <w:sz w:val="20"/>
                <w:szCs w:val="20"/>
                <w:color w:val="auto"/>
              </w:rPr>
            </w:pPr>
            <w:r>
              <w:rPr>
                <w:rFonts w:ascii="Arial" w:cs="Arial" w:eastAsia="Arial" w:hAnsi="Arial"/>
                <w:sz w:val="16"/>
                <w:szCs w:val="16"/>
                <w:color w:val="auto"/>
              </w:rPr>
              <w:t>(36.5)</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560" w:type="dxa"/>
            <w:vAlign w:val="bottom"/>
          </w:tcPr>
          <w:p>
            <w:pPr>
              <w:jc w:val="right"/>
              <w:ind w:right="19"/>
              <w:spacing w:after="0"/>
              <w:rPr>
                <w:sz w:val="20"/>
                <w:szCs w:val="20"/>
                <w:color w:val="auto"/>
              </w:rPr>
            </w:pPr>
            <w:r>
              <w:rPr>
                <w:rFonts w:ascii="Arial" w:cs="Arial" w:eastAsia="Arial" w:hAnsi="Arial"/>
                <w:sz w:val="16"/>
                <w:szCs w:val="16"/>
                <w:color w:val="auto"/>
              </w:rPr>
              <w:t>2.9</w:t>
            </w: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600" w:type="dxa"/>
            <w:vAlign w:val="bottom"/>
          </w:tcPr>
          <w:p>
            <w:pPr>
              <w:jc w:val="right"/>
              <w:spacing w:after="0"/>
              <w:rPr>
                <w:sz w:val="20"/>
                <w:szCs w:val="20"/>
                <w:color w:val="auto"/>
              </w:rPr>
            </w:pPr>
            <w:r>
              <w:rPr>
                <w:rFonts w:ascii="Arial" w:cs="Arial" w:eastAsia="Arial" w:hAnsi="Arial"/>
                <w:sz w:val="16"/>
                <w:szCs w:val="16"/>
                <w:color w:val="auto"/>
              </w:rPr>
              <w:t>(33.5)</w:t>
            </w:r>
          </w:p>
        </w:tc>
      </w:tr>
      <w:tr>
        <w:trPr>
          <w:trHeight w:val="280"/>
        </w:trPr>
        <w:tc>
          <w:tcPr>
            <w:tcW w:w="5720" w:type="dxa"/>
            <w:vAlign w:val="bottom"/>
            <w:gridSpan w:val="3"/>
            <w:shd w:val="clear" w:color="auto" w:fill="DCE2EF"/>
          </w:tcPr>
          <w:p>
            <w:pPr>
              <w:ind w:left="20"/>
              <w:spacing w:after="0"/>
              <w:rPr>
                <w:sz w:val="20"/>
                <w:szCs w:val="20"/>
                <w:color w:val="auto"/>
              </w:rPr>
            </w:pPr>
            <w:r>
              <w:rPr>
                <w:rFonts w:ascii="Arial" w:cs="Arial" w:eastAsia="Arial" w:hAnsi="Arial"/>
                <w:sz w:val="16"/>
                <w:szCs w:val="16"/>
                <w:color w:val="auto"/>
              </w:rPr>
              <w:t>Deferred income tax liability, net</w:t>
            </w:r>
          </w:p>
        </w:tc>
        <w:tc>
          <w:tcPr>
            <w:tcW w:w="180" w:type="dxa"/>
            <w:vAlign w:val="bottom"/>
            <w:shd w:val="clear" w:color="auto" w:fill="DCE2EF"/>
          </w:tcPr>
          <w:p>
            <w:pPr>
              <w:spacing w:after="0"/>
              <w:rPr>
                <w:sz w:val="24"/>
                <w:szCs w:val="24"/>
                <w:color w:val="auto"/>
              </w:rPr>
            </w:pPr>
          </w:p>
        </w:tc>
        <w:tc>
          <w:tcPr>
            <w:tcW w:w="1640" w:type="dxa"/>
            <w:vAlign w:val="bottom"/>
            <w:shd w:val="clear" w:color="auto" w:fill="DCE2EF"/>
          </w:tcPr>
          <w:p>
            <w:pPr>
              <w:jc w:val="right"/>
              <w:spacing w:after="0"/>
              <w:rPr>
                <w:sz w:val="20"/>
                <w:szCs w:val="20"/>
                <w:color w:val="auto"/>
              </w:rPr>
            </w:pPr>
            <w:r>
              <w:rPr>
                <w:rFonts w:ascii="Arial" w:cs="Arial" w:eastAsia="Arial" w:hAnsi="Arial"/>
                <w:sz w:val="16"/>
                <w:szCs w:val="16"/>
                <w:color w:val="auto"/>
              </w:rPr>
              <w:t>(92.6)</w:t>
            </w:r>
          </w:p>
        </w:tc>
        <w:tc>
          <w:tcPr>
            <w:tcW w:w="100" w:type="dxa"/>
            <w:vAlign w:val="bottom"/>
            <w:shd w:val="clear" w:color="auto" w:fill="DCE2EF"/>
          </w:tcPr>
          <w:p>
            <w:pPr>
              <w:spacing w:after="0"/>
              <w:rPr>
                <w:sz w:val="24"/>
                <w:szCs w:val="24"/>
                <w:color w:val="auto"/>
              </w:rPr>
            </w:pPr>
          </w:p>
        </w:tc>
        <w:tc>
          <w:tcPr>
            <w:tcW w:w="260" w:type="dxa"/>
            <w:vAlign w:val="bottom"/>
            <w:shd w:val="clear" w:color="auto" w:fill="DCE2EF"/>
          </w:tcPr>
          <w:p>
            <w:pPr>
              <w:spacing w:after="0"/>
              <w:rPr>
                <w:sz w:val="24"/>
                <w:szCs w:val="24"/>
                <w:color w:val="auto"/>
              </w:rPr>
            </w:pPr>
          </w:p>
        </w:tc>
        <w:tc>
          <w:tcPr>
            <w:tcW w:w="1560" w:type="dxa"/>
            <w:vAlign w:val="bottom"/>
            <w:shd w:val="clear" w:color="auto" w:fill="DCE2EF"/>
          </w:tcPr>
          <w:p>
            <w:pPr>
              <w:spacing w:after="0"/>
              <w:rPr>
                <w:sz w:val="24"/>
                <w:szCs w:val="24"/>
                <w:color w:val="auto"/>
              </w:rPr>
            </w:pPr>
          </w:p>
        </w:tc>
        <w:tc>
          <w:tcPr>
            <w:tcW w:w="120" w:type="dxa"/>
            <w:vAlign w:val="bottom"/>
            <w:shd w:val="clear" w:color="auto" w:fill="DCE2EF"/>
          </w:tcPr>
          <w:p>
            <w:pPr>
              <w:spacing w:after="0"/>
              <w:rPr>
                <w:sz w:val="24"/>
                <w:szCs w:val="24"/>
                <w:color w:val="auto"/>
              </w:rPr>
            </w:pPr>
          </w:p>
        </w:tc>
        <w:tc>
          <w:tcPr>
            <w:tcW w:w="220" w:type="dxa"/>
            <w:vAlign w:val="bottom"/>
            <w:shd w:val="clear" w:color="auto" w:fill="DCE2EF"/>
          </w:tcPr>
          <w:p>
            <w:pPr>
              <w:spacing w:after="0"/>
              <w:rPr>
                <w:sz w:val="24"/>
                <w:szCs w:val="24"/>
                <w:color w:val="auto"/>
              </w:rPr>
            </w:pPr>
          </w:p>
        </w:tc>
        <w:tc>
          <w:tcPr>
            <w:tcW w:w="1600" w:type="dxa"/>
            <w:vAlign w:val="bottom"/>
            <w:shd w:val="clear" w:color="auto" w:fill="DCE2EF"/>
          </w:tcPr>
          <w:p>
            <w:pPr>
              <w:jc w:val="right"/>
              <w:spacing w:after="0"/>
              <w:rPr>
                <w:sz w:val="20"/>
                <w:szCs w:val="20"/>
                <w:color w:val="auto"/>
              </w:rPr>
            </w:pPr>
            <w:r>
              <w:rPr>
                <w:rFonts w:ascii="Arial" w:cs="Arial" w:eastAsia="Arial" w:hAnsi="Arial"/>
                <w:sz w:val="16"/>
                <w:szCs w:val="16"/>
                <w:color w:val="auto"/>
              </w:rPr>
              <w:t>(92.6)</w:t>
            </w:r>
          </w:p>
        </w:tc>
      </w:tr>
      <w:tr>
        <w:trPr>
          <w:trHeight w:val="264"/>
        </w:trPr>
        <w:tc>
          <w:tcPr>
            <w:tcW w:w="5720" w:type="dxa"/>
            <w:vAlign w:val="bottom"/>
            <w:tcBorders>
              <w:bottom w:val="single" w:sz="8" w:color="DCE2EF"/>
            </w:tcBorders>
            <w:gridSpan w:val="3"/>
          </w:tcPr>
          <w:p>
            <w:pPr>
              <w:ind w:left="20"/>
              <w:spacing w:after="0"/>
              <w:rPr>
                <w:sz w:val="20"/>
                <w:szCs w:val="20"/>
                <w:color w:val="auto"/>
              </w:rPr>
            </w:pPr>
            <w:r>
              <w:rPr>
                <w:rFonts w:ascii="Arial" w:cs="Arial" w:eastAsia="Arial" w:hAnsi="Arial"/>
                <w:sz w:val="16"/>
                <w:szCs w:val="16"/>
                <w:color w:val="auto"/>
              </w:rPr>
              <w:t>Other liabilities</w:t>
            </w:r>
          </w:p>
        </w:tc>
        <w:tc>
          <w:tcPr>
            <w:tcW w:w="180" w:type="dxa"/>
            <w:vAlign w:val="bottom"/>
            <w:tcBorders>
              <w:bottom w:val="single" w:sz="8" w:color="auto"/>
            </w:tcBorders>
          </w:tcPr>
          <w:p>
            <w:pPr>
              <w:spacing w:after="0"/>
              <w:rPr>
                <w:sz w:val="22"/>
                <w:szCs w:val="22"/>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(8.1)</w:t>
            </w:r>
          </w:p>
        </w:tc>
        <w:tc>
          <w:tcPr>
            <w:tcW w:w="100" w:type="dxa"/>
            <w:vAlign w:val="bottom"/>
            <w:tcBorders>
              <w:bottom w:val="single" w:sz="8" w:color="DCE2E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560" w:type="dxa"/>
            <w:vAlign w:val="bottom"/>
            <w:tcBorders>
              <w:bottom w:val="single" w:sz="8" w:color="auto"/>
            </w:tcBorders>
          </w:tcPr>
          <w:p>
            <w:pPr>
              <w:spacing w:after="0"/>
              <w:rPr>
                <w:sz w:val="22"/>
                <w:szCs w:val="22"/>
                <w:color w:val="auto"/>
              </w:rPr>
            </w:pPr>
          </w:p>
        </w:tc>
        <w:tc>
          <w:tcPr>
            <w:tcW w:w="120" w:type="dxa"/>
            <w:vAlign w:val="bottom"/>
            <w:tcBorders>
              <w:bottom w:val="single" w:sz="8" w:color="DCE2E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(8.1)</w:t>
            </w:r>
          </w:p>
        </w:tc>
      </w:tr>
      <w:tr>
        <w:trPr>
          <w:trHeight w:val="240"/>
        </w:trPr>
        <w:tc>
          <w:tcPr>
            <w:tcW w:w="20" w:type="dxa"/>
            <w:vAlign w:val="bottom"/>
            <w:tcBorders>
              <w:bottom w:val="single" w:sz="8" w:color="DCE2EF"/>
            </w:tcBorders>
            <w:shd w:val="clear" w:color="auto" w:fill="DCE2EF"/>
          </w:tcPr>
          <w:p>
            <w:pPr>
              <w:spacing w:after="0"/>
              <w:rPr>
                <w:sz w:val="20"/>
                <w:szCs w:val="20"/>
                <w:color w:val="auto"/>
              </w:rPr>
            </w:pPr>
          </w:p>
        </w:tc>
        <w:tc>
          <w:tcPr>
            <w:tcW w:w="5700" w:type="dxa"/>
            <w:vAlign w:val="bottom"/>
            <w:tcBorders>
              <w:bottom w:val="single" w:sz="8" w:color="DCE2EF"/>
            </w:tcBorders>
            <w:gridSpan w:val="2"/>
            <w:shd w:val="clear" w:color="auto" w:fill="DCE2EF"/>
          </w:tcPr>
          <w:p>
            <w:pPr>
              <w:ind w:left="240"/>
              <w:spacing w:after="0"/>
              <w:rPr>
                <w:sz w:val="20"/>
                <w:szCs w:val="20"/>
                <w:color w:val="auto"/>
              </w:rPr>
            </w:pPr>
            <w:r>
              <w:rPr>
                <w:rFonts w:ascii="Arial" w:cs="Arial" w:eastAsia="Arial" w:hAnsi="Arial"/>
                <w:sz w:val="16"/>
                <w:szCs w:val="16"/>
                <w:color w:val="auto"/>
              </w:rPr>
              <w:t>Net assets acquired</w:t>
            </w:r>
          </w:p>
        </w:tc>
        <w:tc>
          <w:tcPr>
            <w:tcW w:w="180" w:type="dxa"/>
            <w:vAlign w:val="bottom"/>
            <w:tcBorders>
              <w:bottom w:val="single" w:sz="8" w:color="auto"/>
            </w:tcBorders>
            <w:shd w:val="clear" w:color="auto" w:fill="DCE2EF"/>
          </w:tcPr>
          <w:p>
            <w:pPr>
              <w:jc w:val="right"/>
              <w:spacing w:after="0"/>
              <w:rPr>
                <w:sz w:val="20"/>
                <w:szCs w:val="20"/>
                <w:color w:val="auto"/>
              </w:rPr>
            </w:pPr>
            <w:r>
              <w:rPr>
                <w:rFonts w:ascii="Arial" w:cs="Arial" w:eastAsia="Arial" w:hAnsi="Arial"/>
                <w:sz w:val="16"/>
                <w:szCs w:val="16"/>
                <w:color w:val="auto"/>
                <w:w w:val="89"/>
              </w:rPr>
              <w:t>$</w:t>
            </w:r>
          </w:p>
        </w:tc>
        <w:tc>
          <w:tcPr>
            <w:tcW w:w="1640" w:type="dxa"/>
            <w:vAlign w:val="bottom"/>
            <w:tcBorders>
              <w:bottom w:val="single" w:sz="8" w:color="auto"/>
            </w:tcBorders>
            <w:shd w:val="clear" w:color="auto" w:fill="DCE2EF"/>
          </w:tcPr>
          <w:p>
            <w:pPr>
              <w:jc w:val="right"/>
              <w:ind w:right="39"/>
              <w:spacing w:after="0"/>
              <w:rPr>
                <w:sz w:val="20"/>
                <w:szCs w:val="20"/>
                <w:color w:val="auto"/>
              </w:rPr>
            </w:pPr>
            <w:r>
              <w:rPr>
                <w:rFonts w:ascii="Arial" w:cs="Arial" w:eastAsia="Arial" w:hAnsi="Arial"/>
                <w:sz w:val="16"/>
                <w:szCs w:val="16"/>
                <w:color w:val="auto"/>
              </w:rPr>
              <w:t>1,261.3</w:t>
            </w:r>
          </w:p>
        </w:tc>
        <w:tc>
          <w:tcPr>
            <w:tcW w:w="100" w:type="dxa"/>
            <w:vAlign w:val="bottom"/>
            <w:tcBorders>
              <w:bottom w:val="single" w:sz="8" w:color="DCE2EF"/>
            </w:tcBorders>
            <w:shd w:val="clear" w:color="auto" w:fill="DCE2EF"/>
          </w:tcPr>
          <w:p>
            <w:pPr>
              <w:spacing w:after="0"/>
              <w:rPr>
                <w:sz w:val="20"/>
                <w:szCs w:val="20"/>
                <w:color w:val="auto"/>
              </w:rPr>
            </w:pPr>
          </w:p>
        </w:tc>
        <w:tc>
          <w:tcPr>
            <w:tcW w:w="260" w:type="dxa"/>
            <w:vAlign w:val="bottom"/>
            <w:tcBorders>
              <w:bottom w:val="single" w:sz="8" w:color="auto"/>
            </w:tcBorders>
            <w:shd w:val="clear" w:color="auto" w:fill="DCE2EF"/>
          </w:tcPr>
          <w:p>
            <w:pPr>
              <w:jc w:val="right"/>
              <w:ind w:right="59"/>
              <w:spacing w:after="0"/>
              <w:rPr>
                <w:sz w:val="20"/>
                <w:szCs w:val="20"/>
                <w:color w:val="auto"/>
              </w:rPr>
            </w:pPr>
            <w:r>
              <w:rPr>
                <w:rFonts w:ascii="Arial" w:cs="Arial" w:eastAsia="Arial" w:hAnsi="Arial"/>
                <w:sz w:val="16"/>
                <w:szCs w:val="16"/>
                <w:color w:val="auto"/>
              </w:rPr>
              <w:t>$</w:t>
            </w:r>
          </w:p>
        </w:tc>
        <w:tc>
          <w:tcPr>
            <w:tcW w:w="1560" w:type="dxa"/>
            <w:vAlign w:val="bottom"/>
            <w:tcBorders>
              <w:bottom w:val="single" w:sz="8" w:color="auto"/>
            </w:tcBorders>
            <w:shd w:val="clear" w:color="auto" w:fill="DCE2EF"/>
          </w:tcPr>
          <w:p>
            <w:pPr>
              <w:jc w:val="right"/>
              <w:spacing w:after="0"/>
              <w:rPr>
                <w:sz w:val="20"/>
                <w:szCs w:val="20"/>
                <w:color w:val="auto"/>
              </w:rPr>
            </w:pPr>
            <w:r>
              <w:rPr>
                <w:rFonts w:ascii="Arial" w:cs="Arial" w:eastAsia="Arial" w:hAnsi="Arial"/>
                <w:sz w:val="16"/>
                <w:szCs w:val="16"/>
                <w:color w:val="auto"/>
              </w:rPr>
              <w:t>(2.4)</w:t>
            </w:r>
          </w:p>
        </w:tc>
        <w:tc>
          <w:tcPr>
            <w:tcW w:w="120" w:type="dxa"/>
            <w:vAlign w:val="bottom"/>
            <w:tcBorders>
              <w:bottom w:val="single" w:sz="8" w:color="DCE2EF"/>
            </w:tcBorders>
            <w:shd w:val="clear" w:color="auto" w:fill="DCE2EF"/>
          </w:tcPr>
          <w:p>
            <w:pPr>
              <w:spacing w:after="0"/>
              <w:rPr>
                <w:sz w:val="20"/>
                <w:szCs w:val="20"/>
                <w:color w:val="auto"/>
              </w:rPr>
            </w:pPr>
          </w:p>
        </w:tc>
        <w:tc>
          <w:tcPr>
            <w:tcW w:w="220" w:type="dxa"/>
            <w:vAlign w:val="bottom"/>
            <w:tcBorders>
              <w:bottom w:val="single" w:sz="8" w:color="auto"/>
            </w:tcBorders>
            <w:shd w:val="clear" w:color="auto" w:fill="DCE2EF"/>
          </w:tcPr>
          <w:p>
            <w:pPr>
              <w:jc w:val="right"/>
              <w:ind w:right="39"/>
              <w:spacing w:after="0"/>
              <w:rPr>
                <w:sz w:val="20"/>
                <w:szCs w:val="20"/>
                <w:color w:val="auto"/>
              </w:rPr>
            </w:pPr>
            <w:r>
              <w:rPr>
                <w:rFonts w:ascii="Arial" w:cs="Arial" w:eastAsia="Arial" w:hAnsi="Arial"/>
                <w:sz w:val="16"/>
                <w:szCs w:val="16"/>
                <w:color w:val="auto"/>
                <w:w w:val="89"/>
              </w:rPr>
              <w:t>$</w:t>
            </w:r>
          </w:p>
        </w:tc>
        <w:tc>
          <w:tcPr>
            <w:tcW w:w="1600" w:type="dxa"/>
            <w:vAlign w:val="bottom"/>
            <w:tcBorders>
              <w:bottom w:val="single" w:sz="8" w:color="auto"/>
            </w:tcBorders>
            <w:shd w:val="clear" w:color="auto" w:fill="DCE2EF"/>
          </w:tcPr>
          <w:p>
            <w:pPr>
              <w:jc w:val="right"/>
              <w:ind w:right="39"/>
              <w:spacing w:after="0"/>
              <w:rPr>
                <w:sz w:val="20"/>
                <w:szCs w:val="20"/>
                <w:color w:val="auto"/>
              </w:rPr>
            </w:pPr>
            <w:r>
              <w:rPr>
                <w:rFonts w:ascii="Arial" w:cs="Arial" w:eastAsia="Arial" w:hAnsi="Arial"/>
                <w:sz w:val="16"/>
                <w:szCs w:val="16"/>
                <w:color w:val="auto"/>
              </w:rPr>
              <w:t>1,258.8</w:t>
            </w:r>
          </w:p>
        </w:tc>
      </w:tr>
      <w:tr>
        <w:trPr>
          <w:trHeight w:val="20"/>
        </w:trPr>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50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r>
    </w:tbl>
    <w:p>
      <w:pPr>
        <w:spacing w:after="0" w:line="63" w:lineRule="exact"/>
        <w:rPr>
          <w:sz w:val="20"/>
          <w:szCs w:val="20"/>
          <w:color w:val="auto"/>
        </w:rPr>
      </w:pPr>
    </w:p>
    <w:p>
      <w:pPr>
        <w:ind w:left="180" w:hanging="172"/>
        <w:spacing w:after="0"/>
        <w:tabs>
          <w:tab w:leader="none" w:pos="180" w:val="left"/>
        </w:tabs>
        <w:numPr>
          <w:ilvl w:val="0"/>
          <w:numId w:val="6"/>
        </w:numPr>
        <w:rPr>
          <w:rFonts w:ascii="Arial" w:cs="Arial" w:eastAsia="Arial" w:hAnsi="Arial"/>
          <w:sz w:val="21"/>
          <w:szCs w:val="21"/>
          <w:color w:val="auto"/>
          <w:vertAlign w:val="superscript"/>
        </w:rPr>
      </w:pPr>
      <w:r>
        <w:rPr>
          <w:rFonts w:ascii="Arial" w:cs="Arial" w:eastAsia="Arial" w:hAnsi="Arial"/>
          <w:sz w:val="15"/>
          <w:szCs w:val="15"/>
          <w:color w:val="auto"/>
        </w:rPr>
        <w:t>The gross amount of trade accounts receivable was $122.0 million, of which $3.9 million is expected to be uncollectible.</w:t>
      </w:r>
    </w:p>
    <w:p>
      <w:pPr>
        <w:spacing w:after="0" w:line="76" w:lineRule="exact"/>
        <w:rPr>
          <w:rFonts w:ascii="Arial" w:cs="Arial" w:eastAsia="Arial" w:hAnsi="Arial"/>
          <w:sz w:val="21"/>
          <w:szCs w:val="21"/>
          <w:color w:val="auto"/>
          <w:vertAlign w:val="superscript"/>
        </w:rPr>
      </w:pPr>
    </w:p>
    <w:p>
      <w:pPr>
        <w:ind w:left="180" w:hanging="172"/>
        <w:spacing w:after="0" w:line="219" w:lineRule="auto"/>
        <w:tabs>
          <w:tab w:leader="none" w:pos="180" w:val="left"/>
        </w:tabs>
        <w:numPr>
          <w:ilvl w:val="0"/>
          <w:numId w:val="6"/>
        </w:numPr>
        <w:rPr>
          <w:rFonts w:ascii="Arial" w:cs="Arial" w:eastAsia="Arial" w:hAnsi="Arial"/>
          <w:sz w:val="21"/>
          <w:szCs w:val="21"/>
          <w:color w:val="auto"/>
          <w:vertAlign w:val="superscript"/>
        </w:rPr>
      </w:pPr>
      <w:r>
        <w:rPr>
          <w:rFonts w:ascii="Arial" w:cs="Arial" w:eastAsia="Arial" w:hAnsi="Arial"/>
          <w:sz w:val="15"/>
          <w:szCs w:val="15"/>
          <w:color w:val="auto"/>
        </w:rPr>
        <w:t>The amortization periods for the acquired intangible assets are 15 years for customer relationships and 2 years for trade names.</w:t>
      </w:r>
    </w:p>
    <w:p>
      <w:pPr>
        <w:spacing w:after="0" w:line="102" w:lineRule="exact"/>
        <w:rPr>
          <w:rFonts w:ascii="Arial" w:cs="Arial" w:eastAsia="Arial" w:hAnsi="Arial"/>
          <w:sz w:val="21"/>
          <w:szCs w:val="21"/>
          <w:color w:val="auto"/>
          <w:vertAlign w:val="superscript"/>
        </w:rPr>
      </w:pPr>
    </w:p>
    <w:p>
      <w:pPr>
        <w:ind w:left="180" w:hanging="172"/>
        <w:spacing w:after="0" w:line="222" w:lineRule="auto"/>
        <w:tabs>
          <w:tab w:leader="none" w:pos="180" w:val="left"/>
        </w:tabs>
        <w:numPr>
          <w:ilvl w:val="0"/>
          <w:numId w:val="6"/>
        </w:numPr>
        <w:rPr>
          <w:rFonts w:ascii="Arial" w:cs="Arial" w:eastAsia="Arial" w:hAnsi="Arial"/>
          <w:sz w:val="21"/>
          <w:szCs w:val="21"/>
          <w:color w:val="auto"/>
          <w:vertAlign w:val="superscript"/>
        </w:rPr>
      </w:pPr>
      <w:r>
        <w:rPr>
          <w:rFonts w:ascii="Arial" w:cs="Arial" w:eastAsia="Arial" w:hAnsi="Arial"/>
          <w:sz w:val="15"/>
          <w:szCs w:val="15"/>
          <w:color w:val="auto"/>
        </w:rPr>
        <w:t>Goodwill is largely attributable to value we expect to obtain from long-term business growth, the established workforce, and buyer-specific synergies. This goodwill is not deductible for income tax purposes.</w:t>
      </w: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522" w:right="239" w:bottom="1440" w:gutter="0" w:footer="0" w:header="0"/>
        </w:sectPr>
      </w:pPr>
    </w:p>
    <w:bookmarkStart w:id="11" w:name="page12"/>
    <w:bookmarkEnd w:id="11"/>
    <w:p>
      <w:pPr>
        <w:spacing w:after="0"/>
        <w:rPr>
          <w:sz w:val="20"/>
          <w:szCs w:val="20"/>
          <w:color w:val="auto"/>
        </w:rPr>
      </w:pPr>
      <w:r>
        <w:rPr>
          <w:rFonts w:ascii="Arial" w:cs="Arial" w:eastAsia="Arial" w:hAnsi="Arial"/>
          <w:sz w:val="18"/>
          <w:szCs w:val="18"/>
          <w:b w:val="1"/>
          <w:bCs w:val="1"/>
          <w:i w:val="1"/>
          <w:iCs w:val="1"/>
          <w:color w:val="0046AD"/>
        </w:rPr>
        <w:t>Financial Information</w:t>
      </w:r>
    </w:p>
    <w:p>
      <w:pPr>
        <w:spacing w:after="0" w:line="193"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8"/>
          <w:szCs w:val="18"/>
          <w:color w:val="auto"/>
        </w:rPr>
        <w:t>For the three and six months ended April 30, 2018, we recorded revenue related to GCA of $256.4 million and $508.0 million, respectively, and operating profit of $7.5 million and $ 12.5 million, respectively. The following table presents our unaudited pro forma results as though the GCA acquisition occurred on November 1, 2015. The pro forma results include adjustments for the estimated amortization of intangible assets, interest expense, and the income tax impact of the pro forma adjustments at the statutory rate of 41%. These pro forma results do not reflect the cost of integration activities or benefits from expected revenue enhancements and synergies. Accordingly, the pro forma information is not necessarily indicative of the results that would have been achieved if the acquisition had been effective on November 1, 2015.</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56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30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9"/>
              </w:rPr>
              <w:t>Three Months Ended</w:t>
            </w:r>
          </w:p>
        </w:tc>
        <w:tc>
          <w:tcPr>
            <w:tcW w:w="260" w:type="dxa"/>
            <w:vAlign w:val="bottom"/>
          </w:tcPr>
          <w:p>
            <w:pPr>
              <w:spacing w:after="0"/>
              <w:rPr>
                <w:sz w:val="20"/>
                <w:szCs w:val="20"/>
                <w:color w:val="auto"/>
              </w:rPr>
            </w:pPr>
          </w:p>
        </w:tc>
        <w:tc>
          <w:tcPr>
            <w:tcW w:w="2140" w:type="dxa"/>
            <w:vAlign w:val="bottom"/>
          </w:tcPr>
          <w:p>
            <w:pPr>
              <w:jc w:val="right"/>
              <w:ind w:right="330"/>
              <w:spacing w:after="0"/>
              <w:rPr>
                <w:sz w:val="20"/>
                <w:szCs w:val="20"/>
                <w:color w:val="auto"/>
              </w:rPr>
            </w:pPr>
            <w:r>
              <w:rPr>
                <w:rFonts w:ascii="Arial" w:cs="Arial" w:eastAsia="Arial" w:hAnsi="Arial"/>
                <w:sz w:val="18"/>
                <w:szCs w:val="18"/>
                <w:b w:val="1"/>
                <w:bCs w:val="1"/>
                <w:color w:val="auto"/>
              </w:rPr>
              <w:t>Six Months Ended</w:t>
            </w:r>
          </w:p>
        </w:tc>
      </w:tr>
      <w:tr>
        <w:trPr>
          <w:trHeight w:val="243"/>
        </w:trPr>
        <w:tc>
          <w:tcPr>
            <w:tcW w:w="20" w:type="dxa"/>
            <w:vAlign w:val="bottom"/>
          </w:tcPr>
          <w:p>
            <w:pPr>
              <w:spacing w:after="0"/>
              <w:rPr>
                <w:sz w:val="21"/>
                <w:szCs w:val="21"/>
                <w:color w:val="auto"/>
              </w:rPr>
            </w:pPr>
          </w:p>
        </w:tc>
        <w:tc>
          <w:tcPr>
            <w:tcW w:w="6380" w:type="dxa"/>
            <w:vAlign w:val="bottom"/>
            <w:gridSpan w:val="3"/>
          </w:tcPr>
          <w:p>
            <w:pPr>
              <w:ind w:left="20"/>
              <w:spacing w:after="0"/>
              <w:rPr>
                <w:sz w:val="20"/>
                <w:szCs w:val="20"/>
                <w:color w:val="auto"/>
              </w:rPr>
            </w:pPr>
            <w:r>
              <w:rPr>
                <w:rFonts w:ascii="Arial" w:cs="Arial" w:eastAsia="Arial" w:hAnsi="Arial"/>
                <w:sz w:val="14"/>
                <w:szCs w:val="14"/>
                <w:i w:val="1"/>
                <w:iCs w:val="1"/>
                <w:color w:val="auto"/>
              </w:rPr>
              <w:t>(in millions)</w:t>
            </w:r>
          </w:p>
        </w:tc>
        <w:tc>
          <w:tcPr>
            <w:tcW w:w="320" w:type="dxa"/>
            <w:vAlign w:val="bottom"/>
          </w:tcPr>
          <w:p>
            <w:pPr>
              <w:spacing w:after="0"/>
              <w:rPr>
                <w:sz w:val="21"/>
                <w:szCs w:val="21"/>
                <w:color w:val="auto"/>
              </w:rPr>
            </w:pPr>
          </w:p>
        </w:tc>
        <w:tc>
          <w:tcPr>
            <w:tcW w:w="230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9"/>
              </w:rPr>
              <w:t>April 30, 2017</w:t>
            </w:r>
          </w:p>
        </w:tc>
        <w:tc>
          <w:tcPr>
            <w:tcW w:w="260" w:type="dxa"/>
            <w:vAlign w:val="bottom"/>
          </w:tcPr>
          <w:p>
            <w:pPr>
              <w:spacing w:after="0"/>
              <w:rPr>
                <w:sz w:val="21"/>
                <w:szCs w:val="21"/>
                <w:color w:val="auto"/>
              </w:rPr>
            </w:pPr>
          </w:p>
        </w:tc>
        <w:tc>
          <w:tcPr>
            <w:tcW w:w="2140" w:type="dxa"/>
            <w:vAlign w:val="bottom"/>
          </w:tcPr>
          <w:p>
            <w:pPr>
              <w:jc w:val="right"/>
              <w:ind w:right="530"/>
              <w:spacing w:after="0"/>
              <w:rPr>
                <w:sz w:val="20"/>
                <w:szCs w:val="20"/>
                <w:color w:val="auto"/>
              </w:rPr>
            </w:pPr>
            <w:r>
              <w:rPr>
                <w:rFonts w:ascii="Arial" w:cs="Arial" w:eastAsia="Arial" w:hAnsi="Arial"/>
                <w:sz w:val="18"/>
                <w:szCs w:val="18"/>
                <w:b w:val="1"/>
                <w:bCs w:val="1"/>
                <w:color w:val="auto"/>
              </w:rPr>
              <w:t>April 30, 2017</w:t>
            </w:r>
          </w:p>
        </w:tc>
      </w:tr>
      <w:tr>
        <w:trPr>
          <w:trHeight w:val="21"/>
        </w:trPr>
        <w:tc>
          <w:tcPr>
            <w:tcW w:w="20" w:type="dxa"/>
            <w:vAlign w:val="bottom"/>
          </w:tcPr>
          <w:p>
            <w:pPr>
              <w:spacing w:after="0" w:line="20" w:lineRule="exact"/>
              <w:rPr>
                <w:sz w:val="1"/>
                <w:szCs w:val="1"/>
                <w:color w:val="auto"/>
              </w:rPr>
            </w:pPr>
          </w:p>
        </w:tc>
        <w:tc>
          <w:tcPr>
            <w:tcW w:w="20" w:type="dxa"/>
            <w:vAlign w:val="bottom"/>
            <w:tcBorders>
              <w:bottom w:val="single" w:sz="8" w:color="DCE2EF"/>
            </w:tcBorders>
          </w:tcPr>
          <w:p>
            <w:pPr>
              <w:spacing w:after="0" w:line="20" w:lineRule="exact"/>
              <w:rPr>
                <w:sz w:val="1"/>
                <w:szCs w:val="1"/>
                <w:color w:val="auto"/>
              </w:rPr>
            </w:pPr>
          </w:p>
        </w:tc>
        <w:tc>
          <w:tcPr>
            <w:tcW w:w="700" w:type="dxa"/>
            <w:vAlign w:val="bottom"/>
            <w:tcBorders>
              <w:top w:val="single" w:sz="8" w:color="auto"/>
              <w:bottom w:val="single" w:sz="8" w:color="DCE2EF"/>
            </w:tcBorders>
          </w:tcPr>
          <w:p>
            <w:pPr>
              <w:spacing w:after="0" w:line="20" w:lineRule="exact"/>
              <w:rPr>
                <w:sz w:val="1"/>
                <w:szCs w:val="1"/>
                <w:color w:val="auto"/>
              </w:rPr>
            </w:pPr>
          </w:p>
        </w:tc>
        <w:tc>
          <w:tcPr>
            <w:tcW w:w="5660" w:type="dxa"/>
            <w:vAlign w:val="bottom"/>
            <w:tcBorders>
              <w:bottom w:val="single" w:sz="8" w:color="DCE2E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1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DCE2E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2140" w:type="dxa"/>
            <w:vAlign w:val="bottom"/>
            <w:tcBorders>
              <w:bottom w:val="single" w:sz="8" w:color="auto"/>
            </w:tcBorders>
          </w:tcPr>
          <w:p>
            <w:pPr>
              <w:spacing w:after="0" w:line="20" w:lineRule="exact"/>
              <w:rPr>
                <w:sz w:val="1"/>
                <w:szCs w:val="1"/>
                <w:color w:val="auto"/>
              </w:rPr>
            </w:pPr>
          </w:p>
        </w:tc>
      </w:tr>
      <w:tr>
        <w:trPr>
          <w:trHeight w:val="264"/>
        </w:trPr>
        <w:tc>
          <w:tcPr>
            <w:tcW w:w="20" w:type="dxa"/>
            <w:vAlign w:val="bottom"/>
          </w:tcPr>
          <w:p>
            <w:pPr>
              <w:spacing w:after="0"/>
              <w:rPr>
                <w:sz w:val="22"/>
                <w:szCs w:val="22"/>
                <w:color w:val="auto"/>
              </w:rPr>
            </w:pPr>
          </w:p>
        </w:tc>
        <w:tc>
          <w:tcPr>
            <w:tcW w:w="6380" w:type="dxa"/>
            <w:vAlign w:val="bottom"/>
            <w:gridSpan w:val="3"/>
            <w:shd w:val="clear" w:color="auto" w:fill="DCE2EF"/>
          </w:tcPr>
          <w:p>
            <w:pPr>
              <w:ind w:left="20"/>
              <w:spacing w:after="0"/>
              <w:rPr>
                <w:sz w:val="20"/>
                <w:szCs w:val="20"/>
                <w:color w:val="auto"/>
              </w:rPr>
            </w:pPr>
            <w:r>
              <w:rPr>
                <w:rFonts w:ascii="Arial" w:cs="Arial" w:eastAsia="Arial" w:hAnsi="Arial"/>
                <w:sz w:val="18"/>
                <w:szCs w:val="18"/>
                <w:color w:val="auto"/>
              </w:rPr>
              <w:t>Pro forma revenue</w:t>
            </w:r>
          </w:p>
        </w:tc>
        <w:tc>
          <w:tcPr>
            <w:tcW w:w="320" w:type="dxa"/>
            <w:vAlign w:val="bottom"/>
            <w:shd w:val="clear" w:color="auto" w:fill="DCE2EF"/>
          </w:tcPr>
          <w:p>
            <w:pPr>
              <w:jc w:val="right"/>
              <w:ind w:right="10"/>
              <w:spacing w:after="0"/>
              <w:rPr>
                <w:sz w:val="20"/>
                <w:szCs w:val="20"/>
                <w:color w:val="auto"/>
              </w:rPr>
            </w:pPr>
            <w:r>
              <w:rPr>
                <w:rFonts w:ascii="Arial" w:cs="Arial" w:eastAsia="Arial" w:hAnsi="Arial"/>
                <w:sz w:val="18"/>
                <w:szCs w:val="18"/>
                <w:color w:val="auto"/>
              </w:rPr>
              <w:t>$</w:t>
            </w:r>
          </w:p>
        </w:tc>
        <w:tc>
          <w:tcPr>
            <w:tcW w:w="2180" w:type="dxa"/>
            <w:vAlign w:val="bottom"/>
            <w:shd w:val="clear" w:color="auto" w:fill="DCE2EF"/>
          </w:tcPr>
          <w:p>
            <w:pPr>
              <w:jc w:val="right"/>
              <w:ind w:right="10"/>
              <w:spacing w:after="0"/>
              <w:rPr>
                <w:sz w:val="20"/>
                <w:szCs w:val="20"/>
                <w:color w:val="auto"/>
              </w:rPr>
            </w:pPr>
            <w:r>
              <w:rPr>
                <w:rFonts w:ascii="Arial" w:cs="Arial" w:eastAsia="Arial" w:hAnsi="Arial"/>
                <w:sz w:val="18"/>
                <w:szCs w:val="18"/>
                <w:color w:val="auto"/>
              </w:rPr>
              <w:t>1,560.5</w:t>
            </w:r>
          </w:p>
        </w:tc>
        <w:tc>
          <w:tcPr>
            <w:tcW w:w="120" w:type="dxa"/>
            <w:vAlign w:val="bottom"/>
            <w:shd w:val="clear" w:color="auto" w:fill="DCE2EF"/>
          </w:tcPr>
          <w:p>
            <w:pPr>
              <w:spacing w:after="0"/>
              <w:rPr>
                <w:sz w:val="22"/>
                <w:szCs w:val="22"/>
                <w:color w:val="auto"/>
              </w:rPr>
            </w:pPr>
          </w:p>
        </w:tc>
        <w:tc>
          <w:tcPr>
            <w:tcW w:w="260" w:type="dxa"/>
            <w:vAlign w:val="bottom"/>
            <w:shd w:val="clear" w:color="auto" w:fill="DCE2EF"/>
          </w:tcPr>
          <w:p>
            <w:pPr>
              <w:jc w:val="right"/>
              <w:ind w:right="50"/>
              <w:spacing w:after="0"/>
              <w:rPr>
                <w:sz w:val="20"/>
                <w:szCs w:val="20"/>
                <w:color w:val="auto"/>
              </w:rPr>
            </w:pPr>
            <w:r>
              <w:rPr>
                <w:rFonts w:ascii="Arial" w:cs="Arial" w:eastAsia="Arial" w:hAnsi="Arial"/>
                <w:sz w:val="18"/>
                <w:szCs w:val="18"/>
                <w:color w:val="auto"/>
                <w:w w:val="99"/>
              </w:rPr>
              <w:t>$</w:t>
            </w:r>
          </w:p>
        </w:tc>
        <w:tc>
          <w:tcPr>
            <w:tcW w:w="2140" w:type="dxa"/>
            <w:vAlign w:val="bottom"/>
            <w:shd w:val="clear" w:color="auto" w:fill="DCE2EF"/>
          </w:tcPr>
          <w:p>
            <w:pPr>
              <w:jc w:val="right"/>
              <w:ind w:right="30"/>
              <w:spacing w:after="0"/>
              <w:rPr>
                <w:sz w:val="20"/>
                <w:szCs w:val="20"/>
                <w:color w:val="auto"/>
              </w:rPr>
            </w:pPr>
            <w:r>
              <w:rPr>
                <w:rFonts w:ascii="Arial" w:cs="Arial" w:eastAsia="Arial" w:hAnsi="Arial"/>
                <w:sz w:val="18"/>
                <w:szCs w:val="18"/>
                <w:color w:val="auto"/>
              </w:rPr>
              <w:t>3,139.4</w:t>
            </w:r>
          </w:p>
        </w:tc>
      </w:tr>
      <w:tr>
        <w:trPr>
          <w:trHeight w:val="257"/>
        </w:trPr>
        <w:tc>
          <w:tcPr>
            <w:tcW w:w="20" w:type="dxa"/>
            <w:vAlign w:val="bottom"/>
          </w:tcPr>
          <w:p>
            <w:pPr>
              <w:spacing w:after="0"/>
              <w:rPr>
                <w:sz w:val="22"/>
                <w:szCs w:val="22"/>
                <w:color w:val="auto"/>
              </w:rPr>
            </w:pPr>
          </w:p>
        </w:tc>
        <w:tc>
          <w:tcPr>
            <w:tcW w:w="6380" w:type="dxa"/>
            <w:vAlign w:val="bottom"/>
            <w:gridSpan w:val="3"/>
          </w:tcPr>
          <w:p>
            <w:pPr>
              <w:ind w:left="20"/>
              <w:spacing w:after="0"/>
              <w:rPr>
                <w:sz w:val="20"/>
                <w:szCs w:val="20"/>
                <w:color w:val="auto"/>
              </w:rPr>
            </w:pPr>
            <w:r>
              <w:rPr>
                <w:rFonts w:ascii="Arial" w:cs="Arial" w:eastAsia="Arial" w:hAnsi="Arial"/>
                <w:sz w:val="18"/>
                <w:szCs w:val="18"/>
                <w:color w:val="auto"/>
              </w:rPr>
              <w:t>Pro forma income from continuing operations</w:t>
            </w:r>
          </w:p>
        </w:tc>
        <w:tc>
          <w:tcPr>
            <w:tcW w:w="320" w:type="dxa"/>
            <w:vAlign w:val="bottom"/>
          </w:tcPr>
          <w:p>
            <w:pPr>
              <w:spacing w:after="0"/>
              <w:rPr>
                <w:sz w:val="22"/>
                <w:szCs w:val="22"/>
                <w:color w:val="auto"/>
              </w:rPr>
            </w:pPr>
          </w:p>
        </w:tc>
        <w:tc>
          <w:tcPr>
            <w:tcW w:w="2180" w:type="dxa"/>
            <w:vAlign w:val="bottom"/>
          </w:tcPr>
          <w:p>
            <w:pPr>
              <w:jc w:val="right"/>
              <w:ind w:right="10"/>
              <w:spacing w:after="0"/>
              <w:rPr>
                <w:sz w:val="20"/>
                <w:szCs w:val="20"/>
                <w:color w:val="auto"/>
              </w:rPr>
            </w:pPr>
            <w:r>
              <w:rPr>
                <w:rFonts w:ascii="Arial" w:cs="Arial" w:eastAsia="Arial" w:hAnsi="Arial"/>
                <w:sz w:val="18"/>
                <w:szCs w:val="18"/>
                <w:color w:val="auto"/>
              </w:rPr>
              <w:t>31.9</w:t>
            </w: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2140" w:type="dxa"/>
            <w:vAlign w:val="bottom"/>
          </w:tcPr>
          <w:p>
            <w:pPr>
              <w:jc w:val="right"/>
              <w:ind w:right="30"/>
              <w:spacing w:after="0"/>
              <w:rPr>
                <w:sz w:val="20"/>
                <w:szCs w:val="20"/>
                <w:color w:val="auto"/>
              </w:rPr>
            </w:pPr>
            <w:r>
              <w:rPr>
                <w:rFonts w:ascii="Arial" w:cs="Arial" w:eastAsia="Arial" w:hAnsi="Arial"/>
                <w:sz w:val="18"/>
                <w:szCs w:val="18"/>
                <w:color w:val="auto"/>
              </w:rPr>
              <w:t>46.5</w:t>
            </w:r>
          </w:p>
        </w:tc>
      </w:tr>
      <w:tr>
        <w:trPr>
          <w:trHeight w:val="392"/>
        </w:trPr>
        <w:tc>
          <w:tcPr>
            <w:tcW w:w="6400" w:type="dxa"/>
            <w:vAlign w:val="bottom"/>
            <w:gridSpan w:val="4"/>
          </w:tcPr>
          <w:p>
            <w:pPr>
              <w:spacing w:after="0"/>
              <w:rPr>
                <w:sz w:val="20"/>
                <w:szCs w:val="20"/>
                <w:color w:val="auto"/>
              </w:rPr>
            </w:pPr>
            <w:r>
              <w:rPr>
                <w:rFonts w:ascii="Arial" w:cs="Arial" w:eastAsia="Arial" w:hAnsi="Arial"/>
                <w:sz w:val="18"/>
                <w:szCs w:val="18"/>
                <w:b w:val="1"/>
                <w:bCs w:val="1"/>
                <w:color w:val="0046AD"/>
              </w:rPr>
              <w:t>Other 2017 Acquisitions</w:t>
            </w:r>
          </w:p>
        </w:tc>
        <w:tc>
          <w:tcPr>
            <w:tcW w:w="320" w:type="dxa"/>
            <w:vAlign w:val="bottom"/>
          </w:tcPr>
          <w:p>
            <w:pPr>
              <w:spacing w:after="0"/>
              <w:rPr>
                <w:sz w:val="24"/>
                <w:szCs w:val="24"/>
                <w:color w:val="auto"/>
              </w:rPr>
            </w:pPr>
          </w:p>
        </w:tc>
        <w:tc>
          <w:tcPr>
            <w:tcW w:w="2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140" w:type="dxa"/>
            <w:vAlign w:val="bottom"/>
          </w:tcPr>
          <w:p>
            <w:pPr>
              <w:spacing w:after="0"/>
              <w:rPr>
                <w:sz w:val="24"/>
                <w:szCs w:val="24"/>
                <w:color w:val="auto"/>
              </w:rPr>
            </w:pPr>
          </w:p>
        </w:tc>
      </w:tr>
    </w:tbl>
    <w:p>
      <w:pPr>
        <w:spacing w:after="0" w:line="161"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Effective December 1, 2016, we acquired all of the outstanding stock of Mechanical Solutions, Inc. (“MSI”), a provider of specialized HVAC, chiller, and plumbing services, for a purchase price of $12.6 million. The purchase price includes up to $1.0 million of undiscounted contingent consideration that is based on the expected achievement of certain pre-established revenue goals. See Note 6, “Fair Value of Financial Instruments,” regarding our valuation of contingent consideration liabilities. As of December 1, 2016, the operations of MSI are included in our Technical Solutions segment.</w:t>
      </w:r>
    </w:p>
    <w:p>
      <w:pPr>
        <w:spacing w:after="0" w:line="206"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color w:val="auto"/>
        </w:rPr>
        <w:t>Effective December 1, 2016, we also acquired all of the outstanding stock of OFJ Connections Ltd (“OFJ”), a provider of airport transportation services in the United Kingdom, for a purchase price of $6.3 million. As of December 1, 2016, the operations of OFJ are included in our Aviation segment.</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0046AD"/>
        </w:rPr>
        <w:t>Pro Forma and Other Supplemental Financial Information</w:t>
      </w:r>
    </w:p>
    <w:p>
      <w:pPr>
        <w:spacing w:after="0" w:line="193" w:lineRule="exact"/>
        <w:rPr>
          <w:sz w:val="20"/>
          <w:szCs w:val="20"/>
          <w:color w:val="auto"/>
        </w:rPr>
      </w:pPr>
    </w:p>
    <w:p>
      <w:pPr>
        <w:jc w:val="both"/>
        <w:ind w:right="20" w:firstLine="648"/>
        <w:spacing w:after="0" w:line="262" w:lineRule="auto"/>
        <w:rPr>
          <w:sz w:val="20"/>
          <w:szCs w:val="20"/>
          <w:color w:val="auto"/>
        </w:rPr>
      </w:pPr>
      <w:r>
        <w:rPr>
          <w:rFonts w:ascii="Arial" w:cs="Arial" w:eastAsia="Arial" w:hAnsi="Arial"/>
          <w:sz w:val="18"/>
          <w:szCs w:val="18"/>
          <w:color w:val="auto"/>
        </w:rPr>
        <w:t>Except for GCA, we do not present pro forma and other financial information for our other acquisitions, as they are not considered material business combinations individually or on a combined basis.</w:t>
      </w: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360" w:right="239" w:bottom="1440" w:gutter="0" w:footer="0" w:header="0"/>
        </w:sectPr>
      </w:pPr>
    </w:p>
    <w:bookmarkStart w:id="12" w:name="page13"/>
    <w:bookmarkEnd w:id="12"/>
    <w:p>
      <w:pPr>
        <w:spacing w:after="0"/>
        <w:rPr>
          <w:sz w:val="20"/>
          <w:szCs w:val="20"/>
          <w:color w:val="auto"/>
        </w:rPr>
      </w:pPr>
      <w:r>
        <w:rPr>
          <w:rFonts w:ascii="Arial" w:cs="Arial" w:eastAsia="Arial" w:hAnsi="Arial"/>
          <w:sz w:val="18"/>
          <w:szCs w:val="18"/>
          <w:b w:val="1"/>
          <w:bCs w:val="1"/>
          <w:color w:val="0046AD"/>
        </w:rPr>
        <w:t>4. RESTRUCTURING AND RELATED COSTS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106045</wp:posOffset>
            </wp:positionV>
            <wp:extent cx="723773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37730" cy="8890"/>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0046AD"/>
        </w:rPr>
        <w:t>GCA Restructuring</w:t>
      </w:r>
    </w:p>
    <w:p>
      <w:pPr>
        <w:spacing w:after="0" w:line="193"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color w:val="auto"/>
        </w:rPr>
        <w:t>Following the acquisition of GCA, during the first quarter of 2018 we initiated a restructuring program to achieve cost synergies from our combined operations. We incurred the majority of our anticipated severance expense associated with this restructuring program in the first half of 2018. We expect to incur additional charges related to other project fees and rebranding activities in the second half of 2018.</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FF9900"/>
        </w:rPr>
        <w:t xml:space="preserve">2020 </w:t>
      </w:r>
      <w:r>
        <w:rPr>
          <w:rFonts w:ascii="Arial" w:cs="Arial" w:eastAsia="Arial" w:hAnsi="Arial"/>
          <w:sz w:val="18"/>
          <w:szCs w:val="18"/>
          <w:b w:val="1"/>
          <w:bCs w:val="1"/>
          <w:color w:val="0070C0"/>
        </w:rPr>
        <w:t>Vision</w:t>
      </w:r>
      <w:r>
        <w:rPr>
          <w:rFonts w:ascii="Arial" w:cs="Arial" w:eastAsia="Arial" w:hAnsi="Arial"/>
          <w:sz w:val="18"/>
          <w:szCs w:val="18"/>
          <w:b w:val="1"/>
          <w:bCs w:val="1"/>
          <w:color w:val="FF9900"/>
        </w:rPr>
        <w:t xml:space="preserve"> </w:t>
      </w:r>
      <w:r>
        <w:rPr>
          <w:rFonts w:ascii="Arial" w:cs="Arial" w:eastAsia="Arial" w:hAnsi="Arial"/>
          <w:sz w:val="18"/>
          <w:szCs w:val="18"/>
          <w:b w:val="1"/>
          <w:bCs w:val="1"/>
          <w:color w:val="0046AD"/>
        </w:rPr>
        <w:t>Restructuring</w:t>
      </w:r>
    </w:p>
    <w:p>
      <w:pPr>
        <w:spacing w:after="0" w:line="193"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8"/>
          <w:szCs w:val="18"/>
          <w:color w:val="auto"/>
        </w:rPr>
        <w:t>During the fourth quarter of 2015, our Board of Directors approved a comprehensive strategy intended to have a positive transformative effect on ABM (the “</w:t>
      </w:r>
      <w:r>
        <w:rPr>
          <w:rFonts w:ascii="Arial" w:cs="Arial" w:eastAsia="Arial" w:hAnsi="Arial"/>
          <w:sz w:val="18"/>
          <w:szCs w:val="18"/>
          <w:b w:val="1"/>
          <w:bCs w:val="1"/>
          <w:color w:val="FF9900"/>
        </w:rPr>
        <w:t>2020</w:t>
      </w:r>
      <w:r>
        <w:rPr>
          <w:rFonts w:ascii="Arial" w:cs="Arial" w:eastAsia="Arial" w:hAnsi="Arial"/>
          <w:sz w:val="18"/>
          <w:szCs w:val="18"/>
          <w:color w:val="auto"/>
        </w:rPr>
        <w:t xml:space="preserve"> </w:t>
      </w:r>
      <w:r>
        <w:rPr>
          <w:rFonts w:ascii="Arial" w:cs="Arial" w:eastAsia="Arial" w:hAnsi="Arial"/>
          <w:sz w:val="18"/>
          <w:szCs w:val="18"/>
          <w:b w:val="1"/>
          <w:bCs w:val="1"/>
          <w:color w:val="0070C0"/>
        </w:rPr>
        <w:t>Vision</w:t>
      </w:r>
      <w:r>
        <w:rPr>
          <w:rFonts w:ascii="Arial" w:cs="Arial" w:eastAsia="Arial" w:hAnsi="Arial"/>
          <w:sz w:val="18"/>
          <w:szCs w:val="18"/>
          <w:color w:val="auto"/>
        </w:rPr>
        <w:t xml:space="preserve">”). As part of the </w:t>
      </w:r>
      <w:r>
        <w:rPr>
          <w:rFonts w:ascii="Arial" w:cs="Arial" w:eastAsia="Arial" w:hAnsi="Arial"/>
          <w:sz w:val="18"/>
          <w:szCs w:val="18"/>
          <w:b w:val="1"/>
          <w:bCs w:val="1"/>
          <w:color w:val="FF9900"/>
        </w:rPr>
        <w:t>2020</w:t>
      </w:r>
      <w:r>
        <w:rPr>
          <w:rFonts w:ascii="Arial" w:cs="Arial" w:eastAsia="Arial" w:hAnsi="Arial"/>
          <w:sz w:val="18"/>
          <w:szCs w:val="18"/>
          <w:color w:val="auto"/>
        </w:rPr>
        <w:t xml:space="preserve"> </w:t>
      </w:r>
      <w:r>
        <w:rPr>
          <w:rFonts w:ascii="Arial" w:cs="Arial" w:eastAsia="Arial" w:hAnsi="Arial"/>
          <w:sz w:val="18"/>
          <w:szCs w:val="18"/>
          <w:b w:val="1"/>
          <w:bCs w:val="1"/>
          <w:color w:val="0070C0"/>
        </w:rPr>
        <w:t>Vision</w:t>
      </w:r>
      <w:r>
        <w:rPr>
          <w:rFonts w:ascii="Arial" w:cs="Arial" w:eastAsia="Arial" w:hAnsi="Arial"/>
          <w:sz w:val="18"/>
          <w:szCs w:val="18"/>
          <w:color w:val="auto"/>
        </w:rPr>
        <w:t xml:space="preserve">, we identified key priorities to differentiate ABM in the marketplace, accelerate revenue growth for certain industry groups, and improve our margin profile. We incurred additional expenses primarily related to external support fees and other project fees during the six months ended April 30, 2018 relating to this strategy. We do not expect to incur significant </w:t>
      </w:r>
      <w:r>
        <w:rPr>
          <w:rFonts w:ascii="Arial" w:cs="Arial" w:eastAsia="Arial" w:hAnsi="Arial"/>
          <w:sz w:val="18"/>
          <w:szCs w:val="18"/>
          <w:b w:val="1"/>
          <w:bCs w:val="1"/>
          <w:color w:val="FF9900"/>
        </w:rPr>
        <w:t>2020</w:t>
      </w:r>
      <w:r>
        <w:rPr>
          <w:rFonts w:ascii="Arial" w:cs="Arial" w:eastAsia="Arial" w:hAnsi="Arial"/>
          <w:sz w:val="18"/>
          <w:szCs w:val="18"/>
          <w:color w:val="auto"/>
        </w:rPr>
        <w:t xml:space="preserve"> </w:t>
      </w:r>
      <w:r>
        <w:rPr>
          <w:rFonts w:ascii="Arial" w:cs="Arial" w:eastAsia="Arial" w:hAnsi="Arial"/>
          <w:sz w:val="18"/>
          <w:szCs w:val="18"/>
          <w:b w:val="1"/>
          <w:bCs w:val="1"/>
          <w:color w:val="0070C0"/>
        </w:rPr>
        <w:t>Vision</w:t>
      </w:r>
      <w:r>
        <w:rPr>
          <w:rFonts w:ascii="Arial" w:cs="Arial" w:eastAsia="Arial" w:hAnsi="Arial"/>
          <w:sz w:val="18"/>
          <w:szCs w:val="18"/>
          <w:color w:val="auto"/>
        </w:rPr>
        <w:t xml:space="preserve"> restructuring and related expenses in the future, other than in connection with the continued consolidation of our real estate leases.</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0046AD"/>
        </w:rPr>
        <w:t>Rollforward of Restructuring and Related Liabilities</w:t>
      </w:r>
    </w:p>
    <w:p>
      <w:pPr>
        <w:spacing w:after="0" w:line="340"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8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8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rPr>
              <w:t>Balance,</w:t>
            </w:r>
          </w:p>
        </w:tc>
        <w:tc>
          <w:tcPr>
            <w:tcW w:w="160" w:type="dxa"/>
            <w:vAlign w:val="bottom"/>
          </w:tcPr>
          <w:p>
            <w:pPr>
              <w:spacing w:after="0"/>
              <w:rPr>
                <w:sz w:val="16"/>
                <w:szCs w:val="16"/>
                <w:color w:val="auto"/>
              </w:rPr>
            </w:pPr>
          </w:p>
        </w:tc>
        <w:tc>
          <w:tcPr>
            <w:tcW w:w="142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98"/>
              </w:rPr>
              <w:t>Costs</w:t>
            </w:r>
          </w:p>
        </w:tc>
        <w:tc>
          <w:tcPr>
            <w:tcW w:w="2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00" w:type="dxa"/>
            <w:vAlign w:val="bottom"/>
          </w:tcPr>
          <w:p>
            <w:pPr>
              <w:jc w:val="right"/>
              <w:ind w:right="320"/>
              <w:spacing w:after="0"/>
              <w:rPr>
                <w:sz w:val="20"/>
                <w:szCs w:val="20"/>
                <w:color w:val="auto"/>
              </w:rPr>
            </w:pPr>
            <w:r>
              <w:rPr>
                <w:rFonts w:ascii="Arial" w:cs="Arial" w:eastAsia="Arial" w:hAnsi="Arial"/>
                <w:sz w:val="16"/>
                <w:szCs w:val="16"/>
                <w:b w:val="1"/>
                <w:bCs w:val="1"/>
                <w:color w:val="auto"/>
              </w:rPr>
              <w:t>Balance,</w:t>
            </w:r>
          </w:p>
        </w:tc>
      </w:tr>
      <w:tr>
        <w:trPr>
          <w:trHeight w:val="192"/>
        </w:trPr>
        <w:tc>
          <w:tcPr>
            <w:tcW w:w="3560" w:type="dxa"/>
            <w:vAlign w:val="bottom"/>
            <w:gridSpan w:val="3"/>
          </w:tcPr>
          <w:p>
            <w:pPr>
              <w:ind w:left="40"/>
              <w:spacing w:after="0"/>
              <w:rPr>
                <w:sz w:val="20"/>
                <w:szCs w:val="20"/>
                <w:color w:val="auto"/>
              </w:rPr>
            </w:pPr>
            <w:r>
              <w:rPr>
                <w:rFonts w:ascii="Arial" w:cs="Arial" w:eastAsia="Arial" w:hAnsi="Arial"/>
                <w:sz w:val="14"/>
                <w:szCs w:val="14"/>
                <w:i w:val="1"/>
                <w:iCs w:val="1"/>
                <w:color w:val="auto"/>
              </w:rPr>
              <w:t>(in millions)</w:t>
            </w:r>
          </w:p>
        </w:tc>
        <w:tc>
          <w:tcPr>
            <w:tcW w:w="180" w:type="dxa"/>
            <w:vAlign w:val="bottom"/>
          </w:tcPr>
          <w:p>
            <w:pPr>
              <w:spacing w:after="0"/>
              <w:rPr>
                <w:sz w:val="16"/>
                <w:szCs w:val="16"/>
                <w:color w:val="auto"/>
              </w:rPr>
            </w:pPr>
          </w:p>
        </w:tc>
        <w:tc>
          <w:tcPr>
            <w:tcW w:w="168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9"/>
              </w:rPr>
              <w:t>October 31, 2017</w:t>
            </w:r>
          </w:p>
        </w:tc>
        <w:tc>
          <w:tcPr>
            <w:tcW w:w="160" w:type="dxa"/>
            <w:vAlign w:val="bottom"/>
          </w:tcPr>
          <w:p>
            <w:pPr>
              <w:spacing w:after="0"/>
              <w:rPr>
                <w:sz w:val="16"/>
                <w:szCs w:val="16"/>
                <w:color w:val="auto"/>
              </w:rPr>
            </w:pPr>
          </w:p>
        </w:tc>
        <w:tc>
          <w:tcPr>
            <w:tcW w:w="1420" w:type="dxa"/>
            <w:vAlign w:val="bottom"/>
            <w:gridSpan w:val="2"/>
          </w:tcPr>
          <w:p>
            <w:pPr>
              <w:jc w:val="center"/>
              <w:ind w:right="280"/>
              <w:spacing w:after="0" w:line="192" w:lineRule="exact"/>
              <w:rPr>
                <w:sz w:val="20"/>
                <w:szCs w:val="20"/>
                <w:color w:val="auto"/>
              </w:rPr>
            </w:pPr>
            <w:r>
              <w:rPr>
                <w:rFonts w:ascii="Arial" w:cs="Arial" w:eastAsia="Arial" w:hAnsi="Arial"/>
                <w:sz w:val="14"/>
                <w:szCs w:val="14"/>
                <w:b w:val="1"/>
                <w:bCs w:val="1"/>
                <w:color w:val="auto"/>
              </w:rPr>
              <w:t>Recognized</w:t>
            </w:r>
            <w:r>
              <w:rPr>
                <w:rFonts w:ascii="Arial" w:cs="Arial" w:eastAsia="Arial" w:hAnsi="Arial"/>
                <w:sz w:val="22"/>
                <w:szCs w:val="22"/>
                <w:b w:val="1"/>
                <w:bCs w:val="1"/>
                <w:color w:val="auto"/>
                <w:vertAlign w:val="superscript"/>
              </w:rPr>
              <w:t>(1)</w:t>
            </w:r>
          </w:p>
        </w:tc>
        <w:tc>
          <w:tcPr>
            <w:tcW w:w="200" w:type="dxa"/>
            <w:vAlign w:val="bottom"/>
          </w:tcPr>
          <w:p>
            <w:pPr>
              <w:spacing w:after="0"/>
              <w:rPr>
                <w:sz w:val="16"/>
                <w:szCs w:val="16"/>
                <w:color w:val="auto"/>
              </w:rPr>
            </w:pPr>
          </w:p>
        </w:tc>
        <w:tc>
          <w:tcPr>
            <w:tcW w:w="1260" w:type="dxa"/>
            <w:vAlign w:val="bottom"/>
            <w:gridSpan w:val="2"/>
          </w:tcPr>
          <w:p>
            <w:pPr>
              <w:ind w:left="100"/>
              <w:spacing w:after="0"/>
              <w:rPr>
                <w:sz w:val="20"/>
                <w:szCs w:val="20"/>
                <w:color w:val="auto"/>
              </w:rPr>
            </w:pPr>
            <w:r>
              <w:rPr>
                <w:rFonts w:ascii="Arial" w:cs="Arial" w:eastAsia="Arial" w:hAnsi="Arial"/>
                <w:sz w:val="16"/>
                <w:szCs w:val="16"/>
                <w:b w:val="1"/>
                <w:bCs w:val="1"/>
                <w:color w:val="auto"/>
              </w:rPr>
              <w:t>Payments</w:t>
            </w:r>
          </w:p>
        </w:tc>
        <w:tc>
          <w:tcPr>
            <w:tcW w:w="1480" w:type="dxa"/>
            <w:vAlign w:val="bottom"/>
            <w:gridSpan w:val="3"/>
          </w:tcPr>
          <w:p>
            <w:pPr>
              <w:ind w:left="80"/>
              <w:spacing w:after="0"/>
              <w:rPr>
                <w:sz w:val="20"/>
                <w:szCs w:val="20"/>
                <w:color w:val="auto"/>
              </w:rPr>
            </w:pPr>
            <w:r>
              <w:rPr>
                <w:rFonts w:ascii="Arial" w:cs="Arial" w:eastAsia="Arial" w:hAnsi="Arial"/>
                <w:sz w:val="16"/>
                <w:szCs w:val="16"/>
                <w:b w:val="1"/>
                <w:bCs w:val="1"/>
                <w:color w:val="auto"/>
              </w:rPr>
              <w:t>Non-Cash Items</w:t>
            </w:r>
          </w:p>
        </w:tc>
        <w:tc>
          <w:tcPr>
            <w:tcW w:w="160" w:type="dxa"/>
            <w:vAlign w:val="bottom"/>
          </w:tcPr>
          <w:p>
            <w:pPr>
              <w:spacing w:after="0"/>
              <w:rPr>
                <w:sz w:val="16"/>
                <w:szCs w:val="16"/>
                <w:color w:val="auto"/>
              </w:rPr>
            </w:pPr>
          </w:p>
        </w:tc>
        <w:tc>
          <w:tcPr>
            <w:tcW w:w="1300" w:type="dxa"/>
            <w:vAlign w:val="bottom"/>
          </w:tcPr>
          <w:p>
            <w:pPr>
              <w:jc w:val="right"/>
              <w:ind w:right="140"/>
              <w:spacing w:after="0"/>
              <w:rPr>
                <w:sz w:val="20"/>
                <w:szCs w:val="20"/>
                <w:color w:val="auto"/>
              </w:rPr>
            </w:pPr>
            <w:r>
              <w:rPr>
                <w:rFonts w:ascii="Arial" w:cs="Arial" w:eastAsia="Arial" w:hAnsi="Arial"/>
                <w:sz w:val="16"/>
                <w:szCs w:val="16"/>
                <w:b w:val="1"/>
                <w:bCs w:val="1"/>
                <w:color w:val="auto"/>
              </w:rPr>
              <w:t>April 30, 2018</w:t>
            </w:r>
          </w:p>
        </w:tc>
      </w:tr>
      <w:tr>
        <w:trPr>
          <w:trHeight w:val="21"/>
        </w:trPr>
        <w:tc>
          <w:tcPr>
            <w:tcW w:w="40" w:type="dxa"/>
            <w:vAlign w:val="bottom"/>
            <w:tcBorders>
              <w:bottom w:val="single" w:sz="8" w:color="DCE2EF"/>
            </w:tcBorders>
          </w:tcPr>
          <w:p>
            <w:pPr>
              <w:spacing w:after="0" w:line="20" w:lineRule="exact"/>
              <w:rPr>
                <w:sz w:val="1"/>
                <w:szCs w:val="1"/>
                <w:color w:val="auto"/>
              </w:rPr>
            </w:pPr>
          </w:p>
        </w:tc>
        <w:tc>
          <w:tcPr>
            <w:tcW w:w="700" w:type="dxa"/>
            <w:vAlign w:val="bottom"/>
            <w:tcBorders>
              <w:top w:val="single" w:sz="8" w:color="auto"/>
              <w:bottom w:val="single" w:sz="8" w:color="DCE2EF"/>
            </w:tcBorders>
          </w:tcPr>
          <w:p>
            <w:pPr>
              <w:spacing w:after="0" w:line="20" w:lineRule="exact"/>
              <w:rPr>
                <w:sz w:val="1"/>
                <w:szCs w:val="1"/>
                <w:color w:val="auto"/>
              </w:rPr>
            </w:pPr>
          </w:p>
        </w:tc>
        <w:tc>
          <w:tcPr>
            <w:tcW w:w="2820" w:type="dxa"/>
            <w:vAlign w:val="bottom"/>
            <w:tcBorders>
              <w:bottom w:val="single" w:sz="8" w:color="DCE2E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DCE2E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DCE2E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DCE2EF"/>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DCE2E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r>
        <w:trPr>
          <w:trHeight w:val="250"/>
        </w:trPr>
        <w:tc>
          <w:tcPr>
            <w:tcW w:w="3560" w:type="dxa"/>
            <w:vAlign w:val="bottom"/>
            <w:gridSpan w:val="3"/>
            <w:shd w:val="clear" w:color="auto" w:fill="DCE2EF"/>
          </w:tcPr>
          <w:p>
            <w:pPr>
              <w:ind w:left="40"/>
              <w:spacing w:after="0"/>
              <w:rPr>
                <w:sz w:val="20"/>
                <w:szCs w:val="20"/>
                <w:color w:val="auto"/>
              </w:rPr>
            </w:pPr>
            <w:r>
              <w:rPr>
                <w:rFonts w:ascii="Arial" w:cs="Arial" w:eastAsia="Arial" w:hAnsi="Arial"/>
                <w:sz w:val="16"/>
                <w:szCs w:val="16"/>
                <w:color w:val="auto"/>
              </w:rPr>
              <w:t>Employee severance</w:t>
            </w:r>
          </w:p>
        </w:tc>
        <w:tc>
          <w:tcPr>
            <w:tcW w:w="180" w:type="dxa"/>
            <w:vAlign w:val="bottom"/>
            <w:shd w:val="clear" w:color="auto" w:fill="DCE2EF"/>
          </w:tcPr>
          <w:p>
            <w:pPr>
              <w:jc w:val="right"/>
              <w:spacing w:after="0"/>
              <w:rPr>
                <w:sz w:val="20"/>
                <w:szCs w:val="20"/>
                <w:color w:val="auto"/>
              </w:rPr>
            </w:pPr>
            <w:r>
              <w:rPr>
                <w:rFonts w:ascii="Arial" w:cs="Arial" w:eastAsia="Arial" w:hAnsi="Arial"/>
                <w:sz w:val="16"/>
                <w:szCs w:val="16"/>
                <w:color w:val="auto"/>
              </w:rPr>
              <w:t>$</w:t>
            </w:r>
          </w:p>
        </w:tc>
        <w:tc>
          <w:tcPr>
            <w:tcW w:w="1560" w:type="dxa"/>
            <w:vAlign w:val="bottom"/>
            <w:shd w:val="clear" w:color="auto" w:fill="DCE2EF"/>
          </w:tcPr>
          <w:p>
            <w:pPr>
              <w:jc w:val="right"/>
              <w:ind w:right="40"/>
              <w:spacing w:after="0"/>
              <w:rPr>
                <w:sz w:val="20"/>
                <w:szCs w:val="20"/>
                <w:color w:val="auto"/>
              </w:rPr>
            </w:pPr>
            <w:r>
              <w:rPr>
                <w:rFonts w:ascii="Arial" w:cs="Arial" w:eastAsia="Arial" w:hAnsi="Arial"/>
                <w:sz w:val="16"/>
                <w:szCs w:val="16"/>
                <w:color w:val="auto"/>
              </w:rPr>
              <w:t>2.7</w:t>
            </w:r>
          </w:p>
        </w:tc>
        <w:tc>
          <w:tcPr>
            <w:tcW w:w="120" w:type="dxa"/>
            <w:vAlign w:val="bottom"/>
            <w:shd w:val="clear" w:color="auto" w:fill="DCE2EF"/>
          </w:tcPr>
          <w:p>
            <w:pPr>
              <w:spacing w:after="0"/>
              <w:rPr>
                <w:sz w:val="21"/>
                <w:szCs w:val="21"/>
                <w:color w:val="auto"/>
              </w:rPr>
            </w:pPr>
          </w:p>
        </w:tc>
        <w:tc>
          <w:tcPr>
            <w:tcW w:w="160" w:type="dxa"/>
            <w:vAlign w:val="bottom"/>
            <w:shd w:val="clear" w:color="auto" w:fill="DCE2EF"/>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shd w:val="clear" w:color="auto" w:fill="DCE2EF"/>
          </w:tcPr>
          <w:p>
            <w:pPr>
              <w:jc w:val="right"/>
              <w:ind w:right="21"/>
              <w:spacing w:after="0"/>
              <w:rPr>
                <w:sz w:val="20"/>
                <w:szCs w:val="20"/>
                <w:color w:val="auto"/>
              </w:rPr>
            </w:pPr>
            <w:r>
              <w:rPr>
                <w:rFonts w:ascii="Arial" w:cs="Arial" w:eastAsia="Arial" w:hAnsi="Arial"/>
                <w:sz w:val="16"/>
                <w:szCs w:val="16"/>
                <w:color w:val="auto"/>
              </w:rPr>
              <w:t>9.3</w:t>
            </w:r>
          </w:p>
        </w:tc>
        <w:tc>
          <w:tcPr>
            <w:tcW w:w="120" w:type="dxa"/>
            <w:vAlign w:val="bottom"/>
            <w:shd w:val="clear" w:color="auto" w:fill="DCE2EF"/>
          </w:tcPr>
          <w:p>
            <w:pPr>
              <w:spacing w:after="0"/>
              <w:rPr>
                <w:sz w:val="21"/>
                <w:szCs w:val="21"/>
                <w:color w:val="auto"/>
              </w:rPr>
            </w:pPr>
          </w:p>
        </w:tc>
        <w:tc>
          <w:tcPr>
            <w:tcW w:w="200" w:type="dxa"/>
            <w:vAlign w:val="bottom"/>
            <w:shd w:val="clear" w:color="auto" w:fill="DCE2EF"/>
          </w:tcPr>
          <w:p>
            <w:pPr>
              <w:jc w:val="right"/>
              <w:ind w:right="20"/>
              <w:spacing w:after="0"/>
              <w:rPr>
                <w:sz w:val="20"/>
                <w:szCs w:val="20"/>
                <w:color w:val="auto"/>
              </w:rPr>
            </w:pPr>
            <w:r>
              <w:rPr>
                <w:rFonts w:ascii="Arial" w:cs="Arial" w:eastAsia="Arial" w:hAnsi="Arial"/>
                <w:sz w:val="16"/>
                <w:szCs w:val="16"/>
                <w:color w:val="auto"/>
                <w:w w:val="89"/>
              </w:rPr>
              <w:t>$</w:t>
            </w:r>
          </w:p>
        </w:tc>
        <w:tc>
          <w:tcPr>
            <w:tcW w:w="1160" w:type="dxa"/>
            <w:vAlign w:val="bottom"/>
            <w:shd w:val="clear" w:color="auto" w:fill="DCE2EF"/>
          </w:tcPr>
          <w:p>
            <w:pPr>
              <w:jc w:val="right"/>
              <w:spacing w:after="0"/>
              <w:rPr>
                <w:sz w:val="20"/>
                <w:szCs w:val="20"/>
                <w:color w:val="auto"/>
              </w:rPr>
            </w:pPr>
            <w:r>
              <w:rPr>
                <w:rFonts w:ascii="Arial" w:cs="Arial" w:eastAsia="Arial" w:hAnsi="Arial"/>
                <w:sz w:val="16"/>
                <w:szCs w:val="16"/>
                <w:color w:val="auto"/>
              </w:rPr>
              <w:t>(6.5)</w:t>
            </w:r>
          </w:p>
        </w:tc>
        <w:tc>
          <w:tcPr>
            <w:tcW w:w="100" w:type="dxa"/>
            <w:vAlign w:val="bottom"/>
            <w:shd w:val="clear" w:color="auto" w:fill="DCE2EF"/>
          </w:tcPr>
          <w:p>
            <w:pPr>
              <w:spacing w:after="0"/>
              <w:rPr>
                <w:sz w:val="21"/>
                <w:szCs w:val="21"/>
                <w:color w:val="auto"/>
              </w:rPr>
            </w:pPr>
          </w:p>
        </w:tc>
        <w:tc>
          <w:tcPr>
            <w:tcW w:w="560" w:type="dxa"/>
            <w:vAlign w:val="bottom"/>
            <w:shd w:val="clear" w:color="auto" w:fill="DCE2EF"/>
          </w:tcPr>
          <w:p>
            <w:pPr>
              <w:jc w:val="right"/>
              <w:ind w:right="360"/>
              <w:spacing w:after="0"/>
              <w:rPr>
                <w:sz w:val="20"/>
                <w:szCs w:val="20"/>
                <w:color w:val="auto"/>
              </w:rPr>
            </w:pPr>
            <w:r>
              <w:rPr>
                <w:rFonts w:ascii="Arial" w:cs="Arial" w:eastAsia="Arial" w:hAnsi="Arial"/>
                <w:sz w:val="16"/>
                <w:szCs w:val="16"/>
                <w:color w:val="auto"/>
              </w:rPr>
              <w:t>$</w:t>
            </w:r>
          </w:p>
        </w:tc>
        <w:tc>
          <w:tcPr>
            <w:tcW w:w="920" w:type="dxa"/>
            <w:vAlign w:val="bottom"/>
            <w:gridSpan w:val="2"/>
            <w:shd w:val="clear" w:color="auto" w:fill="DCE2E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shd w:val="clear" w:color="auto" w:fill="DCE2EF"/>
          </w:tcPr>
          <w:p>
            <w:pPr>
              <w:jc w:val="right"/>
              <w:spacing w:after="0"/>
              <w:rPr>
                <w:sz w:val="20"/>
                <w:szCs w:val="20"/>
                <w:color w:val="auto"/>
              </w:rPr>
            </w:pPr>
            <w:r>
              <w:rPr>
                <w:rFonts w:ascii="Arial" w:cs="Arial" w:eastAsia="Arial" w:hAnsi="Arial"/>
                <w:sz w:val="16"/>
                <w:szCs w:val="16"/>
                <w:color w:val="auto"/>
              </w:rPr>
              <w:t>$</w:t>
            </w:r>
          </w:p>
        </w:tc>
        <w:tc>
          <w:tcPr>
            <w:tcW w:w="1300" w:type="dxa"/>
            <w:vAlign w:val="bottom"/>
            <w:shd w:val="clear" w:color="auto" w:fill="DCE2EF"/>
          </w:tcPr>
          <w:p>
            <w:pPr>
              <w:jc w:val="right"/>
              <w:ind w:right="20"/>
              <w:spacing w:after="0"/>
              <w:rPr>
                <w:sz w:val="20"/>
                <w:szCs w:val="20"/>
                <w:color w:val="auto"/>
              </w:rPr>
            </w:pPr>
            <w:r>
              <w:rPr>
                <w:rFonts w:ascii="Arial" w:cs="Arial" w:eastAsia="Arial" w:hAnsi="Arial"/>
                <w:sz w:val="16"/>
                <w:szCs w:val="16"/>
                <w:color w:val="auto"/>
              </w:rPr>
              <w:t>5.5</w:t>
            </w:r>
          </w:p>
        </w:tc>
      </w:tr>
      <w:tr>
        <w:trPr>
          <w:trHeight w:val="260"/>
        </w:trPr>
        <w:tc>
          <w:tcPr>
            <w:tcW w:w="3560" w:type="dxa"/>
            <w:vAlign w:val="bottom"/>
            <w:gridSpan w:val="3"/>
          </w:tcPr>
          <w:p>
            <w:pPr>
              <w:ind w:left="40"/>
              <w:spacing w:after="0"/>
              <w:rPr>
                <w:sz w:val="20"/>
                <w:szCs w:val="20"/>
                <w:color w:val="auto"/>
              </w:rPr>
            </w:pPr>
            <w:r>
              <w:rPr>
                <w:rFonts w:ascii="Arial" w:cs="Arial" w:eastAsia="Arial" w:hAnsi="Arial"/>
                <w:sz w:val="16"/>
                <w:szCs w:val="16"/>
                <w:color w:val="auto"/>
              </w:rPr>
              <w:t>Lease exit costs and asset impairment</w:t>
            </w:r>
          </w:p>
        </w:tc>
        <w:tc>
          <w:tcPr>
            <w:tcW w:w="180" w:type="dxa"/>
            <w:vAlign w:val="bottom"/>
          </w:tcPr>
          <w:p>
            <w:pPr>
              <w:spacing w:after="0"/>
              <w:rPr>
                <w:sz w:val="22"/>
                <w:szCs w:val="22"/>
                <w:color w:val="auto"/>
              </w:rPr>
            </w:pPr>
          </w:p>
        </w:tc>
        <w:tc>
          <w:tcPr>
            <w:tcW w:w="1560" w:type="dxa"/>
            <w:vAlign w:val="bottom"/>
          </w:tcPr>
          <w:p>
            <w:pPr>
              <w:jc w:val="right"/>
              <w:ind w:right="40"/>
              <w:spacing w:after="0"/>
              <w:rPr>
                <w:sz w:val="20"/>
                <w:szCs w:val="20"/>
                <w:color w:val="auto"/>
              </w:rPr>
            </w:pPr>
            <w:r>
              <w:rPr>
                <w:rFonts w:ascii="Arial" w:cs="Arial" w:eastAsia="Arial" w:hAnsi="Arial"/>
                <w:sz w:val="16"/>
                <w:szCs w:val="16"/>
                <w:color w:val="auto"/>
              </w:rPr>
              <w:t>2.8</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300" w:type="dxa"/>
            <w:vAlign w:val="bottom"/>
          </w:tcPr>
          <w:p>
            <w:pPr>
              <w:jc w:val="right"/>
              <w:ind w:right="21"/>
              <w:spacing w:after="0"/>
              <w:rPr>
                <w:sz w:val="20"/>
                <w:szCs w:val="20"/>
                <w:color w:val="auto"/>
              </w:rPr>
            </w:pPr>
            <w:r>
              <w:rPr>
                <w:rFonts w:ascii="Arial" w:cs="Arial" w:eastAsia="Arial" w:hAnsi="Arial"/>
                <w:sz w:val="16"/>
                <w:szCs w:val="16"/>
                <w:color w:val="auto"/>
              </w:rPr>
              <w:t>2.5</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(0.3)</w:t>
            </w:r>
          </w:p>
        </w:tc>
        <w:tc>
          <w:tcPr>
            <w:tcW w:w="10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(1.1)</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300" w:type="dxa"/>
            <w:vAlign w:val="bottom"/>
          </w:tcPr>
          <w:p>
            <w:pPr>
              <w:jc w:val="right"/>
              <w:ind w:right="20"/>
              <w:spacing w:after="0"/>
              <w:rPr>
                <w:sz w:val="20"/>
                <w:szCs w:val="20"/>
                <w:color w:val="auto"/>
              </w:rPr>
            </w:pPr>
            <w:r>
              <w:rPr>
                <w:rFonts w:ascii="Arial" w:cs="Arial" w:eastAsia="Arial" w:hAnsi="Arial"/>
                <w:sz w:val="16"/>
                <w:szCs w:val="16"/>
                <w:color w:val="auto"/>
              </w:rPr>
              <w:t>3.9</w:t>
            </w:r>
          </w:p>
        </w:tc>
      </w:tr>
      <w:tr>
        <w:trPr>
          <w:trHeight w:val="280"/>
        </w:trPr>
        <w:tc>
          <w:tcPr>
            <w:tcW w:w="3560" w:type="dxa"/>
            <w:vAlign w:val="bottom"/>
            <w:gridSpan w:val="3"/>
            <w:shd w:val="clear" w:color="auto" w:fill="DCE2EF"/>
          </w:tcPr>
          <w:p>
            <w:pPr>
              <w:ind w:left="40"/>
              <w:spacing w:after="0"/>
              <w:rPr>
                <w:sz w:val="20"/>
                <w:szCs w:val="20"/>
                <w:color w:val="auto"/>
              </w:rPr>
            </w:pPr>
            <w:r>
              <w:rPr>
                <w:rFonts w:ascii="Arial" w:cs="Arial" w:eastAsia="Arial" w:hAnsi="Arial"/>
                <w:sz w:val="16"/>
                <w:szCs w:val="16"/>
                <w:color w:val="auto"/>
              </w:rPr>
              <w:t>Other project fees</w:t>
            </w:r>
          </w:p>
        </w:tc>
        <w:tc>
          <w:tcPr>
            <w:tcW w:w="180" w:type="dxa"/>
            <w:vAlign w:val="bottom"/>
            <w:shd w:val="clear" w:color="auto" w:fill="DCE2EF"/>
          </w:tcPr>
          <w:p>
            <w:pPr>
              <w:spacing w:after="0"/>
              <w:rPr>
                <w:sz w:val="24"/>
                <w:szCs w:val="24"/>
                <w:color w:val="auto"/>
              </w:rPr>
            </w:pPr>
          </w:p>
        </w:tc>
        <w:tc>
          <w:tcPr>
            <w:tcW w:w="1560" w:type="dxa"/>
            <w:vAlign w:val="bottom"/>
            <w:shd w:val="clear" w:color="auto" w:fill="DCE2EF"/>
          </w:tcPr>
          <w:p>
            <w:pPr>
              <w:jc w:val="right"/>
              <w:ind w:right="40"/>
              <w:spacing w:after="0"/>
              <w:rPr>
                <w:sz w:val="20"/>
                <w:szCs w:val="20"/>
                <w:color w:val="auto"/>
              </w:rPr>
            </w:pPr>
            <w:r>
              <w:rPr>
                <w:rFonts w:ascii="Arial" w:cs="Arial" w:eastAsia="Arial" w:hAnsi="Arial"/>
                <w:sz w:val="16"/>
                <w:szCs w:val="16"/>
                <w:color w:val="auto"/>
              </w:rPr>
              <w:t>0.4</w:t>
            </w:r>
          </w:p>
        </w:tc>
        <w:tc>
          <w:tcPr>
            <w:tcW w:w="120" w:type="dxa"/>
            <w:vAlign w:val="bottom"/>
            <w:shd w:val="clear" w:color="auto" w:fill="DCE2EF"/>
          </w:tcPr>
          <w:p>
            <w:pPr>
              <w:spacing w:after="0"/>
              <w:rPr>
                <w:sz w:val="24"/>
                <w:szCs w:val="24"/>
                <w:color w:val="auto"/>
              </w:rPr>
            </w:pPr>
          </w:p>
        </w:tc>
        <w:tc>
          <w:tcPr>
            <w:tcW w:w="160" w:type="dxa"/>
            <w:vAlign w:val="bottom"/>
            <w:shd w:val="clear" w:color="auto" w:fill="DCE2EF"/>
          </w:tcPr>
          <w:p>
            <w:pPr>
              <w:spacing w:after="0"/>
              <w:rPr>
                <w:sz w:val="24"/>
                <w:szCs w:val="24"/>
                <w:color w:val="auto"/>
              </w:rPr>
            </w:pPr>
          </w:p>
        </w:tc>
        <w:tc>
          <w:tcPr>
            <w:tcW w:w="1300" w:type="dxa"/>
            <w:vAlign w:val="bottom"/>
            <w:shd w:val="clear" w:color="auto" w:fill="DCE2EF"/>
          </w:tcPr>
          <w:p>
            <w:pPr>
              <w:jc w:val="right"/>
              <w:ind w:right="21"/>
              <w:spacing w:after="0"/>
              <w:rPr>
                <w:sz w:val="20"/>
                <w:szCs w:val="20"/>
                <w:color w:val="auto"/>
              </w:rPr>
            </w:pPr>
            <w:r>
              <w:rPr>
                <w:rFonts w:ascii="Arial" w:cs="Arial" w:eastAsia="Arial" w:hAnsi="Arial"/>
                <w:sz w:val="16"/>
                <w:szCs w:val="16"/>
                <w:color w:val="auto"/>
              </w:rPr>
              <w:t>3.8</w:t>
            </w:r>
          </w:p>
        </w:tc>
        <w:tc>
          <w:tcPr>
            <w:tcW w:w="120" w:type="dxa"/>
            <w:vAlign w:val="bottom"/>
            <w:shd w:val="clear" w:color="auto" w:fill="DCE2EF"/>
          </w:tcPr>
          <w:p>
            <w:pPr>
              <w:spacing w:after="0"/>
              <w:rPr>
                <w:sz w:val="24"/>
                <w:szCs w:val="24"/>
                <w:color w:val="auto"/>
              </w:rPr>
            </w:pPr>
          </w:p>
        </w:tc>
        <w:tc>
          <w:tcPr>
            <w:tcW w:w="200" w:type="dxa"/>
            <w:vAlign w:val="bottom"/>
            <w:shd w:val="clear" w:color="auto" w:fill="DCE2EF"/>
          </w:tcPr>
          <w:p>
            <w:pPr>
              <w:spacing w:after="0"/>
              <w:rPr>
                <w:sz w:val="24"/>
                <w:szCs w:val="24"/>
                <w:color w:val="auto"/>
              </w:rPr>
            </w:pPr>
          </w:p>
        </w:tc>
        <w:tc>
          <w:tcPr>
            <w:tcW w:w="1160" w:type="dxa"/>
            <w:vAlign w:val="bottom"/>
            <w:shd w:val="clear" w:color="auto" w:fill="DCE2EF"/>
          </w:tcPr>
          <w:p>
            <w:pPr>
              <w:jc w:val="right"/>
              <w:spacing w:after="0"/>
              <w:rPr>
                <w:sz w:val="20"/>
                <w:szCs w:val="20"/>
                <w:color w:val="auto"/>
              </w:rPr>
            </w:pPr>
            <w:r>
              <w:rPr>
                <w:rFonts w:ascii="Arial" w:cs="Arial" w:eastAsia="Arial" w:hAnsi="Arial"/>
                <w:sz w:val="16"/>
                <w:szCs w:val="16"/>
                <w:color w:val="auto"/>
              </w:rPr>
              <w:t>(1.6)</w:t>
            </w:r>
          </w:p>
        </w:tc>
        <w:tc>
          <w:tcPr>
            <w:tcW w:w="100" w:type="dxa"/>
            <w:vAlign w:val="bottom"/>
            <w:shd w:val="clear" w:color="auto" w:fill="DCE2EF"/>
          </w:tcPr>
          <w:p>
            <w:pPr>
              <w:spacing w:after="0"/>
              <w:rPr>
                <w:sz w:val="24"/>
                <w:szCs w:val="24"/>
                <w:color w:val="auto"/>
              </w:rPr>
            </w:pPr>
          </w:p>
        </w:tc>
        <w:tc>
          <w:tcPr>
            <w:tcW w:w="560" w:type="dxa"/>
            <w:vAlign w:val="bottom"/>
            <w:shd w:val="clear" w:color="auto" w:fill="DCE2EF"/>
          </w:tcPr>
          <w:p>
            <w:pPr>
              <w:spacing w:after="0"/>
              <w:rPr>
                <w:sz w:val="24"/>
                <w:szCs w:val="24"/>
                <w:color w:val="auto"/>
              </w:rPr>
            </w:pPr>
          </w:p>
        </w:tc>
        <w:tc>
          <w:tcPr>
            <w:tcW w:w="920" w:type="dxa"/>
            <w:vAlign w:val="bottom"/>
            <w:gridSpan w:val="2"/>
            <w:shd w:val="clear" w:color="auto" w:fill="DCE2E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shd w:val="clear" w:color="auto" w:fill="DCE2EF"/>
          </w:tcPr>
          <w:p>
            <w:pPr>
              <w:spacing w:after="0"/>
              <w:rPr>
                <w:sz w:val="24"/>
                <w:szCs w:val="24"/>
                <w:color w:val="auto"/>
              </w:rPr>
            </w:pPr>
          </w:p>
        </w:tc>
        <w:tc>
          <w:tcPr>
            <w:tcW w:w="1300" w:type="dxa"/>
            <w:vAlign w:val="bottom"/>
            <w:shd w:val="clear" w:color="auto" w:fill="DCE2EF"/>
          </w:tcPr>
          <w:p>
            <w:pPr>
              <w:jc w:val="right"/>
              <w:ind w:right="20"/>
              <w:spacing w:after="0"/>
              <w:rPr>
                <w:sz w:val="20"/>
                <w:szCs w:val="20"/>
                <w:color w:val="auto"/>
              </w:rPr>
            </w:pPr>
            <w:r>
              <w:rPr>
                <w:rFonts w:ascii="Arial" w:cs="Arial" w:eastAsia="Arial" w:hAnsi="Arial"/>
                <w:sz w:val="16"/>
                <w:szCs w:val="16"/>
                <w:color w:val="auto"/>
              </w:rPr>
              <w:t>2.5</w:t>
            </w:r>
          </w:p>
        </w:tc>
      </w:tr>
      <w:tr>
        <w:trPr>
          <w:trHeight w:val="264"/>
        </w:trPr>
        <w:tc>
          <w:tcPr>
            <w:tcW w:w="3560" w:type="dxa"/>
            <w:vAlign w:val="bottom"/>
            <w:gridSpan w:val="3"/>
          </w:tcPr>
          <w:p>
            <w:pPr>
              <w:ind w:left="40"/>
              <w:spacing w:after="0"/>
              <w:rPr>
                <w:sz w:val="20"/>
                <w:szCs w:val="20"/>
                <w:color w:val="auto"/>
              </w:rPr>
            </w:pPr>
            <w:r>
              <w:rPr>
                <w:rFonts w:ascii="Arial" w:cs="Arial" w:eastAsia="Arial" w:hAnsi="Arial"/>
                <w:sz w:val="16"/>
                <w:szCs w:val="16"/>
                <w:color w:val="auto"/>
              </w:rPr>
              <w:t>External support fees</w:t>
            </w:r>
          </w:p>
        </w:tc>
        <w:tc>
          <w:tcPr>
            <w:tcW w:w="180" w:type="dxa"/>
            <w:vAlign w:val="bottom"/>
          </w:tcPr>
          <w:p>
            <w:pPr>
              <w:spacing w:after="0"/>
              <w:rPr>
                <w:sz w:val="22"/>
                <w:szCs w:val="22"/>
                <w:color w:val="auto"/>
              </w:rPr>
            </w:pPr>
          </w:p>
        </w:tc>
        <w:tc>
          <w:tcPr>
            <w:tcW w:w="1560" w:type="dxa"/>
            <w:vAlign w:val="bottom"/>
          </w:tcPr>
          <w:p>
            <w:pPr>
              <w:jc w:val="right"/>
              <w:ind w:right="40"/>
              <w:spacing w:after="0"/>
              <w:rPr>
                <w:sz w:val="20"/>
                <w:szCs w:val="20"/>
                <w:color w:val="auto"/>
              </w:rPr>
            </w:pPr>
            <w:r>
              <w:rPr>
                <w:rFonts w:ascii="Arial" w:cs="Arial" w:eastAsia="Arial" w:hAnsi="Arial"/>
                <w:sz w:val="16"/>
                <w:szCs w:val="16"/>
                <w:color w:val="auto"/>
              </w:rPr>
              <w:t>2.5</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300" w:type="dxa"/>
            <w:vAlign w:val="bottom"/>
          </w:tcPr>
          <w:p>
            <w:pPr>
              <w:jc w:val="right"/>
              <w:ind w:right="21"/>
              <w:spacing w:after="0"/>
              <w:rPr>
                <w:sz w:val="20"/>
                <w:szCs w:val="20"/>
                <w:color w:val="auto"/>
              </w:rPr>
            </w:pPr>
            <w:r>
              <w:rPr>
                <w:rFonts w:ascii="Arial" w:cs="Arial" w:eastAsia="Arial" w:hAnsi="Arial"/>
                <w:sz w:val="16"/>
                <w:szCs w:val="16"/>
                <w:color w:val="auto"/>
              </w:rPr>
              <w:t>4.0</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(6.5)</w:t>
            </w:r>
          </w:p>
        </w:tc>
        <w:tc>
          <w:tcPr>
            <w:tcW w:w="10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2"/>
                <w:szCs w:val="22"/>
                <w:color w:val="auto"/>
              </w:rPr>
            </w:pPr>
          </w:p>
        </w:tc>
        <w:tc>
          <w:tcPr>
            <w:tcW w:w="1300" w:type="dxa"/>
            <w:vAlign w:val="bottom"/>
          </w:tcPr>
          <w:p>
            <w:pPr>
              <w:jc w:val="right"/>
              <w:ind w:right="20"/>
              <w:spacing w:after="0"/>
              <w:rPr>
                <w:sz w:val="20"/>
                <w:szCs w:val="20"/>
                <w:color w:val="auto"/>
              </w:rPr>
            </w:pPr>
            <w:r>
              <w:rPr>
                <w:rFonts w:ascii="Arial" w:cs="Arial" w:eastAsia="Arial" w:hAnsi="Arial"/>
                <w:sz w:val="16"/>
                <w:szCs w:val="16"/>
                <w:color w:val="auto"/>
              </w:rPr>
              <w:t>—</w:t>
            </w:r>
          </w:p>
        </w:tc>
      </w:tr>
      <w:tr>
        <w:trPr>
          <w:trHeight w:val="240"/>
        </w:trPr>
        <w:tc>
          <w:tcPr>
            <w:tcW w:w="40" w:type="dxa"/>
            <w:vAlign w:val="bottom"/>
            <w:tcBorders>
              <w:top w:val="single" w:sz="8" w:color="DCE2EF"/>
              <w:bottom w:val="single" w:sz="8" w:color="DCE2EF"/>
            </w:tcBorders>
            <w:shd w:val="clear" w:color="auto" w:fill="DCE2EF"/>
          </w:tcPr>
          <w:p>
            <w:pPr>
              <w:spacing w:after="0"/>
              <w:rPr>
                <w:sz w:val="20"/>
                <w:szCs w:val="20"/>
                <w:color w:val="auto"/>
              </w:rPr>
            </w:pPr>
          </w:p>
        </w:tc>
        <w:tc>
          <w:tcPr>
            <w:tcW w:w="3520" w:type="dxa"/>
            <w:vAlign w:val="bottom"/>
            <w:tcBorders>
              <w:top w:val="single" w:sz="8" w:color="DCE2EF"/>
              <w:bottom w:val="single" w:sz="8" w:color="DCE2EF"/>
            </w:tcBorders>
            <w:gridSpan w:val="2"/>
            <w:shd w:val="clear" w:color="auto" w:fill="DCE2EF"/>
          </w:tcPr>
          <w:p>
            <w:pPr>
              <w:ind w:left="140"/>
              <w:spacing w:after="0"/>
              <w:rPr>
                <w:sz w:val="20"/>
                <w:szCs w:val="20"/>
                <w:color w:val="auto"/>
              </w:rPr>
            </w:pPr>
            <w:r>
              <w:rPr>
                <w:rFonts w:ascii="Arial" w:cs="Arial" w:eastAsia="Arial" w:hAnsi="Arial"/>
                <w:sz w:val="16"/>
                <w:szCs w:val="16"/>
                <w:b w:val="1"/>
                <w:bCs w:val="1"/>
                <w:color w:val="auto"/>
              </w:rPr>
              <w:t>Total</w:t>
            </w:r>
          </w:p>
        </w:tc>
        <w:tc>
          <w:tcPr>
            <w:tcW w:w="180" w:type="dxa"/>
            <w:vAlign w:val="bottom"/>
            <w:tcBorders>
              <w:top w:val="single" w:sz="8" w:color="auto"/>
              <w:bottom w:val="single" w:sz="8" w:color="auto"/>
            </w:tcBorders>
            <w:shd w:val="clear" w:color="auto" w:fill="DCE2EF"/>
          </w:tcPr>
          <w:p>
            <w:pPr>
              <w:jc w:val="right"/>
              <w:spacing w:after="0"/>
              <w:rPr>
                <w:sz w:val="20"/>
                <w:szCs w:val="20"/>
                <w:color w:val="auto"/>
              </w:rPr>
            </w:pPr>
            <w:r>
              <w:rPr>
                <w:rFonts w:ascii="Arial" w:cs="Arial" w:eastAsia="Arial" w:hAnsi="Arial"/>
                <w:sz w:val="16"/>
                <w:szCs w:val="16"/>
                <w:b w:val="1"/>
                <w:bCs w:val="1"/>
                <w:color w:val="auto"/>
              </w:rPr>
              <w:t>$</w:t>
            </w:r>
          </w:p>
        </w:tc>
        <w:tc>
          <w:tcPr>
            <w:tcW w:w="1560" w:type="dxa"/>
            <w:vAlign w:val="bottom"/>
            <w:tcBorders>
              <w:top w:val="single" w:sz="8" w:color="auto"/>
              <w:bottom w:val="single" w:sz="8" w:color="auto"/>
            </w:tcBorders>
            <w:shd w:val="clear" w:color="auto" w:fill="DCE2EF"/>
          </w:tcPr>
          <w:p>
            <w:pPr>
              <w:jc w:val="right"/>
              <w:ind w:right="40"/>
              <w:spacing w:after="0"/>
              <w:rPr>
                <w:sz w:val="20"/>
                <w:szCs w:val="20"/>
                <w:color w:val="auto"/>
              </w:rPr>
            </w:pPr>
            <w:r>
              <w:rPr>
                <w:rFonts w:ascii="Arial" w:cs="Arial" w:eastAsia="Arial" w:hAnsi="Arial"/>
                <w:sz w:val="16"/>
                <w:szCs w:val="16"/>
                <w:b w:val="1"/>
                <w:bCs w:val="1"/>
                <w:color w:val="auto"/>
              </w:rPr>
              <w:t>8.4</w:t>
            </w:r>
          </w:p>
        </w:tc>
        <w:tc>
          <w:tcPr>
            <w:tcW w:w="120" w:type="dxa"/>
            <w:vAlign w:val="bottom"/>
            <w:tcBorders>
              <w:top w:val="single" w:sz="8" w:color="DCE2EF"/>
              <w:bottom w:val="single" w:sz="8" w:color="DCE2EF"/>
            </w:tcBorders>
            <w:shd w:val="clear" w:color="auto" w:fill="DCE2EF"/>
          </w:tcPr>
          <w:p>
            <w:pPr>
              <w:spacing w:after="0"/>
              <w:rPr>
                <w:sz w:val="20"/>
                <w:szCs w:val="20"/>
                <w:color w:val="auto"/>
              </w:rPr>
            </w:pPr>
          </w:p>
        </w:tc>
        <w:tc>
          <w:tcPr>
            <w:tcW w:w="160" w:type="dxa"/>
            <w:vAlign w:val="bottom"/>
            <w:tcBorders>
              <w:top w:val="single" w:sz="8" w:color="auto"/>
              <w:bottom w:val="single" w:sz="8" w:color="auto"/>
            </w:tcBorders>
            <w:shd w:val="clear" w:color="auto" w:fill="DCE2EF"/>
          </w:tcPr>
          <w:p>
            <w:pPr>
              <w:jc w:val="right"/>
              <w:spacing w:after="0"/>
              <w:rPr>
                <w:sz w:val="20"/>
                <w:szCs w:val="20"/>
                <w:color w:val="auto"/>
              </w:rPr>
            </w:pPr>
            <w:r>
              <w:rPr>
                <w:rFonts w:ascii="Arial" w:cs="Arial" w:eastAsia="Arial" w:hAnsi="Arial"/>
                <w:sz w:val="16"/>
                <w:szCs w:val="16"/>
                <w:b w:val="1"/>
                <w:bCs w:val="1"/>
                <w:color w:val="auto"/>
                <w:w w:val="89"/>
              </w:rPr>
              <w:t>$</w:t>
            </w:r>
          </w:p>
        </w:tc>
        <w:tc>
          <w:tcPr>
            <w:tcW w:w="1300" w:type="dxa"/>
            <w:vAlign w:val="bottom"/>
            <w:tcBorders>
              <w:top w:val="single" w:sz="8" w:color="auto"/>
              <w:bottom w:val="single" w:sz="8" w:color="auto"/>
            </w:tcBorders>
            <w:shd w:val="clear" w:color="auto" w:fill="DCE2EF"/>
          </w:tcPr>
          <w:p>
            <w:pPr>
              <w:jc w:val="right"/>
              <w:ind w:right="21"/>
              <w:spacing w:after="0"/>
              <w:rPr>
                <w:sz w:val="20"/>
                <w:szCs w:val="20"/>
                <w:color w:val="auto"/>
              </w:rPr>
            </w:pPr>
            <w:r>
              <w:rPr>
                <w:rFonts w:ascii="Arial" w:cs="Arial" w:eastAsia="Arial" w:hAnsi="Arial"/>
                <w:sz w:val="16"/>
                <w:szCs w:val="16"/>
                <w:b w:val="1"/>
                <w:bCs w:val="1"/>
                <w:color w:val="auto"/>
              </w:rPr>
              <w:t>19.6</w:t>
            </w:r>
          </w:p>
        </w:tc>
        <w:tc>
          <w:tcPr>
            <w:tcW w:w="120" w:type="dxa"/>
            <w:vAlign w:val="bottom"/>
            <w:tcBorders>
              <w:top w:val="single" w:sz="8" w:color="DCE2EF"/>
              <w:bottom w:val="single" w:sz="8" w:color="DCE2EF"/>
            </w:tcBorders>
            <w:shd w:val="clear" w:color="auto" w:fill="DCE2EF"/>
          </w:tcPr>
          <w:p>
            <w:pPr>
              <w:spacing w:after="0"/>
              <w:rPr>
                <w:sz w:val="20"/>
                <w:szCs w:val="20"/>
                <w:color w:val="auto"/>
              </w:rPr>
            </w:pPr>
          </w:p>
        </w:tc>
        <w:tc>
          <w:tcPr>
            <w:tcW w:w="200" w:type="dxa"/>
            <w:vAlign w:val="bottom"/>
            <w:tcBorders>
              <w:top w:val="single" w:sz="8" w:color="auto"/>
              <w:bottom w:val="single" w:sz="8" w:color="auto"/>
            </w:tcBorders>
            <w:shd w:val="clear" w:color="auto" w:fill="DCE2EF"/>
          </w:tcPr>
          <w:p>
            <w:pPr>
              <w:jc w:val="right"/>
              <w:ind w:right="20"/>
              <w:spacing w:after="0"/>
              <w:rPr>
                <w:sz w:val="20"/>
                <w:szCs w:val="20"/>
                <w:color w:val="auto"/>
              </w:rPr>
            </w:pPr>
            <w:r>
              <w:rPr>
                <w:rFonts w:ascii="Arial" w:cs="Arial" w:eastAsia="Arial" w:hAnsi="Arial"/>
                <w:sz w:val="16"/>
                <w:szCs w:val="16"/>
                <w:b w:val="1"/>
                <w:bCs w:val="1"/>
                <w:color w:val="auto"/>
                <w:w w:val="89"/>
              </w:rPr>
              <w:t>$</w:t>
            </w:r>
          </w:p>
        </w:tc>
        <w:tc>
          <w:tcPr>
            <w:tcW w:w="1160" w:type="dxa"/>
            <w:vAlign w:val="bottom"/>
            <w:tcBorders>
              <w:top w:val="single" w:sz="8" w:color="auto"/>
              <w:bottom w:val="single" w:sz="8" w:color="auto"/>
            </w:tcBorders>
            <w:shd w:val="clear" w:color="auto" w:fill="DCE2EF"/>
          </w:tcPr>
          <w:p>
            <w:pPr>
              <w:jc w:val="right"/>
              <w:spacing w:after="0"/>
              <w:rPr>
                <w:sz w:val="20"/>
                <w:szCs w:val="20"/>
                <w:color w:val="auto"/>
              </w:rPr>
            </w:pPr>
            <w:r>
              <w:rPr>
                <w:rFonts w:ascii="Arial" w:cs="Arial" w:eastAsia="Arial" w:hAnsi="Arial"/>
                <w:sz w:val="16"/>
                <w:szCs w:val="16"/>
                <w:b w:val="1"/>
                <w:bCs w:val="1"/>
                <w:color w:val="auto"/>
              </w:rPr>
              <w:t>(14.9)</w:t>
            </w:r>
          </w:p>
        </w:tc>
        <w:tc>
          <w:tcPr>
            <w:tcW w:w="100" w:type="dxa"/>
            <w:vAlign w:val="bottom"/>
            <w:tcBorders>
              <w:top w:val="single" w:sz="8" w:color="DCE2EF"/>
              <w:bottom w:val="single" w:sz="8" w:color="DCE2EF"/>
            </w:tcBorders>
            <w:shd w:val="clear" w:color="auto" w:fill="DCE2EF"/>
          </w:tcPr>
          <w:p>
            <w:pPr>
              <w:spacing w:after="0"/>
              <w:rPr>
                <w:sz w:val="20"/>
                <w:szCs w:val="20"/>
                <w:color w:val="auto"/>
              </w:rPr>
            </w:pPr>
          </w:p>
        </w:tc>
        <w:tc>
          <w:tcPr>
            <w:tcW w:w="560" w:type="dxa"/>
            <w:vAlign w:val="bottom"/>
            <w:tcBorders>
              <w:top w:val="single" w:sz="8" w:color="auto"/>
              <w:bottom w:val="single" w:sz="8" w:color="auto"/>
            </w:tcBorders>
            <w:shd w:val="clear" w:color="auto" w:fill="DCE2EF"/>
          </w:tcPr>
          <w:p>
            <w:pPr>
              <w:jc w:val="right"/>
              <w:ind w:right="360"/>
              <w:spacing w:after="0"/>
              <w:rPr>
                <w:sz w:val="20"/>
                <w:szCs w:val="20"/>
                <w:color w:val="auto"/>
              </w:rPr>
            </w:pPr>
            <w:r>
              <w:rPr>
                <w:rFonts w:ascii="Arial" w:cs="Arial" w:eastAsia="Arial" w:hAnsi="Arial"/>
                <w:sz w:val="16"/>
                <w:szCs w:val="16"/>
                <w:b w:val="1"/>
                <w:bCs w:val="1"/>
                <w:color w:val="auto"/>
              </w:rPr>
              <w:t>$</w:t>
            </w:r>
          </w:p>
        </w:tc>
        <w:tc>
          <w:tcPr>
            <w:tcW w:w="800" w:type="dxa"/>
            <w:vAlign w:val="bottom"/>
            <w:tcBorders>
              <w:top w:val="single" w:sz="8" w:color="auto"/>
              <w:bottom w:val="single" w:sz="8" w:color="auto"/>
            </w:tcBorders>
            <w:shd w:val="clear" w:color="auto" w:fill="DCE2EF"/>
          </w:tcPr>
          <w:p>
            <w:pPr>
              <w:jc w:val="right"/>
              <w:spacing w:after="0"/>
              <w:rPr>
                <w:sz w:val="20"/>
                <w:szCs w:val="20"/>
                <w:color w:val="auto"/>
              </w:rPr>
            </w:pPr>
            <w:r>
              <w:rPr>
                <w:rFonts w:ascii="Arial" w:cs="Arial" w:eastAsia="Arial" w:hAnsi="Arial"/>
                <w:sz w:val="16"/>
                <w:szCs w:val="16"/>
                <w:b w:val="1"/>
                <w:bCs w:val="1"/>
                <w:color w:val="auto"/>
              </w:rPr>
              <w:t>(1.1)</w:t>
            </w:r>
          </w:p>
        </w:tc>
        <w:tc>
          <w:tcPr>
            <w:tcW w:w="120" w:type="dxa"/>
            <w:vAlign w:val="bottom"/>
            <w:tcBorders>
              <w:top w:val="single" w:sz="8" w:color="DCE2EF"/>
              <w:bottom w:val="single" w:sz="8" w:color="DCE2EF"/>
            </w:tcBorders>
            <w:shd w:val="clear" w:color="auto" w:fill="DCE2EF"/>
          </w:tcPr>
          <w:p>
            <w:pPr>
              <w:spacing w:after="0"/>
              <w:rPr>
                <w:sz w:val="20"/>
                <w:szCs w:val="20"/>
                <w:color w:val="auto"/>
              </w:rPr>
            </w:pPr>
          </w:p>
        </w:tc>
        <w:tc>
          <w:tcPr>
            <w:tcW w:w="160" w:type="dxa"/>
            <w:vAlign w:val="bottom"/>
            <w:tcBorders>
              <w:top w:val="single" w:sz="8" w:color="auto"/>
              <w:bottom w:val="single" w:sz="8" w:color="auto"/>
            </w:tcBorders>
            <w:shd w:val="clear" w:color="auto" w:fill="DCE2EF"/>
          </w:tcPr>
          <w:p>
            <w:pPr>
              <w:jc w:val="right"/>
              <w:spacing w:after="0"/>
              <w:rPr>
                <w:sz w:val="20"/>
                <w:szCs w:val="20"/>
                <w:color w:val="auto"/>
              </w:rPr>
            </w:pPr>
            <w:r>
              <w:rPr>
                <w:rFonts w:ascii="Arial" w:cs="Arial" w:eastAsia="Arial" w:hAnsi="Arial"/>
                <w:sz w:val="16"/>
                <w:szCs w:val="16"/>
                <w:b w:val="1"/>
                <w:bCs w:val="1"/>
                <w:color w:val="auto"/>
              </w:rPr>
              <w:t>$</w:t>
            </w:r>
          </w:p>
        </w:tc>
        <w:tc>
          <w:tcPr>
            <w:tcW w:w="1300" w:type="dxa"/>
            <w:vAlign w:val="bottom"/>
            <w:tcBorders>
              <w:top w:val="single" w:sz="8" w:color="auto"/>
              <w:bottom w:val="single" w:sz="8" w:color="auto"/>
            </w:tcBorders>
            <w:shd w:val="clear" w:color="auto" w:fill="DCE2EF"/>
          </w:tcPr>
          <w:p>
            <w:pPr>
              <w:jc w:val="right"/>
              <w:ind w:right="20"/>
              <w:spacing w:after="0"/>
              <w:rPr>
                <w:sz w:val="20"/>
                <w:szCs w:val="20"/>
                <w:color w:val="auto"/>
              </w:rPr>
            </w:pPr>
            <w:r>
              <w:rPr>
                <w:rFonts w:ascii="Arial" w:cs="Arial" w:eastAsia="Arial" w:hAnsi="Arial"/>
                <w:sz w:val="16"/>
                <w:szCs w:val="16"/>
                <w:b w:val="1"/>
                <w:bCs w:val="1"/>
                <w:color w:val="auto"/>
              </w:rPr>
              <w:t>11.9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2260600</wp:posOffset>
            </wp:positionH>
            <wp:positionV relativeFrom="paragraph">
              <wp:posOffset>8890</wp:posOffset>
            </wp:positionV>
            <wp:extent cx="4982845"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4982845" cy="8890"/>
                    </a:xfrm>
                    <a:prstGeom prst="rect">
                      <a:avLst/>
                    </a:prstGeom>
                    <a:noFill/>
                  </pic:spPr>
                </pic:pic>
              </a:graphicData>
            </a:graphic>
          </wp:anchor>
        </w:drawing>
      </w:r>
    </w:p>
    <w:p>
      <w:pPr>
        <w:ind w:left="180" w:hanging="172"/>
        <w:spacing w:after="0" w:line="222" w:lineRule="auto"/>
        <w:tabs>
          <w:tab w:leader="none" w:pos="180" w:val="left"/>
        </w:tabs>
        <w:numPr>
          <w:ilvl w:val="0"/>
          <w:numId w:val="7"/>
        </w:numPr>
        <w:rPr>
          <w:rFonts w:ascii="Arial" w:cs="Arial" w:eastAsia="Arial" w:hAnsi="Arial"/>
          <w:sz w:val="21"/>
          <w:szCs w:val="21"/>
          <w:color w:val="auto"/>
          <w:vertAlign w:val="superscript"/>
        </w:rPr>
      </w:pPr>
      <w:r>
        <w:rPr>
          <w:rFonts w:ascii="Arial" w:cs="Arial" w:eastAsia="Arial" w:hAnsi="Arial"/>
          <w:sz w:val="15"/>
          <w:szCs w:val="15"/>
          <w:color w:val="auto"/>
        </w:rPr>
        <w:t>We include these costs within corporate expenses.</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b w:val="1"/>
          <w:bCs w:val="1"/>
          <w:color w:val="0046AD"/>
        </w:rPr>
        <w:t>Cumulative Restructuring and Related Charges</w:t>
      </w:r>
    </w:p>
    <w:p>
      <w:pPr>
        <w:spacing w:after="0" w:line="340"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880" w:type="dxa"/>
            <w:vAlign w:val="bottom"/>
          </w:tcPr>
          <w:p>
            <w:pPr>
              <w:spacing w:after="0"/>
              <w:rPr>
                <w:sz w:val="16"/>
                <w:szCs w:val="16"/>
                <w:color w:val="auto"/>
              </w:rPr>
            </w:pPr>
          </w:p>
        </w:tc>
        <w:tc>
          <w:tcPr>
            <w:tcW w:w="1480" w:type="dxa"/>
            <w:vAlign w:val="bottom"/>
            <w:gridSpan w:val="3"/>
          </w:tcPr>
          <w:p>
            <w:pPr>
              <w:ind w:left="40"/>
              <w:spacing w:after="0"/>
              <w:rPr>
                <w:sz w:val="20"/>
                <w:szCs w:val="20"/>
                <w:color w:val="auto"/>
              </w:rPr>
            </w:pPr>
            <w:r>
              <w:rPr>
                <w:rFonts w:ascii="Arial" w:cs="Arial" w:eastAsia="Arial" w:hAnsi="Arial"/>
                <w:sz w:val="16"/>
                <w:szCs w:val="16"/>
                <w:b w:val="1"/>
                <w:bCs w:val="1"/>
                <w:color w:val="auto"/>
              </w:rPr>
              <w:t>External Support</w:t>
            </w:r>
          </w:p>
        </w:tc>
        <w:tc>
          <w:tcPr>
            <w:tcW w:w="200" w:type="dxa"/>
            <w:vAlign w:val="bottom"/>
          </w:tcPr>
          <w:p>
            <w:pPr>
              <w:spacing w:after="0"/>
              <w:rPr>
                <w:sz w:val="16"/>
                <w:szCs w:val="16"/>
                <w:color w:val="auto"/>
              </w:rPr>
            </w:pPr>
          </w:p>
        </w:tc>
        <w:tc>
          <w:tcPr>
            <w:tcW w:w="1280" w:type="dxa"/>
            <w:vAlign w:val="bottom"/>
            <w:gridSpan w:val="2"/>
          </w:tcPr>
          <w:p>
            <w:pPr>
              <w:ind w:left="100"/>
              <w:spacing w:after="0"/>
              <w:rPr>
                <w:sz w:val="20"/>
                <w:szCs w:val="20"/>
                <w:color w:val="auto"/>
              </w:rPr>
            </w:pPr>
            <w:r>
              <w:rPr>
                <w:rFonts w:ascii="Arial" w:cs="Arial" w:eastAsia="Arial" w:hAnsi="Arial"/>
                <w:sz w:val="16"/>
                <w:szCs w:val="16"/>
                <w:b w:val="1"/>
                <w:bCs w:val="1"/>
                <w:color w:val="auto"/>
              </w:rPr>
              <w:t>Employee</w:t>
            </w:r>
          </w:p>
        </w:tc>
        <w:tc>
          <w:tcPr>
            <w:tcW w:w="140" w:type="dxa"/>
            <w:vAlign w:val="bottom"/>
          </w:tcPr>
          <w:p>
            <w:pPr>
              <w:spacing w:after="0"/>
              <w:rPr>
                <w:sz w:val="16"/>
                <w:szCs w:val="16"/>
                <w:color w:val="auto"/>
              </w:rPr>
            </w:pPr>
          </w:p>
        </w:tc>
        <w:tc>
          <w:tcPr>
            <w:tcW w:w="132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rPr>
              <w:t>Other Project</w:t>
            </w:r>
          </w:p>
        </w:tc>
        <w:tc>
          <w:tcPr>
            <w:tcW w:w="5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8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rPr>
              <w:t>Asset</w:t>
            </w:r>
          </w:p>
        </w:tc>
        <w:tc>
          <w:tcPr>
            <w:tcW w:w="320" w:type="dxa"/>
            <w:vAlign w:val="bottom"/>
          </w:tcPr>
          <w:p>
            <w:pPr>
              <w:spacing w:after="0"/>
              <w:rPr>
                <w:sz w:val="16"/>
                <w:szCs w:val="16"/>
                <w:color w:val="auto"/>
              </w:rPr>
            </w:pPr>
          </w:p>
        </w:tc>
        <w:tc>
          <w:tcPr>
            <w:tcW w:w="1060" w:type="dxa"/>
            <w:vAlign w:val="bottom"/>
          </w:tcPr>
          <w:p>
            <w:pPr>
              <w:spacing w:after="0"/>
              <w:rPr>
                <w:sz w:val="16"/>
                <w:szCs w:val="16"/>
                <w:color w:val="auto"/>
              </w:rPr>
            </w:pPr>
          </w:p>
        </w:tc>
      </w:tr>
      <w:tr>
        <w:trPr>
          <w:trHeight w:val="192"/>
        </w:trPr>
        <w:tc>
          <w:tcPr>
            <w:tcW w:w="2620" w:type="dxa"/>
            <w:vAlign w:val="bottom"/>
            <w:gridSpan w:val="3"/>
          </w:tcPr>
          <w:p>
            <w:pPr>
              <w:ind w:left="40"/>
              <w:spacing w:after="0"/>
              <w:rPr>
                <w:sz w:val="20"/>
                <w:szCs w:val="20"/>
                <w:color w:val="auto"/>
              </w:rPr>
            </w:pPr>
            <w:r>
              <w:rPr>
                <w:rFonts w:ascii="Arial" w:cs="Arial" w:eastAsia="Arial" w:hAnsi="Arial"/>
                <w:sz w:val="14"/>
                <w:szCs w:val="14"/>
                <w:i w:val="1"/>
                <w:iCs w:val="1"/>
                <w:color w:val="auto"/>
              </w:rPr>
              <w:t>(in millions)</w:t>
            </w:r>
          </w:p>
        </w:tc>
        <w:tc>
          <w:tcPr>
            <w:tcW w:w="320" w:type="dxa"/>
            <w:vAlign w:val="bottom"/>
          </w:tcPr>
          <w:p>
            <w:pPr>
              <w:spacing w:after="0"/>
              <w:rPr>
                <w:sz w:val="16"/>
                <w:szCs w:val="16"/>
                <w:color w:val="auto"/>
              </w:rPr>
            </w:pPr>
          </w:p>
        </w:tc>
        <w:tc>
          <w:tcPr>
            <w:tcW w:w="1160" w:type="dxa"/>
            <w:vAlign w:val="bottom"/>
            <w:gridSpan w:val="2"/>
          </w:tcPr>
          <w:p>
            <w:pPr>
              <w:ind w:left="180"/>
              <w:spacing w:after="0"/>
              <w:rPr>
                <w:sz w:val="20"/>
                <w:szCs w:val="20"/>
                <w:color w:val="auto"/>
              </w:rPr>
            </w:pPr>
            <w:r>
              <w:rPr>
                <w:rFonts w:ascii="Arial" w:cs="Arial" w:eastAsia="Arial" w:hAnsi="Arial"/>
                <w:sz w:val="16"/>
                <w:szCs w:val="16"/>
                <w:b w:val="1"/>
                <w:bCs w:val="1"/>
                <w:color w:val="auto"/>
              </w:rPr>
              <w:t>Fees</w:t>
            </w:r>
          </w:p>
        </w:tc>
        <w:tc>
          <w:tcPr>
            <w:tcW w:w="200" w:type="dxa"/>
            <w:vAlign w:val="bottom"/>
          </w:tcPr>
          <w:p>
            <w:pPr>
              <w:spacing w:after="0"/>
              <w:rPr>
                <w:sz w:val="16"/>
                <w:szCs w:val="16"/>
                <w:color w:val="auto"/>
              </w:rPr>
            </w:pPr>
          </w:p>
        </w:tc>
        <w:tc>
          <w:tcPr>
            <w:tcW w:w="1280" w:type="dxa"/>
            <w:vAlign w:val="bottom"/>
            <w:gridSpan w:val="2"/>
          </w:tcPr>
          <w:p>
            <w:pPr>
              <w:ind w:left="80"/>
              <w:spacing w:after="0"/>
              <w:rPr>
                <w:sz w:val="20"/>
                <w:szCs w:val="20"/>
                <w:color w:val="auto"/>
              </w:rPr>
            </w:pPr>
            <w:r>
              <w:rPr>
                <w:rFonts w:ascii="Arial" w:cs="Arial" w:eastAsia="Arial" w:hAnsi="Arial"/>
                <w:sz w:val="16"/>
                <w:szCs w:val="16"/>
                <w:b w:val="1"/>
                <w:bCs w:val="1"/>
                <w:color w:val="auto"/>
              </w:rPr>
              <w:t>Severance</w:t>
            </w:r>
          </w:p>
        </w:tc>
        <w:tc>
          <w:tcPr>
            <w:tcW w:w="140" w:type="dxa"/>
            <w:vAlign w:val="bottom"/>
          </w:tcPr>
          <w:p>
            <w:pPr>
              <w:spacing w:after="0"/>
              <w:rPr>
                <w:sz w:val="16"/>
                <w:szCs w:val="16"/>
                <w:color w:val="auto"/>
              </w:rPr>
            </w:pPr>
          </w:p>
        </w:tc>
        <w:tc>
          <w:tcPr>
            <w:tcW w:w="132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8"/>
              </w:rPr>
              <w:t>Fees</w:t>
            </w:r>
          </w:p>
        </w:tc>
        <w:tc>
          <w:tcPr>
            <w:tcW w:w="1480" w:type="dxa"/>
            <w:vAlign w:val="bottom"/>
            <w:gridSpan w:val="3"/>
          </w:tcPr>
          <w:p>
            <w:pPr>
              <w:ind w:left="40"/>
              <w:spacing w:after="0"/>
              <w:rPr>
                <w:sz w:val="20"/>
                <w:szCs w:val="20"/>
                <w:color w:val="auto"/>
              </w:rPr>
            </w:pPr>
            <w:r>
              <w:rPr>
                <w:rFonts w:ascii="Arial" w:cs="Arial" w:eastAsia="Arial" w:hAnsi="Arial"/>
                <w:sz w:val="16"/>
                <w:szCs w:val="16"/>
                <w:b w:val="1"/>
                <w:bCs w:val="1"/>
                <w:color w:val="auto"/>
              </w:rPr>
              <w:t>Lease Exit Costs</w:t>
            </w:r>
          </w:p>
        </w:tc>
        <w:tc>
          <w:tcPr>
            <w:tcW w:w="180" w:type="dxa"/>
            <w:vAlign w:val="bottom"/>
          </w:tcPr>
          <w:p>
            <w:pPr>
              <w:spacing w:after="0"/>
              <w:rPr>
                <w:sz w:val="16"/>
                <w:szCs w:val="16"/>
                <w:color w:val="auto"/>
              </w:rPr>
            </w:pPr>
          </w:p>
        </w:tc>
        <w:tc>
          <w:tcPr>
            <w:tcW w:w="128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rPr>
              <w:t>Impairment</w:t>
            </w:r>
          </w:p>
        </w:tc>
        <w:tc>
          <w:tcPr>
            <w:tcW w:w="320" w:type="dxa"/>
            <w:vAlign w:val="bottom"/>
          </w:tcPr>
          <w:p>
            <w:pPr>
              <w:spacing w:after="0"/>
              <w:rPr>
                <w:sz w:val="16"/>
                <w:szCs w:val="16"/>
                <w:color w:val="auto"/>
              </w:rPr>
            </w:pPr>
          </w:p>
        </w:tc>
        <w:tc>
          <w:tcPr>
            <w:tcW w:w="1060" w:type="dxa"/>
            <w:vAlign w:val="bottom"/>
          </w:tcPr>
          <w:p>
            <w:pPr>
              <w:jc w:val="right"/>
              <w:ind w:right="420"/>
              <w:spacing w:after="0"/>
              <w:rPr>
                <w:sz w:val="20"/>
                <w:szCs w:val="20"/>
                <w:color w:val="auto"/>
              </w:rPr>
            </w:pPr>
            <w:r>
              <w:rPr>
                <w:rFonts w:ascii="Arial" w:cs="Arial" w:eastAsia="Arial" w:hAnsi="Arial"/>
                <w:sz w:val="16"/>
                <w:szCs w:val="16"/>
                <w:b w:val="1"/>
                <w:bCs w:val="1"/>
                <w:color w:val="auto"/>
              </w:rPr>
              <w:t>Total</w:t>
            </w:r>
          </w:p>
        </w:tc>
      </w:tr>
      <w:tr>
        <w:trPr>
          <w:trHeight w:val="21"/>
        </w:trPr>
        <w:tc>
          <w:tcPr>
            <w:tcW w:w="40" w:type="dxa"/>
            <w:vAlign w:val="bottom"/>
            <w:tcBorders>
              <w:bottom w:val="single" w:sz="8" w:color="DCE2EF"/>
            </w:tcBorders>
          </w:tcPr>
          <w:p>
            <w:pPr>
              <w:spacing w:after="0" w:line="20" w:lineRule="exact"/>
              <w:rPr>
                <w:sz w:val="1"/>
                <w:szCs w:val="1"/>
                <w:color w:val="auto"/>
              </w:rPr>
            </w:pPr>
          </w:p>
        </w:tc>
        <w:tc>
          <w:tcPr>
            <w:tcW w:w="700" w:type="dxa"/>
            <w:vAlign w:val="bottom"/>
            <w:tcBorders>
              <w:top w:val="single" w:sz="8" w:color="auto"/>
              <w:bottom w:val="single" w:sz="8" w:color="DCE2EF"/>
            </w:tcBorders>
          </w:tcPr>
          <w:p>
            <w:pPr>
              <w:spacing w:after="0" w:line="20" w:lineRule="exact"/>
              <w:rPr>
                <w:sz w:val="1"/>
                <w:szCs w:val="1"/>
                <w:color w:val="auto"/>
              </w:rPr>
            </w:pPr>
          </w:p>
        </w:tc>
        <w:tc>
          <w:tcPr>
            <w:tcW w:w="1880" w:type="dxa"/>
            <w:vAlign w:val="bottom"/>
            <w:tcBorders>
              <w:bottom w:val="single" w:sz="8" w:color="DCE2E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DCE2E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DCE2E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DCE2EF"/>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DCE2E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DCE2E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r>
        <w:trPr>
          <w:trHeight w:val="237"/>
        </w:trPr>
        <w:tc>
          <w:tcPr>
            <w:tcW w:w="2620" w:type="dxa"/>
            <w:vAlign w:val="bottom"/>
            <w:gridSpan w:val="3"/>
            <w:shd w:val="clear" w:color="auto" w:fill="DCE2EF"/>
          </w:tcPr>
          <w:p>
            <w:pPr>
              <w:ind w:left="40"/>
              <w:spacing w:after="0"/>
              <w:rPr>
                <w:sz w:val="20"/>
                <w:szCs w:val="20"/>
                <w:color w:val="auto"/>
              </w:rPr>
            </w:pPr>
            <w:r>
              <w:rPr>
                <w:rFonts w:ascii="Arial" w:cs="Arial" w:eastAsia="Arial" w:hAnsi="Arial"/>
                <w:sz w:val="16"/>
                <w:szCs w:val="16"/>
                <w:color w:val="auto"/>
              </w:rPr>
              <w:t>GCA</w:t>
            </w:r>
          </w:p>
        </w:tc>
        <w:tc>
          <w:tcPr>
            <w:tcW w:w="320" w:type="dxa"/>
            <w:vAlign w:val="bottom"/>
            <w:shd w:val="clear" w:color="auto" w:fill="DCE2EF"/>
          </w:tcPr>
          <w:p>
            <w:pPr>
              <w:ind w:left="40"/>
              <w:spacing w:after="0"/>
              <w:rPr>
                <w:sz w:val="20"/>
                <w:szCs w:val="20"/>
                <w:color w:val="auto"/>
              </w:rPr>
            </w:pPr>
            <w:r>
              <w:rPr>
                <w:rFonts w:ascii="Arial" w:cs="Arial" w:eastAsia="Arial" w:hAnsi="Arial"/>
                <w:sz w:val="16"/>
                <w:szCs w:val="16"/>
                <w:color w:val="auto"/>
              </w:rPr>
              <w:t>$</w:t>
            </w:r>
          </w:p>
        </w:tc>
        <w:tc>
          <w:tcPr>
            <w:tcW w:w="1060" w:type="dxa"/>
            <w:vAlign w:val="bottom"/>
            <w:shd w:val="clear" w:color="auto" w:fill="DCE2EF"/>
          </w:tcPr>
          <w:p>
            <w:pPr>
              <w:jc w:val="right"/>
              <w:ind w:right="40"/>
              <w:spacing w:after="0"/>
              <w:rPr>
                <w:sz w:val="20"/>
                <w:szCs w:val="20"/>
                <w:color w:val="auto"/>
              </w:rPr>
            </w:pPr>
            <w:r>
              <w:rPr>
                <w:rFonts w:ascii="Arial" w:cs="Arial" w:eastAsia="Arial" w:hAnsi="Arial"/>
                <w:sz w:val="16"/>
                <w:szCs w:val="16"/>
                <w:color w:val="auto"/>
              </w:rPr>
              <w:t>2.0</w:t>
            </w:r>
          </w:p>
        </w:tc>
        <w:tc>
          <w:tcPr>
            <w:tcW w:w="100" w:type="dxa"/>
            <w:vAlign w:val="bottom"/>
            <w:shd w:val="clear" w:color="auto" w:fill="DCE2EF"/>
          </w:tcPr>
          <w:p>
            <w:pPr>
              <w:spacing w:after="0"/>
              <w:rPr>
                <w:sz w:val="20"/>
                <w:szCs w:val="20"/>
                <w:color w:val="auto"/>
              </w:rPr>
            </w:pPr>
          </w:p>
        </w:tc>
        <w:tc>
          <w:tcPr>
            <w:tcW w:w="200" w:type="dxa"/>
            <w:vAlign w:val="bottom"/>
            <w:shd w:val="clear" w:color="auto" w:fill="DCE2EF"/>
          </w:tcPr>
          <w:p>
            <w:pPr>
              <w:jc w:val="right"/>
              <w:spacing w:after="0"/>
              <w:rPr>
                <w:sz w:val="20"/>
                <w:szCs w:val="20"/>
                <w:color w:val="auto"/>
              </w:rPr>
            </w:pPr>
            <w:r>
              <w:rPr>
                <w:rFonts w:ascii="Arial" w:cs="Arial" w:eastAsia="Arial" w:hAnsi="Arial"/>
                <w:sz w:val="16"/>
                <w:szCs w:val="16"/>
                <w:color w:val="auto"/>
              </w:rPr>
              <w:t>$</w:t>
            </w:r>
          </w:p>
        </w:tc>
        <w:tc>
          <w:tcPr>
            <w:tcW w:w="1160" w:type="dxa"/>
            <w:vAlign w:val="bottom"/>
            <w:shd w:val="clear" w:color="auto" w:fill="DCE2EF"/>
          </w:tcPr>
          <w:p>
            <w:pPr>
              <w:jc w:val="right"/>
              <w:ind w:right="20"/>
              <w:spacing w:after="0"/>
              <w:rPr>
                <w:sz w:val="20"/>
                <w:szCs w:val="20"/>
                <w:color w:val="auto"/>
              </w:rPr>
            </w:pPr>
            <w:r>
              <w:rPr>
                <w:rFonts w:ascii="Arial" w:cs="Arial" w:eastAsia="Arial" w:hAnsi="Arial"/>
                <w:sz w:val="16"/>
                <w:szCs w:val="16"/>
                <w:color w:val="auto"/>
              </w:rPr>
              <w:t>11.2</w:t>
            </w:r>
          </w:p>
        </w:tc>
        <w:tc>
          <w:tcPr>
            <w:tcW w:w="120" w:type="dxa"/>
            <w:vAlign w:val="bottom"/>
            <w:shd w:val="clear" w:color="auto" w:fill="DCE2EF"/>
          </w:tcPr>
          <w:p>
            <w:pPr>
              <w:spacing w:after="0"/>
              <w:rPr>
                <w:sz w:val="20"/>
                <w:szCs w:val="20"/>
                <w:color w:val="auto"/>
              </w:rPr>
            </w:pPr>
          </w:p>
        </w:tc>
        <w:tc>
          <w:tcPr>
            <w:tcW w:w="140" w:type="dxa"/>
            <w:vAlign w:val="bottom"/>
            <w:shd w:val="clear" w:color="auto" w:fill="DCE2EF"/>
          </w:tcPr>
          <w:p>
            <w:pPr>
              <w:jc w:val="right"/>
              <w:spacing w:after="0"/>
              <w:rPr>
                <w:sz w:val="20"/>
                <w:szCs w:val="20"/>
                <w:color w:val="auto"/>
              </w:rPr>
            </w:pPr>
            <w:r>
              <w:rPr>
                <w:rFonts w:ascii="Arial" w:cs="Arial" w:eastAsia="Arial" w:hAnsi="Arial"/>
                <w:sz w:val="16"/>
                <w:szCs w:val="16"/>
                <w:color w:val="auto"/>
                <w:w w:val="89"/>
              </w:rPr>
              <w:t>$</w:t>
            </w:r>
          </w:p>
        </w:tc>
        <w:tc>
          <w:tcPr>
            <w:tcW w:w="1220" w:type="dxa"/>
            <w:vAlign w:val="bottom"/>
            <w:shd w:val="clear" w:color="auto" w:fill="DCE2EF"/>
          </w:tcPr>
          <w:p>
            <w:pPr>
              <w:jc w:val="right"/>
              <w:ind w:right="40"/>
              <w:spacing w:after="0"/>
              <w:rPr>
                <w:sz w:val="20"/>
                <w:szCs w:val="20"/>
                <w:color w:val="auto"/>
              </w:rPr>
            </w:pPr>
            <w:r>
              <w:rPr>
                <w:rFonts w:ascii="Arial" w:cs="Arial" w:eastAsia="Arial" w:hAnsi="Arial"/>
                <w:sz w:val="16"/>
                <w:szCs w:val="16"/>
                <w:color w:val="auto"/>
              </w:rPr>
              <w:t>3.5</w:t>
            </w:r>
          </w:p>
        </w:tc>
        <w:tc>
          <w:tcPr>
            <w:tcW w:w="100" w:type="dxa"/>
            <w:vAlign w:val="bottom"/>
            <w:shd w:val="clear" w:color="auto" w:fill="DCE2EF"/>
          </w:tcPr>
          <w:p>
            <w:pPr>
              <w:spacing w:after="0"/>
              <w:rPr>
                <w:sz w:val="20"/>
                <w:szCs w:val="20"/>
                <w:color w:val="auto"/>
              </w:rPr>
            </w:pPr>
          </w:p>
        </w:tc>
        <w:tc>
          <w:tcPr>
            <w:tcW w:w="580" w:type="dxa"/>
            <w:vAlign w:val="bottom"/>
            <w:shd w:val="clear" w:color="auto" w:fill="DCE2EF"/>
          </w:tcPr>
          <w:p>
            <w:pPr>
              <w:ind w:left="40"/>
              <w:spacing w:after="0"/>
              <w:rPr>
                <w:sz w:val="20"/>
                <w:szCs w:val="20"/>
                <w:color w:val="auto"/>
              </w:rPr>
            </w:pPr>
            <w:r>
              <w:rPr>
                <w:rFonts w:ascii="Arial" w:cs="Arial" w:eastAsia="Arial" w:hAnsi="Arial"/>
                <w:sz w:val="16"/>
                <w:szCs w:val="16"/>
                <w:color w:val="auto"/>
              </w:rPr>
              <w:t>$</w:t>
            </w:r>
          </w:p>
        </w:tc>
        <w:tc>
          <w:tcPr>
            <w:tcW w:w="900" w:type="dxa"/>
            <w:vAlign w:val="bottom"/>
            <w:gridSpan w:val="2"/>
            <w:shd w:val="clear" w:color="auto" w:fill="DCE2EF"/>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shd w:val="clear" w:color="auto" w:fill="DCE2EF"/>
          </w:tcPr>
          <w:p>
            <w:pPr>
              <w:jc w:val="right"/>
              <w:spacing w:after="0"/>
              <w:rPr>
                <w:sz w:val="20"/>
                <w:szCs w:val="20"/>
                <w:color w:val="auto"/>
              </w:rPr>
            </w:pPr>
            <w:r>
              <w:rPr>
                <w:rFonts w:ascii="Arial" w:cs="Arial" w:eastAsia="Arial" w:hAnsi="Arial"/>
                <w:sz w:val="16"/>
                <w:szCs w:val="16"/>
                <w:color w:val="auto"/>
              </w:rPr>
              <w:t>$</w:t>
            </w:r>
          </w:p>
        </w:tc>
        <w:tc>
          <w:tcPr>
            <w:tcW w:w="1280" w:type="dxa"/>
            <w:vAlign w:val="bottom"/>
            <w:gridSpan w:val="2"/>
            <w:shd w:val="clear" w:color="auto" w:fill="DCE2EF"/>
          </w:tcPr>
          <w:p>
            <w:pPr>
              <w:jc w:val="right"/>
              <w:ind w:right="200"/>
              <w:spacing w:after="0"/>
              <w:rPr>
                <w:sz w:val="20"/>
                <w:szCs w:val="20"/>
                <w:color w:val="auto"/>
              </w:rPr>
            </w:pPr>
            <w:r>
              <w:rPr>
                <w:rFonts w:ascii="Arial" w:cs="Arial" w:eastAsia="Arial" w:hAnsi="Arial"/>
                <w:sz w:val="16"/>
                <w:szCs w:val="16"/>
                <w:color w:val="auto"/>
              </w:rPr>
              <w:t>—</w:t>
            </w:r>
          </w:p>
        </w:tc>
        <w:tc>
          <w:tcPr>
            <w:tcW w:w="320" w:type="dxa"/>
            <w:vAlign w:val="bottom"/>
            <w:shd w:val="clear" w:color="auto" w:fill="DCE2EF"/>
          </w:tcPr>
          <w:p>
            <w:pPr>
              <w:jc w:val="right"/>
              <w:ind w:right="120"/>
              <w:spacing w:after="0"/>
              <w:rPr>
                <w:sz w:val="20"/>
                <w:szCs w:val="20"/>
                <w:color w:val="auto"/>
              </w:rPr>
            </w:pPr>
            <w:r>
              <w:rPr>
                <w:rFonts w:ascii="Arial" w:cs="Arial" w:eastAsia="Arial" w:hAnsi="Arial"/>
                <w:sz w:val="16"/>
                <w:szCs w:val="16"/>
                <w:color w:val="auto"/>
              </w:rPr>
              <w:t>$</w:t>
            </w:r>
          </w:p>
        </w:tc>
        <w:tc>
          <w:tcPr>
            <w:tcW w:w="1060" w:type="dxa"/>
            <w:vAlign w:val="bottom"/>
            <w:shd w:val="clear" w:color="auto" w:fill="DCE2EF"/>
          </w:tcPr>
          <w:p>
            <w:pPr>
              <w:jc w:val="right"/>
              <w:ind w:right="40"/>
              <w:spacing w:after="0"/>
              <w:rPr>
                <w:sz w:val="20"/>
                <w:szCs w:val="20"/>
                <w:color w:val="auto"/>
              </w:rPr>
            </w:pPr>
            <w:r>
              <w:rPr>
                <w:rFonts w:ascii="Arial" w:cs="Arial" w:eastAsia="Arial" w:hAnsi="Arial"/>
                <w:sz w:val="16"/>
                <w:szCs w:val="16"/>
                <w:color w:val="auto"/>
              </w:rPr>
              <w:t>16.6</w:t>
            </w:r>
          </w:p>
        </w:tc>
      </w:tr>
      <w:tr>
        <w:trPr>
          <w:trHeight w:val="237"/>
        </w:trPr>
        <w:tc>
          <w:tcPr>
            <w:tcW w:w="2620" w:type="dxa"/>
            <w:vAlign w:val="bottom"/>
            <w:tcBorders>
              <w:bottom w:val="single" w:sz="8" w:color="DCE2EF"/>
            </w:tcBorders>
            <w:gridSpan w:val="3"/>
          </w:tcPr>
          <w:p>
            <w:pPr>
              <w:ind w:left="40"/>
              <w:spacing w:after="0"/>
              <w:rPr>
                <w:sz w:val="20"/>
                <w:szCs w:val="20"/>
                <w:color w:val="auto"/>
              </w:rPr>
            </w:pPr>
            <w:r>
              <w:rPr>
                <w:rFonts w:ascii="Arial" w:cs="Arial" w:eastAsia="Arial" w:hAnsi="Arial"/>
                <w:sz w:val="16"/>
                <w:szCs w:val="16"/>
                <w:b w:val="1"/>
                <w:bCs w:val="1"/>
                <w:color w:val="FF9900"/>
              </w:rPr>
              <w:t xml:space="preserve">2020 </w:t>
            </w:r>
            <w:r>
              <w:rPr>
                <w:rFonts w:ascii="Arial" w:cs="Arial" w:eastAsia="Arial" w:hAnsi="Arial"/>
                <w:sz w:val="16"/>
                <w:szCs w:val="16"/>
                <w:b w:val="1"/>
                <w:bCs w:val="1"/>
                <w:color w:val="0070C0"/>
              </w:rPr>
              <w:t>Vision</w:t>
            </w:r>
          </w:p>
        </w:tc>
        <w:tc>
          <w:tcPr>
            <w:tcW w:w="32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30.0</w:t>
            </w:r>
          </w:p>
        </w:tc>
        <w:tc>
          <w:tcPr>
            <w:tcW w:w="100" w:type="dxa"/>
            <w:vAlign w:val="bottom"/>
            <w:tcBorders>
              <w:bottom w:val="single" w:sz="8" w:color="DCE2E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13.6</w:t>
            </w:r>
          </w:p>
        </w:tc>
        <w:tc>
          <w:tcPr>
            <w:tcW w:w="120" w:type="dxa"/>
            <w:vAlign w:val="bottom"/>
            <w:tcBorders>
              <w:bottom w:val="single" w:sz="8" w:color="DCE2E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10.7</w:t>
            </w:r>
          </w:p>
        </w:tc>
        <w:tc>
          <w:tcPr>
            <w:tcW w:w="100" w:type="dxa"/>
            <w:vAlign w:val="bottom"/>
            <w:tcBorders>
              <w:bottom w:val="single" w:sz="8" w:color="DCE2EF"/>
            </w:tcBorders>
          </w:tcPr>
          <w:p>
            <w:pPr>
              <w:spacing w:after="0"/>
              <w:rPr>
                <w:sz w:val="20"/>
                <w:szCs w:val="20"/>
                <w:color w:val="auto"/>
              </w:rPr>
            </w:pPr>
          </w:p>
        </w:tc>
        <w:tc>
          <w:tcPr>
            <w:tcW w:w="58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7.7</w:t>
            </w:r>
          </w:p>
        </w:tc>
        <w:tc>
          <w:tcPr>
            <w:tcW w:w="120" w:type="dxa"/>
            <w:vAlign w:val="bottom"/>
            <w:tcBorders>
              <w:bottom w:val="single" w:sz="8" w:color="DCE2E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5.2</w:t>
            </w:r>
          </w:p>
        </w:tc>
        <w:tc>
          <w:tcPr>
            <w:tcW w:w="100" w:type="dxa"/>
            <w:vAlign w:val="bottom"/>
            <w:tcBorders>
              <w:bottom w:val="single" w:sz="8" w:color="DCE2EF"/>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67.1</w:t>
            </w:r>
          </w:p>
        </w:tc>
      </w:tr>
      <w:tr>
        <w:trPr>
          <w:trHeight w:val="240"/>
        </w:trPr>
        <w:tc>
          <w:tcPr>
            <w:tcW w:w="40" w:type="dxa"/>
            <w:vAlign w:val="bottom"/>
            <w:tcBorders>
              <w:bottom w:val="single" w:sz="8" w:color="DCE2EF"/>
            </w:tcBorders>
            <w:shd w:val="clear" w:color="auto" w:fill="DCE2EF"/>
          </w:tcPr>
          <w:p>
            <w:pPr>
              <w:spacing w:after="0"/>
              <w:rPr>
                <w:sz w:val="20"/>
                <w:szCs w:val="20"/>
                <w:color w:val="auto"/>
              </w:rPr>
            </w:pPr>
          </w:p>
        </w:tc>
        <w:tc>
          <w:tcPr>
            <w:tcW w:w="2580" w:type="dxa"/>
            <w:vAlign w:val="bottom"/>
            <w:tcBorders>
              <w:bottom w:val="single" w:sz="8" w:color="DCE2EF"/>
            </w:tcBorders>
            <w:gridSpan w:val="2"/>
            <w:shd w:val="clear" w:color="auto" w:fill="DCE2EF"/>
          </w:tcPr>
          <w:p>
            <w:pPr>
              <w:ind w:left="140"/>
              <w:spacing w:after="0"/>
              <w:rPr>
                <w:sz w:val="20"/>
                <w:szCs w:val="20"/>
                <w:color w:val="auto"/>
              </w:rPr>
            </w:pPr>
            <w:r>
              <w:rPr>
                <w:rFonts w:ascii="Arial" w:cs="Arial" w:eastAsia="Arial" w:hAnsi="Arial"/>
                <w:sz w:val="16"/>
                <w:szCs w:val="16"/>
                <w:b w:val="1"/>
                <w:bCs w:val="1"/>
                <w:color w:val="auto"/>
              </w:rPr>
              <w:t>Total</w:t>
            </w:r>
          </w:p>
        </w:tc>
        <w:tc>
          <w:tcPr>
            <w:tcW w:w="320" w:type="dxa"/>
            <w:vAlign w:val="bottom"/>
            <w:tcBorders>
              <w:bottom w:val="single" w:sz="8" w:color="auto"/>
            </w:tcBorders>
            <w:shd w:val="clear" w:color="auto" w:fill="DCE2EF"/>
          </w:tcPr>
          <w:p>
            <w:pPr>
              <w:ind w:left="40"/>
              <w:spacing w:after="0"/>
              <w:rPr>
                <w:sz w:val="20"/>
                <w:szCs w:val="20"/>
                <w:color w:val="auto"/>
              </w:rPr>
            </w:pPr>
            <w:r>
              <w:rPr>
                <w:rFonts w:ascii="Arial" w:cs="Arial" w:eastAsia="Arial" w:hAnsi="Arial"/>
                <w:sz w:val="16"/>
                <w:szCs w:val="16"/>
                <w:b w:val="1"/>
                <w:bCs w:val="1"/>
                <w:color w:val="auto"/>
              </w:rPr>
              <w:t>$</w:t>
            </w:r>
          </w:p>
        </w:tc>
        <w:tc>
          <w:tcPr>
            <w:tcW w:w="1060" w:type="dxa"/>
            <w:vAlign w:val="bottom"/>
            <w:tcBorders>
              <w:bottom w:val="single" w:sz="8" w:color="auto"/>
            </w:tcBorders>
            <w:shd w:val="clear" w:color="auto" w:fill="DCE2EF"/>
          </w:tcPr>
          <w:p>
            <w:pPr>
              <w:jc w:val="right"/>
              <w:ind w:right="40"/>
              <w:spacing w:after="0"/>
              <w:rPr>
                <w:sz w:val="20"/>
                <w:szCs w:val="20"/>
                <w:color w:val="auto"/>
              </w:rPr>
            </w:pPr>
            <w:r>
              <w:rPr>
                <w:rFonts w:ascii="Arial" w:cs="Arial" w:eastAsia="Arial" w:hAnsi="Arial"/>
                <w:sz w:val="16"/>
                <w:szCs w:val="16"/>
                <w:b w:val="1"/>
                <w:bCs w:val="1"/>
                <w:color w:val="auto"/>
              </w:rPr>
              <w:t>32.0</w:t>
            </w:r>
          </w:p>
        </w:tc>
        <w:tc>
          <w:tcPr>
            <w:tcW w:w="100" w:type="dxa"/>
            <w:vAlign w:val="bottom"/>
            <w:tcBorders>
              <w:bottom w:val="single" w:sz="8" w:color="DCE2EF"/>
            </w:tcBorders>
            <w:shd w:val="clear" w:color="auto" w:fill="DCE2EF"/>
          </w:tcPr>
          <w:p>
            <w:pPr>
              <w:spacing w:after="0"/>
              <w:rPr>
                <w:sz w:val="20"/>
                <w:szCs w:val="20"/>
                <w:color w:val="auto"/>
              </w:rPr>
            </w:pPr>
          </w:p>
        </w:tc>
        <w:tc>
          <w:tcPr>
            <w:tcW w:w="200" w:type="dxa"/>
            <w:vAlign w:val="bottom"/>
            <w:tcBorders>
              <w:bottom w:val="single" w:sz="8" w:color="auto"/>
            </w:tcBorders>
            <w:shd w:val="clear" w:color="auto" w:fill="DCE2EF"/>
          </w:tcPr>
          <w:p>
            <w:pPr>
              <w:jc w:val="right"/>
              <w:spacing w:after="0"/>
              <w:rPr>
                <w:sz w:val="20"/>
                <w:szCs w:val="20"/>
                <w:color w:val="auto"/>
              </w:rPr>
            </w:pPr>
            <w:r>
              <w:rPr>
                <w:rFonts w:ascii="Arial" w:cs="Arial" w:eastAsia="Arial" w:hAnsi="Arial"/>
                <w:sz w:val="16"/>
                <w:szCs w:val="16"/>
                <w:b w:val="1"/>
                <w:bCs w:val="1"/>
                <w:color w:val="auto"/>
              </w:rPr>
              <w:t>$</w:t>
            </w:r>
          </w:p>
        </w:tc>
        <w:tc>
          <w:tcPr>
            <w:tcW w:w="1160" w:type="dxa"/>
            <w:vAlign w:val="bottom"/>
            <w:tcBorders>
              <w:bottom w:val="single" w:sz="8" w:color="auto"/>
            </w:tcBorders>
            <w:shd w:val="clear" w:color="auto" w:fill="DCE2EF"/>
          </w:tcPr>
          <w:p>
            <w:pPr>
              <w:jc w:val="right"/>
              <w:ind w:right="20"/>
              <w:spacing w:after="0"/>
              <w:rPr>
                <w:sz w:val="20"/>
                <w:szCs w:val="20"/>
                <w:color w:val="auto"/>
              </w:rPr>
            </w:pPr>
            <w:r>
              <w:rPr>
                <w:rFonts w:ascii="Arial" w:cs="Arial" w:eastAsia="Arial" w:hAnsi="Arial"/>
                <w:sz w:val="16"/>
                <w:szCs w:val="16"/>
                <w:b w:val="1"/>
                <w:bCs w:val="1"/>
                <w:color w:val="auto"/>
              </w:rPr>
              <w:t>24.7</w:t>
            </w:r>
          </w:p>
        </w:tc>
        <w:tc>
          <w:tcPr>
            <w:tcW w:w="120" w:type="dxa"/>
            <w:vAlign w:val="bottom"/>
            <w:tcBorders>
              <w:bottom w:val="single" w:sz="8" w:color="DCE2EF"/>
            </w:tcBorders>
            <w:shd w:val="clear" w:color="auto" w:fill="DCE2EF"/>
          </w:tcPr>
          <w:p>
            <w:pPr>
              <w:spacing w:after="0"/>
              <w:rPr>
                <w:sz w:val="20"/>
                <w:szCs w:val="20"/>
                <w:color w:val="auto"/>
              </w:rPr>
            </w:pPr>
          </w:p>
        </w:tc>
        <w:tc>
          <w:tcPr>
            <w:tcW w:w="140" w:type="dxa"/>
            <w:vAlign w:val="bottom"/>
            <w:tcBorders>
              <w:bottom w:val="single" w:sz="8" w:color="auto"/>
            </w:tcBorders>
            <w:shd w:val="clear" w:color="auto" w:fill="DCE2EF"/>
          </w:tcPr>
          <w:p>
            <w:pPr>
              <w:jc w:val="right"/>
              <w:spacing w:after="0"/>
              <w:rPr>
                <w:sz w:val="20"/>
                <w:szCs w:val="20"/>
                <w:color w:val="auto"/>
              </w:rPr>
            </w:pPr>
            <w:r>
              <w:rPr>
                <w:rFonts w:ascii="Arial" w:cs="Arial" w:eastAsia="Arial" w:hAnsi="Arial"/>
                <w:sz w:val="16"/>
                <w:szCs w:val="16"/>
                <w:b w:val="1"/>
                <w:bCs w:val="1"/>
                <w:color w:val="auto"/>
                <w:w w:val="89"/>
              </w:rPr>
              <w:t>$</w:t>
            </w:r>
          </w:p>
        </w:tc>
        <w:tc>
          <w:tcPr>
            <w:tcW w:w="1220" w:type="dxa"/>
            <w:vAlign w:val="bottom"/>
            <w:tcBorders>
              <w:bottom w:val="single" w:sz="8" w:color="auto"/>
            </w:tcBorders>
            <w:shd w:val="clear" w:color="auto" w:fill="DCE2EF"/>
          </w:tcPr>
          <w:p>
            <w:pPr>
              <w:jc w:val="right"/>
              <w:ind w:right="40"/>
              <w:spacing w:after="0"/>
              <w:rPr>
                <w:sz w:val="20"/>
                <w:szCs w:val="20"/>
                <w:color w:val="auto"/>
              </w:rPr>
            </w:pPr>
            <w:r>
              <w:rPr>
                <w:rFonts w:ascii="Arial" w:cs="Arial" w:eastAsia="Arial" w:hAnsi="Arial"/>
                <w:sz w:val="16"/>
                <w:szCs w:val="16"/>
                <w:b w:val="1"/>
                <w:bCs w:val="1"/>
                <w:color w:val="auto"/>
              </w:rPr>
              <w:t>14.2</w:t>
            </w:r>
          </w:p>
        </w:tc>
        <w:tc>
          <w:tcPr>
            <w:tcW w:w="100" w:type="dxa"/>
            <w:vAlign w:val="bottom"/>
            <w:tcBorders>
              <w:bottom w:val="single" w:sz="8" w:color="DCE2EF"/>
            </w:tcBorders>
            <w:shd w:val="clear" w:color="auto" w:fill="DCE2EF"/>
          </w:tcPr>
          <w:p>
            <w:pPr>
              <w:spacing w:after="0"/>
              <w:rPr>
                <w:sz w:val="20"/>
                <w:szCs w:val="20"/>
                <w:color w:val="auto"/>
              </w:rPr>
            </w:pPr>
          </w:p>
        </w:tc>
        <w:tc>
          <w:tcPr>
            <w:tcW w:w="580" w:type="dxa"/>
            <w:vAlign w:val="bottom"/>
            <w:tcBorders>
              <w:bottom w:val="single" w:sz="8" w:color="auto"/>
            </w:tcBorders>
            <w:shd w:val="clear" w:color="auto" w:fill="DCE2EF"/>
          </w:tcPr>
          <w:p>
            <w:pPr>
              <w:ind w:left="40"/>
              <w:spacing w:after="0"/>
              <w:rPr>
                <w:sz w:val="20"/>
                <w:szCs w:val="20"/>
                <w:color w:val="auto"/>
              </w:rPr>
            </w:pPr>
            <w:r>
              <w:rPr>
                <w:rFonts w:ascii="Arial" w:cs="Arial" w:eastAsia="Arial" w:hAnsi="Arial"/>
                <w:sz w:val="16"/>
                <w:szCs w:val="16"/>
                <w:b w:val="1"/>
                <w:bCs w:val="1"/>
                <w:color w:val="auto"/>
              </w:rPr>
              <w:t>$</w:t>
            </w:r>
          </w:p>
        </w:tc>
        <w:tc>
          <w:tcPr>
            <w:tcW w:w="780" w:type="dxa"/>
            <w:vAlign w:val="bottom"/>
            <w:tcBorders>
              <w:bottom w:val="single" w:sz="8" w:color="auto"/>
            </w:tcBorders>
            <w:shd w:val="clear" w:color="auto" w:fill="DCE2EF"/>
          </w:tcPr>
          <w:p>
            <w:pPr>
              <w:jc w:val="right"/>
              <w:ind w:right="20"/>
              <w:spacing w:after="0"/>
              <w:rPr>
                <w:sz w:val="20"/>
                <w:szCs w:val="20"/>
                <w:color w:val="auto"/>
              </w:rPr>
            </w:pPr>
            <w:r>
              <w:rPr>
                <w:rFonts w:ascii="Arial" w:cs="Arial" w:eastAsia="Arial" w:hAnsi="Arial"/>
                <w:sz w:val="16"/>
                <w:szCs w:val="16"/>
                <w:b w:val="1"/>
                <w:bCs w:val="1"/>
                <w:color w:val="auto"/>
              </w:rPr>
              <w:t>7.7</w:t>
            </w:r>
          </w:p>
        </w:tc>
        <w:tc>
          <w:tcPr>
            <w:tcW w:w="120" w:type="dxa"/>
            <w:vAlign w:val="bottom"/>
            <w:tcBorders>
              <w:bottom w:val="single" w:sz="8" w:color="DCE2EF"/>
            </w:tcBorders>
            <w:shd w:val="clear" w:color="auto" w:fill="DCE2EF"/>
          </w:tcPr>
          <w:p>
            <w:pPr>
              <w:spacing w:after="0"/>
              <w:rPr>
                <w:sz w:val="20"/>
                <w:szCs w:val="20"/>
                <w:color w:val="auto"/>
              </w:rPr>
            </w:pPr>
          </w:p>
        </w:tc>
        <w:tc>
          <w:tcPr>
            <w:tcW w:w="180" w:type="dxa"/>
            <w:vAlign w:val="bottom"/>
            <w:tcBorders>
              <w:bottom w:val="single" w:sz="8" w:color="auto"/>
            </w:tcBorders>
            <w:shd w:val="clear" w:color="auto" w:fill="DCE2EF"/>
          </w:tcPr>
          <w:p>
            <w:pPr>
              <w:jc w:val="right"/>
              <w:spacing w:after="0"/>
              <w:rPr>
                <w:sz w:val="20"/>
                <w:szCs w:val="20"/>
                <w:color w:val="auto"/>
              </w:rPr>
            </w:pPr>
            <w:r>
              <w:rPr>
                <w:rFonts w:ascii="Arial" w:cs="Arial" w:eastAsia="Arial" w:hAnsi="Arial"/>
                <w:sz w:val="16"/>
                <w:szCs w:val="16"/>
                <w:b w:val="1"/>
                <w:bCs w:val="1"/>
                <w:color w:val="auto"/>
              </w:rPr>
              <w:t>$</w:t>
            </w:r>
          </w:p>
        </w:tc>
        <w:tc>
          <w:tcPr>
            <w:tcW w:w="1180" w:type="dxa"/>
            <w:vAlign w:val="bottom"/>
            <w:tcBorders>
              <w:bottom w:val="single" w:sz="8" w:color="auto"/>
            </w:tcBorders>
            <w:shd w:val="clear" w:color="auto" w:fill="DCE2EF"/>
          </w:tcPr>
          <w:p>
            <w:pPr>
              <w:jc w:val="right"/>
              <w:ind w:right="20"/>
              <w:spacing w:after="0"/>
              <w:rPr>
                <w:sz w:val="20"/>
                <w:szCs w:val="20"/>
                <w:color w:val="auto"/>
              </w:rPr>
            </w:pPr>
            <w:r>
              <w:rPr>
                <w:rFonts w:ascii="Arial" w:cs="Arial" w:eastAsia="Arial" w:hAnsi="Arial"/>
                <w:sz w:val="16"/>
                <w:szCs w:val="16"/>
                <w:b w:val="1"/>
                <w:bCs w:val="1"/>
                <w:color w:val="auto"/>
              </w:rPr>
              <w:t>5.2</w:t>
            </w:r>
          </w:p>
        </w:tc>
        <w:tc>
          <w:tcPr>
            <w:tcW w:w="100" w:type="dxa"/>
            <w:vAlign w:val="bottom"/>
            <w:tcBorders>
              <w:bottom w:val="single" w:sz="8" w:color="DCE2EF"/>
            </w:tcBorders>
            <w:shd w:val="clear" w:color="auto" w:fill="DCE2EF"/>
          </w:tcPr>
          <w:p>
            <w:pPr>
              <w:spacing w:after="0"/>
              <w:rPr>
                <w:sz w:val="20"/>
                <w:szCs w:val="20"/>
                <w:color w:val="auto"/>
              </w:rPr>
            </w:pPr>
          </w:p>
        </w:tc>
        <w:tc>
          <w:tcPr>
            <w:tcW w:w="320" w:type="dxa"/>
            <w:vAlign w:val="bottom"/>
            <w:tcBorders>
              <w:bottom w:val="single" w:sz="8" w:color="auto"/>
            </w:tcBorders>
            <w:shd w:val="clear" w:color="auto" w:fill="DCE2EF"/>
          </w:tcPr>
          <w:p>
            <w:pPr>
              <w:jc w:val="right"/>
              <w:ind w:right="120"/>
              <w:spacing w:after="0"/>
              <w:rPr>
                <w:sz w:val="20"/>
                <w:szCs w:val="20"/>
                <w:color w:val="auto"/>
              </w:rPr>
            </w:pPr>
            <w:r>
              <w:rPr>
                <w:rFonts w:ascii="Arial" w:cs="Arial" w:eastAsia="Arial" w:hAnsi="Arial"/>
                <w:sz w:val="16"/>
                <w:szCs w:val="16"/>
                <w:b w:val="1"/>
                <w:bCs w:val="1"/>
                <w:color w:val="auto"/>
              </w:rPr>
              <w:t>$</w:t>
            </w:r>
          </w:p>
        </w:tc>
        <w:tc>
          <w:tcPr>
            <w:tcW w:w="1060" w:type="dxa"/>
            <w:vAlign w:val="bottom"/>
            <w:tcBorders>
              <w:bottom w:val="single" w:sz="8" w:color="auto"/>
            </w:tcBorders>
            <w:shd w:val="clear" w:color="auto" w:fill="DCE2EF"/>
          </w:tcPr>
          <w:p>
            <w:pPr>
              <w:jc w:val="right"/>
              <w:ind w:right="40"/>
              <w:spacing w:after="0"/>
              <w:rPr>
                <w:sz w:val="20"/>
                <w:szCs w:val="20"/>
                <w:color w:val="auto"/>
              </w:rPr>
            </w:pPr>
            <w:r>
              <w:rPr>
                <w:rFonts w:ascii="Arial" w:cs="Arial" w:eastAsia="Arial" w:hAnsi="Arial"/>
                <w:sz w:val="16"/>
                <w:szCs w:val="16"/>
                <w:b w:val="1"/>
                <w:bCs w:val="1"/>
                <w:color w:val="auto"/>
              </w:rPr>
              <w:t>83.8</w:t>
            </w:r>
          </w:p>
        </w:tc>
      </w:tr>
      <w:tr>
        <w:trPr>
          <w:trHeight w:val="20"/>
        </w:trPr>
        <w:tc>
          <w:tcPr>
            <w:tcW w:w="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522" w:right="239" w:bottom="1440" w:gutter="0" w:footer="0" w:header="0"/>
        </w:sectPr>
      </w:pPr>
    </w:p>
    <w:bookmarkStart w:id="13" w:name="page14"/>
    <w:bookmarkEnd w:id="13"/>
    <w:p>
      <w:pPr>
        <w:spacing w:after="0"/>
        <w:rPr>
          <w:sz w:val="20"/>
          <w:szCs w:val="20"/>
          <w:color w:val="auto"/>
        </w:rPr>
      </w:pPr>
      <w:r>
        <w:rPr>
          <w:rFonts w:ascii="Arial" w:cs="Arial" w:eastAsia="Arial" w:hAnsi="Arial"/>
          <w:sz w:val="18"/>
          <w:szCs w:val="18"/>
          <w:b w:val="1"/>
          <w:bCs w:val="1"/>
          <w:color w:val="0046AD"/>
        </w:rPr>
        <w:t>5. NET INCOME PER COMMON SHARE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106045</wp:posOffset>
            </wp:positionV>
            <wp:extent cx="723773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37730" cy="8890"/>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0046AD"/>
        </w:rPr>
        <w:t>Basic and Diluted Net Income Per Common Share Calculations</w:t>
      </w:r>
    </w:p>
    <w:p>
      <w:pPr>
        <w:spacing w:after="0" w:line="357"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30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940" w:type="dxa"/>
            <w:vAlign w:val="bottom"/>
            <w:gridSpan w:val="8"/>
          </w:tcPr>
          <w:p>
            <w:pPr>
              <w:ind w:left="100"/>
              <w:spacing w:after="0"/>
              <w:rPr>
                <w:sz w:val="20"/>
                <w:szCs w:val="20"/>
                <w:color w:val="auto"/>
              </w:rPr>
            </w:pPr>
            <w:r>
              <w:rPr>
                <w:rFonts w:ascii="Arial" w:cs="Arial" w:eastAsia="Arial" w:hAnsi="Arial"/>
                <w:sz w:val="17"/>
                <w:szCs w:val="17"/>
                <w:b w:val="1"/>
                <w:bCs w:val="1"/>
                <w:color w:val="auto"/>
              </w:rPr>
              <w:t>Three Months Ended April 30,</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620" w:type="dxa"/>
            <w:vAlign w:val="bottom"/>
            <w:gridSpan w:val="6"/>
          </w:tcPr>
          <w:p>
            <w:pPr>
              <w:jc w:val="right"/>
              <w:ind w:right="215"/>
              <w:spacing w:after="0"/>
              <w:rPr>
                <w:sz w:val="20"/>
                <w:szCs w:val="20"/>
                <w:color w:val="auto"/>
              </w:rPr>
            </w:pPr>
            <w:r>
              <w:rPr>
                <w:rFonts w:ascii="Arial" w:cs="Arial" w:eastAsia="Arial" w:hAnsi="Arial"/>
                <w:sz w:val="17"/>
                <w:szCs w:val="17"/>
                <w:b w:val="1"/>
                <w:bCs w:val="1"/>
                <w:color w:val="auto"/>
              </w:rPr>
              <w:t>Six Months Ended April 30,</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5320" w:type="dxa"/>
            <w:vAlign w:val="bottom"/>
            <w:gridSpan w:val="3"/>
          </w:tcPr>
          <w:p>
            <w:pPr>
              <w:spacing w:after="0"/>
              <w:rPr>
                <w:sz w:val="20"/>
                <w:szCs w:val="20"/>
                <w:color w:val="auto"/>
              </w:rPr>
            </w:pPr>
            <w:r>
              <w:rPr>
                <w:rFonts w:ascii="Arial" w:cs="Arial" w:eastAsia="Arial" w:hAnsi="Arial"/>
                <w:sz w:val="14"/>
                <w:szCs w:val="14"/>
                <w:i w:val="1"/>
                <w:iCs w:val="1"/>
                <w:color w:val="auto"/>
              </w:rPr>
              <w:t>(in millions, except per share amounts)</w:t>
            </w:r>
          </w:p>
        </w:tc>
        <w:tc>
          <w:tcPr>
            <w:tcW w:w="240" w:type="dxa"/>
            <w:vAlign w:val="bottom"/>
            <w:tcBorders>
              <w:top w:val="single" w:sz="8" w:color="auto"/>
            </w:tcBorders>
          </w:tcPr>
          <w:p>
            <w:pPr>
              <w:spacing w:after="0"/>
              <w:rPr>
                <w:sz w:val="19"/>
                <w:szCs w:val="19"/>
                <w:color w:val="auto"/>
              </w:rPr>
            </w:pPr>
          </w:p>
        </w:tc>
        <w:tc>
          <w:tcPr>
            <w:tcW w:w="1240" w:type="dxa"/>
            <w:vAlign w:val="bottom"/>
            <w:tcBorders>
              <w:top w:val="single" w:sz="8" w:color="auto"/>
            </w:tcBorders>
          </w:tcPr>
          <w:p>
            <w:pPr>
              <w:jc w:val="right"/>
              <w:ind w:right="475"/>
              <w:spacing w:after="0"/>
              <w:rPr>
                <w:sz w:val="20"/>
                <w:szCs w:val="20"/>
                <w:color w:val="auto"/>
              </w:rPr>
            </w:pPr>
            <w:r>
              <w:rPr>
                <w:rFonts w:ascii="Arial" w:cs="Arial" w:eastAsia="Arial" w:hAnsi="Arial"/>
                <w:sz w:val="17"/>
                <w:szCs w:val="17"/>
                <w:b w:val="1"/>
                <w:bCs w:val="1"/>
                <w:color w:val="auto"/>
              </w:rPr>
              <w:t>2018</w:t>
            </w:r>
          </w:p>
        </w:tc>
        <w:tc>
          <w:tcPr>
            <w:tcW w:w="40" w:type="dxa"/>
            <w:vAlign w:val="bottom"/>
            <w:tcBorders>
              <w:top w:val="single" w:sz="8" w:color="auto"/>
            </w:tcBorders>
          </w:tcPr>
          <w:p>
            <w:pPr>
              <w:spacing w:after="0"/>
              <w:rPr>
                <w:sz w:val="19"/>
                <w:szCs w:val="19"/>
                <w:color w:val="auto"/>
              </w:rPr>
            </w:pPr>
          </w:p>
        </w:tc>
        <w:tc>
          <w:tcPr>
            <w:tcW w:w="60" w:type="dxa"/>
            <w:vAlign w:val="bottom"/>
            <w:tcBorders>
              <w:top w:val="single" w:sz="8" w:color="auto"/>
            </w:tcBorders>
          </w:tcPr>
          <w:p>
            <w:pPr>
              <w:spacing w:after="0"/>
              <w:rPr>
                <w:sz w:val="19"/>
                <w:szCs w:val="19"/>
                <w:color w:val="auto"/>
              </w:rPr>
            </w:pPr>
          </w:p>
        </w:tc>
        <w:tc>
          <w:tcPr>
            <w:tcW w:w="60" w:type="dxa"/>
            <w:vAlign w:val="bottom"/>
            <w:tcBorders>
              <w:top w:val="single" w:sz="8" w:color="auto"/>
            </w:tcBorders>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1160" w:type="dxa"/>
            <w:vAlign w:val="bottom"/>
            <w:tcBorders>
              <w:top w:val="single" w:sz="8" w:color="auto"/>
            </w:tcBorders>
          </w:tcPr>
          <w:p>
            <w:pPr>
              <w:jc w:val="right"/>
              <w:ind w:right="475"/>
              <w:spacing w:after="0"/>
              <w:rPr>
                <w:sz w:val="20"/>
                <w:szCs w:val="20"/>
                <w:color w:val="auto"/>
              </w:rPr>
            </w:pPr>
            <w:r>
              <w:rPr>
                <w:rFonts w:ascii="Arial" w:cs="Arial" w:eastAsia="Arial" w:hAnsi="Arial"/>
                <w:sz w:val="17"/>
                <w:szCs w:val="17"/>
                <w:b w:val="1"/>
                <w:bCs w:val="1"/>
                <w:color w:val="auto"/>
              </w:rPr>
              <w:t>2017</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140" w:type="dxa"/>
            <w:vAlign w:val="bottom"/>
            <w:tcBorders>
              <w:top w:val="single" w:sz="8" w:color="auto"/>
            </w:tcBorders>
          </w:tcPr>
          <w:p>
            <w:pPr>
              <w:jc w:val="right"/>
              <w:ind w:right="415"/>
              <w:spacing w:after="0"/>
              <w:rPr>
                <w:sz w:val="20"/>
                <w:szCs w:val="20"/>
                <w:color w:val="auto"/>
              </w:rPr>
            </w:pPr>
            <w:r>
              <w:rPr>
                <w:rFonts w:ascii="Arial" w:cs="Arial" w:eastAsia="Arial" w:hAnsi="Arial"/>
                <w:sz w:val="17"/>
                <w:szCs w:val="17"/>
                <w:b w:val="1"/>
                <w:bCs w:val="1"/>
                <w:color w:val="auto"/>
              </w:rPr>
              <w:t>2018</w:t>
            </w:r>
          </w:p>
        </w:tc>
        <w:tc>
          <w:tcPr>
            <w:tcW w:w="40" w:type="dxa"/>
            <w:vAlign w:val="bottom"/>
            <w:tcBorders>
              <w:top w:val="single" w:sz="8" w:color="auto"/>
            </w:tcBorders>
          </w:tcPr>
          <w:p>
            <w:pPr>
              <w:spacing w:after="0"/>
              <w:rPr>
                <w:sz w:val="19"/>
                <w:szCs w:val="19"/>
                <w:color w:val="auto"/>
              </w:rPr>
            </w:pPr>
          </w:p>
        </w:tc>
        <w:tc>
          <w:tcPr>
            <w:tcW w:w="60" w:type="dxa"/>
            <w:vAlign w:val="bottom"/>
            <w:tcBorders>
              <w:top w:val="single" w:sz="8" w:color="auto"/>
            </w:tcBorders>
          </w:tcPr>
          <w:p>
            <w:pPr>
              <w:spacing w:after="0"/>
              <w:rPr>
                <w:sz w:val="19"/>
                <w:szCs w:val="19"/>
                <w:color w:val="auto"/>
              </w:rPr>
            </w:pPr>
          </w:p>
        </w:tc>
        <w:tc>
          <w:tcPr>
            <w:tcW w:w="40" w:type="dxa"/>
            <w:vAlign w:val="bottom"/>
            <w:tcBorders>
              <w:top w:val="single" w:sz="8" w:color="auto"/>
            </w:tcBorders>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1060" w:type="dxa"/>
            <w:vAlign w:val="bottom"/>
            <w:tcBorders>
              <w:top w:val="single" w:sz="8" w:color="auto"/>
            </w:tcBorders>
          </w:tcPr>
          <w:p>
            <w:pPr>
              <w:jc w:val="right"/>
              <w:ind w:right="415"/>
              <w:spacing w:after="0"/>
              <w:rPr>
                <w:sz w:val="20"/>
                <w:szCs w:val="20"/>
                <w:color w:val="auto"/>
              </w:rPr>
            </w:pPr>
            <w:r>
              <w:rPr>
                <w:rFonts w:ascii="Arial" w:cs="Arial" w:eastAsia="Arial" w:hAnsi="Arial"/>
                <w:sz w:val="17"/>
                <w:szCs w:val="17"/>
                <w:b w:val="1"/>
                <w:bCs w:val="1"/>
                <w:color w:val="auto"/>
              </w:rPr>
              <w:t>2017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40" w:type="dxa"/>
            <w:vAlign w:val="bottom"/>
            <w:tcBorders>
              <w:bottom w:val="single" w:sz="8" w:color="DCE2EF"/>
            </w:tcBorders>
          </w:tcPr>
          <w:p>
            <w:pPr>
              <w:spacing w:after="0" w:line="20" w:lineRule="exact"/>
              <w:rPr>
                <w:sz w:val="1"/>
                <w:szCs w:val="1"/>
                <w:color w:val="auto"/>
              </w:rPr>
            </w:pPr>
          </w:p>
        </w:tc>
        <w:tc>
          <w:tcPr>
            <w:tcW w:w="700" w:type="dxa"/>
            <w:vAlign w:val="bottom"/>
            <w:tcBorders>
              <w:top w:val="single" w:sz="8" w:color="auto"/>
              <w:bottom w:val="single" w:sz="8" w:color="DCE2EF"/>
            </w:tcBorders>
          </w:tcPr>
          <w:p>
            <w:pPr>
              <w:spacing w:after="0" w:line="20" w:lineRule="exact"/>
              <w:rPr>
                <w:sz w:val="1"/>
                <w:szCs w:val="1"/>
                <w:color w:val="auto"/>
              </w:rPr>
            </w:pPr>
          </w:p>
        </w:tc>
        <w:tc>
          <w:tcPr>
            <w:tcW w:w="1540" w:type="dxa"/>
            <w:vAlign w:val="bottom"/>
            <w:tcBorders>
              <w:top w:val="single" w:sz="8" w:color="auto"/>
              <w:bottom w:val="single" w:sz="8" w:color="DCE2EF"/>
            </w:tcBorders>
          </w:tcPr>
          <w:p>
            <w:pPr>
              <w:spacing w:after="0" w:line="20" w:lineRule="exact"/>
              <w:rPr>
                <w:sz w:val="1"/>
                <w:szCs w:val="1"/>
                <w:color w:val="auto"/>
              </w:rPr>
            </w:pPr>
          </w:p>
        </w:tc>
        <w:tc>
          <w:tcPr>
            <w:tcW w:w="3080" w:type="dxa"/>
            <w:vAlign w:val="bottom"/>
            <w:tcBorders>
              <w:bottom w:val="single" w:sz="8" w:color="DCE2E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DCE2EF"/>
            </w:tcBorders>
          </w:tcPr>
          <w:p>
            <w:pPr>
              <w:spacing w:after="0" w:line="20" w:lineRule="exact"/>
              <w:rPr>
                <w:sz w:val="1"/>
                <w:szCs w:val="1"/>
                <w:color w:val="auto"/>
              </w:rPr>
            </w:pPr>
          </w:p>
        </w:tc>
        <w:tc>
          <w:tcPr>
            <w:tcW w:w="60" w:type="dxa"/>
            <w:vAlign w:val="bottom"/>
            <w:tcBorders>
              <w:bottom w:val="single" w:sz="8" w:color="DCE2EF"/>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DCE2EF"/>
            </w:tcBorders>
          </w:tcPr>
          <w:p>
            <w:pPr>
              <w:spacing w:after="0" w:line="20" w:lineRule="exact"/>
              <w:rPr>
                <w:sz w:val="1"/>
                <w:szCs w:val="1"/>
                <w:color w:val="auto"/>
              </w:rPr>
            </w:pPr>
          </w:p>
        </w:tc>
        <w:tc>
          <w:tcPr>
            <w:tcW w:w="40" w:type="dxa"/>
            <w:vAlign w:val="bottom"/>
            <w:tcBorders>
              <w:bottom w:val="single" w:sz="8" w:color="DCE2E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DCE2EF"/>
            </w:tcBorders>
          </w:tcPr>
          <w:p>
            <w:pPr>
              <w:spacing w:after="0" w:line="20" w:lineRule="exact"/>
              <w:rPr>
                <w:sz w:val="1"/>
                <w:szCs w:val="1"/>
                <w:color w:val="auto"/>
              </w:rPr>
            </w:pPr>
          </w:p>
        </w:tc>
        <w:tc>
          <w:tcPr>
            <w:tcW w:w="60" w:type="dxa"/>
            <w:vAlign w:val="bottom"/>
            <w:tcBorders>
              <w:bottom w:val="single" w:sz="8" w:color="DCE2EF"/>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50"/>
        </w:trPr>
        <w:tc>
          <w:tcPr>
            <w:tcW w:w="40" w:type="dxa"/>
            <w:vAlign w:val="bottom"/>
            <w:tcBorders>
              <w:right w:val="single" w:sz="8" w:color="DCE2EF"/>
            </w:tcBorders>
            <w:shd w:val="clear" w:color="auto" w:fill="DCE2EF"/>
          </w:tcPr>
          <w:p>
            <w:pPr>
              <w:spacing w:after="0"/>
              <w:rPr>
                <w:sz w:val="21"/>
                <w:szCs w:val="21"/>
                <w:color w:val="auto"/>
              </w:rPr>
            </w:pPr>
          </w:p>
        </w:tc>
        <w:tc>
          <w:tcPr>
            <w:tcW w:w="5320" w:type="dxa"/>
            <w:vAlign w:val="bottom"/>
            <w:gridSpan w:val="3"/>
            <w:shd w:val="clear" w:color="auto" w:fill="DCE2EF"/>
          </w:tcPr>
          <w:p>
            <w:pPr>
              <w:spacing w:after="0"/>
              <w:rPr>
                <w:sz w:val="20"/>
                <w:szCs w:val="20"/>
                <w:color w:val="auto"/>
              </w:rPr>
            </w:pPr>
            <w:r>
              <w:rPr>
                <w:rFonts w:ascii="Arial" w:cs="Arial" w:eastAsia="Arial" w:hAnsi="Arial"/>
                <w:sz w:val="17"/>
                <w:szCs w:val="17"/>
                <w:color w:val="auto"/>
              </w:rPr>
              <w:t>Income from continuing operations</w:t>
            </w:r>
          </w:p>
        </w:tc>
        <w:tc>
          <w:tcPr>
            <w:tcW w:w="240" w:type="dxa"/>
            <w:vAlign w:val="bottom"/>
            <w:tcBorders>
              <w:left w:val="single" w:sz="8" w:color="DCE2EF"/>
            </w:tcBorders>
            <w:shd w:val="clear" w:color="auto" w:fill="DCE2EF"/>
          </w:tcPr>
          <w:p>
            <w:pPr>
              <w:jc w:val="right"/>
              <w:ind w:right="35"/>
              <w:spacing w:after="0"/>
              <w:rPr>
                <w:sz w:val="20"/>
                <w:szCs w:val="20"/>
                <w:color w:val="auto"/>
              </w:rPr>
            </w:pPr>
            <w:r>
              <w:rPr>
                <w:rFonts w:ascii="Arial" w:cs="Arial" w:eastAsia="Arial" w:hAnsi="Arial"/>
                <w:sz w:val="17"/>
                <w:szCs w:val="17"/>
                <w:color w:val="auto"/>
              </w:rPr>
              <w:t>$</w:t>
            </w:r>
          </w:p>
        </w:tc>
        <w:tc>
          <w:tcPr>
            <w:tcW w:w="1240" w:type="dxa"/>
            <w:vAlign w:val="bottom"/>
            <w:shd w:val="clear" w:color="auto" w:fill="DCE2EF"/>
          </w:tcPr>
          <w:p>
            <w:pPr>
              <w:jc w:val="right"/>
              <w:ind w:right="15"/>
              <w:spacing w:after="0"/>
              <w:rPr>
                <w:sz w:val="20"/>
                <w:szCs w:val="20"/>
                <w:color w:val="auto"/>
              </w:rPr>
            </w:pPr>
            <w:r>
              <w:rPr>
                <w:rFonts w:ascii="Arial" w:cs="Arial" w:eastAsia="Arial" w:hAnsi="Arial"/>
                <w:sz w:val="17"/>
                <w:szCs w:val="17"/>
                <w:color w:val="auto"/>
              </w:rPr>
              <w:t>25.4</w:t>
            </w:r>
          </w:p>
        </w:tc>
        <w:tc>
          <w:tcPr>
            <w:tcW w:w="40" w:type="dxa"/>
            <w:vAlign w:val="bottom"/>
            <w:shd w:val="clear" w:color="auto" w:fill="DCE2EF"/>
          </w:tcPr>
          <w:p>
            <w:pPr>
              <w:spacing w:after="0"/>
              <w:rPr>
                <w:sz w:val="21"/>
                <w:szCs w:val="21"/>
                <w:color w:val="auto"/>
              </w:rPr>
            </w:pPr>
          </w:p>
        </w:tc>
        <w:tc>
          <w:tcPr>
            <w:tcW w:w="60" w:type="dxa"/>
            <w:vAlign w:val="bottom"/>
            <w:shd w:val="clear" w:color="auto" w:fill="DCE2EF"/>
          </w:tcPr>
          <w:p>
            <w:pPr>
              <w:spacing w:after="0"/>
              <w:rPr>
                <w:sz w:val="21"/>
                <w:szCs w:val="21"/>
                <w:color w:val="auto"/>
              </w:rPr>
            </w:pPr>
          </w:p>
        </w:tc>
        <w:tc>
          <w:tcPr>
            <w:tcW w:w="340" w:type="dxa"/>
            <w:vAlign w:val="bottom"/>
            <w:gridSpan w:val="2"/>
            <w:shd w:val="clear" w:color="auto" w:fill="DCE2EF"/>
          </w:tcPr>
          <w:p>
            <w:pPr>
              <w:jc w:val="right"/>
              <w:ind w:right="200"/>
              <w:spacing w:after="0"/>
              <w:rPr>
                <w:sz w:val="20"/>
                <w:szCs w:val="20"/>
                <w:color w:val="auto"/>
              </w:rPr>
            </w:pPr>
            <w:r>
              <w:rPr>
                <w:rFonts w:ascii="Arial" w:cs="Arial" w:eastAsia="Arial" w:hAnsi="Arial"/>
                <w:sz w:val="17"/>
                <w:szCs w:val="17"/>
                <w:color w:val="auto"/>
              </w:rPr>
              <w:t>$</w:t>
            </w:r>
          </w:p>
        </w:tc>
        <w:tc>
          <w:tcPr>
            <w:tcW w:w="1160" w:type="dxa"/>
            <w:vAlign w:val="bottom"/>
            <w:shd w:val="clear" w:color="auto" w:fill="DCE2EF"/>
          </w:tcPr>
          <w:p>
            <w:pPr>
              <w:jc w:val="right"/>
              <w:ind w:right="35"/>
              <w:spacing w:after="0"/>
              <w:rPr>
                <w:sz w:val="20"/>
                <w:szCs w:val="20"/>
                <w:color w:val="auto"/>
              </w:rPr>
            </w:pPr>
            <w:r>
              <w:rPr>
                <w:rFonts w:ascii="Arial" w:cs="Arial" w:eastAsia="Arial" w:hAnsi="Arial"/>
                <w:sz w:val="17"/>
                <w:szCs w:val="17"/>
                <w:color w:val="auto"/>
              </w:rPr>
              <w:t>31.6</w:t>
            </w:r>
          </w:p>
        </w:tc>
        <w:tc>
          <w:tcPr>
            <w:tcW w:w="60" w:type="dxa"/>
            <w:vAlign w:val="bottom"/>
            <w:shd w:val="clear" w:color="auto" w:fill="DCE2EF"/>
          </w:tcPr>
          <w:p>
            <w:pPr>
              <w:spacing w:after="0"/>
              <w:rPr>
                <w:sz w:val="21"/>
                <w:szCs w:val="21"/>
                <w:color w:val="auto"/>
              </w:rPr>
            </w:pPr>
          </w:p>
        </w:tc>
        <w:tc>
          <w:tcPr>
            <w:tcW w:w="40" w:type="dxa"/>
            <w:vAlign w:val="bottom"/>
            <w:shd w:val="clear" w:color="auto" w:fill="DCE2EF"/>
          </w:tcPr>
          <w:p>
            <w:pPr>
              <w:spacing w:after="0"/>
              <w:rPr>
                <w:sz w:val="21"/>
                <w:szCs w:val="21"/>
                <w:color w:val="auto"/>
              </w:rPr>
            </w:pPr>
          </w:p>
        </w:tc>
        <w:tc>
          <w:tcPr>
            <w:tcW w:w="240" w:type="dxa"/>
            <w:vAlign w:val="bottom"/>
            <w:gridSpan w:val="2"/>
            <w:shd w:val="clear" w:color="auto" w:fill="DCE2EF"/>
          </w:tcPr>
          <w:p>
            <w:pPr>
              <w:jc w:val="right"/>
              <w:ind w:right="120"/>
              <w:spacing w:after="0"/>
              <w:rPr>
                <w:sz w:val="20"/>
                <w:szCs w:val="20"/>
                <w:color w:val="auto"/>
              </w:rPr>
            </w:pPr>
            <w:r>
              <w:rPr>
                <w:rFonts w:ascii="Arial" w:cs="Arial" w:eastAsia="Arial" w:hAnsi="Arial"/>
                <w:sz w:val="17"/>
                <w:szCs w:val="17"/>
                <w:color w:val="auto"/>
              </w:rPr>
              <w:t>$</w:t>
            </w:r>
          </w:p>
        </w:tc>
        <w:tc>
          <w:tcPr>
            <w:tcW w:w="1140" w:type="dxa"/>
            <w:vAlign w:val="bottom"/>
            <w:shd w:val="clear" w:color="auto" w:fill="DCE2EF"/>
          </w:tcPr>
          <w:p>
            <w:pPr>
              <w:jc w:val="right"/>
              <w:ind w:right="15"/>
              <w:spacing w:after="0"/>
              <w:rPr>
                <w:sz w:val="20"/>
                <w:szCs w:val="20"/>
                <w:color w:val="auto"/>
              </w:rPr>
            </w:pPr>
            <w:r>
              <w:rPr>
                <w:rFonts w:ascii="Arial" w:cs="Arial" w:eastAsia="Arial" w:hAnsi="Arial"/>
                <w:sz w:val="17"/>
                <w:szCs w:val="17"/>
                <w:color w:val="auto"/>
              </w:rPr>
              <w:t>53.3</w:t>
            </w:r>
          </w:p>
        </w:tc>
        <w:tc>
          <w:tcPr>
            <w:tcW w:w="40" w:type="dxa"/>
            <w:vAlign w:val="bottom"/>
            <w:shd w:val="clear" w:color="auto" w:fill="DCE2EF"/>
          </w:tcPr>
          <w:p>
            <w:pPr>
              <w:spacing w:after="0"/>
              <w:rPr>
                <w:sz w:val="21"/>
                <w:szCs w:val="21"/>
                <w:color w:val="auto"/>
              </w:rPr>
            </w:pPr>
          </w:p>
        </w:tc>
        <w:tc>
          <w:tcPr>
            <w:tcW w:w="60" w:type="dxa"/>
            <w:vAlign w:val="bottom"/>
            <w:shd w:val="clear" w:color="auto" w:fill="DCE2EF"/>
          </w:tcPr>
          <w:p>
            <w:pPr>
              <w:spacing w:after="0"/>
              <w:rPr>
                <w:sz w:val="21"/>
                <w:szCs w:val="21"/>
                <w:color w:val="auto"/>
              </w:rPr>
            </w:pPr>
          </w:p>
        </w:tc>
        <w:tc>
          <w:tcPr>
            <w:tcW w:w="320" w:type="dxa"/>
            <w:vAlign w:val="bottom"/>
            <w:gridSpan w:val="2"/>
            <w:shd w:val="clear" w:color="auto" w:fill="DCE2EF"/>
          </w:tcPr>
          <w:p>
            <w:pPr>
              <w:jc w:val="right"/>
              <w:ind w:right="180"/>
              <w:spacing w:after="0"/>
              <w:rPr>
                <w:sz w:val="20"/>
                <w:szCs w:val="20"/>
                <w:color w:val="auto"/>
              </w:rPr>
            </w:pPr>
            <w:r>
              <w:rPr>
                <w:rFonts w:ascii="Arial" w:cs="Arial" w:eastAsia="Arial" w:hAnsi="Arial"/>
                <w:sz w:val="17"/>
                <w:szCs w:val="17"/>
                <w:color w:val="auto"/>
              </w:rPr>
              <w:t>$</w:t>
            </w:r>
          </w:p>
        </w:tc>
        <w:tc>
          <w:tcPr>
            <w:tcW w:w="1060" w:type="dxa"/>
            <w:vAlign w:val="bottom"/>
            <w:shd w:val="clear" w:color="auto" w:fill="DCE2EF"/>
          </w:tcPr>
          <w:p>
            <w:pPr>
              <w:jc w:val="right"/>
              <w:ind w:right="15"/>
              <w:spacing w:after="0"/>
              <w:rPr>
                <w:sz w:val="20"/>
                <w:szCs w:val="20"/>
                <w:color w:val="auto"/>
              </w:rPr>
            </w:pPr>
            <w:r>
              <w:rPr>
                <w:rFonts w:ascii="Arial" w:cs="Arial" w:eastAsia="Arial" w:hAnsi="Arial"/>
                <w:sz w:val="17"/>
                <w:szCs w:val="17"/>
                <w:color w:val="auto"/>
              </w:rPr>
              <w:t>47.7</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4"/>
        </w:trPr>
        <w:tc>
          <w:tcPr>
            <w:tcW w:w="40" w:type="dxa"/>
            <w:vAlign w:val="bottom"/>
            <w:tcBorders>
              <w:bottom w:val="single" w:sz="8" w:color="DCE2EF"/>
            </w:tcBorders>
          </w:tcPr>
          <w:p>
            <w:pPr>
              <w:spacing w:after="0"/>
              <w:rPr>
                <w:sz w:val="22"/>
                <w:szCs w:val="22"/>
                <w:color w:val="auto"/>
              </w:rPr>
            </w:pPr>
          </w:p>
        </w:tc>
        <w:tc>
          <w:tcPr>
            <w:tcW w:w="5320" w:type="dxa"/>
            <w:vAlign w:val="bottom"/>
            <w:tcBorders>
              <w:bottom w:val="single" w:sz="8" w:color="DCE2EF"/>
            </w:tcBorders>
            <w:gridSpan w:val="3"/>
          </w:tcPr>
          <w:p>
            <w:pPr>
              <w:spacing w:after="0"/>
              <w:rPr>
                <w:sz w:val="20"/>
                <w:szCs w:val="20"/>
                <w:color w:val="auto"/>
              </w:rPr>
            </w:pPr>
            <w:r>
              <w:rPr>
                <w:rFonts w:ascii="Arial" w:cs="Arial" w:eastAsia="Arial" w:hAnsi="Arial"/>
                <w:sz w:val="17"/>
                <w:szCs w:val="17"/>
                <w:color w:val="auto"/>
              </w:rPr>
              <w:t>Income (loss) from discontinued operations, net of taxes</w:t>
            </w:r>
          </w:p>
        </w:tc>
        <w:tc>
          <w:tcPr>
            <w:tcW w:w="24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ind w:right="15"/>
              <w:spacing w:after="0"/>
              <w:rPr>
                <w:sz w:val="20"/>
                <w:szCs w:val="20"/>
                <w:color w:val="auto"/>
              </w:rPr>
            </w:pPr>
            <w:r>
              <w:rPr>
                <w:rFonts w:ascii="Arial" w:cs="Arial" w:eastAsia="Arial" w:hAnsi="Arial"/>
                <w:sz w:val="17"/>
                <w:szCs w:val="17"/>
                <w:color w:val="auto"/>
              </w:rPr>
              <w:t>1.2</w:t>
            </w:r>
          </w:p>
        </w:tc>
        <w:tc>
          <w:tcPr>
            <w:tcW w:w="40" w:type="dxa"/>
            <w:vAlign w:val="bottom"/>
            <w:tcBorders>
              <w:bottom w:val="single" w:sz="8" w:color="DCE2EF"/>
            </w:tcBorders>
          </w:tcPr>
          <w:p>
            <w:pPr>
              <w:spacing w:after="0"/>
              <w:rPr>
                <w:sz w:val="22"/>
                <w:szCs w:val="22"/>
                <w:color w:val="auto"/>
              </w:rPr>
            </w:pPr>
          </w:p>
        </w:tc>
        <w:tc>
          <w:tcPr>
            <w:tcW w:w="60" w:type="dxa"/>
            <w:vAlign w:val="bottom"/>
            <w:tcBorders>
              <w:bottom w:val="single" w:sz="8" w:color="DCE2EF"/>
            </w:tcBorders>
          </w:tcPr>
          <w:p>
            <w:pPr>
              <w:spacing w:after="0"/>
              <w:rPr>
                <w:sz w:val="22"/>
                <w:szCs w:val="22"/>
                <w:color w:val="auto"/>
              </w:rPr>
            </w:pPr>
          </w:p>
        </w:tc>
        <w:tc>
          <w:tcPr>
            <w:tcW w:w="60" w:type="dxa"/>
            <w:vAlign w:val="bottom"/>
            <w:tcBorders>
              <w:bottom w:val="single" w:sz="8" w:color="auto"/>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(0.4)</w:t>
            </w:r>
          </w:p>
        </w:tc>
        <w:tc>
          <w:tcPr>
            <w:tcW w:w="60" w:type="dxa"/>
            <w:vAlign w:val="bottom"/>
            <w:tcBorders>
              <w:bottom w:val="single" w:sz="8" w:color="DCE2EF"/>
            </w:tcBorders>
          </w:tcPr>
          <w:p>
            <w:pPr>
              <w:spacing w:after="0"/>
              <w:rPr>
                <w:sz w:val="22"/>
                <w:szCs w:val="22"/>
                <w:color w:val="auto"/>
              </w:rPr>
            </w:pPr>
          </w:p>
        </w:tc>
        <w:tc>
          <w:tcPr>
            <w:tcW w:w="40" w:type="dxa"/>
            <w:vAlign w:val="bottom"/>
            <w:tcBorders>
              <w:bottom w:val="single" w:sz="8" w:color="DCE2EF"/>
            </w:tcBorders>
          </w:tcPr>
          <w:p>
            <w:pPr>
              <w:spacing w:after="0"/>
              <w:rPr>
                <w:sz w:val="22"/>
                <w:szCs w:val="22"/>
                <w:color w:val="auto"/>
              </w:rPr>
            </w:pPr>
          </w:p>
        </w:tc>
        <w:tc>
          <w:tcPr>
            <w:tcW w:w="80" w:type="dxa"/>
            <w:vAlign w:val="bottom"/>
            <w:tcBorders>
              <w:bottom w:val="single" w:sz="8" w:color="auto"/>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15"/>
              <w:spacing w:after="0"/>
              <w:rPr>
                <w:sz w:val="20"/>
                <w:szCs w:val="20"/>
                <w:color w:val="auto"/>
              </w:rPr>
            </w:pPr>
            <w:r>
              <w:rPr>
                <w:rFonts w:ascii="Arial" w:cs="Arial" w:eastAsia="Arial" w:hAnsi="Arial"/>
                <w:sz w:val="17"/>
                <w:szCs w:val="17"/>
                <w:color w:val="auto"/>
              </w:rPr>
              <w:t>1.1</w:t>
            </w:r>
          </w:p>
        </w:tc>
        <w:tc>
          <w:tcPr>
            <w:tcW w:w="40" w:type="dxa"/>
            <w:vAlign w:val="bottom"/>
            <w:tcBorders>
              <w:bottom w:val="single" w:sz="8" w:color="DCE2EF"/>
            </w:tcBorders>
          </w:tcPr>
          <w:p>
            <w:pPr>
              <w:spacing w:after="0"/>
              <w:rPr>
                <w:sz w:val="22"/>
                <w:szCs w:val="22"/>
                <w:color w:val="auto"/>
              </w:rPr>
            </w:pPr>
          </w:p>
        </w:tc>
        <w:tc>
          <w:tcPr>
            <w:tcW w:w="60" w:type="dxa"/>
            <w:vAlign w:val="bottom"/>
            <w:tcBorders>
              <w:bottom w:val="single" w:sz="8" w:color="DCE2EF"/>
            </w:tcBorders>
          </w:tcPr>
          <w:p>
            <w:pPr>
              <w:spacing w:after="0"/>
              <w:rPr>
                <w:sz w:val="22"/>
                <w:szCs w:val="22"/>
                <w:color w:val="auto"/>
              </w:rPr>
            </w:pPr>
          </w:p>
        </w:tc>
        <w:tc>
          <w:tcPr>
            <w:tcW w:w="40" w:type="dxa"/>
            <w:vAlign w:val="bottom"/>
            <w:tcBorders>
              <w:bottom w:val="single" w:sz="8" w:color="auto"/>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(73.2)</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1"/>
        </w:trPr>
        <w:tc>
          <w:tcPr>
            <w:tcW w:w="40" w:type="dxa"/>
            <w:vAlign w:val="bottom"/>
            <w:tcBorders>
              <w:bottom w:val="single" w:sz="8" w:color="DCE2EF"/>
              <w:right w:val="single" w:sz="8" w:color="DCE2EF"/>
            </w:tcBorders>
            <w:shd w:val="clear" w:color="auto" w:fill="DCE2EF"/>
          </w:tcPr>
          <w:p>
            <w:pPr>
              <w:spacing w:after="0"/>
              <w:rPr>
                <w:sz w:val="20"/>
                <w:szCs w:val="20"/>
                <w:color w:val="auto"/>
              </w:rPr>
            </w:pPr>
          </w:p>
        </w:tc>
        <w:tc>
          <w:tcPr>
            <w:tcW w:w="5320" w:type="dxa"/>
            <w:vAlign w:val="bottom"/>
            <w:tcBorders>
              <w:bottom w:val="single" w:sz="8" w:color="DCE2EF"/>
            </w:tcBorders>
            <w:gridSpan w:val="3"/>
            <w:shd w:val="clear" w:color="auto" w:fill="DCE2EF"/>
          </w:tcPr>
          <w:p>
            <w:pPr>
              <w:spacing w:after="0"/>
              <w:rPr>
                <w:sz w:val="20"/>
                <w:szCs w:val="20"/>
                <w:color w:val="auto"/>
              </w:rPr>
            </w:pPr>
            <w:r>
              <w:rPr>
                <w:rFonts w:ascii="Arial" w:cs="Arial" w:eastAsia="Arial" w:hAnsi="Arial"/>
                <w:sz w:val="17"/>
                <w:szCs w:val="17"/>
                <w:b w:val="1"/>
                <w:bCs w:val="1"/>
                <w:color w:val="auto"/>
              </w:rPr>
              <w:t>Net income (loss)</w:t>
            </w:r>
          </w:p>
        </w:tc>
        <w:tc>
          <w:tcPr>
            <w:tcW w:w="240" w:type="dxa"/>
            <w:vAlign w:val="bottom"/>
            <w:tcBorders>
              <w:left w:val="single" w:sz="8" w:color="DCE2EF"/>
              <w:bottom w:val="single" w:sz="8" w:color="auto"/>
            </w:tcBorders>
            <w:shd w:val="clear" w:color="auto" w:fill="DCE2EF"/>
          </w:tcPr>
          <w:p>
            <w:pPr>
              <w:jc w:val="right"/>
              <w:ind w:right="35"/>
              <w:spacing w:after="0"/>
              <w:rPr>
                <w:sz w:val="20"/>
                <w:szCs w:val="20"/>
                <w:color w:val="auto"/>
              </w:rPr>
            </w:pPr>
            <w:r>
              <w:rPr>
                <w:rFonts w:ascii="Arial" w:cs="Arial" w:eastAsia="Arial" w:hAnsi="Arial"/>
                <w:sz w:val="17"/>
                <w:szCs w:val="17"/>
                <w:color w:val="auto"/>
              </w:rPr>
              <w:t>$</w:t>
            </w:r>
          </w:p>
        </w:tc>
        <w:tc>
          <w:tcPr>
            <w:tcW w:w="1240" w:type="dxa"/>
            <w:vAlign w:val="bottom"/>
            <w:tcBorders>
              <w:bottom w:val="single" w:sz="8" w:color="auto"/>
            </w:tcBorders>
            <w:shd w:val="clear" w:color="auto" w:fill="DCE2EF"/>
          </w:tcPr>
          <w:p>
            <w:pPr>
              <w:jc w:val="right"/>
              <w:ind w:right="15"/>
              <w:spacing w:after="0"/>
              <w:rPr>
                <w:sz w:val="20"/>
                <w:szCs w:val="20"/>
                <w:color w:val="auto"/>
              </w:rPr>
            </w:pPr>
            <w:r>
              <w:rPr>
                <w:rFonts w:ascii="Arial" w:cs="Arial" w:eastAsia="Arial" w:hAnsi="Arial"/>
                <w:sz w:val="17"/>
                <w:szCs w:val="17"/>
                <w:color w:val="auto"/>
              </w:rPr>
              <w:t>26.6</w:t>
            </w:r>
          </w:p>
        </w:tc>
        <w:tc>
          <w:tcPr>
            <w:tcW w:w="40" w:type="dxa"/>
            <w:vAlign w:val="bottom"/>
            <w:tcBorders>
              <w:bottom w:val="single" w:sz="8" w:color="DCE2EF"/>
            </w:tcBorders>
            <w:shd w:val="clear" w:color="auto" w:fill="DCE2EF"/>
          </w:tcPr>
          <w:p>
            <w:pPr>
              <w:spacing w:after="0"/>
              <w:rPr>
                <w:sz w:val="20"/>
                <w:szCs w:val="20"/>
                <w:color w:val="auto"/>
              </w:rPr>
            </w:pPr>
          </w:p>
        </w:tc>
        <w:tc>
          <w:tcPr>
            <w:tcW w:w="60" w:type="dxa"/>
            <w:vAlign w:val="bottom"/>
            <w:tcBorders>
              <w:bottom w:val="single" w:sz="8" w:color="DCE2EF"/>
            </w:tcBorders>
            <w:shd w:val="clear" w:color="auto" w:fill="DCE2EF"/>
          </w:tcPr>
          <w:p>
            <w:pPr>
              <w:spacing w:after="0"/>
              <w:rPr>
                <w:sz w:val="20"/>
                <w:szCs w:val="20"/>
                <w:color w:val="auto"/>
              </w:rPr>
            </w:pPr>
          </w:p>
        </w:tc>
        <w:tc>
          <w:tcPr>
            <w:tcW w:w="340" w:type="dxa"/>
            <w:vAlign w:val="bottom"/>
            <w:tcBorders>
              <w:bottom w:val="single" w:sz="8" w:color="auto"/>
            </w:tcBorders>
            <w:gridSpan w:val="2"/>
            <w:shd w:val="clear" w:color="auto" w:fill="DCE2EF"/>
          </w:tcPr>
          <w:p>
            <w:pPr>
              <w:jc w:val="right"/>
              <w:ind w:right="200"/>
              <w:spacing w:after="0"/>
              <w:rPr>
                <w:sz w:val="20"/>
                <w:szCs w:val="20"/>
                <w:color w:val="auto"/>
              </w:rPr>
            </w:pPr>
            <w:r>
              <w:rPr>
                <w:rFonts w:ascii="Arial" w:cs="Arial" w:eastAsia="Arial" w:hAnsi="Arial"/>
                <w:sz w:val="17"/>
                <w:szCs w:val="17"/>
                <w:color w:val="auto"/>
              </w:rPr>
              <w:t>$</w:t>
            </w:r>
          </w:p>
        </w:tc>
        <w:tc>
          <w:tcPr>
            <w:tcW w:w="1160" w:type="dxa"/>
            <w:vAlign w:val="bottom"/>
            <w:tcBorders>
              <w:bottom w:val="single" w:sz="8" w:color="auto"/>
            </w:tcBorders>
            <w:shd w:val="clear" w:color="auto" w:fill="DCE2EF"/>
          </w:tcPr>
          <w:p>
            <w:pPr>
              <w:jc w:val="right"/>
              <w:ind w:right="35"/>
              <w:spacing w:after="0"/>
              <w:rPr>
                <w:sz w:val="20"/>
                <w:szCs w:val="20"/>
                <w:color w:val="auto"/>
              </w:rPr>
            </w:pPr>
            <w:r>
              <w:rPr>
                <w:rFonts w:ascii="Arial" w:cs="Arial" w:eastAsia="Arial" w:hAnsi="Arial"/>
                <w:sz w:val="17"/>
                <w:szCs w:val="17"/>
                <w:color w:val="auto"/>
              </w:rPr>
              <w:t>31.3</w:t>
            </w:r>
          </w:p>
        </w:tc>
        <w:tc>
          <w:tcPr>
            <w:tcW w:w="60" w:type="dxa"/>
            <w:vAlign w:val="bottom"/>
            <w:tcBorders>
              <w:bottom w:val="single" w:sz="8" w:color="DCE2EF"/>
            </w:tcBorders>
            <w:shd w:val="clear" w:color="auto" w:fill="DCE2EF"/>
          </w:tcPr>
          <w:p>
            <w:pPr>
              <w:spacing w:after="0"/>
              <w:rPr>
                <w:sz w:val="20"/>
                <w:szCs w:val="20"/>
                <w:color w:val="auto"/>
              </w:rPr>
            </w:pPr>
          </w:p>
        </w:tc>
        <w:tc>
          <w:tcPr>
            <w:tcW w:w="40" w:type="dxa"/>
            <w:vAlign w:val="bottom"/>
            <w:tcBorders>
              <w:bottom w:val="single" w:sz="8" w:color="DCE2EF"/>
            </w:tcBorders>
            <w:shd w:val="clear" w:color="auto" w:fill="DCE2EF"/>
          </w:tcPr>
          <w:p>
            <w:pPr>
              <w:spacing w:after="0"/>
              <w:rPr>
                <w:sz w:val="20"/>
                <w:szCs w:val="20"/>
                <w:color w:val="auto"/>
              </w:rPr>
            </w:pPr>
          </w:p>
        </w:tc>
        <w:tc>
          <w:tcPr>
            <w:tcW w:w="240" w:type="dxa"/>
            <w:vAlign w:val="bottom"/>
            <w:tcBorders>
              <w:bottom w:val="single" w:sz="8" w:color="auto"/>
            </w:tcBorders>
            <w:gridSpan w:val="2"/>
            <w:shd w:val="clear" w:color="auto" w:fill="DCE2EF"/>
          </w:tcPr>
          <w:p>
            <w:pPr>
              <w:jc w:val="right"/>
              <w:ind w:right="120"/>
              <w:spacing w:after="0"/>
              <w:rPr>
                <w:sz w:val="20"/>
                <w:szCs w:val="20"/>
                <w:color w:val="auto"/>
              </w:rPr>
            </w:pPr>
            <w:r>
              <w:rPr>
                <w:rFonts w:ascii="Arial" w:cs="Arial" w:eastAsia="Arial" w:hAnsi="Arial"/>
                <w:sz w:val="17"/>
                <w:szCs w:val="17"/>
                <w:color w:val="auto"/>
              </w:rPr>
              <w:t>$</w:t>
            </w:r>
          </w:p>
        </w:tc>
        <w:tc>
          <w:tcPr>
            <w:tcW w:w="1140" w:type="dxa"/>
            <w:vAlign w:val="bottom"/>
            <w:tcBorders>
              <w:bottom w:val="single" w:sz="8" w:color="auto"/>
            </w:tcBorders>
            <w:shd w:val="clear" w:color="auto" w:fill="DCE2EF"/>
          </w:tcPr>
          <w:p>
            <w:pPr>
              <w:jc w:val="right"/>
              <w:ind w:right="15"/>
              <w:spacing w:after="0"/>
              <w:rPr>
                <w:sz w:val="20"/>
                <w:szCs w:val="20"/>
                <w:color w:val="auto"/>
              </w:rPr>
            </w:pPr>
            <w:r>
              <w:rPr>
                <w:rFonts w:ascii="Arial" w:cs="Arial" w:eastAsia="Arial" w:hAnsi="Arial"/>
                <w:sz w:val="17"/>
                <w:szCs w:val="17"/>
                <w:color w:val="auto"/>
              </w:rPr>
              <w:t>54.4</w:t>
            </w:r>
          </w:p>
        </w:tc>
        <w:tc>
          <w:tcPr>
            <w:tcW w:w="40" w:type="dxa"/>
            <w:vAlign w:val="bottom"/>
            <w:tcBorders>
              <w:bottom w:val="single" w:sz="8" w:color="DCE2EF"/>
            </w:tcBorders>
            <w:shd w:val="clear" w:color="auto" w:fill="DCE2EF"/>
          </w:tcPr>
          <w:p>
            <w:pPr>
              <w:spacing w:after="0"/>
              <w:rPr>
                <w:sz w:val="20"/>
                <w:szCs w:val="20"/>
                <w:color w:val="auto"/>
              </w:rPr>
            </w:pPr>
          </w:p>
        </w:tc>
        <w:tc>
          <w:tcPr>
            <w:tcW w:w="60" w:type="dxa"/>
            <w:vAlign w:val="bottom"/>
            <w:tcBorders>
              <w:bottom w:val="single" w:sz="8" w:color="DCE2EF"/>
            </w:tcBorders>
            <w:shd w:val="clear" w:color="auto" w:fill="DCE2EF"/>
          </w:tcPr>
          <w:p>
            <w:pPr>
              <w:spacing w:after="0"/>
              <w:rPr>
                <w:sz w:val="20"/>
                <w:szCs w:val="20"/>
                <w:color w:val="auto"/>
              </w:rPr>
            </w:pPr>
          </w:p>
        </w:tc>
        <w:tc>
          <w:tcPr>
            <w:tcW w:w="320" w:type="dxa"/>
            <w:vAlign w:val="bottom"/>
            <w:tcBorders>
              <w:bottom w:val="single" w:sz="8" w:color="auto"/>
            </w:tcBorders>
            <w:gridSpan w:val="2"/>
            <w:shd w:val="clear" w:color="auto" w:fill="DCE2EF"/>
          </w:tcPr>
          <w:p>
            <w:pPr>
              <w:jc w:val="right"/>
              <w:ind w:right="180"/>
              <w:spacing w:after="0"/>
              <w:rPr>
                <w:sz w:val="20"/>
                <w:szCs w:val="20"/>
                <w:color w:val="auto"/>
              </w:rPr>
            </w:pPr>
            <w:r>
              <w:rPr>
                <w:rFonts w:ascii="Arial" w:cs="Arial" w:eastAsia="Arial" w:hAnsi="Arial"/>
                <w:sz w:val="17"/>
                <w:szCs w:val="17"/>
                <w:color w:val="auto"/>
              </w:rPr>
              <w:t>$</w:t>
            </w:r>
          </w:p>
        </w:tc>
        <w:tc>
          <w:tcPr>
            <w:tcW w:w="1060" w:type="dxa"/>
            <w:vAlign w:val="bottom"/>
            <w:tcBorders>
              <w:bottom w:val="single" w:sz="8" w:color="auto"/>
            </w:tcBorders>
            <w:shd w:val="clear" w:color="auto" w:fill="DCE2EF"/>
          </w:tcPr>
          <w:p>
            <w:pPr>
              <w:jc w:val="right"/>
              <w:spacing w:after="0"/>
              <w:rPr>
                <w:sz w:val="20"/>
                <w:szCs w:val="20"/>
                <w:color w:val="auto"/>
              </w:rPr>
            </w:pPr>
            <w:r>
              <w:rPr>
                <w:rFonts w:ascii="Arial" w:cs="Arial" w:eastAsia="Arial" w:hAnsi="Arial"/>
                <w:sz w:val="17"/>
                <w:szCs w:val="17"/>
                <w:color w:val="auto"/>
              </w:rPr>
              <w:t>(25.5)</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30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0"/>
        </w:trPr>
        <w:tc>
          <w:tcPr>
            <w:tcW w:w="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30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0"/>
        </w:trPr>
        <w:tc>
          <w:tcPr>
            <w:tcW w:w="40" w:type="dxa"/>
            <w:vAlign w:val="bottom"/>
            <w:tcBorders>
              <w:right w:val="single" w:sz="8" w:color="DCE2EF"/>
            </w:tcBorders>
            <w:shd w:val="clear" w:color="auto" w:fill="DCE2EF"/>
          </w:tcPr>
          <w:p>
            <w:pPr>
              <w:spacing w:after="0"/>
              <w:rPr>
                <w:sz w:val="16"/>
                <w:szCs w:val="16"/>
                <w:color w:val="auto"/>
              </w:rPr>
            </w:pPr>
          </w:p>
        </w:tc>
        <w:tc>
          <w:tcPr>
            <w:tcW w:w="5320" w:type="dxa"/>
            <w:vAlign w:val="bottom"/>
            <w:gridSpan w:val="3"/>
            <w:shd w:val="clear" w:color="auto" w:fill="DCE2EF"/>
          </w:tcPr>
          <w:p>
            <w:pPr>
              <w:spacing w:after="0" w:line="190" w:lineRule="exact"/>
              <w:rPr>
                <w:sz w:val="20"/>
                <w:szCs w:val="20"/>
                <w:color w:val="auto"/>
              </w:rPr>
            </w:pPr>
            <w:r>
              <w:rPr>
                <w:rFonts w:ascii="Arial" w:cs="Arial" w:eastAsia="Arial" w:hAnsi="Arial"/>
                <w:sz w:val="17"/>
                <w:szCs w:val="17"/>
                <w:b w:val="1"/>
                <w:bCs w:val="1"/>
                <w:color w:val="auto"/>
              </w:rPr>
              <w:t>Weighted-average common and common equivalent shares</w:t>
            </w:r>
          </w:p>
        </w:tc>
        <w:tc>
          <w:tcPr>
            <w:tcW w:w="240" w:type="dxa"/>
            <w:vAlign w:val="bottom"/>
            <w:tcBorders>
              <w:left w:val="single" w:sz="8" w:color="DCE2EF"/>
            </w:tcBorders>
            <w:shd w:val="clear" w:color="auto" w:fill="DCE2EF"/>
          </w:tcPr>
          <w:p>
            <w:pPr>
              <w:spacing w:after="0"/>
              <w:rPr>
                <w:sz w:val="16"/>
                <w:szCs w:val="16"/>
                <w:color w:val="auto"/>
              </w:rPr>
            </w:pPr>
          </w:p>
        </w:tc>
        <w:tc>
          <w:tcPr>
            <w:tcW w:w="1240" w:type="dxa"/>
            <w:vAlign w:val="bottom"/>
            <w:shd w:val="clear" w:color="auto" w:fill="DCE2EF"/>
          </w:tcPr>
          <w:p>
            <w:pPr>
              <w:spacing w:after="0"/>
              <w:rPr>
                <w:sz w:val="16"/>
                <w:szCs w:val="16"/>
                <w:color w:val="auto"/>
              </w:rPr>
            </w:pPr>
          </w:p>
        </w:tc>
        <w:tc>
          <w:tcPr>
            <w:tcW w:w="40" w:type="dxa"/>
            <w:vAlign w:val="bottom"/>
            <w:shd w:val="clear" w:color="auto" w:fill="DCE2EF"/>
          </w:tcPr>
          <w:p>
            <w:pPr>
              <w:spacing w:after="0"/>
              <w:rPr>
                <w:sz w:val="16"/>
                <w:szCs w:val="16"/>
                <w:color w:val="auto"/>
              </w:rPr>
            </w:pPr>
          </w:p>
        </w:tc>
        <w:tc>
          <w:tcPr>
            <w:tcW w:w="60" w:type="dxa"/>
            <w:vAlign w:val="bottom"/>
            <w:shd w:val="clear" w:color="auto" w:fill="DCE2EF"/>
          </w:tcPr>
          <w:p>
            <w:pPr>
              <w:spacing w:after="0"/>
              <w:rPr>
                <w:sz w:val="16"/>
                <w:szCs w:val="16"/>
                <w:color w:val="auto"/>
              </w:rPr>
            </w:pPr>
          </w:p>
        </w:tc>
        <w:tc>
          <w:tcPr>
            <w:tcW w:w="60" w:type="dxa"/>
            <w:vAlign w:val="bottom"/>
            <w:shd w:val="clear" w:color="auto" w:fill="DCE2EF"/>
          </w:tcPr>
          <w:p>
            <w:pPr>
              <w:spacing w:after="0"/>
              <w:rPr>
                <w:sz w:val="16"/>
                <w:szCs w:val="16"/>
                <w:color w:val="auto"/>
              </w:rPr>
            </w:pPr>
          </w:p>
        </w:tc>
        <w:tc>
          <w:tcPr>
            <w:tcW w:w="280" w:type="dxa"/>
            <w:vAlign w:val="bottom"/>
            <w:shd w:val="clear" w:color="auto" w:fill="DCE2EF"/>
          </w:tcPr>
          <w:p>
            <w:pPr>
              <w:spacing w:after="0"/>
              <w:rPr>
                <w:sz w:val="16"/>
                <w:szCs w:val="16"/>
                <w:color w:val="auto"/>
              </w:rPr>
            </w:pPr>
          </w:p>
        </w:tc>
        <w:tc>
          <w:tcPr>
            <w:tcW w:w="1160" w:type="dxa"/>
            <w:vAlign w:val="bottom"/>
            <w:shd w:val="clear" w:color="auto" w:fill="DCE2EF"/>
          </w:tcPr>
          <w:p>
            <w:pPr>
              <w:spacing w:after="0"/>
              <w:rPr>
                <w:sz w:val="16"/>
                <w:szCs w:val="16"/>
                <w:color w:val="auto"/>
              </w:rPr>
            </w:pPr>
          </w:p>
        </w:tc>
        <w:tc>
          <w:tcPr>
            <w:tcW w:w="60" w:type="dxa"/>
            <w:vAlign w:val="bottom"/>
            <w:shd w:val="clear" w:color="auto" w:fill="DCE2EF"/>
          </w:tcPr>
          <w:p>
            <w:pPr>
              <w:spacing w:after="0"/>
              <w:rPr>
                <w:sz w:val="16"/>
                <w:szCs w:val="16"/>
                <w:color w:val="auto"/>
              </w:rPr>
            </w:pPr>
          </w:p>
        </w:tc>
        <w:tc>
          <w:tcPr>
            <w:tcW w:w="40" w:type="dxa"/>
            <w:vAlign w:val="bottom"/>
            <w:shd w:val="clear" w:color="auto" w:fill="DCE2EF"/>
          </w:tcPr>
          <w:p>
            <w:pPr>
              <w:spacing w:after="0"/>
              <w:rPr>
                <w:sz w:val="16"/>
                <w:szCs w:val="16"/>
                <w:color w:val="auto"/>
              </w:rPr>
            </w:pPr>
          </w:p>
        </w:tc>
        <w:tc>
          <w:tcPr>
            <w:tcW w:w="80" w:type="dxa"/>
            <w:vAlign w:val="bottom"/>
            <w:shd w:val="clear" w:color="auto" w:fill="DCE2EF"/>
          </w:tcPr>
          <w:p>
            <w:pPr>
              <w:spacing w:after="0"/>
              <w:rPr>
                <w:sz w:val="16"/>
                <w:szCs w:val="16"/>
                <w:color w:val="auto"/>
              </w:rPr>
            </w:pPr>
          </w:p>
        </w:tc>
        <w:tc>
          <w:tcPr>
            <w:tcW w:w="160" w:type="dxa"/>
            <w:vAlign w:val="bottom"/>
            <w:shd w:val="clear" w:color="auto" w:fill="DCE2EF"/>
          </w:tcPr>
          <w:p>
            <w:pPr>
              <w:spacing w:after="0"/>
              <w:rPr>
                <w:sz w:val="16"/>
                <w:szCs w:val="16"/>
                <w:color w:val="auto"/>
              </w:rPr>
            </w:pPr>
          </w:p>
        </w:tc>
        <w:tc>
          <w:tcPr>
            <w:tcW w:w="1140" w:type="dxa"/>
            <w:vAlign w:val="bottom"/>
            <w:shd w:val="clear" w:color="auto" w:fill="DCE2EF"/>
          </w:tcPr>
          <w:p>
            <w:pPr>
              <w:spacing w:after="0"/>
              <w:rPr>
                <w:sz w:val="16"/>
                <w:szCs w:val="16"/>
                <w:color w:val="auto"/>
              </w:rPr>
            </w:pPr>
          </w:p>
        </w:tc>
        <w:tc>
          <w:tcPr>
            <w:tcW w:w="40" w:type="dxa"/>
            <w:vAlign w:val="bottom"/>
            <w:shd w:val="clear" w:color="auto" w:fill="DCE2EF"/>
          </w:tcPr>
          <w:p>
            <w:pPr>
              <w:spacing w:after="0"/>
              <w:rPr>
                <w:sz w:val="16"/>
                <w:szCs w:val="16"/>
                <w:color w:val="auto"/>
              </w:rPr>
            </w:pPr>
          </w:p>
        </w:tc>
        <w:tc>
          <w:tcPr>
            <w:tcW w:w="60" w:type="dxa"/>
            <w:vAlign w:val="bottom"/>
            <w:shd w:val="clear" w:color="auto" w:fill="DCE2EF"/>
          </w:tcPr>
          <w:p>
            <w:pPr>
              <w:spacing w:after="0"/>
              <w:rPr>
                <w:sz w:val="16"/>
                <w:szCs w:val="16"/>
                <w:color w:val="auto"/>
              </w:rPr>
            </w:pPr>
          </w:p>
        </w:tc>
        <w:tc>
          <w:tcPr>
            <w:tcW w:w="40" w:type="dxa"/>
            <w:vAlign w:val="bottom"/>
            <w:shd w:val="clear" w:color="auto" w:fill="DCE2EF"/>
          </w:tcPr>
          <w:p>
            <w:pPr>
              <w:spacing w:after="0"/>
              <w:rPr>
                <w:sz w:val="16"/>
                <w:szCs w:val="16"/>
                <w:color w:val="auto"/>
              </w:rPr>
            </w:pPr>
          </w:p>
        </w:tc>
        <w:tc>
          <w:tcPr>
            <w:tcW w:w="280" w:type="dxa"/>
            <w:vAlign w:val="bottom"/>
            <w:shd w:val="clear" w:color="auto" w:fill="DCE2EF"/>
          </w:tcPr>
          <w:p>
            <w:pPr>
              <w:spacing w:after="0"/>
              <w:rPr>
                <w:sz w:val="16"/>
                <w:szCs w:val="16"/>
                <w:color w:val="auto"/>
              </w:rPr>
            </w:pPr>
          </w:p>
        </w:tc>
        <w:tc>
          <w:tcPr>
            <w:tcW w:w="1060" w:type="dxa"/>
            <w:vAlign w:val="bottom"/>
            <w:shd w:val="clear" w:color="auto" w:fill="DCE2EF"/>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2"/>
        </w:trPr>
        <w:tc>
          <w:tcPr>
            <w:tcW w:w="40" w:type="dxa"/>
            <w:vAlign w:val="bottom"/>
            <w:tcBorders>
              <w:right w:val="single" w:sz="8" w:color="DCE2EF"/>
            </w:tcBorders>
            <w:shd w:val="clear" w:color="auto" w:fill="DCE2EF"/>
          </w:tcPr>
          <w:p>
            <w:pPr>
              <w:spacing w:after="0"/>
              <w:rPr>
                <w:sz w:val="21"/>
                <w:szCs w:val="21"/>
                <w:color w:val="auto"/>
              </w:rPr>
            </w:pPr>
          </w:p>
        </w:tc>
        <w:tc>
          <w:tcPr>
            <w:tcW w:w="5320" w:type="dxa"/>
            <w:vAlign w:val="bottom"/>
            <w:gridSpan w:val="3"/>
            <w:shd w:val="clear" w:color="auto" w:fill="DCE2EF"/>
          </w:tcPr>
          <w:p>
            <w:pPr>
              <w:ind w:left="160"/>
              <w:spacing w:after="0"/>
              <w:rPr>
                <w:sz w:val="20"/>
                <w:szCs w:val="20"/>
                <w:color w:val="auto"/>
              </w:rPr>
            </w:pPr>
            <w:r>
              <w:rPr>
                <w:rFonts w:ascii="Arial" w:cs="Arial" w:eastAsia="Arial" w:hAnsi="Arial"/>
                <w:sz w:val="17"/>
                <w:szCs w:val="17"/>
                <w:b w:val="1"/>
                <w:bCs w:val="1"/>
                <w:color w:val="auto"/>
              </w:rPr>
              <w:t>outstanding — Basic</w:t>
            </w:r>
          </w:p>
        </w:tc>
        <w:tc>
          <w:tcPr>
            <w:tcW w:w="240" w:type="dxa"/>
            <w:vAlign w:val="bottom"/>
            <w:tcBorders>
              <w:left w:val="single" w:sz="8" w:color="DCE2EF"/>
            </w:tcBorders>
            <w:shd w:val="clear" w:color="auto" w:fill="DCE2EF"/>
          </w:tcPr>
          <w:p>
            <w:pPr>
              <w:spacing w:after="0"/>
              <w:rPr>
                <w:sz w:val="21"/>
                <w:szCs w:val="21"/>
                <w:color w:val="auto"/>
              </w:rPr>
            </w:pPr>
          </w:p>
        </w:tc>
        <w:tc>
          <w:tcPr>
            <w:tcW w:w="1240" w:type="dxa"/>
            <w:vAlign w:val="bottom"/>
            <w:shd w:val="clear" w:color="auto" w:fill="DCE2EF"/>
          </w:tcPr>
          <w:p>
            <w:pPr>
              <w:jc w:val="right"/>
              <w:ind w:right="15"/>
              <w:spacing w:after="0"/>
              <w:rPr>
                <w:sz w:val="20"/>
                <w:szCs w:val="20"/>
                <w:color w:val="auto"/>
              </w:rPr>
            </w:pPr>
            <w:r>
              <w:rPr>
                <w:rFonts w:ascii="Arial" w:cs="Arial" w:eastAsia="Arial" w:hAnsi="Arial"/>
                <w:sz w:val="17"/>
                <w:szCs w:val="17"/>
                <w:color w:val="auto"/>
              </w:rPr>
              <w:t>66.0</w:t>
            </w:r>
          </w:p>
        </w:tc>
        <w:tc>
          <w:tcPr>
            <w:tcW w:w="40" w:type="dxa"/>
            <w:vAlign w:val="bottom"/>
            <w:shd w:val="clear" w:color="auto" w:fill="DCE2EF"/>
          </w:tcPr>
          <w:p>
            <w:pPr>
              <w:spacing w:after="0"/>
              <w:rPr>
                <w:sz w:val="21"/>
                <w:szCs w:val="21"/>
                <w:color w:val="auto"/>
              </w:rPr>
            </w:pPr>
          </w:p>
        </w:tc>
        <w:tc>
          <w:tcPr>
            <w:tcW w:w="60" w:type="dxa"/>
            <w:vAlign w:val="bottom"/>
            <w:shd w:val="clear" w:color="auto" w:fill="DCE2EF"/>
          </w:tcPr>
          <w:p>
            <w:pPr>
              <w:spacing w:after="0"/>
              <w:rPr>
                <w:sz w:val="21"/>
                <w:szCs w:val="21"/>
                <w:color w:val="auto"/>
              </w:rPr>
            </w:pPr>
          </w:p>
        </w:tc>
        <w:tc>
          <w:tcPr>
            <w:tcW w:w="60" w:type="dxa"/>
            <w:vAlign w:val="bottom"/>
            <w:shd w:val="clear" w:color="auto" w:fill="DCE2EF"/>
          </w:tcPr>
          <w:p>
            <w:pPr>
              <w:spacing w:after="0"/>
              <w:rPr>
                <w:sz w:val="21"/>
                <w:szCs w:val="21"/>
                <w:color w:val="auto"/>
              </w:rPr>
            </w:pPr>
          </w:p>
        </w:tc>
        <w:tc>
          <w:tcPr>
            <w:tcW w:w="280" w:type="dxa"/>
            <w:vAlign w:val="bottom"/>
            <w:shd w:val="clear" w:color="auto" w:fill="DCE2EF"/>
          </w:tcPr>
          <w:p>
            <w:pPr>
              <w:spacing w:after="0"/>
              <w:rPr>
                <w:sz w:val="21"/>
                <w:szCs w:val="21"/>
                <w:color w:val="auto"/>
              </w:rPr>
            </w:pPr>
          </w:p>
        </w:tc>
        <w:tc>
          <w:tcPr>
            <w:tcW w:w="1160" w:type="dxa"/>
            <w:vAlign w:val="bottom"/>
            <w:shd w:val="clear" w:color="auto" w:fill="DCE2EF"/>
          </w:tcPr>
          <w:p>
            <w:pPr>
              <w:jc w:val="right"/>
              <w:ind w:right="35"/>
              <w:spacing w:after="0"/>
              <w:rPr>
                <w:sz w:val="20"/>
                <w:szCs w:val="20"/>
                <w:color w:val="auto"/>
              </w:rPr>
            </w:pPr>
            <w:r>
              <w:rPr>
                <w:rFonts w:ascii="Arial" w:cs="Arial" w:eastAsia="Arial" w:hAnsi="Arial"/>
                <w:sz w:val="17"/>
                <w:szCs w:val="17"/>
                <w:color w:val="auto"/>
              </w:rPr>
              <w:t>56.0</w:t>
            </w:r>
          </w:p>
        </w:tc>
        <w:tc>
          <w:tcPr>
            <w:tcW w:w="60" w:type="dxa"/>
            <w:vAlign w:val="bottom"/>
            <w:shd w:val="clear" w:color="auto" w:fill="DCE2EF"/>
          </w:tcPr>
          <w:p>
            <w:pPr>
              <w:spacing w:after="0"/>
              <w:rPr>
                <w:sz w:val="21"/>
                <w:szCs w:val="21"/>
                <w:color w:val="auto"/>
              </w:rPr>
            </w:pPr>
          </w:p>
        </w:tc>
        <w:tc>
          <w:tcPr>
            <w:tcW w:w="40" w:type="dxa"/>
            <w:vAlign w:val="bottom"/>
            <w:shd w:val="clear" w:color="auto" w:fill="DCE2EF"/>
          </w:tcPr>
          <w:p>
            <w:pPr>
              <w:spacing w:after="0"/>
              <w:rPr>
                <w:sz w:val="21"/>
                <w:szCs w:val="21"/>
                <w:color w:val="auto"/>
              </w:rPr>
            </w:pPr>
          </w:p>
        </w:tc>
        <w:tc>
          <w:tcPr>
            <w:tcW w:w="80" w:type="dxa"/>
            <w:vAlign w:val="bottom"/>
            <w:shd w:val="clear" w:color="auto" w:fill="DCE2EF"/>
          </w:tcPr>
          <w:p>
            <w:pPr>
              <w:spacing w:after="0"/>
              <w:rPr>
                <w:sz w:val="21"/>
                <w:szCs w:val="21"/>
                <w:color w:val="auto"/>
              </w:rPr>
            </w:pPr>
          </w:p>
        </w:tc>
        <w:tc>
          <w:tcPr>
            <w:tcW w:w="160" w:type="dxa"/>
            <w:vAlign w:val="bottom"/>
            <w:shd w:val="clear" w:color="auto" w:fill="DCE2EF"/>
          </w:tcPr>
          <w:p>
            <w:pPr>
              <w:spacing w:after="0"/>
              <w:rPr>
                <w:sz w:val="21"/>
                <w:szCs w:val="21"/>
                <w:color w:val="auto"/>
              </w:rPr>
            </w:pPr>
          </w:p>
        </w:tc>
        <w:tc>
          <w:tcPr>
            <w:tcW w:w="1140" w:type="dxa"/>
            <w:vAlign w:val="bottom"/>
            <w:shd w:val="clear" w:color="auto" w:fill="DCE2EF"/>
          </w:tcPr>
          <w:p>
            <w:pPr>
              <w:jc w:val="right"/>
              <w:ind w:right="15"/>
              <w:spacing w:after="0"/>
              <w:rPr>
                <w:sz w:val="20"/>
                <w:szCs w:val="20"/>
                <w:color w:val="auto"/>
              </w:rPr>
            </w:pPr>
            <w:r>
              <w:rPr>
                <w:rFonts w:ascii="Arial" w:cs="Arial" w:eastAsia="Arial" w:hAnsi="Arial"/>
                <w:sz w:val="17"/>
                <w:szCs w:val="17"/>
                <w:color w:val="auto"/>
              </w:rPr>
              <w:t>66.0</w:t>
            </w:r>
          </w:p>
        </w:tc>
        <w:tc>
          <w:tcPr>
            <w:tcW w:w="40" w:type="dxa"/>
            <w:vAlign w:val="bottom"/>
            <w:shd w:val="clear" w:color="auto" w:fill="DCE2EF"/>
          </w:tcPr>
          <w:p>
            <w:pPr>
              <w:spacing w:after="0"/>
              <w:rPr>
                <w:sz w:val="21"/>
                <w:szCs w:val="21"/>
                <w:color w:val="auto"/>
              </w:rPr>
            </w:pPr>
          </w:p>
        </w:tc>
        <w:tc>
          <w:tcPr>
            <w:tcW w:w="60" w:type="dxa"/>
            <w:vAlign w:val="bottom"/>
            <w:shd w:val="clear" w:color="auto" w:fill="DCE2EF"/>
          </w:tcPr>
          <w:p>
            <w:pPr>
              <w:spacing w:after="0"/>
              <w:rPr>
                <w:sz w:val="21"/>
                <w:szCs w:val="21"/>
                <w:color w:val="auto"/>
              </w:rPr>
            </w:pPr>
          </w:p>
        </w:tc>
        <w:tc>
          <w:tcPr>
            <w:tcW w:w="40" w:type="dxa"/>
            <w:vAlign w:val="bottom"/>
            <w:shd w:val="clear" w:color="auto" w:fill="DCE2EF"/>
          </w:tcPr>
          <w:p>
            <w:pPr>
              <w:spacing w:after="0"/>
              <w:rPr>
                <w:sz w:val="21"/>
                <w:szCs w:val="21"/>
                <w:color w:val="auto"/>
              </w:rPr>
            </w:pPr>
          </w:p>
        </w:tc>
        <w:tc>
          <w:tcPr>
            <w:tcW w:w="280" w:type="dxa"/>
            <w:vAlign w:val="bottom"/>
            <w:shd w:val="clear" w:color="auto" w:fill="DCE2EF"/>
          </w:tcPr>
          <w:p>
            <w:pPr>
              <w:spacing w:after="0"/>
              <w:rPr>
                <w:sz w:val="21"/>
                <w:szCs w:val="21"/>
                <w:color w:val="auto"/>
              </w:rPr>
            </w:pPr>
          </w:p>
        </w:tc>
        <w:tc>
          <w:tcPr>
            <w:tcW w:w="1060" w:type="dxa"/>
            <w:vAlign w:val="bottom"/>
            <w:shd w:val="clear" w:color="auto" w:fill="DCE2EF"/>
          </w:tcPr>
          <w:p>
            <w:pPr>
              <w:jc w:val="right"/>
              <w:ind w:right="15"/>
              <w:spacing w:after="0"/>
              <w:rPr>
                <w:sz w:val="20"/>
                <w:szCs w:val="20"/>
                <w:color w:val="auto"/>
              </w:rPr>
            </w:pPr>
            <w:r>
              <w:rPr>
                <w:rFonts w:ascii="Arial" w:cs="Arial" w:eastAsia="Arial" w:hAnsi="Arial"/>
                <w:sz w:val="17"/>
                <w:szCs w:val="17"/>
                <w:color w:val="auto"/>
              </w:rPr>
              <w:t>56.0</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1"/>
        </w:trPr>
        <w:tc>
          <w:tcPr>
            <w:tcW w:w="40" w:type="dxa"/>
            <w:vAlign w:val="bottom"/>
          </w:tcPr>
          <w:p>
            <w:pPr>
              <w:spacing w:after="0"/>
              <w:rPr>
                <w:sz w:val="22"/>
                <w:szCs w:val="22"/>
                <w:color w:val="auto"/>
              </w:rPr>
            </w:pPr>
          </w:p>
        </w:tc>
        <w:tc>
          <w:tcPr>
            <w:tcW w:w="5320" w:type="dxa"/>
            <w:vAlign w:val="bottom"/>
            <w:gridSpan w:val="3"/>
          </w:tcPr>
          <w:p>
            <w:pPr>
              <w:spacing w:after="0"/>
              <w:rPr>
                <w:sz w:val="20"/>
                <w:szCs w:val="20"/>
                <w:color w:val="auto"/>
              </w:rPr>
            </w:pPr>
            <w:r>
              <w:rPr>
                <w:rFonts w:ascii="Arial" w:cs="Arial" w:eastAsia="Arial" w:hAnsi="Arial"/>
                <w:sz w:val="17"/>
                <w:szCs w:val="17"/>
                <w:color w:val="auto"/>
              </w:rPr>
              <w:t>Effect of dilutive securities</w:t>
            </w:r>
          </w:p>
        </w:tc>
        <w:tc>
          <w:tcPr>
            <w:tcW w:w="24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9"/>
        </w:trPr>
        <w:tc>
          <w:tcPr>
            <w:tcW w:w="40" w:type="dxa"/>
            <w:vAlign w:val="bottom"/>
            <w:tcBorders>
              <w:right w:val="single" w:sz="8" w:color="DCE2EF"/>
            </w:tcBorders>
            <w:shd w:val="clear" w:color="auto" w:fill="DCE2EF"/>
          </w:tcPr>
          <w:p>
            <w:pPr>
              <w:spacing w:after="0"/>
              <w:rPr>
                <w:sz w:val="24"/>
                <w:szCs w:val="24"/>
                <w:color w:val="auto"/>
              </w:rPr>
            </w:pPr>
          </w:p>
        </w:tc>
        <w:tc>
          <w:tcPr>
            <w:tcW w:w="5320" w:type="dxa"/>
            <w:vAlign w:val="bottom"/>
            <w:gridSpan w:val="3"/>
            <w:shd w:val="clear" w:color="auto" w:fill="DCE2EF"/>
          </w:tcPr>
          <w:p>
            <w:pPr>
              <w:ind w:left="340"/>
              <w:spacing w:after="0"/>
              <w:rPr>
                <w:sz w:val="20"/>
                <w:szCs w:val="20"/>
                <w:color w:val="auto"/>
              </w:rPr>
            </w:pPr>
            <w:r>
              <w:rPr>
                <w:rFonts w:ascii="Arial" w:cs="Arial" w:eastAsia="Arial" w:hAnsi="Arial"/>
                <w:sz w:val="17"/>
                <w:szCs w:val="17"/>
                <w:color w:val="auto"/>
              </w:rPr>
              <w:t>Restricted stock units</w:t>
            </w:r>
          </w:p>
        </w:tc>
        <w:tc>
          <w:tcPr>
            <w:tcW w:w="240" w:type="dxa"/>
            <w:vAlign w:val="bottom"/>
            <w:tcBorders>
              <w:left w:val="single" w:sz="8" w:color="DCE2EF"/>
            </w:tcBorders>
            <w:shd w:val="clear" w:color="auto" w:fill="DCE2EF"/>
          </w:tcPr>
          <w:p>
            <w:pPr>
              <w:spacing w:after="0"/>
              <w:rPr>
                <w:sz w:val="24"/>
                <w:szCs w:val="24"/>
                <w:color w:val="auto"/>
              </w:rPr>
            </w:pPr>
          </w:p>
        </w:tc>
        <w:tc>
          <w:tcPr>
            <w:tcW w:w="1240" w:type="dxa"/>
            <w:vAlign w:val="bottom"/>
            <w:shd w:val="clear" w:color="auto" w:fill="DCE2EF"/>
          </w:tcPr>
          <w:p>
            <w:pPr>
              <w:jc w:val="right"/>
              <w:ind w:right="15"/>
              <w:spacing w:after="0"/>
              <w:rPr>
                <w:sz w:val="20"/>
                <w:szCs w:val="20"/>
                <w:color w:val="auto"/>
              </w:rPr>
            </w:pPr>
            <w:r>
              <w:rPr>
                <w:rFonts w:ascii="Arial" w:cs="Arial" w:eastAsia="Arial" w:hAnsi="Arial"/>
                <w:sz w:val="17"/>
                <w:szCs w:val="17"/>
                <w:color w:val="auto"/>
              </w:rPr>
              <w:t>0.1</w:t>
            </w:r>
          </w:p>
        </w:tc>
        <w:tc>
          <w:tcPr>
            <w:tcW w:w="40" w:type="dxa"/>
            <w:vAlign w:val="bottom"/>
            <w:shd w:val="clear" w:color="auto" w:fill="DCE2EF"/>
          </w:tcPr>
          <w:p>
            <w:pPr>
              <w:spacing w:after="0"/>
              <w:rPr>
                <w:sz w:val="24"/>
                <w:szCs w:val="24"/>
                <w:color w:val="auto"/>
              </w:rPr>
            </w:pPr>
          </w:p>
        </w:tc>
        <w:tc>
          <w:tcPr>
            <w:tcW w:w="60" w:type="dxa"/>
            <w:vAlign w:val="bottom"/>
            <w:shd w:val="clear" w:color="auto" w:fill="DCE2EF"/>
          </w:tcPr>
          <w:p>
            <w:pPr>
              <w:spacing w:after="0"/>
              <w:rPr>
                <w:sz w:val="24"/>
                <w:szCs w:val="24"/>
                <w:color w:val="auto"/>
              </w:rPr>
            </w:pPr>
          </w:p>
        </w:tc>
        <w:tc>
          <w:tcPr>
            <w:tcW w:w="60" w:type="dxa"/>
            <w:vAlign w:val="bottom"/>
            <w:shd w:val="clear" w:color="auto" w:fill="DCE2EF"/>
          </w:tcPr>
          <w:p>
            <w:pPr>
              <w:spacing w:after="0"/>
              <w:rPr>
                <w:sz w:val="24"/>
                <w:szCs w:val="24"/>
                <w:color w:val="auto"/>
              </w:rPr>
            </w:pPr>
          </w:p>
        </w:tc>
        <w:tc>
          <w:tcPr>
            <w:tcW w:w="280" w:type="dxa"/>
            <w:vAlign w:val="bottom"/>
            <w:shd w:val="clear" w:color="auto" w:fill="DCE2EF"/>
          </w:tcPr>
          <w:p>
            <w:pPr>
              <w:spacing w:after="0"/>
              <w:rPr>
                <w:sz w:val="24"/>
                <w:szCs w:val="24"/>
                <w:color w:val="auto"/>
              </w:rPr>
            </w:pPr>
          </w:p>
        </w:tc>
        <w:tc>
          <w:tcPr>
            <w:tcW w:w="1160" w:type="dxa"/>
            <w:vAlign w:val="bottom"/>
            <w:shd w:val="clear" w:color="auto" w:fill="DCE2EF"/>
          </w:tcPr>
          <w:p>
            <w:pPr>
              <w:jc w:val="right"/>
              <w:ind w:right="35"/>
              <w:spacing w:after="0"/>
              <w:rPr>
                <w:sz w:val="20"/>
                <w:szCs w:val="20"/>
                <w:color w:val="auto"/>
              </w:rPr>
            </w:pPr>
            <w:r>
              <w:rPr>
                <w:rFonts w:ascii="Arial" w:cs="Arial" w:eastAsia="Arial" w:hAnsi="Arial"/>
                <w:sz w:val="17"/>
                <w:szCs w:val="17"/>
                <w:color w:val="auto"/>
              </w:rPr>
              <w:t>0.3</w:t>
            </w:r>
          </w:p>
        </w:tc>
        <w:tc>
          <w:tcPr>
            <w:tcW w:w="60" w:type="dxa"/>
            <w:vAlign w:val="bottom"/>
            <w:shd w:val="clear" w:color="auto" w:fill="DCE2EF"/>
          </w:tcPr>
          <w:p>
            <w:pPr>
              <w:spacing w:after="0"/>
              <w:rPr>
                <w:sz w:val="24"/>
                <w:szCs w:val="24"/>
                <w:color w:val="auto"/>
              </w:rPr>
            </w:pPr>
          </w:p>
        </w:tc>
        <w:tc>
          <w:tcPr>
            <w:tcW w:w="40" w:type="dxa"/>
            <w:vAlign w:val="bottom"/>
            <w:shd w:val="clear" w:color="auto" w:fill="DCE2EF"/>
          </w:tcPr>
          <w:p>
            <w:pPr>
              <w:spacing w:after="0"/>
              <w:rPr>
                <w:sz w:val="24"/>
                <w:szCs w:val="24"/>
                <w:color w:val="auto"/>
              </w:rPr>
            </w:pPr>
          </w:p>
        </w:tc>
        <w:tc>
          <w:tcPr>
            <w:tcW w:w="80" w:type="dxa"/>
            <w:vAlign w:val="bottom"/>
            <w:shd w:val="clear" w:color="auto" w:fill="DCE2EF"/>
          </w:tcPr>
          <w:p>
            <w:pPr>
              <w:spacing w:after="0"/>
              <w:rPr>
                <w:sz w:val="24"/>
                <w:szCs w:val="24"/>
                <w:color w:val="auto"/>
              </w:rPr>
            </w:pPr>
          </w:p>
        </w:tc>
        <w:tc>
          <w:tcPr>
            <w:tcW w:w="160" w:type="dxa"/>
            <w:vAlign w:val="bottom"/>
            <w:shd w:val="clear" w:color="auto" w:fill="DCE2EF"/>
          </w:tcPr>
          <w:p>
            <w:pPr>
              <w:spacing w:after="0"/>
              <w:rPr>
                <w:sz w:val="24"/>
                <w:szCs w:val="24"/>
                <w:color w:val="auto"/>
              </w:rPr>
            </w:pPr>
          </w:p>
        </w:tc>
        <w:tc>
          <w:tcPr>
            <w:tcW w:w="1140" w:type="dxa"/>
            <w:vAlign w:val="bottom"/>
            <w:shd w:val="clear" w:color="auto" w:fill="DCE2EF"/>
          </w:tcPr>
          <w:p>
            <w:pPr>
              <w:jc w:val="right"/>
              <w:ind w:right="15"/>
              <w:spacing w:after="0"/>
              <w:rPr>
                <w:sz w:val="20"/>
                <w:szCs w:val="20"/>
                <w:color w:val="auto"/>
              </w:rPr>
            </w:pPr>
            <w:r>
              <w:rPr>
                <w:rFonts w:ascii="Arial" w:cs="Arial" w:eastAsia="Arial" w:hAnsi="Arial"/>
                <w:sz w:val="17"/>
                <w:szCs w:val="17"/>
                <w:color w:val="auto"/>
              </w:rPr>
              <w:t>0.1</w:t>
            </w:r>
          </w:p>
        </w:tc>
        <w:tc>
          <w:tcPr>
            <w:tcW w:w="40" w:type="dxa"/>
            <w:vAlign w:val="bottom"/>
            <w:shd w:val="clear" w:color="auto" w:fill="DCE2EF"/>
          </w:tcPr>
          <w:p>
            <w:pPr>
              <w:spacing w:after="0"/>
              <w:rPr>
                <w:sz w:val="24"/>
                <w:szCs w:val="24"/>
                <w:color w:val="auto"/>
              </w:rPr>
            </w:pPr>
          </w:p>
        </w:tc>
        <w:tc>
          <w:tcPr>
            <w:tcW w:w="60" w:type="dxa"/>
            <w:vAlign w:val="bottom"/>
            <w:shd w:val="clear" w:color="auto" w:fill="DCE2EF"/>
          </w:tcPr>
          <w:p>
            <w:pPr>
              <w:spacing w:after="0"/>
              <w:rPr>
                <w:sz w:val="24"/>
                <w:szCs w:val="24"/>
                <w:color w:val="auto"/>
              </w:rPr>
            </w:pPr>
          </w:p>
        </w:tc>
        <w:tc>
          <w:tcPr>
            <w:tcW w:w="40" w:type="dxa"/>
            <w:vAlign w:val="bottom"/>
            <w:shd w:val="clear" w:color="auto" w:fill="DCE2EF"/>
          </w:tcPr>
          <w:p>
            <w:pPr>
              <w:spacing w:after="0"/>
              <w:rPr>
                <w:sz w:val="24"/>
                <w:szCs w:val="24"/>
                <w:color w:val="auto"/>
              </w:rPr>
            </w:pPr>
          </w:p>
        </w:tc>
        <w:tc>
          <w:tcPr>
            <w:tcW w:w="280" w:type="dxa"/>
            <w:vAlign w:val="bottom"/>
            <w:shd w:val="clear" w:color="auto" w:fill="DCE2EF"/>
          </w:tcPr>
          <w:p>
            <w:pPr>
              <w:spacing w:after="0"/>
              <w:rPr>
                <w:sz w:val="24"/>
                <w:szCs w:val="24"/>
                <w:color w:val="auto"/>
              </w:rPr>
            </w:pPr>
          </w:p>
        </w:tc>
        <w:tc>
          <w:tcPr>
            <w:tcW w:w="1060" w:type="dxa"/>
            <w:vAlign w:val="bottom"/>
            <w:shd w:val="clear" w:color="auto" w:fill="DCE2EF"/>
          </w:tcPr>
          <w:p>
            <w:pPr>
              <w:jc w:val="right"/>
              <w:ind w:right="15"/>
              <w:spacing w:after="0"/>
              <w:rPr>
                <w:sz w:val="20"/>
                <w:szCs w:val="20"/>
                <w:color w:val="auto"/>
              </w:rPr>
            </w:pPr>
            <w:r>
              <w:rPr>
                <w:rFonts w:ascii="Arial" w:cs="Arial" w:eastAsia="Arial" w:hAnsi="Arial"/>
                <w:sz w:val="17"/>
                <w:szCs w:val="17"/>
                <w:color w:val="auto"/>
              </w:rPr>
              <w:t>0.3</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1"/>
        </w:trPr>
        <w:tc>
          <w:tcPr>
            <w:tcW w:w="40" w:type="dxa"/>
            <w:vAlign w:val="bottom"/>
          </w:tcPr>
          <w:p>
            <w:pPr>
              <w:spacing w:after="0"/>
              <w:rPr>
                <w:sz w:val="22"/>
                <w:szCs w:val="22"/>
                <w:color w:val="auto"/>
              </w:rPr>
            </w:pPr>
          </w:p>
        </w:tc>
        <w:tc>
          <w:tcPr>
            <w:tcW w:w="5320" w:type="dxa"/>
            <w:vAlign w:val="bottom"/>
            <w:gridSpan w:val="3"/>
          </w:tcPr>
          <w:p>
            <w:pPr>
              <w:ind w:left="340"/>
              <w:spacing w:after="0"/>
              <w:rPr>
                <w:sz w:val="20"/>
                <w:szCs w:val="20"/>
                <w:color w:val="auto"/>
              </w:rPr>
            </w:pPr>
            <w:r>
              <w:rPr>
                <w:rFonts w:ascii="Arial" w:cs="Arial" w:eastAsia="Arial" w:hAnsi="Arial"/>
                <w:sz w:val="17"/>
                <w:szCs w:val="17"/>
                <w:color w:val="auto"/>
              </w:rPr>
              <w:t>Stock options</w:t>
            </w:r>
          </w:p>
        </w:tc>
        <w:tc>
          <w:tcPr>
            <w:tcW w:w="240" w:type="dxa"/>
            <w:vAlign w:val="bottom"/>
          </w:tcPr>
          <w:p>
            <w:pPr>
              <w:spacing w:after="0"/>
              <w:rPr>
                <w:sz w:val="22"/>
                <w:szCs w:val="22"/>
                <w:color w:val="auto"/>
              </w:rPr>
            </w:pPr>
          </w:p>
        </w:tc>
        <w:tc>
          <w:tcPr>
            <w:tcW w:w="1240" w:type="dxa"/>
            <w:vAlign w:val="bottom"/>
          </w:tcPr>
          <w:p>
            <w:pPr>
              <w:jc w:val="right"/>
              <w:ind w:right="15"/>
              <w:spacing w:after="0"/>
              <w:rPr>
                <w:sz w:val="20"/>
                <w:szCs w:val="20"/>
                <w:color w:val="auto"/>
              </w:rPr>
            </w:pPr>
            <w:r>
              <w:rPr>
                <w:rFonts w:ascii="Arial" w:cs="Arial" w:eastAsia="Arial" w:hAnsi="Arial"/>
                <w:sz w:val="17"/>
                <w:szCs w:val="17"/>
                <w:color w:val="auto"/>
              </w:rPr>
              <w:t>0.1</w:t>
            </w:r>
          </w:p>
        </w:tc>
        <w:tc>
          <w:tcPr>
            <w:tcW w:w="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160" w:type="dxa"/>
            <w:vAlign w:val="bottom"/>
          </w:tcPr>
          <w:p>
            <w:pPr>
              <w:jc w:val="right"/>
              <w:ind w:right="35"/>
              <w:spacing w:after="0"/>
              <w:rPr>
                <w:sz w:val="20"/>
                <w:szCs w:val="20"/>
                <w:color w:val="auto"/>
              </w:rPr>
            </w:pPr>
            <w:r>
              <w:rPr>
                <w:rFonts w:ascii="Arial" w:cs="Arial" w:eastAsia="Arial" w:hAnsi="Arial"/>
                <w:sz w:val="17"/>
                <w:szCs w:val="17"/>
                <w:color w:val="auto"/>
              </w:rPr>
              <w:t>0.2</w:t>
            </w:r>
          </w:p>
        </w:tc>
        <w:tc>
          <w:tcPr>
            <w:tcW w:w="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40" w:type="dxa"/>
            <w:vAlign w:val="bottom"/>
          </w:tcPr>
          <w:p>
            <w:pPr>
              <w:jc w:val="right"/>
              <w:ind w:right="15"/>
              <w:spacing w:after="0"/>
              <w:rPr>
                <w:sz w:val="20"/>
                <w:szCs w:val="20"/>
                <w:color w:val="auto"/>
              </w:rPr>
            </w:pPr>
            <w:r>
              <w:rPr>
                <w:rFonts w:ascii="Arial" w:cs="Arial" w:eastAsia="Arial" w:hAnsi="Arial"/>
                <w:sz w:val="17"/>
                <w:szCs w:val="17"/>
                <w:color w:val="auto"/>
              </w:rPr>
              <w:t>0.1</w:t>
            </w:r>
          </w:p>
        </w:tc>
        <w:tc>
          <w:tcPr>
            <w:tcW w:w="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060" w:type="dxa"/>
            <w:vAlign w:val="bottom"/>
          </w:tcPr>
          <w:p>
            <w:pPr>
              <w:jc w:val="right"/>
              <w:ind w:right="15"/>
              <w:spacing w:after="0"/>
              <w:rPr>
                <w:sz w:val="20"/>
                <w:szCs w:val="20"/>
                <w:color w:val="auto"/>
              </w:rPr>
            </w:pPr>
            <w:r>
              <w:rPr>
                <w:rFonts w:ascii="Arial" w:cs="Arial" w:eastAsia="Arial" w:hAnsi="Arial"/>
                <w:sz w:val="17"/>
                <w:szCs w:val="17"/>
                <w:color w:val="auto"/>
              </w:rPr>
              <w:t>0.2</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9"/>
        </w:trPr>
        <w:tc>
          <w:tcPr>
            <w:tcW w:w="40" w:type="dxa"/>
            <w:vAlign w:val="bottom"/>
            <w:tcBorders>
              <w:right w:val="single" w:sz="8" w:color="DCE2EF"/>
            </w:tcBorders>
            <w:shd w:val="clear" w:color="auto" w:fill="DCE2EF"/>
          </w:tcPr>
          <w:p>
            <w:pPr>
              <w:spacing w:after="0"/>
              <w:rPr>
                <w:sz w:val="24"/>
                <w:szCs w:val="24"/>
                <w:color w:val="auto"/>
              </w:rPr>
            </w:pPr>
          </w:p>
        </w:tc>
        <w:tc>
          <w:tcPr>
            <w:tcW w:w="5320" w:type="dxa"/>
            <w:vAlign w:val="bottom"/>
            <w:gridSpan w:val="3"/>
            <w:shd w:val="clear" w:color="auto" w:fill="DCE2EF"/>
          </w:tcPr>
          <w:p>
            <w:pPr>
              <w:ind w:left="340"/>
              <w:spacing w:after="0"/>
              <w:rPr>
                <w:sz w:val="20"/>
                <w:szCs w:val="20"/>
                <w:color w:val="auto"/>
              </w:rPr>
            </w:pPr>
            <w:r>
              <w:rPr>
                <w:rFonts w:ascii="Arial" w:cs="Arial" w:eastAsia="Arial" w:hAnsi="Arial"/>
                <w:sz w:val="17"/>
                <w:szCs w:val="17"/>
                <w:color w:val="auto"/>
              </w:rPr>
              <w:t>Performance shares</w:t>
            </w:r>
          </w:p>
        </w:tc>
        <w:tc>
          <w:tcPr>
            <w:tcW w:w="240" w:type="dxa"/>
            <w:vAlign w:val="bottom"/>
            <w:tcBorders>
              <w:left w:val="single" w:sz="8" w:color="DCE2EF"/>
            </w:tcBorders>
            <w:shd w:val="clear" w:color="auto" w:fill="DCE2EF"/>
          </w:tcPr>
          <w:p>
            <w:pPr>
              <w:spacing w:after="0"/>
              <w:rPr>
                <w:sz w:val="24"/>
                <w:szCs w:val="24"/>
                <w:color w:val="auto"/>
              </w:rPr>
            </w:pPr>
          </w:p>
        </w:tc>
        <w:tc>
          <w:tcPr>
            <w:tcW w:w="1340" w:type="dxa"/>
            <w:vAlign w:val="bottom"/>
            <w:gridSpan w:val="3"/>
            <w:shd w:val="clear" w:color="auto" w:fill="DCE2EF"/>
          </w:tcPr>
          <w:p>
            <w:pPr>
              <w:jc w:val="right"/>
              <w:ind w:right="200"/>
              <w:spacing w:after="0"/>
              <w:rPr>
                <w:sz w:val="20"/>
                <w:szCs w:val="20"/>
                <w:color w:val="auto"/>
              </w:rPr>
            </w:pPr>
            <w:r>
              <w:rPr>
                <w:rFonts w:ascii="Arial" w:cs="Arial" w:eastAsia="Arial" w:hAnsi="Arial"/>
                <w:sz w:val="17"/>
                <w:szCs w:val="17"/>
                <w:color w:val="auto"/>
              </w:rPr>
              <w:t>—</w:t>
            </w:r>
          </w:p>
        </w:tc>
        <w:tc>
          <w:tcPr>
            <w:tcW w:w="60" w:type="dxa"/>
            <w:vAlign w:val="bottom"/>
            <w:shd w:val="clear" w:color="auto" w:fill="DCE2EF"/>
          </w:tcPr>
          <w:p>
            <w:pPr>
              <w:spacing w:after="0"/>
              <w:rPr>
                <w:sz w:val="24"/>
                <w:szCs w:val="24"/>
                <w:color w:val="auto"/>
              </w:rPr>
            </w:pPr>
          </w:p>
        </w:tc>
        <w:tc>
          <w:tcPr>
            <w:tcW w:w="280" w:type="dxa"/>
            <w:vAlign w:val="bottom"/>
            <w:shd w:val="clear" w:color="auto" w:fill="DCE2EF"/>
          </w:tcPr>
          <w:p>
            <w:pPr>
              <w:spacing w:after="0"/>
              <w:rPr>
                <w:sz w:val="24"/>
                <w:szCs w:val="24"/>
                <w:color w:val="auto"/>
              </w:rPr>
            </w:pPr>
          </w:p>
        </w:tc>
        <w:tc>
          <w:tcPr>
            <w:tcW w:w="1260" w:type="dxa"/>
            <w:vAlign w:val="bottom"/>
            <w:gridSpan w:val="3"/>
            <w:shd w:val="clear" w:color="auto" w:fill="DCE2EF"/>
          </w:tcPr>
          <w:p>
            <w:pPr>
              <w:jc w:val="right"/>
              <w:ind w:right="220"/>
              <w:spacing w:after="0"/>
              <w:rPr>
                <w:sz w:val="20"/>
                <w:szCs w:val="20"/>
                <w:color w:val="auto"/>
              </w:rPr>
            </w:pPr>
            <w:r>
              <w:rPr>
                <w:rFonts w:ascii="Arial" w:cs="Arial" w:eastAsia="Arial" w:hAnsi="Arial"/>
                <w:sz w:val="17"/>
                <w:szCs w:val="17"/>
                <w:color w:val="auto"/>
              </w:rPr>
              <w:t>—</w:t>
            </w:r>
          </w:p>
        </w:tc>
        <w:tc>
          <w:tcPr>
            <w:tcW w:w="80" w:type="dxa"/>
            <w:vAlign w:val="bottom"/>
            <w:shd w:val="clear" w:color="auto" w:fill="DCE2EF"/>
          </w:tcPr>
          <w:p>
            <w:pPr>
              <w:spacing w:after="0"/>
              <w:rPr>
                <w:sz w:val="24"/>
                <w:szCs w:val="24"/>
                <w:color w:val="auto"/>
              </w:rPr>
            </w:pPr>
          </w:p>
        </w:tc>
        <w:tc>
          <w:tcPr>
            <w:tcW w:w="160" w:type="dxa"/>
            <w:vAlign w:val="bottom"/>
            <w:shd w:val="clear" w:color="auto" w:fill="DCE2EF"/>
          </w:tcPr>
          <w:p>
            <w:pPr>
              <w:spacing w:after="0"/>
              <w:rPr>
                <w:sz w:val="24"/>
                <w:szCs w:val="24"/>
                <w:color w:val="auto"/>
              </w:rPr>
            </w:pPr>
          </w:p>
        </w:tc>
        <w:tc>
          <w:tcPr>
            <w:tcW w:w="1240" w:type="dxa"/>
            <w:vAlign w:val="bottom"/>
            <w:gridSpan w:val="3"/>
            <w:shd w:val="clear" w:color="auto" w:fill="DCE2EF"/>
          </w:tcPr>
          <w:p>
            <w:pPr>
              <w:jc w:val="right"/>
              <w:ind w:right="200"/>
              <w:spacing w:after="0"/>
              <w:rPr>
                <w:sz w:val="20"/>
                <w:szCs w:val="20"/>
                <w:color w:val="auto"/>
              </w:rPr>
            </w:pPr>
            <w:r>
              <w:rPr>
                <w:rFonts w:ascii="Arial" w:cs="Arial" w:eastAsia="Arial" w:hAnsi="Arial"/>
                <w:sz w:val="17"/>
                <w:szCs w:val="17"/>
                <w:color w:val="auto"/>
              </w:rPr>
              <w:t>—</w:t>
            </w:r>
          </w:p>
        </w:tc>
        <w:tc>
          <w:tcPr>
            <w:tcW w:w="40" w:type="dxa"/>
            <w:vAlign w:val="bottom"/>
            <w:shd w:val="clear" w:color="auto" w:fill="DCE2EF"/>
          </w:tcPr>
          <w:p>
            <w:pPr>
              <w:spacing w:after="0"/>
              <w:rPr>
                <w:sz w:val="24"/>
                <w:szCs w:val="24"/>
                <w:color w:val="auto"/>
              </w:rPr>
            </w:pPr>
          </w:p>
        </w:tc>
        <w:tc>
          <w:tcPr>
            <w:tcW w:w="280" w:type="dxa"/>
            <w:vAlign w:val="bottom"/>
            <w:shd w:val="clear" w:color="auto" w:fill="DCE2EF"/>
          </w:tcPr>
          <w:p>
            <w:pPr>
              <w:spacing w:after="0"/>
              <w:rPr>
                <w:sz w:val="24"/>
                <w:szCs w:val="24"/>
                <w:color w:val="auto"/>
              </w:rPr>
            </w:pPr>
          </w:p>
        </w:tc>
        <w:tc>
          <w:tcPr>
            <w:tcW w:w="1060" w:type="dxa"/>
            <w:vAlign w:val="bottom"/>
            <w:shd w:val="clear" w:color="auto" w:fill="DCE2EF"/>
          </w:tcPr>
          <w:p>
            <w:pPr>
              <w:jc w:val="right"/>
              <w:ind w:right="15"/>
              <w:spacing w:after="0"/>
              <w:rPr>
                <w:sz w:val="20"/>
                <w:szCs w:val="20"/>
                <w:color w:val="auto"/>
              </w:rPr>
            </w:pPr>
            <w:r>
              <w:rPr>
                <w:rFonts w:ascii="Arial" w:cs="Arial" w:eastAsia="Arial" w:hAnsi="Arial"/>
                <w:sz w:val="17"/>
                <w:szCs w:val="17"/>
                <w:color w:val="auto"/>
              </w:rPr>
              <w:t>0.1</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0"/>
        </w:trPr>
        <w:tc>
          <w:tcPr>
            <w:tcW w:w="40" w:type="dxa"/>
            <w:vAlign w:val="bottom"/>
          </w:tcPr>
          <w:p>
            <w:pPr>
              <w:spacing w:after="0"/>
              <w:rPr>
                <w:sz w:val="14"/>
                <w:szCs w:val="14"/>
                <w:color w:val="auto"/>
              </w:rPr>
            </w:pPr>
          </w:p>
        </w:tc>
        <w:tc>
          <w:tcPr>
            <w:tcW w:w="5320" w:type="dxa"/>
            <w:vAlign w:val="bottom"/>
            <w:gridSpan w:val="3"/>
          </w:tcPr>
          <w:p>
            <w:pPr>
              <w:spacing w:after="0" w:line="170" w:lineRule="exact"/>
              <w:rPr>
                <w:sz w:val="20"/>
                <w:szCs w:val="20"/>
                <w:color w:val="auto"/>
              </w:rPr>
            </w:pPr>
            <w:r>
              <w:rPr>
                <w:rFonts w:ascii="Arial" w:cs="Arial" w:eastAsia="Arial" w:hAnsi="Arial"/>
                <w:sz w:val="17"/>
                <w:szCs w:val="17"/>
                <w:b w:val="1"/>
                <w:bCs w:val="1"/>
                <w:color w:val="auto"/>
              </w:rPr>
              <w:t>Weighted-average common and common equivalent shares</w:t>
            </w:r>
          </w:p>
        </w:tc>
        <w:tc>
          <w:tcPr>
            <w:tcW w:w="240" w:type="dxa"/>
            <w:vAlign w:val="bottom"/>
            <w:tcBorders>
              <w:top w:val="single" w:sz="8" w:color="auto"/>
            </w:tcBorders>
          </w:tcPr>
          <w:p>
            <w:pPr>
              <w:spacing w:after="0"/>
              <w:rPr>
                <w:sz w:val="14"/>
                <w:szCs w:val="14"/>
                <w:color w:val="auto"/>
              </w:rPr>
            </w:pPr>
          </w:p>
        </w:tc>
        <w:tc>
          <w:tcPr>
            <w:tcW w:w="1240" w:type="dxa"/>
            <w:vAlign w:val="bottom"/>
            <w:tcBorders>
              <w:top w:val="single" w:sz="8" w:color="auto"/>
            </w:tcBorders>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Borders>
              <w:top w:val="single" w:sz="8" w:color="auto"/>
            </w:tcBorders>
          </w:tcPr>
          <w:p>
            <w:pPr>
              <w:spacing w:after="0"/>
              <w:rPr>
                <w:sz w:val="14"/>
                <w:szCs w:val="14"/>
                <w:color w:val="auto"/>
              </w:rPr>
            </w:pPr>
          </w:p>
        </w:tc>
        <w:tc>
          <w:tcPr>
            <w:tcW w:w="280" w:type="dxa"/>
            <w:vAlign w:val="bottom"/>
            <w:tcBorders>
              <w:top w:val="single" w:sz="8" w:color="auto"/>
            </w:tcBorders>
          </w:tcPr>
          <w:p>
            <w:pPr>
              <w:spacing w:after="0"/>
              <w:rPr>
                <w:sz w:val="14"/>
                <w:szCs w:val="14"/>
                <w:color w:val="auto"/>
              </w:rPr>
            </w:pPr>
          </w:p>
        </w:tc>
        <w:tc>
          <w:tcPr>
            <w:tcW w:w="1160" w:type="dxa"/>
            <w:vAlign w:val="bottom"/>
            <w:tcBorders>
              <w:top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1140" w:type="dxa"/>
            <w:vAlign w:val="bottom"/>
            <w:tcBorders>
              <w:top w:val="single" w:sz="8" w:color="auto"/>
            </w:tcBorders>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Borders>
              <w:top w:val="single" w:sz="8" w:color="auto"/>
            </w:tcBorders>
          </w:tcPr>
          <w:p>
            <w:pPr>
              <w:spacing w:after="0"/>
              <w:rPr>
                <w:sz w:val="14"/>
                <w:szCs w:val="14"/>
                <w:color w:val="auto"/>
              </w:rPr>
            </w:pPr>
          </w:p>
        </w:tc>
        <w:tc>
          <w:tcPr>
            <w:tcW w:w="280" w:type="dxa"/>
            <w:vAlign w:val="bottom"/>
            <w:tcBorders>
              <w:top w:val="single" w:sz="8" w:color="auto"/>
            </w:tcBorders>
          </w:tcPr>
          <w:p>
            <w:pPr>
              <w:spacing w:after="0"/>
              <w:rPr>
                <w:sz w:val="14"/>
                <w:szCs w:val="14"/>
                <w:color w:val="auto"/>
              </w:rPr>
            </w:pPr>
          </w:p>
        </w:tc>
        <w:tc>
          <w:tcPr>
            <w:tcW w:w="1060" w:type="dxa"/>
            <w:vAlign w:val="bottom"/>
            <w:tcBorders>
              <w:top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67"/>
        </w:trPr>
        <w:tc>
          <w:tcPr>
            <w:tcW w:w="40" w:type="dxa"/>
            <w:vAlign w:val="bottom"/>
            <w:tcBorders>
              <w:bottom w:val="single" w:sz="8" w:color="DCE2EF"/>
            </w:tcBorders>
          </w:tcPr>
          <w:p>
            <w:pPr>
              <w:spacing w:after="0"/>
              <w:rPr>
                <w:sz w:val="23"/>
                <w:szCs w:val="23"/>
                <w:color w:val="auto"/>
              </w:rPr>
            </w:pPr>
          </w:p>
        </w:tc>
        <w:tc>
          <w:tcPr>
            <w:tcW w:w="5320" w:type="dxa"/>
            <w:vAlign w:val="bottom"/>
            <w:tcBorders>
              <w:bottom w:val="single" w:sz="8" w:color="DCE2EF"/>
            </w:tcBorders>
            <w:gridSpan w:val="3"/>
          </w:tcPr>
          <w:p>
            <w:pPr>
              <w:ind w:left="160"/>
              <w:spacing w:after="0"/>
              <w:rPr>
                <w:sz w:val="20"/>
                <w:szCs w:val="20"/>
                <w:color w:val="auto"/>
              </w:rPr>
            </w:pPr>
            <w:r>
              <w:rPr>
                <w:rFonts w:ascii="Arial" w:cs="Arial" w:eastAsia="Arial" w:hAnsi="Arial"/>
                <w:sz w:val="17"/>
                <w:szCs w:val="17"/>
                <w:b w:val="1"/>
                <w:bCs w:val="1"/>
                <w:color w:val="auto"/>
              </w:rPr>
              <w:t>outstanding — Diluted</w:t>
            </w:r>
          </w:p>
        </w:tc>
        <w:tc>
          <w:tcPr>
            <w:tcW w:w="240" w:type="dxa"/>
            <w:vAlign w:val="bottom"/>
            <w:tcBorders>
              <w:bottom w:val="single" w:sz="8" w:color="auto"/>
            </w:tcBorders>
          </w:tcPr>
          <w:p>
            <w:pPr>
              <w:spacing w:after="0"/>
              <w:rPr>
                <w:sz w:val="23"/>
                <w:szCs w:val="23"/>
                <w:color w:val="auto"/>
              </w:rPr>
            </w:pPr>
          </w:p>
        </w:tc>
        <w:tc>
          <w:tcPr>
            <w:tcW w:w="1240" w:type="dxa"/>
            <w:vAlign w:val="bottom"/>
            <w:tcBorders>
              <w:bottom w:val="single" w:sz="8" w:color="auto"/>
            </w:tcBorders>
          </w:tcPr>
          <w:p>
            <w:pPr>
              <w:jc w:val="right"/>
              <w:ind w:right="15"/>
              <w:spacing w:after="0"/>
              <w:rPr>
                <w:sz w:val="20"/>
                <w:szCs w:val="20"/>
                <w:color w:val="auto"/>
              </w:rPr>
            </w:pPr>
            <w:r>
              <w:rPr>
                <w:rFonts w:ascii="Arial" w:cs="Arial" w:eastAsia="Arial" w:hAnsi="Arial"/>
                <w:sz w:val="17"/>
                <w:szCs w:val="17"/>
                <w:color w:val="auto"/>
              </w:rPr>
              <w:t>66.2</w:t>
            </w:r>
          </w:p>
        </w:tc>
        <w:tc>
          <w:tcPr>
            <w:tcW w:w="40" w:type="dxa"/>
            <w:vAlign w:val="bottom"/>
            <w:tcBorders>
              <w:bottom w:val="single" w:sz="8" w:color="DCE2EF"/>
            </w:tcBorders>
          </w:tcPr>
          <w:p>
            <w:pPr>
              <w:spacing w:after="0"/>
              <w:rPr>
                <w:sz w:val="23"/>
                <w:szCs w:val="23"/>
                <w:color w:val="auto"/>
              </w:rPr>
            </w:pPr>
          </w:p>
        </w:tc>
        <w:tc>
          <w:tcPr>
            <w:tcW w:w="60" w:type="dxa"/>
            <w:vAlign w:val="bottom"/>
            <w:tcBorders>
              <w:bottom w:val="single" w:sz="8" w:color="DCE2EF"/>
            </w:tcBorders>
          </w:tcPr>
          <w:p>
            <w:pPr>
              <w:spacing w:after="0"/>
              <w:rPr>
                <w:sz w:val="23"/>
                <w:szCs w:val="23"/>
                <w:color w:val="auto"/>
              </w:rPr>
            </w:pPr>
          </w:p>
        </w:tc>
        <w:tc>
          <w:tcPr>
            <w:tcW w:w="60" w:type="dxa"/>
            <w:vAlign w:val="bottom"/>
            <w:tcBorders>
              <w:bottom w:val="single" w:sz="8" w:color="auto"/>
            </w:tcBorders>
          </w:tcPr>
          <w:p>
            <w:pPr>
              <w:spacing w:after="0"/>
              <w:rPr>
                <w:sz w:val="23"/>
                <w:szCs w:val="23"/>
                <w:color w:val="auto"/>
              </w:rPr>
            </w:pPr>
          </w:p>
        </w:tc>
        <w:tc>
          <w:tcPr>
            <w:tcW w:w="280" w:type="dxa"/>
            <w:vAlign w:val="bottom"/>
            <w:tcBorders>
              <w:bottom w:val="single" w:sz="8" w:color="auto"/>
            </w:tcBorders>
          </w:tcPr>
          <w:p>
            <w:pPr>
              <w:spacing w:after="0"/>
              <w:rPr>
                <w:sz w:val="23"/>
                <w:szCs w:val="23"/>
                <w:color w:val="auto"/>
              </w:rPr>
            </w:pPr>
          </w:p>
        </w:tc>
        <w:tc>
          <w:tcPr>
            <w:tcW w:w="1160" w:type="dxa"/>
            <w:vAlign w:val="bottom"/>
            <w:tcBorders>
              <w:bottom w:val="single" w:sz="8" w:color="auto"/>
            </w:tcBorders>
          </w:tcPr>
          <w:p>
            <w:pPr>
              <w:jc w:val="right"/>
              <w:ind w:right="35"/>
              <w:spacing w:after="0"/>
              <w:rPr>
                <w:sz w:val="20"/>
                <w:szCs w:val="20"/>
                <w:color w:val="auto"/>
              </w:rPr>
            </w:pPr>
            <w:r>
              <w:rPr>
                <w:rFonts w:ascii="Arial" w:cs="Arial" w:eastAsia="Arial" w:hAnsi="Arial"/>
                <w:sz w:val="17"/>
                <w:szCs w:val="17"/>
                <w:color w:val="auto"/>
              </w:rPr>
              <w:t>56.5</w:t>
            </w:r>
          </w:p>
        </w:tc>
        <w:tc>
          <w:tcPr>
            <w:tcW w:w="60" w:type="dxa"/>
            <w:vAlign w:val="bottom"/>
            <w:tcBorders>
              <w:bottom w:val="single" w:sz="8" w:color="DCE2EF"/>
            </w:tcBorders>
          </w:tcPr>
          <w:p>
            <w:pPr>
              <w:spacing w:after="0"/>
              <w:rPr>
                <w:sz w:val="23"/>
                <w:szCs w:val="23"/>
                <w:color w:val="auto"/>
              </w:rPr>
            </w:pPr>
          </w:p>
        </w:tc>
        <w:tc>
          <w:tcPr>
            <w:tcW w:w="40" w:type="dxa"/>
            <w:vAlign w:val="bottom"/>
            <w:tcBorders>
              <w:bottom w:val="single" w:sz="8" w:color="DCE2EF"/>
            </w:tcBorders>
          </w:tcPr>
          <w:p>
            <w:pPr>
              <w:spacing w:after="0"/>
              <w:rPr>
                <w:sz w:val="23"/>
                <w:szCs w:val="23"/>
                <w:color w:val="auto"/>
              </w:rPr>
            </w:pPr>
          </w:p>
        </w:tc>
        <w:tc>
          <w:tcPr>
            <w:tcW w:w="80" w:type="dxa"/>
            <w:vAlign w:val="bottom"/>
            <w:tcBorders>
              <w:bottom w:val="single" w:sz="8" w:color="auto"/>
            </w:tcBorders>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1140" w:type="dxa"/>
            <w:vAlign w:val="bottom"/>
            <w:tcBorders>
              <w:bottom w:val="single" w:sz="8" w:color="auto"/>
            </w:tcBorders>
          </w:tcPr>
          <w:p>
            <w:pPr>
              <w:jc w:val="right"/>
              <w:ind w:right="15"/>
              <w:spacing w:after="0"/>
              <w:rPr>
                <w:sz w:val="20"/>
                <w:szCs w:val="20"/>
                <w:color w:val="auto"/>
              </w:rPr>
            </w:pPr>
            <w:r>
              <w:rPr>
                <w:rFonts w:ascii="Arial" w:cs="Arial" w:eastAsia="Arial" w:hAnsi="Arial"/>
                <w:sz w:val="17"/>
                <w:szCs w:val="17"/>
                <w:color w:val="auto"/>
              </w:rPr>
              <w:t>66.3</w:t>
            </w:r>
          </w:p>
        </w:tc>
        <w:tc>
          <w:tcPr>
            <w:tcW w:w="40" w:type="dxa"/>
            <w:vAlign w:val="bottom"/>
            <w:tcBorders>
              <w:bottom w:val="single" w:sz="8" w:color="DCE2EF"/>
            </w:tcBorders>
          </w:tcPr>
          <w:p>
            <w:pPr>
              <w:spacing w:after="0"/>
              <w:rPr>
                <w:sz w:val="23"/>
                <w:szCs w:val="23"/>
                <w:color w:val="auto"/>
              </w:rPr>
            </w:pPr>
          </w:p>
        </w:tc>
        <w:tc>
          <w:tcPr>
            <w:tcW w:w="60" w:type="dxa"/>
            <w:vAlign w:val="bottom"/>
            <w:tcBorders>
              <w:bottom w:val="single" w:sz="8" w:color="DCE2EF"/>
            </w:tcBorders>
          </w:tcPr>
          <w:p>
            <w:pPr>
              <w:spacing w:after="0"/>
              <w:rPr>
                <w:sz w:val="23"/>
                <w:szCs w:val="23"/>
                <w:color w:val="auto"/>
              </w:rPr>
            </w:pPr>
          </w:p>
        </w:tc>
        <w:tc>
          <w:tcPr>
            <w:tcW w:w="40" w:type="dxa"/>
            <w:vAlign w:val="bottom"/>
            <w:tcBorders>
              <w:bottom w:val="single" w:sz="8" w:color="auto"/>
            </w:tcBorders>
          </w:tcPr>
          <w:p>
            <w:pPr>
              <w:spacing w:after="0"/>
              <w:rPr>
                <w:sz w:val="23"/>
                <w:szCs w:val="23"/>
                <w:color w:val="auto"/>
              </w:rPr>
            </w:pPr>
          </w:p>
        </w:tc>
        <w:tc>
          <w:tcPr>
            <w:tcW w:w="280" w:type="dxa"/>
            <w:vAlign w:val="bottom"/>
            <w:tcBorders>
              <w:bottom w:val="single" w:sz="8" w:color="auto"/>
            </w:tcBorders>
          </w:tcPr>
          <w:p>
            <w:pPr>
              <w:spacing w:after="0"/>
              <w:rPr>
                <w:sz w:val="23"/>
                <w:szCs w:val="23"/>
                <w:color w:val="auto"/>
              </w:rPr>
            </w:pPr>
          </w:p>
        </w:tc>
        <w:tc>
          <w:tcPr>
            <w:tcW w:w="1060" w:type="dxa"/>
            <w:vAlign w:val="bottom"/>
            <w:tcBorders>
              <w:bottom w:val="single" w:sz="8" w:color="auto"/>
            </w:tcBorders>
          </w:tcPr>
          <w:p>
            <w:pPr>
              <w:jc w:val="right"/>
              <w:ind w:right="15"/>
              <w:spacing w:after="0"/>
              <w:rPr>
                <w:sz w:val="20"/>
                <w:szCs w:val="20"/>
                <w:color w:val="auto"/>
              </w:rPr>
            </w:pPr>
            <w:r>
              <w:rPr>
                <w:rFonts w:ascii="Arial" w:cs="Arial" w:eastAsia="Arial" w:hAnsi="Arial"/>
                <w:sz w:val="17"/>
                <w:szCs w:val="17"/>
                <w:color w:val="auto"/>
              </w:rPr>
              <w:t>56.6</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80"/>
        </w:trPr>
        <w:tc>
          <w:tcPr>
            <w:tcW w:w="40" w:type="dxa"/>
            <w:vAlign w:val="bottom"/>
            <w:tcBorders>
              <w:right w:val="single" w:sz="8" w:color="DCE2EF"/>
            </w:tcBorders>
            <w:shd w:val="clear" w:color="auto" w:fill="DCE2EF"/>
          </w:tcPr>
          <w:p>
            <w:pPr>
              <w:spacing w:after="0"/>
              <w:rPr>
                <w:sz w:val="24"/>
                <w:szCs w:val="24"/>
                <w:color w:val="auto"/>
              </w:rPr>
            </w:pPr>
          </w:p>
        </w:tc>
        <w:tc>
          <w:tcPr>
            <w:tcW w:w="700" w:type="dxa"/>
            <w:vAlign w:val="bottom"/>
            <w:shd w:val="clear" w:color="auto" w:fill="DCE2EF"/>
          </w:tcPr>
          <w:p>
            <w:pPr>
              <w:spacing w:after="0"/>
              <w:rPr>
                <w:sz w:val="24"/>
                <w:szCs w:val="24"/>
                <w:color w:val="auto"/>
              </w:rPr>
            </w:pPr>
          </w:p>
        </w:tc>
        <w:tc>
          <w:tcPr>
            <w:tcW w:w="1540" w:type="dxa"/>
            <w:vAlign w:val="bottom"/>
            <w:shd w:val="clear" w:color="auto" w:fill="DCE2EF"/>
          </w:tcPr>
          <w:p>
            <w:pPr>
              <w:spacing w:after="0"/>
              <w:rPr>
                <w:sz w:val="24"/>
                <w:szCs w:val="24"/>
                <w:color w:val="auto"/>
              </w:rPr>
            </w:pPr>
          </w:p>
        </w:tc>
        <w:tc>
          <w:tcPr>
            <w:tcW w:w="3080" w:type="dxa"/>
            <w:vAlign w:val="bottom"/>
            <w:shd w:val="clear" w:color="auto" w:fill="DCE2EF"/>
          </w:tcPr>
          <w:p>
            <w:pPr>
              <w:spacing w:after="0"/>
              <w:rPr>
                <w:sz w:val="24"/>
                <w:szCs w:val="24"/>
                <w:color w:val="auto"/>
              </w:rPr>
            </w:pPr>
          </w:p>
        </w:tc>
        <w:tc>
          <w:tcPr>
            <w:tcW w:w="240" w:type="dxa"/>
            <w:vAlign w:val="bottom"/>
            <w:tcBorders>
              <w:left w:val="single" w:sz="8" w:color="DCE2EF"/>
            </w:tcBorders>
            <w:shd w:val="clear" w:color="auto" w:fill="DCE2EF"/>
          </w:tcPr>
          <w:p>
            <w:pPr>
              <w:spacing w:after="0"/>
              <w:rPr>
                <w:sz w:val="24"/>
                <w:szCs w:val="24"/>
                <w:color w:val="auto"/>
              </w:rPr>
            </w:pPr>
          </w:p>
        </w:tc>
        <w:tc>
          <w:tcPr>
            <w:tcW w:w="1240" w:type="dxa"/>
            <w:vAlign w:val="bottom"/>
            <w:shd w:val="clear" w:color="auto" w:fill="DCE2EF"/>
          </w:tcPr>
          <w:p>
            <w:pPr>
              <w:spacing w:after="0"/>
              <w:rPr>
                <w:sz w:val="24"/>
                <w:szCs w:val="24"/>
                <w:color w:val="auto"/>
              </w:rPr>
            </w:pPr>
          </w:p>
        </w:tc>
        <w:tc>
          <w:tcPr>
            <w:tcW w:w="40" w:type="dxa"/>
            <w:vAlign w:val="bottom"/>
            <w:shd w:val="clear" w:color="auto" w:fill="DCE2EF"/>
          </w:tcPr>
          <w:p>
            <w:pPr>
              <w:spacing w:after="0"/>
              <w:rPr>
                <w:sz w:val="24"/>
                <w:szCs w:val="24"/>
                <w:color w:val="auto"/>
              </w:rPr>
            </w:pPr>
          </w:p>
        </w:tc>
        <w:tc>
          <w:tcPr>
            <w:tcW w:w="60" w:type="dxa"/>
            <w:vAlign w:val="bottom"/>
            <w:shd w:val="clear" w:color="auto" w:fill="DCE2EF"/>
          </w:tcPr>
          <w:p>
            <w:pPr>
              <w:spacing w:after="0"/>
              <w:rPr>
                <w:sz w:val="24"/>
                <w:szCs w:val="24"/>
                <w:color w:val="auto"/>
              </w:rPr>
            </w:pPr>
          </w:p>
        </w:tc>
        <w:tc>
          <w:tcPr>
            <w:tcW w:w="60" w:type="dxa"/>
            <w:vAlign w:val="bottom"/>
            <w:shd w:val="clear" w:color="auto" w:fill="DCE2EF"/>
          </w:tcPr>
          <w:p>
            <w:pPr>
              <w:spacing w:after="0"/>
              <w:rPr>
                <w:sz w:val="24"/>
                <w:szCs w:val="24"/>
                <w:color w:val="auto"/>
              </w:rPr>
            </w:pPr>
          </w:p>
        </w:tc>
        <w:tc>
          <w:tcPr>
            <w:tcW w:w="280" w:type="dxa"/>
            <w:vAlign w:val="bottom"/>
            <w:shd w:val="clear" w:color="auto" w:fill="DCE2EF"/>
          </w:tcPr>
          <w:p>
            <w:pPr>
              <w:spacing w:after="0"/>
              <w:rPr>
                <w:sz w:val="24"/>
                <w:szCs w:val="24"/>
                <w:color w:val="auto"/>
              </w:rPr>
            </w:pPr>
          </w:p>
        </w:tc>
        <w:tc>
          <w:tcPr>
            <w:tcW w:w="1160" w:type="dxa"/>
            <w:vAlign w:val="bottom"/>
            <w:shd w:val="clear" w:color="auto" w:fill="DCE2EF"/>
          </w:tcPr>
          <w:p>
            <w:pPr>
              <w:spacing w:after="0"/>
              <w:rPr>
                <w:sz w:val="24"/>
                <w:szCs w:val="24"/>
                <w:color w:val="auto"/>
              </w:rPr>
            </w:pPr>
          </w:p>
        </w:tc>
        <w:tc>
          <w:tcPr>
            <w:tcW w:w="60" w:type="dxa"/>
            <w:vAlign w:val="bottom"/>
            <w:shd w:val="clear" w:color="auto" w:fill="DCE2EF"/>
          </w:tcPr>
          <w:p>
            <w:pPr>
              <w:spacing w:after="0"/>
              <w:rPr>
                <w:sz w:val="24"/>
                <w:szCs w:val="24"/>
                <w:color w:val="auto"/>
              </w:rPr>
            </w:pPr>
          </w:p>
        </w:tc>
        <w:tc>
          <w:tcPr>
            <w:tcW w:w="40" w:type="dxa"/>
            <w:vAlign w:val="bottom"/>
            <w:shd w:val="clear" w:color="auto" w:fill="DCE2EF"/>
          </w:tcPr>
          <w:p>
            <w:pPr>
              <w:spacing w:after="0"/>
              <w:rPr>
                <w:sz w:val="24"/>
                <w:szCs w:val="24"/>
                <w:color w:val="auto"/>
              </w:rPr>
            </w:pPr>
          </w:p>
        </w:tc>
        <w:tc>
          <w:tcPr>
            <w:tcW w:w="80" w:type="dxa"/>
            <w:vAlign w:val="bottom"/>
            <w:shd w:val="clear" w:color="auto" w:fill="DCE2EF"/>
          </w:tcPr>
          <w:p>
            <w:pPr>
              <w:spacing w:after="0"/>
              <w:rPr>
                <w:sz w:val="24"/>
                <w:szCs w:val="24"/>
                <w:color w:val="auto"/>
              </w:rPr>
            </w:pPr>
          </w:p>
        </w:tc>
        <w:tc>
          <w:tcPr>
            <w:tcW w:w="160" w:type="dxa"/>
            <w:vAlign w:val="bottom"/>
            <w:shd w:val="clear" w:color="auto" w:fill="DCE2EF"/>
          </w:tcPr>
          <w:p>
            <w:pPr>
              <w:spacing w:after="0"/>
              <w:rPr>
                <w:sz w:val="24"/>
                <w:szCs w:val="24"/>
                <w:color w:val="auto"/>
              </w:rPr>
            </w:pPr>
          </w:p>
        </w:tc>
        <w:tc>
          <w:tcPr>
            <w:tcW w:w="1140" w:type="dxa"/>
            <w:vAlign w:val="bottom"/>
            <w:shd w:val="clear" w:color="auto" w:fill="DCE2EF"/>
          </w:tcPr>
          <w:p>
            <w:pPr>
              <w:spacing w:after="0"/>
              <w:rPr>
                <w:sz w:val="24"/>
                <w:szCs w:val="24"/>
                <w:color w:val="auto"/>
              </w:rPr>
            </w:pPr>
          </w:p>
        </w:tc>
        <w:tc>
          <w:tcPr>
            <w:tcW w:w="40" w:type="dxa"/>
            <w:vAlign w:val="bottom"/>
            <w:shd w:val="clear" w:color="auto" w:fill="DCE2EF"/>
          </w:tcPr>
          <w:p>
            <w:pPr>
              <w:spacing w:after="0"/>
              <w:rPr>
                <w:sz w:val="24"/>
                <w:szCs w:val="24"/>
                <w:color w:val="auto"/>
              </w:rPr>
            </w:pPr>
          </w:p>
        </w:tc>
        <w:tc>
          <w:tcPr>
            <w:tcW w:w="60" w:type="dxa"/>
            <w:vAlign w:val="bottom"/>
            <w:shd w:val="clear" w:color="auto" w:fill="DCE2EF"/>
          </w:tcPr>
          <w:p>
            <w:pPr>
              <w:spacing w:after="0"/>
              <w:rPr>
                <w:sz w:val="24"/>
                <w:szCs w:val="24"/>
                <w:color w:val="auto"/>
              </w:rPr>
            </w:pPr>
          </w:p>
        </w:tc>
        <w:tc>
          <w:tcPr>
            <w:tcW w:w="40" w:type="dxa"/>
            <w:vAlign w:val="bottom"/>
            <w:shd w:val="clear" w:color="auto" w:fill="DCE2EF"/>
          </w:tcPr>
          <w:p>
            <w:pPr>
              <w:spacing w:after="0"/>
              <w:rPr>
                <w:sz w:val="24"/>
                <w:szCs w:val="24"/>
                <w:color w:val="auto"/>
              </w:rPr>
            </w:pPr>
          </w:p>
        </w:tc>
        <w:tc>
          <w:tcPr>
            <w:tcW w:w="280" w:type="dxa"/>
            <w:vAlign w:val="bottom"/>
            <w:shd w:val="clear" w:color="auto" w:fill="DCE2EF"/>
          </w:tcPr>
          <w:p>
            <w:pPr>
              <w:spacing w:after="0"/>
              <w:rPr>
                <w:sz w:val="24"/>
                <w:szCs w:val="24"/>
                <w:color w:val="auto"/>
              </w:rPr>
            </w:pPr>
          </w:p>
        </w:tc>
        <w:tc>
          <w:tcPr>
            <w:tcW w:w="1060" w:type="dxa"/>
            <w:vAlign w:val="bottom"/>
            <w:shd w:val="clear" w:color="auto" w:fill="DCE2EF"/>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1"/>
        </w:trPr>
        <w:tc>
          <w:tcPr>
            <w:tcW w:w="40" w:type="dxa"/>
            <w:vAlign w:val="bottom"/>
          </w:tcPr>
          <w:p>
            <w:pPr>
              <w:spacing w:after="0"/>
              <w:rPr>
                <w:sz w:val="22"/>
                <w:szCs w:val="22"/>
                <w:color w:val="auto"/>
              </w:rPr>
            </w:pPr>
          </w:p>
        </w:tc>
        <w:tc>
          <w:tcPr>
            <w:tcW w:w="5320" w:type="dxa"/>
            <w:vAlign w:val="bottom"/>
            <w:gridSpan w:val="3"/>
          </w:tcPr>
          <w:p>
            <w:pPr>
              <w:spacing w:after="0"/>
              <w:rPr>
                <w:sz w:val="20"/>
                <w:szCs w:val="20"/>
                <w:color w:val="auto"/>
              </w:rPr>
            </w:pPr>
            <w:r>
              <w:rPr>
                <w:rFonts w:ascii="Arial" w:cs="Arial" w:eastAsia="Arial" w:hAnsi="Arial"/>
                <w:sz w:val="17"/>
                <w:szCs w:val="17"/>
                <w:b w:val="1"/>
                <w:bCs w:val="1"/>
                <w:color w:val="auto"/>
              </w:rPr>
              <w:t>Net income (loss) per common share — Basic</w:t>
            </w:r>
          </w:p>
        </w:tc>
        <w:tc>
          <w:tcPr>
            <w:tcW w:w="24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9"/>
        </w:trPr>
        <w:tc>
          <w:tcPr>
            <w:tcW w:w="40" w:type="dxa"/>
            <w:vAlign w:val="bottom"/>
            <w:tcBorders>
              <w:right w:val="single" w:sz="8" w:color="DCE2EF"/>
            </w:tcBorders>
            <w:shd w:val="clear" w:color="auto" w:fill="DCE2EF"/>
          </w:tcPr>
          <w:p>
            <w:pPr>
              <w:spacing w:after="0"/>
              <w:rPr>
                <w:sz w:val="24"/>
                <w:szCs w:val="24"/>
                <w:color w:val="auto"/>
              </w:rPr>
            </w:pPr>
          </w:p>
        </w:tc>
        <w:tc>
          <w:tcPr>
            <w:tcW w:w="5320" w:type="dxa"/>
            <w:vAlign w:val="bottom"/>
            <w:gridSpan w:val="3"/>
            <w:shd w:val="clear" w:color="auto" w:fill="DCE2EF"/>
          </w:tcPr>
          <w:p>
            <w:pPr>
              <w:ind w:left="340"/>
              <w:spacing w:after="0"/>
              <w:rPr>
                <w:sz w:val="20"/>
                <w:szCs w:val="20"/>
                <w:color w:val="auto"/>
              </w:rPr>
            </w:pPr>
            <w:r>
              <w:rPr>
                <w:rFonts w:ascii="Arial" w:cs="Arial" w:eastAsia="Arial" w:hAnsi="Arial"/>
                <w:sz w:val="17"/>
                <w:szCs w:val="17"/>
                <w:color w:val="auto"/>
              </w:rPr>
              <w:t>Income from continuing operations</w:t>
            </w:r>
          </w:p>
        </w:tc>
        <w:tc>
          <w:tcPr>
            <w:tcW w:w="240" w:type="dxa"/>
            <w:vAlign w:val="bottom"/>
            <w:tcBorders>
              <w:left w:val="single" w:sz="8" w:color="DCE2EF"/>
            </w:tcBorders>
            <w:shd w:val="clear" w:color="auto" w:fill="DCE2EF"/>
          </w:tcPr>
          <w:p>
            <w:pPr>
              <w:jc w:val="right"/>
              <w:ind w:right="35"/>
              <w:spacing w:after="0"/>
              <w:rPr>
                <w:sz w:val="20"/>
                <w:szCs w:val="20"/>
                <w:color w:val="auto"/>
              </w:rPr>
            </w:pPr>
            <w:r>
              <w:rPr>
                <w:rFonts w:ascii="Arial" w:cs="Arial" w:eastAsia="Arial" w:hAnsi="Arial"/>
                <w:sz w:val="17"/>
                <w:szCs w:val="17"/>
                <w:color w:val="auto"/>
              </w:rPr>
              <w:t>$</w:t>
            </w:r>
          </w:p>
        </w:tc>
        <w:tc>
          <w:tcPr>
            <w:tcW w:w="1240" w:type="dxa"/>
            <w:vAlign w:val="bottom"/>
            <w:shd w:val="clear" w:color="auto" w:fill="DCE2EF"/>
          </w:tcPr>
          <w:p>
            <w:pPr>
              <w:jc w:val="right"/>
              <w:ind w:right="15"/>
              <w:spacing w:after="0"/>
              <w:rPr>
                <w:sz w:val="20"/>
                <w:szCs w:val="20"/>
                <w:color w:val="auto"/>
              </w:rPr>
            </w:pPr>
            <w:r>
              <w:rPr>
                <w:rFonts w:ascii="Arial" w:cs="Arial" w:eastAsia="Arial" w:hAnsi="Arial"/>
                <w:sz w:val="17"/>
                <w:szCs w:val="17"/>
                <w:color w:val="auto"/>
              </w:rPr>
              <w:t>0.38</w:t>
            </w:r>
          </w:p>
        </w:tc>
        <w:tc>
          <w:tcPr>
            <w:tcW w:w="40" w:type="dxa"/>
            <w:vAlign w:val="bottom"/>
            <w:shd w:val="clear" w:color="auto" w:fill="DCE2EF"/>
          </w:tcPr>
          <w:p>
            <w:pPr>
              <w:spacing w:after="0"/>
              <w:rPr>
                <w:sz w:val="24"/>
                <w:szCs w:val="24"/>
                <w:color w:val="auto"/>
              </w:rPr>
            </w:pPr>
          </w:p>
        </w:tc>
        <w:tc>
          <w:tcPr>
            <w:tcW w:w="60" w:type="dxa"/>
            <w:vAlign w:val="bottom"/>
            <w:shd w:val="clear" w:color="auto" w:fill="DCE2EF"/>
          </w:tcPr>
          <w:p>
            <w:pPr>
              <w:spacing w:after="0"/>
              <w:rPr>
                <w:sz w:val="24"/>
                <w:szCs w:val="24"/>
                <w:color w:val="auto"/>
              </w:rPr>
            </w:pPr>
          </w:p>
        </w:tc>
        <w:tc>
          <w:tcPr>
            <w:tcW w:w="340" w:type="dxa"/>
            <w:vAlign w:val="bottom"/>
            <w:gridSpan w:val="2"/>
            <w:shd w:val="clear" w:color="auto" w:fill="DCE2EF"/>
          </w:tcPr>
          <w:p>
            <w:pPr>
              <w:jc w:val="right"/>
              <w:ind w:right="200"/>
              <w:spacing w:after="0"/>
              <w:rPr>
                <w:sz w:val="20"/>
                <w:szCs w:val="20"/>
                <w:color w:val="auto"/>
              </w:rPr>
            </w:pPr>
            <w:r>
              <w:rPr>
                <w:rFonts w:ascii="Arial" w:cs="Arial" w:eastAsia="Arial" w:hAnsi="Arial"/>
                <w:sz w:val="17"/>
                <w:szCs w:val="17"/>
                <w:color w:val="auto"/>
              </w:rPr>
              <w:t>$</w:t>
            </w:r>
          </w:p>
        </w:tc>
        <w:tc>
          <w:tcPr>
            <w:tcW w:w="1160" w:type="dxa"/>
            <w:vAlign w:val="bottom"/>
            <w:shd w:val="clear" w:color="auto" w:fill="DCE2EF"/>
          </w:tcPr>
          <w:p>
            <w:pPr>
              <w:jc w:val="right"/>
              <w:ind w:right="35"/>
              <w:spacing w:after="0"/>
              <w:rPr>
                <w:sz w:val="20"/>
                <w:szCs w:val="20"/>
                <w:color w:val="auto"/>
              </w:rPr>
            </w:pPr>
            <w:r>
              <w:rPr>
                <w:rFonts w:ascii="Arial" w:cs="Arial" w:eastAsia="Arial" w:hAnsi="Arial"/>
                <w:sz w:val="17"/>
                <w:szCs w:val="17"/>
                <w:color w:val="auto"/>
              </w:rPr>
              <w:t>0.56</w:t>
            </w:r>
          </w:p>
        </w:tc>
        <w:tc>
          <w:tcPr>
            <w:tcW w:w="60" w:type="dxa"/>
            <w:vAlign w:val="bottom"/>
            <w:shd w:val="clear" w:color="auto" w:fill="DCE2EF"/>
          </w:tcPr>
          <w:p>
            <w:pPr>
              <w:spacing w:after="0"/>
              <w:rPr>
                <w:sz w:val="24"/>
                <w:szCs w:val="24"/>
                <w:color w:val="auto"/>
              </w:rPr>
            </w:pPr>
          </w:p>
        </w:tc>
        <w:tc>
          <w:tcPr>
            <w:tcW w:w="40" w:type="dxa"/>
            <w:vAlign w:val="bottom"/>
            <w:shd w:val="clear" w:color="auto" w:fill="DCE2EF"/>
          </w:tcPr>
          <w:p>
            <w:pPr>
              <w:spacing w:after="0"/>
              <w:rPr>
                <w:sz w:val="24"/>
                <w:szCs w:val="24"/>
                <w:color w:val="auto"/>
              </w:rPr>
            </w:pPr>
          </w:p>
        </w:tc>
        <w:tc>
          <w:tcPr>
            <w:tcW w:w="240" w:type="dxa"/>
            <w:vAlign w:val="bottom"/>
            <w:gridSpan w:val="2"/>
            <w:shd w:val="clear" w:color="auto" w:fill="DCE2EF"/>
          </w:tcPr>
          <w:p>
            <w:pPr>
              <w:jc w:val="right"/>
              <w:ind w:right="120"/>
              <w:spacing w:after="0"/>
              <w:rPr>
                <w:sz w:val="20"/>
                <w:szCs w:val="20"/>
                <w:color w:val="auto"/>
              </w:rPr>
            </w:pPr>
            <w:r>
              <w:rPr>
                <w:rFonts w:ascii="Arial" w:cs="Arial" w:eastAsia="Arial" w:hAnsi="Arial"/>
                <w:sz w:val="17"/>
                <w:szCs w:val="17"/>
                <w:color w:val="auto"/>
              </w:rPr>
              <w:t>$</w:t>
            </w:r>
          </w:p>
        </w:tc>
        <w:tc>
          <w:tcPr>
            <w:tcW w:w="1140" w:type="dxa"/>
            <w:vAlign w:val="bottom"/>
            <w:shd w:val="clear" w:color="auto" w:fill="DCE2EF"/>
          </w:tcPr>
          <w:p>
            <w:pPr>
              <w:jc w:val="right"/>
              <w:ind w:right="15"/>
              <w:spacing w:after="0"/>
              <w:rPr>
                <w:sz w:val="20"/>
                <w:szCs w:val="20"/>
                <w:color w:val="auto"/>
              </w:rPr>
            </w:pPr>
            <w:r>
              <w:rPr>
                <w:rFonts w:ascii="Arial" w:cs="Arial" w:eastAsia="Arial" w:hAnsi="Arial"/>
                <w:sz w:val="17"/>
                <w:szCs w:val="17"/>
                <w:color w:val="auto"/>
              </w:rPr>
              <w:t>0.81</w:t>
            </w:r>
          </w:p>
        </w:tc>
        <w:tc>
          <w:tcPr>
            <w:tcW w:w="40" w:type="dxa"/>
            <w:vAlign w:val="bottom"/>
            <w:shd w:val="clear" w:color="auto" w:fill="DCE2EF"/>
          </w:tcPr>
          <w:p>
            <w:pPr>
              <w:spacing w:after="0"/>
              <w:rPr>
                <w:sz w:val="24"/>
                <w:szCs w:val="24"/>
                <w:color w:val="auto"/>
              </w:rPr>
            </w:pPr>
          </w:p>
        </w:tc>
        <w:tc>
          <w:tcPr>
            <w:tcW w:w="60" w:type="dxa"/>
            <w:vAlign w:val="bottom"/>
            <w:shd w:val="clear" w:color="auto" w:fill="DCE2EF"/>
          </w:tcPr>
          <w:p>
            <w:pPr>
              <w:spacing w:after="0"/>
              <w:rPr>
                <w:sz w:val="24"/>
                <w:szCs w:val="24"/>
                <w:color w:val="auto"/>
              </w:rPr>
            </w:pPr>
          </w:p>
        </w:tc>
        <w:tc>
          <w:tcPr>
            <w:tcW w:w="320" w:type="dxa"/>
            <w:vAlign w:val="bottom"/>
            <w:gridSpan w:val="2"/>
            <w:shd w:val="clear" w:color="auto" w:fill="DCE2EF"/>
          </w:tcPr>
          <w:p>
            <w:pPr>
              <w:jc w:val="right"/>
              <w:ind w:right="180"/>
              <w:spacing w:after="0"/>
              <w:rPr>
                <w:sz w:val="20"/>
                <w:szCs w:val="20"/>
                <w:color w:val="auto"/>
              </w:rPr>
            </w:pPr>
            <w:r>
              <w:rPr>
                <w:rFonts w:ascii="Arial" w:cs="Arial" w:eastAsia="Arial" w:hAnsi="Arial"/>
                <w:sz w:val="17"/>
                <w:szCs w:val="17"/>
                <w:color w:val="auto"/>
              </w:rPr>
              <w:t>$</w:t>
            </w:r>
          </w:p>
        </w:tc>
        <w:tc>
          <w:tcPr>
            <w:tcW w:w="1060" w:type="dxa"/>
            <w:vAlign w:val="bottom"/>
            <w:shd w:val="clear" w:color="auto" w:fill="DCE2EF"/>
          </w:tcPr>
          <w:p>
            <w:pPr>
              <w:jc w:val="right"/>
              <w:ind w:right="15"/>
              <w:spacing w:after="0"/>
              <w:rPr>
                <w:sz w:val="20"/>
                <w:szCs w:val="20"/>
                <w:color w:val="auto"/>
              </w:rPr>
            </w:pPr>
            <w:r>
              <w:rPr>
                <w:rFonts w:ascii="Arial" w:cs="Arial" w:eastAsia="Arial" w:hAnsi="Arial"/>
                <w:sz w:val="17"/>
                <w:szCs w:val="17"/>
                <w:color w:val="auto"/>
              </w:rPr>
              <w:t>0.85</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40" w:type="dxa"/>
            <w:vAlign w:val="bottom"/>
          </w:tcPr>
          <w:p>
            <w:pPr>
              <w:spacing w:after="0"/>
              <w:rPr>
                <w:sz w:val="22"/>
                <w:szCs w:val="22"/>
                <w:color w:val="auto"/>
              </w:rPr>
            </w:pPr>
          </w:p>
        </w:tc>
        <w:tc>
          <w:tcPr>
            <w:tcW w:w="5320" w:type="dxa"/>
            <w:vAlign w:val="bottom"/>
            <w:gridSpan w:val="3"/>
          </w:tcPr>
          <w:p>
            <w:pPr>
              <w:ind w:left="340"/>
              <w:spacing w:after="0"/>
              <w:rPr>
                <w:sz w:val="20"/>
                <w:szCs w:val="20"/>
                <w:color w:val="auto"/>
              </w:rPr>
            </w:pPr>
            <w:r>
              <w:rPr>
                <w:rFonts w:ascii="Arial" w:cs="Arial" w:eastAsia="Arial" w:hAnsi="Arial"/>
                <w:sz w:val="17"/>
                <w:szCs w:val="17"/>
                <w:color w:val="auto"/>
              </w:rPr>
              <w:t>Income (loss) from discontinued operations</w:t>
            </w:r>
          </w:p>
        </w:tc>
        <w:tc>
          <w:tcPr>
            <w:tcW w:w="24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ind w:right="15"/>
              <w:spacing w:after="0"/>
              <w:rPr>
                <w:sz w:val="20"/>
                <w:szCs w:val="20"/>
                <w:color w:val="auto"/>
              </w:rPr>
            </w:pPr>
            <w:r>
              <w:rPr>
                <w:rFonts w:ascii="Arial" w:cs="Arial" w:eastAsia="Arial" w:hAnsi="Arial"/>
                <w:sz w:val="17"/>
                <w:szCs w:val="17"/>
                <w:color w:val="auto"/>
              </w:rPr>
              <w:t>0.02</w:t>
            </w:r>
          </w:p>
        </w:tc>
        <w:tc>
          <w:tcPr>
            <w:tcW w:w="40" w:type="dxa"/>
            <w:vAlign w:val="bottom"/>
            <w:tcBorders>
              <w:bottom w:val="single" w:sz="8" w:color="DCE2EF"/>
            </w:tcBorders>
          </w:tcPr>
          <w:p>
            <w:pPr>
              <w:spacing w:after="0"/>
              <w:rPr>
                <w:sz w:val="22"/>
                <w:szCs w:val="22"/>
                <w:color w:val="auto"/>
              </w:rPr>
            </w:pPr>
          </w:p>
        </w:tc>
        <w:tc>
          <w:tcPr>
            <w:tcW w:w="60" w:type="dxa"/>
            <w:vAlign w:val="bottom"/>
            <w:tcBorders>
              <w:bottom w:val="single" w:sz="8" w:color="DCE2EF"/>
            </w:tcBorders>
          </w:tcPr>
          <w:p>
            <w:pPr>
              <w:spacing w:after="0"/>
              <w:rPr>
                <w:sz w:val="22"/>
                <w:szCs w:val="22"/>
                <w:color w:val="auto"/>
              </w:rPr>
            </w:pPr>
          </w:p>
        </w:tc>
        <w:tc>
          <w:tcPr>
            <w:tcW w:w="60" w:type="dxa"/>
            <w:vAlign w:val="bottom"/>
            <w:tcBorders>
              <w:bottom w:val="single" w:sz="8" w:color="auto"/>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(0.01)</w:t>
            </w:r>
          </w:p>
        </w:tc>
        <w:tc>
          <w:tcPr>
            <w:tcW w:w="60" w:type="dxa"/>
            <w:vAlign w:val="bottom"/>
            <w:tcBorders>
              <w:bottom w:val="single" w:sz="8" w:color="DCE2EF"/>
            </w:tcBorders>
          </w:tcPr>
          <w:p>
            <w:pPr>
              <w:spacing w:after="0"/>
              <w:rPr>
                <w:sz w:val="22"/>
                <w:szCs w:val="22"/>
                <w:color w:val="auto"/>
              </w:rPr>
            </w:pPr>
          </w:p>
        </w:tc>
        <w:tc>
          <w:tcPr>
            <w:tcW w:w="40" w:type="dxa"/>
            <w:vAlign w:val="bottom"/>
            <w:tcBorders>
              <w:bottom w:val="single" w:sz="8" w:color="DCE2EF"/>
            </w:tcBorders>
          </w:tcPr>
          <w:p>
            <w:pPr>
              <w:spacing w:after="0"/>
              <w:rPr>
                <w:sz w:val="22"/>
                <w:szCs w:val="22"/>
                <w:color w:val="auto"/>
              </w:rPr>
            </w:pPr>
          </w:p>
        </w:tc>
        <w:tc>
          <w:tcPr>
            <w:tcW w:w="80" w:type="dxa"/>
            <w:vAlign w:val="bottom"/>
            <w:tcBorders>
              <w:bottom w:val="single" w:sz="8" w:color="auto"/>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15"/>
              <w:spacing w:after="0"/>
              <w:rPr>
                <w:sz w:val="20"/>
                <w:szCs w:val="20"/>
                <w:color w:val="auto"/>
              </w:rPr>
            </w:pPr>
            <w:r>
              <w:rPr>
                <w:rFonts w:ascii="Arial" w:cs="Arial" w:eastAsia="Arial" w:hAnsi="Arial"/>
                <w:sz w:val="17"/>
                <w:szCs w:val="17"/>
                <w:color w:val="auto"/>
              </w:rPr>
              <w:t>0.02</w:t>
            </w:r>
          </w:p>
        </w:tc>
        <w:tc>
          <w:tcPr>
            <w:tcW w:w="40" w:type="dxa"/>
            <w:vAlign w:val="bottom"/>
            <w:tcBorders>
              <w:bottom w:val="single" w:sz="8" w:color="DCE2EF"/>
            </w:tcBorders>
          </w:tcPr>
          <w:p>
            <w:pPr>
              <w:spacing w:after="0"/>
              <w:rPr>
                <w:sz w:val="22"/>
                <w:szCs w:val="22"/>
                <w:color w:val="auto"/>
              </w:rPr>
            </w:pPr>
          </w:p>
        </w:tc>
        <w:tc>
          <w:tcPr>
            <w:tcW w:w="60" w:type="dxa"/>
            <w:vAlign w:val="bottom"/>
            <w:tcBorders>
              <w:bottom w:val="single" w:sz="8" w:color="DCE2EF"/>
            </w:tcBorders>
          </w:tcPr>
          <w:p>
            <w:pPr>
              <w:spacing w:after="0"/>
              <w:rPr>
                <w:sz w:val="22"/>
                <w:szCs w:val="22"/>
                <w:color w:val="auto"/>
              </w:rPr>
            </w:pPr>
          </w:p>
        </w:tc>
        <w:tc>
          <w:tcPr>
            <w:tcW w:w="40" w:type="dxa"/>
            <w:vAlign w:val="bottom"/>
            <w:tcBorders>
              <w:bottom w:val="single" w:sz="8" w:color="auto"/>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(1.31)</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9"/>
        </w:trPr>
        <w:tc>
          <w:tcPr>
            <w:tcW w:w="40" w:type="dxa"/>
            <w:vAlign w:val="bottom"/>
          </w:tcPr>
          <w:p>
            <w:pPr>
              <w:spacing w:after="0"/>
              <w:rPr>
                <w:sz w:val="20"/>
                <w:szCs w:val="20"/>
                <w:color w:val="auto"/>
              </w:rPr>
            </w:pPr>
          </w:p>
        </w:tc>
        <w:tc>
          <w:tcPr>
            <w:tcW w:w="5320" w:type="dxa"/>
            <w:vAlign w:val="bottom"/>
            <w:gridSpan w:val="3"/>
          </w:tcPr>
          <w:p>
            <w:pPr>
              <w:ind w:left="340"/>
              <w:spacing w:after="0"/>
              <w:rPr>
                <w:sz w:val="20"/>
                <w:szCs w:val="20"/>
                <w:color w:val="auto"/>
              </w:rPr>
            </w:pPr>
            <w:r>
              <w:rPr>
                <w:rFonts w:ascii="Arial" w:cs="Arial" w:eastAsia="Arial" w:hAnsi="Arial"/>
                <w:sz w:val="17"/>
                <w:szCs w:val="17"/>
                <w:color w:val="auto"/>
              </w:rPr>
              <w:t>Net income (loss)</w:t>
            </w:r>
          </w:p>
        </w:tc>
        <w:tc>
          <w:tcPr>
            <w:tcW w:w="240" w:type="dxa"/>
            <w:vAlign w:val="bottom"/>
            <w:tcBorders>
              <w:left w:val="single" w:sz="8" w:color="DCE2EF"/>
              <w:bottom w:val="single" w:sz="8" w:color="auto"/>
            </w:tcBorders>
            <w:shd w:val="clear" w:color="auto" w:fill="DCE2EF"/>
          </w:tcPr>
          <w:p>
            <w:pPr>
              <w:jc w:val="right"/>
              <w:ind w:right="35"/>
              <w:spacing w:after="0"/>
              <w:rPr>
                <w:sz w:val="20"/>
                <w:szCs w:val="20"/>
                <w:color w:val="auto"/>
              </w:rPr>
            </w:pPr>
            <w:r>
              <w:rPr>
                <w:rFonts w:ascii="Arial" w:cs="Arial" w:eastAsia="Arial" w:hAnsi="Arial"/>
                <w:sz w:val="17"/>
                <w:szCs w:val="17"/>
                <w:color w:val="auto"/>
              </w:rPr>
              <w:t>$</w:t>
            </w:r>
          </w:p>
        </w:tc>
        <w:tc>
          <w:tcPr>
            <w:tcW w:w="1240" w:type="dxa"/>
            <w:vAlign w:val="bottom"/>
            <w:tcBorders>
              <w:bottom w:val="single" w:sz="8" w:color="auto"/>
            </w:tcBorders>
            <w:shd w:val="clear" w:color="auto" w:fill="DCE2EF"/>
          </w:tcPr>
          <w:p>
            <w:pPr>
              <w:jc w:val="right"/>
              <w:ind w:right="15"/>
              <w:spacing w:after="0"/>
              <w:rPr>
                <w:sz w:val="20"/>
                <w:szCs w:val="20"/>
                <w:color w:val="auto"/>
              </w:rPr>
            </w:pPr>
            <w:r>
              <w:rPr>
                <w:rFonts w:ascii="Arial" w:cs="Arial" w:eastAsia="Arial" w:hAnsi="Arial"/>
                <w:sz w:val="17"/>
                <w:szCs w:val="17"/>
                <w:color w:val="auto"/>
              </w:rPr>
              <w:t>0.40</w:t>
            </w:r>
          </w:p>
        </w:tc>
        <w:tc>
          <w:tcPr>
            <w:tcW w:w="40" w:type="dxa"/>
            <w:vAlign w:val="bottom"/>
            <w:tcBorders>
              <w:bottom w:val="single" w:sz="8" w:color="DCE2EF"/>
            </w:tcBorders>
            <w:shd w:val="clear" w:color="auto" w:fill="DCE2EF"/>
          </w:tcPr>
          <w:p>
            <w:pPr>
              <w:spacing w:after="0"/>
              <w:rPr>
                <w:sz w:val="20"/>
                <w:szCs w:val="20"/>
                <w:color w:val="auto"/>
              </w:rPr>
            </w:pPr>
          </w:p>
        </w:tc>
        <w:tc>
          <w:tcPr>
            <w:tcW w:w="60" w:type="dxa"/>
            <w:vAlign w:val="bottom"/>
            <w:tcBorders>
              <w:bottom w:val="single" w:sz="8" w:color="DCE2EF"/>
            </w:tcBorders>
            <w:shd w:val="clear" w:color="auto" w:fill="DCE2EF"/>
          </w:tcPr>
          <w:p>
            <w:pPr>
              <w:spacing w:after="0"/>
              <w:rPr>
                <w:sz w:val="20"/>
                <w:szCs w:val="20"/>
                <w:color w:val="auto"/>
              </w:rPr>
            </w:pPr>
          </w:p>
        </w:tc>
        <w:tc>
          <w:tcPr>
            <w:tcW w:w="340" w:type="dxa"/>
            <w:vAlign w:val="bottom"/>
            <w:tcBorders>
              <w:bottom w:val="single" w:sz="8" w:color="auto"/>
            </w:tcBorders>
            <w:gridSpan w:val="2"/>
            <w:shd w:val="clear" w:color="auto" w:fill="DCE2EF"/>
          </w:tcPr>
          <w:p>
            <w:pPr>
              <w:jc w:val="right"/>
              <w:ind w:right="200"/>
              <w:spacing w:after="0"/>
              <w:rPr>
                <w:sz w:val="20"/>
                <w:szCs w:val="20"/>
                <w:color w:val="auto"/>
              </w:rPr>
            </w:pPr>
            <w:r>
              <w:rPr>
                <w:rFonts w:ascii="Arial" w:cs="Arial" w:eastAsia="Arial" w:hAnsi="Arial"/>
                <w:sz w:val="17"/>
                <w:szCs w:val="17"/>
                <w:color w:val="auto"/>
              </w:rPr>
              <w:t>$</w:t>
            </w:r>
          </w:p>
        </w:tc>
        <w:tc>
          <w:tcPr>
            <w:tcW w:w="1160" w:type="dxa"/>
            <w:vAlign w:val="bottom"/>
            <w:tcBorders>
              <w:bottom w:val="single" w:sz="8" w:color="auto"/>
            </w:tcBorders>
            <w:shd w:val="clear" w:color="auto" w:fill="DCE2EF"/>
          </w:tcPr>
          <w:p>
            <w:pPr>
              <w:jc w:val="right"/>
              <w:ind w:right="35"/>
              <w:spacing w:after="0"/>
              <w:rPr>
                <w:sz w:val="20"/>
                <w:szCs w:val="20"/>
                <w:color w:val="auto"/>
              </w:rPr>
            </w:pPr>
            <w:r>
              <w:rPr>
                <w:rFonts w:ascii="Arial" w:cs="Arial" w:eastAsia="Arial" w:hAnsi="Arial"/>
                <w:sz w:val="17"/>
                <w:szCs w:val="17"/>
                <w:color w:val="auto"/>
              </w:rPr>
              <w:t>0.56</w:t>
            </w:r>
          </w:p>
        </w:tc>
        <w:tc>
          <w:tcPr>
            <w:tcW w:w="60" w:type="dxa"/>
            <w:vAlign w:val="bottom"/>
            <w:tcBorders>
              <w:bottom w:val="single" w:sz="8" w:color="DCE2EF"/>
            </w:tcBorders>
            <w:shd w:val="clear" w:color="auto" w:fill="DCE2EF"/>
          </w:tcPr>
          <w:p>
            <w:pPr>
              <w:spacing w:after="0"/>
              <w:rPr>
                <w:sz w:val="20"/>
                <w:szCs w:val="20"/>
                <w:color w:val="auto"/>
              </w:rPr>
            </w:pPr>
          </w:p>
        </w:tc>
        <w:tc>
          <w:tcPr>
            <w:tcW w:w="40" w:type="dxa"/>
            <w:vAlign w:val="bottom"/>
            <w:tcBorders>
              <w:bottom w:val="single" w:sz="8" w:color="DCE2EF"/>
            </w:tcBorders>
            <w:shd w:val="clear" w:color="auto" w:fill="DCE2EF"/>
          </w:tcPr>
          <w:p>
            <w:pPr>
              <w:spacing w:after="0"/>
              <w:rPr>
                <w:sz w:val="20"/>
                <w:szCs w:val="20"/>
                <w:color w:val="auto"/>
              </w:rPr>
            </w:pPr>
          </w:p>
        </w:tc>
        <w:tc>
          <w:tcPr>
            <w:tcW w:w="240" w:type="dxa"/>
            <w:vAlign w:val="bottom"/>
            <w:tcBorders>
              <w:bottom w:val="single" w:sz="8" w:color="auto"/>
            </w:tcBorders>
            <w:gridSpan w:val="2"/>
            <w:shd w:val="clear" w:color="auto" w:fill="DCE2EF"/>
          </w:tcPr>
          <w:p>
            <w:pPr>
              <w:jc w:val="right"/>
              <w:ind w:right="120"/>
              <w:spacing w:after="0"/>
              <w:rPr>
                <w:sz w:val="20"/>
                <w:szCs w:val="20"/>
                <w:color w:val="auto"/>
              </w:rPr>
            </w:pPr>
            <w:r>
              <w:rPr>
                <w:rFonts w:ascii="Arial" w:cs="Arial" w:eastAsia="Arial" w:hAnsi="Arial"/>
                <w:sz w:val="17"/>
                <w:szCs w:val="17"/>
                <w:color w:val="auto"/>
              </w:rPr>
              <w:t>$</w:t>
            </w:r>
          </w:p>
        </w:tc>
        <w:tc>
          <w:tcPr>
            <w:tcW w:w="1140" w:type="dxa"/>
            <w:vAlign w:val="bottom"/>
            <w:tcBorders>
              <w:bottom w:val="single" w:sz="8" w:color="auto"/>
            </w:tcBorders>
            <w:shd w:val="clear" w:color="auto" w:fill="DCE2EF"/>
          </w:tcPr>
          <w:p>
            <w:pPr>
              <w:jc w:val="right"/>
              <w:ind w:right="15"/>
              <w:spacing w:after="0"/>
              <w:rPr>
                <w:sz w:val="20"/>
                <w:szCs w:val="20"/>
                <w:color w:val="auto"/>
              </w:rPr>
            </w:pPr>
            <w:r>
              <w:rPr>
                <w:rFonts w:ascii="Arial" w:cs="Arial" w:eastAsia="Arial" w:hAnsi="Arial"/>
                <w:sz w:val="17"/>
                <w:szCs w:val="17"/>
                <w:color w:val="auto"/>
              </w:rPr>
              <w:t>0.83</w:t>
            </w:r>
          </w:p>
        </w:tc>
        <w:tc>
          <w:tcPr>
            <w:tcW w:w="40" w:type="dxa"/>
            <w:vAlign w:val="bottom"/>
            <w:tcBorders>
              <w:bottom w:val="single" w:sz="8" w:color="DCE2EF"/>
            </w:tcBorders>
            <w:shd w:val="clear" w:color="auto" w:fill="DCE2EF"/>
          </w:tcPr>
          <w:p>
            <w:pPr>
              <w:spacing w:after="0"/>
              <w:rPr>
                <w:sz w:val="20"/>
                <w:szCs w:val="20"/>
                <w:color w:val="auto"/>
              </w:rPr>
            </w:pPr>
          </w:p>
        </w:tc>
        <w:tc>
          <w:tcPr>
            <w:tcW w:w="60" w:type="dxa"/>
            <w:vAlign w:val="bottom"/>
            <w:tcBorders>
              <w:bottom w:val="single" w:sz="8" w:color="DCE2EF"/>
            </w:tcBorders>
            <w:shd w:val="clear" w:color="auto" w:fill="DCE2EF"/>
          </w:tcPr>
          <w:p>
            <w:pPr>
              <w:spacing w:after="0"/>
              <w:rPr>
                <w:sz w:val="20"/>
                <w:szCs w:val="20"/>
                <w:color w:val="auto"/>
              </w:rPr>
            </w:pPr>
          </w:p>
        </w:tc>
        <w:tc>
          <w:tcPr>
            <w:tcW w:w="320" w:type="dxa"/>
            <w:vAlign w:val="bottom"/>
            <w:tcBorders>
              <w:bottom w:val="single" w:sz="8" w:color="auto"/>
            </w:tcBorders>
            <w:gridSpan w:val="2"/>
            <w:shd w:val="clear" w:color="auto" w:fill="DCE2EF"/>
          </w:tcPr>
          <w:p>
            <w:pPr>
              <w:jc w:val="right"/>
              <w:ind w:right="180"/>
              <w:spacing w:after="0"/>
              <w:rPr>
                <w:sz w:val="20"/>
                <w:szCs w:val="20"/>
                <w:color w:val="auto"/>
              </w:rPr>
            </w:pPr>
            <w:r>
              <w:rPr>
                <w:rFonts w:ascii="Arial" w:cs="Arial" w:eastAsia="Arial" w:hAnsi="Arial"/>
                <w:sz w:val="17"/>
                <w:szCs w:val="17"/>
                <w:color w:val="auto"/>
              </w:rPr>
              <w:t>$</w:t>
            </w:r>
          </w:p>
        </w:tc>
        <w:tc>
          <w:tcPr>
            <w:tcW w:w="1060" w:type="dxa"/>
            <w:vAlign w:val="bottom"/>
            <w:tcBorders>
              <w:bottom w:val="single" w:sz="8" w:color="auto"/>
            </w:tcBorders>
            <w:shd w:val="clear" w:color="auto" w:fill="DCE2EF"/>
          </w:tcPr>
          <w:p>
            <w:pPr>
              <w:jc w:val="right"/>
              <w:spacing w:after="0"/>
              <w:rPr>
                <w:sz w:val="20"/>
                <w:szCs w:val="20"/>
                <w:color w:val="auto"/>
              </w:rPr>
            </w:pPr>
            <w:r>
              <w:rPr>
                <w:rFonts w:ascii="Arial" w:cs="Arial" w:eastAsia="Arial" w:hAnsi="Arial"/>
                <w:sz w:val="17"/>
                <w:szCs w:val="17"/>
                <w:color w:val="auto"/>
              </w:rPr>
              <w:t>(0.46)</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5320" w:type="dxa"/>
            <w:vAlign w:val="bottom"/>
            <w:gridSpan w:val="3"/>
            <w:vMerge w:val="restart"/>
          </w:tcPr>
          <w:p>
            <w:pPr>
              <w:spacing w:after="0"/>
              <w:rPr>
                <w:sz w:val="20"/>
                <w:szCs w:val="20"/>
                <w:color w:val="auto"/>
              </w:rPr>
            </w:pPr>
            <w:r>
              <w:rPr>
                <w:rFonts w:ascii="Arial" w:cs="Arial" w:eastAsia="Arial" w:hAnsi="Arial"/>
                <w:sz w:val="17"/>
                <w:szCs w:val="17"/>
                <w:b w:val="1"/>
                <w:bCs w:val="1"/>
                <w:color w:val="auto"/>
              </w:rPr>
              <w:t>Net income (loss) per common share — Diluted</w:t>
            </w:r>
          </w:p>
        </w:tc>
        <w:tc>
          <w:tcPr>
            <w:tcW w:w="2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2"/>
        </w:trPr>
        <w:tc>
          <w:tcPr>
            <w:tcW w:w="40" w:type="dxa"/>
            <w:vAlign w:val="bottom"/>
          </w:tcPr>
          <w:p>
            <w:pPr>
              <w:spacing w:after="0"/>
              <w:rPr>
                <w:sz w:val="24"/>
                <w:szCs w:val="24"/>
                <w:color w:val="auto"/>
              </w:rPr>
            </w:pPr>
          </w:p>
        </w:tc>
        <w:tc>
          <w:tcPr>
            <w:tcW w:w="5320" w:type="dxa"/>
            <w:vAlign w:val="bottom"/>
            <w:gridSpan w:val="3"/>
            <w:vMerge w:val="continue"/>
          </w:tcPr>
          <w:p>
            <w:pPr>
              <w:spacing w:after="0"/>
              <w:rPr>
                <w:sz w:val="24"/>
                <w:szCs w:val="24"/>
                <w:color w:val="auto"/>
              </w:rPr>
            </w:pPr>
          </w:p>
        </w:tc>
        <w:tc>
          <w:tcPr>
            <w:tcW w:w="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40" w:type="dxa"/>
            <w:vAlign w:val="bottom"/>
          </w:tcPr>
          <w:p>
            <w:pPr>
              <w:spacing w:after="0"/>
              <w:rPr>
                <w:sz w:val="23"/>
                <w:szCs w:val="23"/>
                <w:color w:val="auto"/>
              </w:rPr>
            </w:pPr>
          </w:p>
        </w:tc>
        <w:tc>
          <w:tcPr>
            <w:tcW w:w="5320" w:type="dxa"/>
            <w:vAlign w:val="bottom"/>
            <w:gridSpan w:val="3"/>
            <w:vMerge w:val="continue"/>
          </w:tcPr>
          <w:p>
            <w:pPr>
              <w:spacing w:after="0"/>
              <w:rPr>
                <w:sz w:val="23"/>
                <w:szCs w:val="23"/>
                <w:color w:val="auto"/>
              </w:rPr>
            </w:pPr>
          </w:p>
        </w:tc>
        <w:tc>
          <w:tcPr>
            <w:tcW w:w="240" w:type="dxa"/>
            <w:vAlign w:val="bottom"/>
            <w:tcBorders>
              <w:left w:val="single" w:sz="8" w:color="DCE2EF"/>
            </w:tcBorders>
            <w:shd w:val="clear" w:color="auto" w:fill="DCE2EF"/>
          </w:tcPr>
          <w:p>
            <w:pPr>
              <w:spacing w:after="0"/>
              <w:rPr>
                <w:sz w:val="23"/>
                <w:szCs w:val="23"/>
                <w:color w:val="auto"/>
              </w:rPr>
            </w:pPr>
          </w:p>
        </w:tc>
        <w:tc>
          <w:tcPr>
            <w:tcW w:w="1240" w:type="dxa"/>
            <w:vAlign w:val="bottom"/>
            <w:shd w:val="clear" w:color="auto" w:fill="DCE2EF"/>
          </w:tcPr>
          <w:p>
            <w:pPr>
              <w:spacing w:after="0"/>
              <w:rPr>
                <w:sz w:val="23"/>
                <w:szCs w:val="23"/>
                <w:color w:val="auto"/>
              </w:rPr>
            </w:pPr>
          </w:p>
        </w:tc>
        <w:tc>
          <w:tcPr>
            <w:tcW w:w="40" w:type="dxa"/>
            <w:vAlign w:val="bottom"/>
            <w:shd w:val="clear" w:color="auto" w:fill="DCE2EF"/>
          </w:tcPr>
          <w:p>
            <w:pPr>
              <w:spacing w:after="0"/>
              <w:rPr>
                <w:sz w:val="23"/>
                <w:szCs w:val="23"/>
                <w:color w:val="auto"/>
              </w:rPr>
            </w:pPr>
          </w:p>
        </w:tc>
        <w:tc>
          <w:tcPr>
            <w:tcW w:w="60" w:type="dxa"/>
            <w:vAlign w:val="bottom"/>
            <w:shd w:val="clear" w:color="auto" w:fill="DCE2EF"/>
          </w:tcPr>
          <w:p>
            <w:pPr>
              <w:spacing w:after="0"/>
              <w:rPr>
                <w:sz w:val="23"/>
                <w:szCs w:val="23"/>
                <w:color w:val="auto"/>
              </w:rPr>
            </w:pPr>
          </w:p>
        </w:tc>
        <w:tc>
          <w:tcPr>
            <w:tcW w:w="60" w:type="dxa"/>
            <w:vAlign w:val="bottom"/>
            <w:shd w:val="clear" w:color="auto" w:fill="DCE2EF"/>
          </w:tcPr>
          <w:p>
            <w:pPr>
              <w:spacing w:after="0"/>
              <w:rPr>
                <w:sz w:val="23"/>
                <w:szCs w:val="23"/>
                <w:color w:val="auto"/>
              </w:rPr>
            </w:pPr>
          </w:p>
        </w:tc>
        <w:tc>
          <w:tcPr>
            <w:tcW w:w="280" w:type="dxa"/>
            <w:vAlign w:val="bottom"/>
            <w:shd w:val="clear" w:color="auto" w:fill="DCE2EF"/>
          </w:tcPr>
          <w:p>
            <w:pPr>
              <w:spacing w:after="0"/>
              <w:rPr>
                <w:sz w:val="23"/>
                <w:szCs w:val="23"/>
                <w:color w:val="auto"/>
              </w:rPr>
            </w:pPr>
          </w:p>
        </w:tc>
        <w:tc>
          <w:tcPr>
            <w:tcW w:w="1160" w:type="dxa"/>
            <w:vAlign w:val="bottom"/>
            <w:shd w:val="clear" w:color="auto" w:fill="DCE2EF"/>
          </w:tcPr>
          <w:p>
            <w:pPr>
              <w:spacing w:after="0"/>
              <w:rPr>
                <w:sz w:val="23"/>
                <w:szCs w:val="23"/>
                <w:color w:val="auto"/>
              </w:rPr>
            </w:pPr>
          </w:p>
        </w:tc>
        <w:tc>
          <w:tcPr>
            <w:tcW w:w="60" w:type="dxa"/>
            <w:vAlign w:val="bottom"/>
            <w:shd w:val="clear" w:color="auto" w:fill="DCE2EF"/>
          </w:tcPr>
          <w:p>
            <w:pPr>
              <w:spacing w:after="0"/>
              <w:rPr>
                <w:sz w:val="23"/>
                <w:szCs w:val="23"/>
                <w:color w:val="auto"/>
              </w:rPr>
            </w:pPr>
          </w:p>
        </w:tc>
        <w:tc>
          <w:tcPr>
            <w:tcW w:w="40" w:type="dxa"/>
            <w:vAlign w:val="bottom"/>
            <w:shd w:val="clear" w:color="auto" w:fill="DCE2EF"/>
          </w:tcPr>
          <w:p>
            <w:pPr>
              <w:spacing w:after="0"/>
              <w:rPr>
                <w:sz w:val="23"/>
                <w:szCs w:val="23"/>
                <w:color w:val="auto"/>
              </w:rPr>
            </w:pPr>
          </w:p>
        </w:tc>
        <w:tc>
          <w:tcPr>
            <w:tcW w:w="80" w:type="dxa"/>
            <w:vAlign w:val="bottom"/>
            <w:shd w:val="clear" w:color="auto" w:fill="DCE2EF"/>
          </w:tcPr>
          <w:p>
            <w:pPr>
              <w:spacing w:after="0"/>
              <w:rPr>
                <w:sz w:val="23"/>
                <w:szCs w:val="23"/>
                <w:color w:val="auto"/>
              </w:rPr>
            </w:pPr>
          </w:p>
        </w:tc>
        <w:tc>
          <w:tcPr>
            <w:tcW w:w="160" w:type="dxa"/>
            <w:vAlign w:val="bottom"/>
            <w:shd w:val="clear" w:color="auto" w:fill="DCE2EF"/>
          </w:tcPr>
          <w:p>
            <w:pPr>
              <w:spacing w:after="0"/>
              <w:rPr>
                <w:sz w:val="23"/>
                <w:szCs w:val="23"/>
                <w:color w:val="auto"/>
              </w:rPr>
            </w:pPr>
          </w:p>
        </w:tc>
        <w:tc>
          <w:tcPr>
            <w:tcW w:w="1140" w:type="dxa"/>
            <w:vAlign w:val="bottom"/>
            <w:shd w:val="clear" w:color="auto" w:fill="DCE2EF"/>
          </w:tcPr>
          <w:p>
            <w:pPr>
              <w:spacing w:after="0"/>
              <w:rPr>
                <w:sz w:val="23"/>
                <w:szCs w:val="23"/>
                <w:color w:val="auto"/>
              </w:rPr>
            </w:pPr>
          </w:p>
        </w:tc>
        <w:tc>
          <w:tcPr>
            <w:tcW w:w="40" w:type="dxa"/>
            <w:vAlign w:val="bottom"/>
            <w:shd w:val="clear" w:color="auto" w:fill="DCE2EF"/>
          </w:tcPr>
          <w:p>
            <w:pPr>
              <w:spacing w:after="0"/>
              <w:rPr>
                <w:sz w:val="23"/>
                <w:szCs w:val="23"/>
                <w:color w:val="auto"/>
              </w:rPr>
            </w:pPr>
          </w:p>
        </w:tc>
        <w:tc>
          <w:tcPr>
            <w:tcW w:w="60" w:type="dxa"/>
            <w:vAlign w:val="bottom"/>
            <w:shd w:val="clear" w:color="auto" w:fill="DCE2EF"/>
          </w:tcPr>
          <w:p>
            <w:pPr>
              <w:spacing w:after="0"/>
              <w:rPr>
                <w:sz w:val="23"/>
                <w:szCs w:val="23"/>
                <w:color w:val="auto"/>
              </w:rPr>
            </w:pPr>
          </w:p>
        </w:tc>
        <w:tc>
          <w:tcPr>
            <w:tcW w:w="40" w:type="dxa"/>
            <w:vAlign w:val="bottom"/>
            <w:shd w:val="clear" w:color="auto" w:fill="DCE2EF"/>
          </w:tcPr>
          <w:p>
            <w:pPr>
              <w:spacing w:after="0"/>
              <w:rPr>
                <w:sz w:val="23"/>
                <w:szCs w:val="23"/>
                <w:color w:val="auto"/>
              </w:rPr>
            </w:pPr>
          </w:p>
        </w:tc>
        <w:tc>
          <w:tcPr>
            <w:tcW w:w="280" w:type="dxa"/>
            <w:vAlign w:val="bottom"/>
            <w:shd w:val="clear" w:color="auto" w:fill="DCE2EF"/>
          </w:tcPr>
          <w:p>
            <w:pPr>
              <w:spacing w:after="0"/>
              <w:rPr>
                <w:sz w:val="23"/>
                <w:szCs w:val="23"/>
                <w:color w:val="auto"/>
              </w:rPr>
            </w:pPr>
          </w:p>
        </w:tc>
        <w:tc>
          <w:tcPr>
            <w:tcW w:w="1060" w:type="dxa"/>
            <w:vAlign w:val="bottom"/>
            <w:shd w:val="clear" w:color="auto" w:fill="DCE2EF"/>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1"/>
        </w:trPr>
        <w:tc>
          <w:tcPr>
            <w:tcW w:w="40" w:type="dxa"/>
            <w:vAlign w:val="bottom"/>
          </w:tcPr>
          <w:p>
            <w:pPr>
              <w:spacing w:after="0"/>
              <w:rPr>
                <w:sz w:val="22"/>
                <w:szCs w:val="22"/>
                <w:color w:val="auto"/>
              </w:rPr>
            </w:pPr>
          </w:p>
        </w:tc>
        <w:tc>
          <w:tcPr>
            <w:tcW w:w="5320" w:type="dxa"/>
            <w:vAlign w:val="bottom"/>
            <w:gridSpan w:val="3"/>
          </w:tcPr>
          <w:p>
            <w:pPr>
              <w:ind w:left="340"/>
              <w:spacing w:after="0"/>
              <w:rPr>
                <w:sz w:val="20"/>
                <w:szCs w:val="20"/>
                <w:color w:val="auto"/>
              </w:rPr>
            </w:pPr>
            <w:r>
              <w:rPr>
                <w:rFonts w:ascii="Arial" w:cs="Arial" w:eastAsia="Arial" w:hAnsi="Arial"/>
                <w:sz w:val="17"/>
                <w:szCs w:val="17"/>
                <w:color w:val="auto"/>
              </w:rPr>
              <w:t>Income from continuing operations</w:t>
            </w:r>
          </w:p>
        </w:tc>
        <w:tc>
          <w:tcPr>
            <w:tcW w:w="240" w:type="dxa"/>
            <w:vAlign w:val="bottom"/>
          </w:tcPr>
          <w:p>
            <w:pPr>
              <w:jc w:val="right"/>
              <w:ind w:right="35"/>
              <w:spacing w:after="0"/>
              <w:rPr>
                <w:sz w:val="20"/>
                <w:szCs w:val="20"/>
                <w:color w:val="auto"/>
              </w:rPr>
            </w:pPr>
            <w:r>
              <w:rPr>
                <w:rFonts w:ascii="Arial" w:cs="Arial" w:eastAsia="Arial" w:hAnsi="Arial"/>
                <w:sz w:val="17"/>
                <w:szCs w:val="17"/>
                <w:color w:val="auto"/>
              </w:rPr>
              <w:t>$</w:t>
            </w:r>
          </w:p>
        </w:tc>
        <w:tc>
          <w:tcPr>
            <w:tcW w:w="1240" w:type="dxa"/>
            <w:vAlign w:val="bottom"/>
          </w:tcPr>
          <w:p>
            <w:pPr>
              <w:jc w:val="right"/>
              <w:ind w:right="15"/>
              <w:spacing w:after="0"/>
              <w:rPr>
                <w:sz w:val="20"/>
                <w:szCs w:val="20"/>
                <w:color w:val="auto"/>
              </w:rPr>
            </w:pPr>
            <w:r>
              <w:rPr>
                <w:rFonts w:ascii="Arial" w:cs="Arial" w:eastAsia="Arial" w:hAnsi="Arial"/>
                <w:sz w:val="17"/>
                <w:szCs w:val="17"/>
                <w:color w:val="auto"/>
              </w:rPr>
              <w:t>0.38</w:t>
            </w:r>
          </w:p>
        </w:tc>
        <w:tc>
          <w:tcPr>
            <w:tcW w:w="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34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1160" w:type="dxa"/>
            <w:vAlign w:val="bottom"/>
          </w:tcPr>
          <w:p>
            <w:pPr>
              <w:jc w:val="right"/>
              <w:ind w:right="35"/>
              <w:spacing w:after="0"/>
              <w:rPr>
                <w:sz w:val="20"/>
                <w:szCs w:val="20"/>
                <w:color w:val="auto"/>
              </w:rPr>
            </w:pPr>
            <w:r>
              <w:rPr>
                <w:rFonts w:ascii="Arial" w:cs="Arial" w:eastAsia="Arial" w:hAnsi="Arial"/>
                <w:sz w:val="17"/>
                <w:szCs w:val="17"/>
                <w:color w:val="auto"/>
              </w:rPr>
              <w:t>0.56</w:t>
            </w:r>
          </w:p>
        </w:tc>
        <w:tc>
          <w:tcPr>
            <w:tcW w:w="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40" w:type="dxa"/>
            <w:vAlign w:val="bottom"/>
            <w:gridSpan w:val="2"/>
          </w:tcPr>
          <w:p>
            <w:pPr>
              <w:jc w:val="right"/>
              <w:ind w:right="120"/>
              <w:spacing w:after="0"/>
              <w:rPr>
                <w:sz w:val="20"/>
                <w:szCs w:val="20"/>
                <w:color w:val="auto"/>
              </w:rPr>
            </w:pPr>
            <w:r>
              <w:rPr>
                <w:rFonts w:ascii="Arial" w:cs="Arial" w:eastAsia="Arial" w:hAnsi="Arial"/>
                <w:sz w:val="17"/>
                <w:szCs w:val="17"/>
                <w:color w:val="auto"/>
              </w:rPr>
              <w:t>$</w:t>
            </w:r>
          </w:p>
        </w:tc>
        <w:tc>
          <w:tcPr>
            <w:tcW w:w="1140" w:type="dxa"/>
            <w:vAlign w:val="bottom"/>
          </w:tcPr>
          <w:p>
            <w:pPr>
              <w:jc w:val="right"/>
              <w:ind w:right="15"/>
              <w:spacing w:after="0"/>
              <w:rPr>
                <w:sz w:val="20"/>
                <w:szCs w:val="20"/>
                <w:color w:val="auto"/>
              </w:rPr>
            </w:pPr>
            <w:r>
              <w:rPr>
                <w:rFonts w:ascii="Arial" w:cs="Arial" w:eastAsia="Arial" w:hAnsi="Arial"/>
                <w:sz w:val="17"/>
                <w:szCs w:val="17"/>
                <w:color w:val="auto"/>
              </w:rPr>
              <w:t>0.80</w:t>
            </w:r>
          </w:p>
        </w:tc>
        <w:tc>
          <w:tcPr>
            <w:tcW w:w="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32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1060" w:type="dxa"/>
            <w:vAlign w:val="bottom"/>
          </w:tcPr>
          <w:p>
            <w:pPr>
              <w:jc w:val="right"/>
              <w:ind w:right="15"/>
              <w:spacing w:after="0"/>
              <w:rPr>
                <w:sz w:val="20"/>
                <w:szCs w:val="20"/>
                <w:color w:val="auto"/>
              </w:rPr>
            </w:pPr>
            <w:r>
              <w:rPr>
                <w:rFonts w:ascii="Arial" w:cs="Arial" w:eastAsia="Arial" w:hAnsi="Arial"/>
                <w:sz w:val="17"/>
                <w:szCs w:val="17"/>
                <w:color w:val="auto"/>
              </w:rPr>
              <w:t>0.84</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2"/>
        </w:trPr>
        <w:tc>
          <w:tcPr>
            <w:tcW w:w="40" w:type="dxa"/>
            <w:vAlign w:val="bottom"/>
            <w:tcBorders>
              <w:right w:val="single" w:sz="8" w:color="DCE2EF"/>
            </w:tcBorders>
            <w:shd w:val="clear" w:color="auto" w:fill="DCE2EF"/>
          </w:tcPr>
          <w:p>
            <w:pPr>
              <w:spacing w:after="0"/>
              <w:rPr>
                <w:sz w:val="23"/>
                <w:szCs w:val="23"/>
                <w:color w:val="auto"/>
              </w:rPr>
            </w:pPr>
          </w:p>
        </w:tc>
        <w:tc>
          <w:tcPr>
            <w:tcW w:w="5320" w:type="dxa"/>
            <w:vAlign w:val="bottom"/>
            <w:gridSpan w:val="3"/>
            <w:shd w:val="clear" w:color="auto" w:fill="DCE2EF"/>
          </w:tcPr>
          <w:p>
            <w:pPr>
              <w:ind w:left="340"/>
              <w:spacing w:after="0"/>
              <w:rPr>
                <w:sz w:val="20"/>
                <w:szCs w:val="20"/>
                <w:color w:val="auto"/>
              </w:rPr>
            </w:pPr>
            <w:r>
              <w:rPr>
                <w:rFonts w:ascii="Arial" w:cs="Arial" w:eastAsia="Arial" w:hAnsi="Arial"/>
                <w:sz w:val="17"/>
                <w:szCs w:val="17"/>
                <w:color w:val="auto"/>
              </w:rPr>
              <w:t>Income (loss) from discontinued operations</w:t>
            </w:r>
          </w:p>
        </w:tc>
        <w:tc>
          <w:tcPr>
            <w:tcW w:w="240" w:type="dxa"/>
            <w:vAlign w:val="bottom"/>
            <w:tcBorders>
              <w:left w:val="single" w:sz="8" w:color="DCE2EF"/>
              <w:bottom w:val="single" w:sz="8" w:color="auto"/>
            </w:tcBorders>
            <w:shd w:val="clear" w:color="auto" w:fill="DCE2EF"/>
          </w:tcPr>
          <w:p>
            <w:pPr>
              <w:spacing w:after="0"/>
              <w:rPr>
                <w:sz w:val="23"/>
                <w:szCs w:val="23"/>
                <w:color w:val="auto"/>
              </w:rPr>
            </w:pPr>
          </w:p>
        </w:tc>
        <w:tc>
          <w:tcPr>
            <w:tcW w:w="1240" w:type="dxa"/>
            <w:vAlign w:val="bottom"/>
            <w:tcBorders>
              <w:bottom w:val="single" w:sz="8" w:color="auto"/>
            </w:tcBorders>
            <w:shd w:val="clear" w:color="auto" w:fill="DCE2EF"/>
          </w:tcPr>
          <w:p>
            <w:pPr>
              <w:jc w:val="right"/>
              <w:ind w:right="15"/>
              <w:spacing w:after="0"/>
              <w:rPr>
                <w:sz w:val="20"/>
                <w:szCs w:val="20"/>
                <w:color w:val="auto"/>
              </w:rPr>
            </w:pPr>
            <w:r>
              <w:rPr>
                <w:rFonts w:ascii="Arial" w:cs="Arial" w:eastAsia="Arial" w:hAnsi="Arial"/>
                <w:sz w:val="17"/>
                <w:szCs w:val="17"/>
                <w:color w:val="auto"/>
              </w:rPr>
              <w:t>0.02</w:t>
            </w:r>
          </w:p>
        </w:tc>
        <w:tc>
          <w:tcPr>
            <w:tcW w:w="40" w:type="dxa"/>
            <w:vAlign w:val="bottom"/>
            <w:shd w:val="clear" w:color="auto" w:fill="DCE2EF"/>
          </w:tcPr>
          <w:p>
            <w:pPr>
              <w:spacing w:after="0"/>
              <w:rPr>
                <w:sz w:val="23"/>
                <w:szCs w:val="23"/>
                <w:color w:val="auto"/>
              </w:rPr>
            </w:pPr>
          </w:p>
        </w:tc>
        <w:tc>
          <w:tcPr>
            <w:tcW w:w="60" w:type="dxa"/>
            <w:vAlign w:val="bottom"/>
            <w:shd w:val="clear" w:color="auto" w:fill="DCE2EF"/>
          </w:tcPr>
          <w:p>
            <w:pPr>
              <w:spacing w:after="0"/>
              <w:rPr>
                <w:sz w:val="23"/>
                <w:szCs w:val="23"/>
                <w:color w:val="auto"/>
              </w:rPr>
            </w:pPr>
          </w:p>
        </w:tc>
        <w:tc>
          <w:tcPr>
            <w:tcW w:w="60" w:type="dxa"/>
            <w:vAlign w:val="bottom"/>
            <w:tcBorders>
              <w:bottom w:val="single" w:sz="8" w:color="auto"/>
            </w:tcBorders>
            <w:shd w:val="clear" w:color="auto" w:fill="DCE2EF"/>
          </w:tcPr>
          <w:p>
            <w:pPr>
              <w:spacing w:after="0"/>
              <w:rPr>
                <w:sz w:val="23"/>
                <w:szCs w:val="23"/>
                <w:color w:val="auto"/>
              </w:rPr>
            </w:pPr>
          </w:p>
        </w:tc>
        <w:tc>
          <w:tcPr>
            <w:tcW w:w="280" w:type="dxa"/>
            <w:vAlign w:val="bottom"/>
            <w:tcBorders>
              <w:bottom w:val="single" w:sz="8" w:color="auto"/>
            </w:tcBorders>
            <w:shd w:val="clear" w:color="auto" w:fill="DCE2EF"/>
          </w:tcPr>
          <w:p>
            <w:pPr>
              <w:spacing w:after="0"/>
              <w:rPr>
                <w:sz w:val="23"/>
                <w:szCs w:val="23"/>
                <w:color w:val="auto"/>
              </w:rPr>
            </w:pPr>
          </w:p>
        </w:tc>
        <w:tc>
          <w:tcPr>
            <w:tcW w:w="1160" w:type="dxa"/>
            <w:vAlign w:val="bottom"/>
            <w:tcBorders>
              <w:bottom w:val="single" w:sz="8" w:color="auto"/>
            </w:tcBorders>
            <w:shd w:val="clear" w:color="auto" w:fill="DCE2EF"/>
          </w:tcPr>
          <w:p>
            <w:pPr>
              <w:jc w:val="right"/>
              <w:spacing w:after="0"/>
              <w:rPr>
                <w:sz w:val="20"/>
                <w:szCs w:val="20"/>
                <w:color w:val="auto"/>
              </w:rPr>
            </w:pPr>
            <w:r>
              <w:rPr>
                <w:rFonts w:ascii="Arial" w:cs="Arial" w:eastAsia="Arial" w:hAnsi="Arial"/>
                <w:sz w:val="17"/>
                <w:szCs w:val="17"/>
                <w:color w:val="auto"/>
              </w:rPr>
              <w:t>(0.01)</w:t>
            </w:r>
          </w:p>
        </w:tc>
        <w:tc>
          <w:tcPr>
            <w:tcW w:w="60" w:type="dxa"/>
            <w:vAlign w:val="bottom"/>
            <w:shd w:val="clear" w:color="auto" w:fill="DCE2EF"/>
          </w:tcPr>
          <w:p>
            <w:pPr>
              <w:spacing w:after="0"/>
              <w:rPr>
                <w:sz w:val="23"/>
                <w:szCs w:val="23"/>
                <w:color w:val="auto"/>
              </w:rPr>
            </w:pPr>
          </w:p>
        </w:tc>
        <w:tc>
          <w:tcPr>
            <w:tcW w:w="40" w:type="dxa"/>
            <w:vAlign w:val="bottom"/>
            <w:shd w:val="clear" w:color="auto" w:fill="DCE2EF"/>
          </w:tcPr>
          <w:p>
            <w:pPr>
              <w:spacing w:after="0"/>
              <w:rPr>
                <w:sz w:val="23"/>
                <w:szCs w:val="23"/>
                <w:color w:val="auto"/>
              </w:rPr>
            </w:pPr>
          </w:p>
        </w:tc>
        <w:tc>
          <w:tcPr>
            <w:tcW w:w="80" w:type="dxa"/>
            <w:vAlign w:val="bottom"/>
            <w:tcBorders>
              <w:bottom w:val="single" w:sz="8" w:color="auto"/>
            </w:tcBorders>
            <w:shd w:val="clear" w:color="auto" w:fill="DCE2EF"/>
          </w:tcPr>
          <w:p>
            <w:pPr>
              <w:spacing w:after="0"/>
              <w:rPr>
                <w:sz w:val="23"/>
                <w:szCs w:val="23"/>
                <w:color w:val="auto"/>
              </w:rPr>
            </w:pPr>
          </w:p>
        </w:tc>
        <w:tc>
          <w:tcPr>
            <w:tcW w:w="160" w:type="dxa"/>
            <w:vAlign w:val="bottom"/>
            <w:tcBorders>
              <w:bottom w:val="single" w:sz="8" w:color="auto"/>
            </w:tcBorders>
            <w:shd w:val="clear" w:color="auto" w:fill="DCE2EF"/>
          </w:tcPr>
          <w:p>
            <w:pPr>
              <w:spacing w:after="0"/>
              <w:rPr>
                <w:sz w:val="23"/>
                <w:szCs w:val="23"/>
                <w:color w:val="auto"/>
              </w:rPr>
            </w:pPr>
          </w:p>
        </w:tc>
        <w:tc>
          <w:tcPr>
            <w:tcW w:w="1140" w:type="dxa"/>
            <w:vAlign w:val="bottom"/>
            <w:tcBorders>
              <w:bottom w:val="single" w:sz="8" w:color="auto"/>
            </w:tcBorders>
            <w:shd w:val="clear" w:color="auto" w:fill="DCE2EF"/>
          </w:tcPr>
          <w:p>
            <w:pPr>
              <w:jc w:val="right"/>
              <w:ind w:right="15"/>
              <w:spacing w:after="0"/>
              <w:rPr>
                <w:sz w:val="20"/>
                <w:szCs w:val="20"/>
                <w:color w:val="auto"/>
              </w:rPr>
            </w:pPr>
            <w:r>
              <w:rPr>
                <w:rFonts w:ascii="Arial" w:cs="Arial" w:eastAsia="Arial" w:hAnsi="Arial"/>
                <w:sz w:val="17"/>
                <w:szCs w:val="17"/>
                <w:color w:val="auto"/>
              </w:rPr>
              <w:t>0.02</w:t>
            </w:r>
          </w:p>
        </w:tc>
        <w:tc>
          <w:tcPr>
            <w:tcW w:w="40" w:type="dxa"/>
            <w:vAlign w:val="bottom"/>
            <w:shd w:val="clear" w:color="auto" w:fill="DCE2EF"/>
          </w:tcPr>
          <w:p>
            <w:pPr>
              <w:spacing w:after="0"/>
              <w:rPr>
                <w:sz w:val="23"/>
                <w:szCs w:val="23"/>
                <w:color w:val="auto"/>
              </w:rPr>
            </w:pPr>
          </w:p>
        </w:tc>
        <w:tc>
          <w:tcPr>
            <w:tcW w:w="60" w:type="dxa"/>
            <w:vAlign w:val="bottom"/>
            <w:shd w:val="clear" w:color="auto" w:fill="DCE2EF"/>
          </w:tcPr>
          <w:p>
            <w:pPr>
              <w:spacing w:after="0"/>
              <w:rPr>
                <w:sz w:val="23"/>
                <w:szCs w:val="23"/>
                <w:color w:val="auto"/>
              </w:rPr>
            </w:pPr>
          </w:p>
        </w:tc>
        <w:tc>
          <w:tcPr>
            <w:tcW w:w="40" w:type="dxa"/>
            <w:vAlign w:val="bottom"/>
            <w:tcBorders>
              <w:bottom w:val="single" w:sz="8" w:color="auto"/>
            </w:tcBorders>
            <w:shd w:val="clear" w:color="auto" w:fill="DCE2EF"/>
          </w:tcPr>
          <w:p>
            <w:pPr>
              <w:spacing w:after="0"/>
              <w:rPr>
                <w:sz w:val="23"/>
                <w:szCs w:val="23"/>
                <w:color w:val="auto"/>
              </w:rPr>
            </w:pPr>
          </w:p>
        </w:tc>
        <w:tc>
          <w:tcPr>
            <w:tcW w:w="280" w:type="dxa"/>
            <w:vAlign w:val="bottom"/>
            <w:tcBorders>
              <w:bottom w:val="single" w:sz="8" w:color="auto"/>
            </w:tcBorders>
            <w:shd w:val="clear" w:color="auto" w:fill="DCE2EF"/>
          </w:tcPr>
          <w:p>
            <w:pPr>
              <w:spacing w:after="0"/>
              <w:rPr>
                <w:sz w:val="23"/>
                <w:szCs w:val="23"/>
                <w:color w:val="auto"/>
              </w:rPr>
            </w:pPr>
          </w:p>
        </w:tc>
        <w:tc>
          <w:tcPr>
            <w:tcW w:w="1060" w:type="dxa"/>
            <w:vAlign w:val="bottom"/>
            <w:tcBorders>
              <w:bottom w:val="single" w:sz="8" w:color="auto"/>
            </w:tcBorders>
            <w:shd w:val="clear" w:color="auto" w:fill="DCE2EF"/>
          </w:tcPr>
          <w:p>
            <w:pPr>
              <w:jc w:val="right"/>
              <w:spacing w:after="0"/>
              <w:rPr>
                <w:sz w:val="20"/>
                <w:szCs w:val="20"/>
                <w:color w:val="auto"/>
              </w:rPr>
            </w:pPr>
            <w:r>
              <w:rPr>
                <w:rFonts w:ascii="Arial" w:cs="Arial" w:eastAsia="Arial" w:hAnsi="Arial"/>
                <w:sz w:val="17"/>
                <w:szCs w:val="17"/>
                <w:color w:val="auto"/>
              </w:rPr>
              <w:t>(1.29)</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1"/>
        </w:trPr>
        <w:tc>
          <w:tcPr>
            <w:tcW w:w="40" w:type="dxa"/>
            <w:vAlign w:val="bottom"/>
          </w:tcPr>
          <w:p>
            <w:pPr>
              <w:spacing w:after="0"/>
              <w:rPr>
                <w:sz w:val="20"/>
                <w:szCs w:val="20"/>
                <w:color w:val="auto"/>
              </w:rPr>
            </w:pPr>
          </w:p>
        </w:tc>
        <w:tc>
          <w:tcPr>
            <w:tcW w:w="5320" w:type="dxa"/>
            <w:vAlign w:val="bottom"/>
            <w:gridSpan w:val="3"/>
          </w:tcPr>
          <w:p>
            <w:pPr>
              <w:ind w:left="340"/>
              <w:spacing w:after="0"/>
              <w:rPr>
                <w:sz w:val="20"/>
                <w:szCs w:val="20"/>
                <w:color w:val="auto"/>
              </w:rPr>
            </w:pPr>
            <w:r>
              <w:rPr>
                <w:rFonts w:ascii="Arial" w:cs="Arial" w:eastAsia="Arial" w:hAnsi="Arial"/>
                <w:sz w:val="17"/>
                <w:szCs w:val="17"/>
                <w:color w:val="auto"/>
              </w:rPr>
              <w:t>Net income (loss)</w:t>
            </w:r>
          </w:p>
        </w:tc>
        <w:tc>
          <w:tcPr>
            <w:tcW w:w="240" w:type="dxa"/>
            <w:vAlign w:val="bottom"/>
            <w:tcBorders>
              <w:bottom w:val="single" w:sz="8" w:color="auto"/>
            </w:tcBorders>
          </w:tcPr>
          <w:p>
            <w:pPr>
              <w:jc w:val="right"/>
              <w:ind w:right="35"/>
              <w:spacing w:after="0"/>
              <w:rPr>
                <w:sz w:val="20"/>
                <w:szCs w:val="20"/>
                <w:color w:val="auto"/>
              </w:rPr>
            </w:pPr>
            <w:r>
              <w:rPr>
                <w:rFonts w:ascii="Arial" w:cs="Arial" w:eastAsia="Arial" w:hAnsi="Arial"/>
                <w:sz w:val="17"/>
                <w:szCs w:val="17"/>
                <w:color w:val="auto"/>
              </w:rPr>
              <w:t>$</w:t>
            </w:r>
          </w:p>
        </w:tc>
        <w:tc>
          <w:tcPr>
            <w:tcW w:w="1240" w:type="dxa"/>
            <w:vAlign w:val="bottom"/>
            <w:tcBorders>
              <w:bottom w:val="single" w:sz="8" w:color="auto"/>
            </w:tcBorders>
          </w:tcPr>
          <w:p>
            <w:pPr>
              <w:jc w:val="right"/>
              <w:ind w:right="15"/>
              <w:spacing w:after="0"/>
              <w:rPr>
                <w:sz w:val="20"/>
                <w:szCs w:val="20"/>
                <w:color w:val="auto"/>
              </w:rPr>
            </w:pPr>
            <w:r>
              <w:rPr>
                <w:rFonts w:ascii="Arial" w:cs="Arial" w:eastAsia="Arial" w:hAnsi="Arial"/>
                <w:sz w:val="17"/>
                <w:szCs w:val="17"/>
                <w:color w:val="auto"/>
              </w:rPr>
              <w:t>0.40</w:t>
            </w: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40" w:type="dxa"/>
            <w:vAlign w:val="bottom"/>
            <w:tcBorders>
              <w:bottom w:val="single" w:sz="8" w:color="auto"/>
            </w:tcBorders>
            <w:gridSpan w:val="2"/>
          </w:tcPr>
          <w:p>
            <w:pPr>
              <w:jc w:val="right"/>
              <w:ind w:right="200"/>
              <w:spacing w:after="0"/>
              <w:rPr>
                <w:sz w:val="20"/>
                <w:szCs w:val="20"/>
                <w:color w:val="auto"/>
              </w:rPr>
            </w:pPr>
            <w:r>
              <w:rPr>
                <w:rFonts w:ascii="Arial" w:cs="Arial" w:eastAsia="Arial" w:hAnsi="Arial"/>
                <w:sz w:val="17"/>
                <w:szCs w:val="17"/>
                <w:color w:val="auto"/>
              </w:rPr>
              <w:t>$</w:t>
            </w:r>
          </w:p>
        </w:tc>
        <w:tc>
          <w:tcPr>
            <w:tcW w:w="1160" w:type="dxa"/>
            <w:vAlign w:val="bottom"/>
            <w:tcBorders>
              <w:bottom w:val="single" w:sz="8" w:color="auto"/>
            </w:tcBorders>
          </w:tcPr>
          <w:p>
            <w:pPr>
              <w:jc w:val="right"/>
              <w:ind w:right="35"/>
              <w:spacing w:after="0"/>
              <w:rPr>
                <w:sz w:val="20"/>
                <w:szCs w:val="20"/>
                <w:color w:val="auto"/>
              </w:rPr>
            </w:pPr>
            <w:r>
              <w:rPr>
                <w:rFonts w:ascii="Arial" w:cs="Arial" w:eastAsia="Arial" w:hAnsi="Arial"/>
                <w:sz w:val="17"/>
                <w:szCs w:val="17"/>
                <w:color w:val="auto"/>
              </w:rPr>
              <w:t>0.55</w:t>
            </w: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40" w:type="dxa"/>
            <w:vAlign w:val="bottom"/>
            <w:tcBorders>
              <w:bottom w:val="single" w:sz="8" w:color="auto"/>
            </w:tcBorders>
            <w:gridSpan w:val="2"/>
          </w:tcPr>
          <w:p>
            <w:pPr>
              <w:jc w:val="right"/>
              <w:ind w:right="120"/>
              <w:spacing w:after="0"/>
              <w:rPr>
                <w:sz w:val="20"/>
                <w:szCs w:val="20"/>
                <w:color w:val="auto"/>
              </w:rPr>
            </w:pPr>
            <w:r>
              <w:rPr>
                <w:rFonts w:ascii="Arial" w:cs="Arial" w:eastAsia="Arial" w:hAnsi="Arial"/>
                <w:sz w:val="17"/>
                <w:szCs w:val="17"/>
                <w:color w:val="auto"/>
              </w:rPr>
              <w:t>$</w:t>
            </w:r>
          </w:p>
        </w:tc>
        <w:tc>
          <w:tcPr>
            <w:tcW w:w="1140" w:type="dxa"/>
            <w:vAlign w:val="bottom"/>
            <w:tcBorders>
              <w:bottom w:val="single" w:sz="8" w:color="auto"/>
            </w:tcBorders>
          </w:tcPr>
          <w:p>
            <w:pPr>
              <w:jc w:val="right"/>
              <w:ind w:right="15"/>
              <w:spacing w:after="0"/>
              <w:rPr>
                <w:sz w:val="20"/>
                <w:szCs w:val="20"/>
                <w:color w:val="auto"/>
              </w:rPr>
            </w:pPr>
            <w:r>
              <w:rPr>
                <w:rFonts w:ascii="Arial" w:cs="Arial" w:eastAsia="Arial" w:hAnsi="Arial"/>
                <w:sz w:val="17"/>
                <w:szCs w:val="17"/>
                <w:color w:val="auto"/>
              </w:rPr>
              <w:t>0.82</w:t>
            </w: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20" w:type="dxa"/>
            <w:vAlign w:val="bottom"/>
            <w:tcBorders>
              <w:bottom w:val="single" w:sz="8" w:color="auto"/>
            </w:tcBorders>
            <w:gridSpan w:val="2"/>
          </w:tcPr>
          <w:p>
            <w:pPr>
              <w:jc w:val="right"/>
              <w:ind w:right="180"/>
              <w:spacing w:after="0"/>
              <w:rPr>
                <w:sz w:val="20"/>
                <w:szCs w:val="20"/>
                <w:color w:val="auto"/>
              </w:rPr>
            </w:pPr>
            <w:r>
              <w:rPr>
                <w:rFonts w:ascii="Arial" w:cs="Arial" w:eastAsia="Arial" w:hAnsi="Arial"/>
                <w:sz w:val="17"/>
                <w:szCs w:val="17"/>
                <w:color w:val="auto"/>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(0.45)</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3080" w:type="dxa"/>
            <w:vAlign w:val="bottom"/>
          </w:tcPr>
          <w:p>
            <w:pPr>
              <w:spacing w:after="0" w:line="20" w:lineRule="exact"/>
              <w:rPr>
                <w:sz w:val="1"/>
                <w:szCs w:val="1"/>
                <w:color w:val="auto"/>
              </w:rPr>
            </w:pPr>
          </w:p>
        </w:tc>
        <w:tc>
          <w:tcPr>
            <w:tcW w:w="1480" w:type="dxa"/>
            <w:vAlign w:val="bottom"/>
            <w:tcBorders>
              <w:bottom w:val="single" w:sz="8" w:color="auto"/>
            </w:tcBorders>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1"/>
        </w:trPr>
        <w:tc>
          <w:tcPr>
            <w:tcW w:w="8540" w:type="dxa"/>
            <w:vAlign w:val="bottom"/>
            <w:gridSpan w:val="13"/>
          </w:tcPr>
          <w:p>
            <w:pPr>
              <w:spacing w:after="0"/>
              <w:rPr>
                <w:sz w:val="20"/>
                <w:szCs w:val="20"/>
                <w:color w:val="auto"/>
              </w:rPr>
            </w:pPr>
            <w:r>
              <w:rPr>
                <w:rFonts w:ascii="Arial" w:cs="Arial" w:eastAsia="Arial" w:hAnsi="Arial"/>
                <w:sz w:val="18"/>
                <w:szCs w:val="18"/>
                <w:b w:val="1"/>
                <w:bCs w:val="1"/>
                <w:color w:val="0046AD"/>
              </w:rPr>
              <w:t>Anti-Dilutive Outstanding Stock Awards Issued Under Share-Based Compensation Plans</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1"/>
        </w:trPr>
        <w:tc>
          <w:tcPr>
            <w:tcW w:w="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30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940" w:type="dxa"/>
            <w:vAlign w:val="bottom"/>
            <w:gridSpan w:val="8"/>
          </w:tcPr>
          <w:p>
            <w:pPr>
              <w:ind w:left="140"/>
              <w:spacing w:after="0"/>
              <w:rPr>
                <w:sz w:val="20"/>
                <w:szCs w:val="20"/>
                <w:color w:val="auto"/>
              </w:rPr>
            </w:pPr>
            <w:r>
              <w:rPr>
                <w:rFonts w:ascii="Arial" w:cs="Arial" w:eastAsia="Arial" w:hAnsi="Arial"/>
                <w:sz w:val="17"/>
                <w:szCs w:val="17"/>
                <w:b w:val="1"/>
                <w:bCs w:val="1"/>
                <w:color w:val="auto"/>
              </w:rPr>
              <w:t>Three Months Ended April 30,</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20" w:type="dxa"/>
            <w:vAlign w:val="bottom"/>
            <w:gridSpan w:val="6"/>
          </w:tcPr>
          <w:p>
            <w:pPr>
              <w:jc w:val="right"/>
              <w:ind w:right="195"/>
              <w:spacing w:after="0"/>
              <w:rPr>
                <w:sz w:val="20"/>
                <w:szCs w:val="20"/>
                <w:color w:val="auto"/>
              </w:rPr>
            </w:pPr>
            <w:r>
              <w:rPr>
                <w:rFonts w:ascii="Arial" w:cs="Arial" w:eastAsia="Arial" w:hAnsi="Arial"/>
                <w:sz w:val="17"/>
                <w:szCs w:val="17"/>
                <w:b w:val="1"/>
                <w:bCs w:val="1"/>
                <w:color w:val="auto"/>
              </w:rPr>
              <w:t>Six Months Ended April 30,</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5320" w:type="dxa"/>
            <w:vAlign w:val="bottom"/>
            <w:gridSpan w:val="3"/>
          </w:tcPr>
          <w:p>
            <w:pPr>
              <w:spacing w:after="0"/>
              <w:rPr>
                <w:sz w:val="20"/>
                <w:szCs w:val="20"/>
                <w:color w:val="auto"/>
              </w:rPr>
            </w:pPr>
            <w:r>
              <w:rPr>
                <w:rFonts w:ascii="Arial" w:cs="Arial" w:eastAsia="Arial" w:hAnsi="Arial"/>
                <w:sz w:val="14"/>
                <w:szCs w:val="14"/>
                <w:i w:val="1"/>
                <w:iCs w:val="1"/>
                <w:color w:val="auto"/>
              </w:rPr>
              <w:t>(in millions)</w:t>
            </w:r>
          </w:p>
        </w:tc>
        <w:tc>
          <w:tcPr>
            <w:tcW w:w="240" w:type="dxa"/>
            <w:vAlign w:val="bottom"/>
            <w:tcBorders>
              <w:top w:val="single" w:sz="8" w:color="auto"/>
            </w:tcBorders>
          </w:tcPr>
          <w:p>
            <w:pPr>
              <w:spacing w:after="0"/>
              <w:rPr>
                <w:sz w:val="19"/>
                <w:szCs w:val="19"/>
                <w:color w:val="auto"/>
              </w:rPr>
            </w:pPr>
          </w:p>
        </w:tc>
        <w:tc>
          <w:tcPr>
            <w:tcW w:w="1240" w:type="dxa"/>
            <w:vAlign w:val="bottom"/>
            <w:tcBorders>
              <w:top w:val="single" w:sz="8" w:color="auto"/>
            </w:tcBorders>
          </w:tcPr>
          <w:p>
            <w:pPr>
              <w:jc w:val="right"/>
              <w:ind w:right="435"/>
              <w:spacing w:after="0"/>
              <w:rPr>
                <w:sz w:val="20"/>
                <w:szCs w:val="20"/>
                <w:color w:val="auto"/>
              </w:rPr>
            </w:pPr>
            <w:r>
              <w:rPr>
                <w:rFonts w:ascii="Arial" w:cs="Arial" w:eastAsia="Arial" w:hAnsi="Arial"/>
                <w:sz w:val="17"/>
                <w:szCs w:val="17"/>
                <w:b w:val="1"/>
                <w:bCs w:val="1"/>
                <w:color w:val="auto"/>
              </w:rPr>
              <w:t>2018</w:t>
            </w:r>
          </w:p>
        </w:tc>
        <w:tc>
          <w:tcPr>
            <w:tcW w:w="40" w:type="dxa"/>
            <w:vAlign w:val="bottom"/>
            <w:tcBorders>
              <w:top w:val="single" w:sz="8" w:color="auto"/>
            </w:tcBorders>
          </w:tcPr>
          <w:p>
            <w:pPr>
              <w:spacing w:after="0"/>
              <w:rPr>
                <w:sz w:val="19"/>
                <w:szCs w:val="19"/>
                <w:color w:val="auto"/>
              </w:rPr>
            </w:pPr>
          </w:p>
        </w:tc>
        <w:tc>
          <w:tcPr>
            <w:tcW w:w="60" w:type="dxa"/>
            <w:vAlign w:val="bottom"/>
            <w:tcBorders>
              <w:top w:val="single" w:sz="8" w:color="auto"/>
            </w:tcBorders>
          </w:tcPr>
          <w:p>
            <w:pPr>
              <w:spacing w:after="0"/>
              <w:rPr>
                <w:sz w:val="19"/>
                <w:szCs w:val="19"/>
                <w:color w:val="auto"/>
              </w:rPr>
            </w:pPr>
          </w:p>
        </w:tc>
        <w:tc>
          <w:tcPr>
            <w:tcW w:w="60" w:type="dxa"/>
            <w:vAlign w:val="bottom"/>
            <w:tcBorders>
              <w:top w:val="single" w:sz="8" w:color="auto"/>
            </w:tcBorders>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1160" w:type="dxa"/>
            <w:vAlign w:val="bottom"/>
            <w:tcBorders>
              <w:top w:val="single" w:sz="8" w:color="auto"/>
            </w:tcBorders>
          </w:tcPr>
          <w:p>
            <w:pPr>
              <w:jc w:val="right"/>
              <w:ind w:right="415"/>
              <w:spacing w:after="0"/>
              <w:rPr>
                <w:sz w:val="20"/>
                <w:szCs w:val="20"/>
                <w:color w:val="auto"/>
              </w:rPr>
            </w:pPr>
            <w:r>
              <w:rPr>
                <w:rFonts w:ascii="Arial" w:cs="Arial" w:eastAsia="Arial" w:hAnsi="Arial"/>
                <w:sz w:val="17"/>
                <w:szCs w:val="17"/>
                <w:b w:val="1"/>
                <w:bCs w:val="1"/>
                <w:color w:val="auto"/>
              </w:rPr>
              <w:t>2017</w:t>
            </w:r>
          </w:p>
        </w:tc>
        <w:tc>
          <w:tcPr>
            <w:tcW w:w="60" w:type="dxa"/>
            <w:vAlign w:val="bottom"/>
            <w:tcBorders>
              <w:top w:val="single" w:sz="8" w:color="auto"/>
            </w:tcBorders>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140" w:type="dxa"/>
            <w:vAlign w:val="bottom"/>
            <w:tcBorders>
              <w:top w:val="single" w:sz="8" w:color="auto"/>
            </w:tcBorders>
          </w:tcPr>
          <w:p>
            <w:pPr>
              <w:jc w:val="right"/>
              <w:ind w:right="375"/>
              <w:spacing w:after="0"/>
              <w:rPr>
                <w:sz w:val="20"/>
                <w:szCs w:val="20"/>
                <w:color w:val="auto"/>
              </w:rPr>
            </w:pPr>
            <w:r>
              <w:rPr>
                <w:rFonts w:ascii="Arial" w:cs="Arial" w:eastAsia="Arial" w:hAnsi="Arial"/>
                <w:sz w:val="17"/>
                <w:szCs w:val="17"/>
                <w:b w:val="1"/>
                <w:bCs w:val="1"/>
                <w:color w:val="auto"/>
              </w:rPr>
              <w:t>2018</w:t>
            </w:r>
          </w:p>
        </w:tc>
        <w:tc>
          <w:tcPr>
            <w:tcW w:w="40" w:type="dxa"/>
            <w:vAlign w:val="bottom"/>
            <w:tcBorders>
              <w:top w:val="single" w:sz="8" w:color="auto"/>
            </w:tcBorders>
          </w:tcPr>
          <w:p>
            <w:pPr>
              <w:spacing w:after="0"/>
              <w:rPr>
                <w:sz w:val="19"/>
                <w:szCs w:val="19"/>
                <w:color w:val="auto"/>
              </w:rPr>
            </w:pPr>
          </w:p>
        </w:tc>
        <w:tc>
          <w:tcPr>
            <w:tcW w:w="60" w:type="dxa"/>
            <w:vAlign w:val="bottom"/>
            <w:tcBorders>
              <w:top w:val="single" w:sz="8" w:color="auto"/>
            </w:tcBorders>
          </w:tcPr>
          <w:p>
            <w:pPr>
              <w:spacing w:after="0"/>
              <w:rPr>
                <w:sz w:val="19"/>
                <w:szCs w:val="19"/>
                <w:color w:val="auto"/>
              </w:rPr>
            </w:pPr>
          </w:p>
        </w:tc>
        <w:tc>
          <w:tcPr>
            <w:tcW w:w="40" w:type="dxa"/>
            <w:vAlign w:val="bottom"/>
            <w:tcBorders>
              <w:top w:val="single" w:sz="8" w:color="auto"/>
            </w:tcBorders>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1060" w:type="dxa"/>
            <w:vAlign w:val="bottom"/>
            <w:tcBorders>
              <w:top w:val="single" w:sz="8" w:color="auto"/>
            </w:tcBorders>
          </w:tcPr>
          <w:p>
            <w:pPr>
              <w:jc w:val="right"/>
              <w:ind w:right="395"/>
              <w:spacing w:after="0"/>
              <w:rPr>
                <w:sz w:val="20"/>
                <w:szCs w:val="20"/>
                <w:color w:val="auto"/>
              </w:rPr>
            </w:pPr>
            <w:r>
              <w:rPr>
                <w:rFonts w:ascii="Arial" w:cs="Arial" w:eastAsia="Arial" w:hAnsi="Arial"/>
                <w:sz w:val="17"/>
                <w:szCs w:val="17"/>
                <w:b w:val="1"/>
                <w:bCs w:val="1"/>
                <w:color w:val="auto"/>
              </w:rPr>
              <w:t>2017</w:t>
            </w:r>
          </w:p>
        </w:tc>
        <w:tc>
          <w:tcPr>
            <w:tcW w:w="2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40" w:type="dxa"/>
            <w:vAlign w:val="bottom"/>
          </w:tcPr>
          <w:p>
            <w:pPr>
              <w:spacing w:after="0" w:line="20" w:lineRule="exact"/>
              <w:rPr>
                <w:sz w:val="1"/>
                <w:szCs w:val="1"/>
                <w:color w:val="auto"/>
              </w:rPr>
            </w:pPr>
          </w:p>
        </w:tc>
        <w:tc>
          <w:tcPr>
            <w:tcW w:w="700" w:type="dxa"/>
            <w:vAlign w:val="bottom"/>
            <w:tcBorders>
              <w:top w:val="single" w:sz="8" w:color="auto"/>
              <w:bottom w:val="single" w:sz="8" w:color="DCE2EF"/>
            </w:tcBorders>
          </w:tcPr>
          <w:p>
            <w:pPr>
              <w:spacing w:after="0" w:line="20" w:lineRule="exact"/>
              <w:rPr>
                <w:sz w:val="1"/>
                <w:szCs w:val="1"/>
                <w:color w:val="auto"/>
              </w:rPr>
            </w:pPr>
          </w:p>
        </w:tc>
        <w:tc>
          <w:tcPr>
            <w:tcW w:w="1540" w:type="dxa"/>
            <w:vAlign w:val="bottom"/>
            <w:tcBorders>
              <w:bottom w:val="single" w:sz="8" w:color="DCE2EF"/>
            </w:tcBorders>
          </w:tcPr>
          <w:p>
            <w:pPr>
              <w:spacing w:after="0" w:line="20" w:lineRule="exact"/>
              <w:rPr>
                <w:sz w:val="1"/>
                <w:szCs w:val="1"/>
                <w:color w:val="auto"/>
              </w:rPr>
            </w:pPr>
          </w:p>
        </w:tc>
        <w:tc>
          <w:tcPr>
            <w:tcW w:w="3080" w:type="dxa"/>
            <w:vAlign w:val="bottom"/>
            <w:tcBorders>
              <w:bottom w:val="single" w:sz="8" w:color="DCE2E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DCE2EF"/>
            </w:tcBorders>
          </w:tcPr>
          <w:p>
            <w:pPr>
              <w:spacing w:after="0" w:line="20" w:lineRule="exact"/>
              <w:rPr>
                <w:sz w:val="1"/>
                <w:szCs w:val="1"/>
                <w:color w:val="auto"/>
              </w:rPr>
            </w:pPr>
          </w:p>
        </w:tc>
        <w:tc>
          <w:tcPr>
            <w:tcW w:w="60" w:type="dxa"/>
            <w:vAlign w:val="bottom"/>
            <w:tcBorders>
              <w:bottom w:val="single" w:sz="8" w:color="DCE2E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DCE2EF"/>
            </w:tcBorders>
          </w:tcPr>
          <w:p>
            <w:pPr>
              <w:spacing w:after="0" w:line="20" w:lineRule="exact"/>
              <w:rPr>
                <w:sz w:val="1"/>
                <w:szCs w:val="1"/>
                <w:color w:val="auto"/>
              </w:rPr>
            </w:pPr>
          </w:p>
        </w:tc>
        <w:tc>
          <w:tcPr>
            <w:tcW w:w="80" w:type="dxa"/>
            <w:vAlign w:val="bottom"/>
            <w:tcBorders>
              <w:bottom w:val="single" w:sz="8" w:color="DCE2E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DCE2EF"/>
            </w:tcBorders>
          </w:tcPr>
          <w:p>
            <w:pPr>
              <w:spacing w:after="0" w:line="20" w:lineRule="exact"/>
              <w:rPr>
                <w:sz w:val="1"/>
                <w:szCs w:val="1"/>
                <w:color w:val="auto"/>
              </w:rPr>
            </w:pPr>
          </w:p>
        </w:tc>
        <w:tc>
          <w:tcPr>
            <w:tcW w:w="40" w:type="dxa"/>
            <w:vAlign w:val="bottom"/>
            <w:tcBorders>
              <w:bottom w:val="single" w:sz="8" w:color="DCE2E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50"/>
        </w:trPr>
        <w:tc>
          <w:tcPr>
            <w:tcW w:w="40" w:type="dxa"/>
            <w:vAlign w:val="bottom"/>
            <w:tcBorders>
              <w:right w:val="single" w:sz="8" w:color="DCE2EF"/>
            </w:tcBorders>
          </w:tcPr>
          <w:p>
            <w:pPr>
              <w:spacing w:after="0"/>
              <w:rPr>
                <w:sz w:val="21"/>
                <w:szCs w:val="21"/>
                <w:color w:val="auto"/>
              </w:rPr>
            </w:pPr>
          </w:p>
        </w:tc>
        <w:tc>
          <w:tcPr>
            <w:tcW w:w="5320" w:type="dxa"/>
            <w:vAlign w:val="bottom"/>
            <w:gridSpan w:val="3"/>
            <w:shd w:val="clear" w:color="auto" w:fill="DCE2EF"/>
          </w:tcPr>
          <w:p>
            <w:pPr>
              <w:spacing w:after="0"/>
              <w:rPr>
                <w:sz w:val="20"/>
                <w:szCs w:val="20"/>
                <w:color w:val="auto"/>
              </w:rPr>
            </w:pPr>
            <w:r>
              <w:rPr>
                <w:rFonts w:ascii="Arial" w:cs="Arial" w:eastAsia="Arial" w:hAnsi="Arial"/>
                <w:sz w:val="17"/>
                <w:szCs w:val="17"/>
                <w:b w:val="1"/>
                <w:bCs w:val="1"/>
                <w:color w:val="auto"/>
              </w:rPr>
              <w:t>Anti-dilutive</w:t>
            </w:r>
          </w:p>
        </w:tc>
        <w:tc>
          <w:tcPr>
            <w:tcW w:w="240" w:type="dxa"/>
            <w:vAlign w:val="bottom"/>
            <w:tcBorders>
              <w:left w:val="single" w:sz="8" w:color="DCE2EF"/>
            </w:tcBorders>
            <w:shd w:val="clear" w:color="auto" w:fill="DCE2EF"/>
          </w:tcPr>
          <w:p>
            <w:pPr>
              <w:spacing w:after="0"/>
              <w:rPr>
                <w:sz w:val="21"/>
                <w:szCs w:val="21"/>
                <w:color w:val="auto"/>
              </w:rPr>
            </w:pPr>
          </w:p>
        </w:tc>
        <w:tc>
          <w:tcPr>
            <w:tcW w:w="1240" w:type="dxa"/>
            <w:vAlign w:val="bottom"/>
            <w:shd w:val="clear" w:color="auto" w:fill="DCE2EF"/>
          </w:tcPr>
          <w:p>
            <w:pPr>
              <w:jc w:val="right"/>
              <w:spacing w:after="0"/>
              <w:rPr>
                <w:sz w:val="20"/>
                <w:szCs w:val="20"/>
                <w:color w:val="auto"/>
              </w:rPr>
            </w:pPr>
            <w:r>
              <w:rPr>
                <w:rFonts w:ascii="Arial" w:cs="Arial" w:eastAsia="Arial" w:hAnsi="Arial"/>
                <w:sz w:val="17"/>
                <w:szCs w:val="17"/>
                <w:color w:val="auto"/>
              </w:rPr>
              <w:t>0.5</w:t>
            </w:r>
          </w:p>
        </w:tc>
        <w:tc>
          <w:tcPr>
            <w:tcW w:w="40" w:type="dxa"/>
            <w:vAlign w:val="bottom"/>
            <w:shd w:val="clear" w:color="auto" w:fill="DCE2EF"/>
          </w:tcPr>
          <w:p>
            <w:pPr>
              <w:spacing w:after="0"/>
              <w:rPr>
                <w:sz w:val="21"/>
                <w:szCs w:val="21"/>
                <w:color w:val="auto"/>
              </w:rPr>
            </w:pPr>
          </w:p>
        </w:tc>
        <w:tc>
          <w:tcPr>
            <w:tcW w:w="60" w:type="dxa"/>
            <w:vAlign w:val="bottom"/>
            <w:shd w:val="clear" w:color="auto" w:fill="DCE2EF"/>
          </w:tcPr>
          <w:p>
            <w:pPr>
              <w:spacing w:after="0"/>
              <w:rPr>
                <w:sz w:val="21"/>
                <w:szCs w:val="21"/>
                <w:color w:val="auto"/>
              </w:rPr>
            </w:pPr>
          </w:p>
        </w:tc>
        <w:tc>
          <w:tcPr>
            <w:tcW w:w="60" w:type="dxa"/>
            <w:vAlign w:val="bottom"/>
            <w:shd w:val="clear" w:color="auto" w:fill="DCE2EF"/>
          </w:tcPr>
          <w:p>
            <w:pPr>
              <w:spacing w:after="0"/>
              <w:rPr>
                <w:sz w:val="21"/>
                <w:szCs w:val="21"/>
                <w:color w:val="auto"/>
              </w:rPr>
            </w:pPr>
          </w:p>
        </w:tc>
        <w:tc>
          <w:tcPr>
            <w:tcW w:w="280" w:type="dxa"/>
            <w:vAlign w:val="bottom"/>
            <w:shd w:val="clear" w:color="auto" w:fill="DCE2EF"/>
          </w:tcPr>
          <w:p>
            <w:pPr>
              <w:spacing w:after="0"/>
              <w:rPr>
                <w:sz w:val="21"/>
                <w:szCs w:val="21"/>
                <w:color w:val="auto"/>
              </w:rPr>
            </w:pPr>
          </w:p>
        </w:tc>
        <w:tc>
          <w:tcPr>
            <w:tcW w:w="1260" w:type="dxa"/>
            <w:vAlign w:val="bottom"/>
            <w:gridSpan w:val="3"/>
            <w:shd w:val="clear" w:color="auto" w:fill="DCE2EF"/>
          </w:tcPr>
          <w:p>
            <w:pPr>
              <w:ind w:left="920"/>
              <w:spacing w:after="0"/>
              <w:rPr>
                <w:sz w:val="20"/>
                <w:szCs w:val="20"/>
                <w:color w:val="auto"/>
              </w:rPr>
            </w:pPr>
            <w:r>
              <w:rPr>
                <w:rFonts w:ascii="Arial" w:cs="Arial" w:eastAsia="Arial" w:hAnsi="Arial"/>
                <w:sz w:val="17"/>
                <w:szCs w:val="17"/>
                <w:color w:val="auto"/>
              </w:rPr>
              <w:t>—</w:t>
            </w:r>
          </w:p>
        </w:tc>
        <w:tc>
          <w:tcPr>
            <w:tcW w:w="80" w:type="dxa"/>
            <w:vAlign w:val="bottom"/>
            <w:shd w:val="clear" w:color="auto" w:fill="DCE2EF"/>
          </w:tcPr>
          <w:p>
            <w:pPr>
              <w:spacing w:after="0"/>
              <w:rPr>
                <w:sz w:val="21"/>
                <w:szCs w:val="21"/>
                <w:color w:val="auto"/>
              </w:rPr>
            </w:pPr>
          </w:p>
        </w:tc>
        <w:tc>
          <w:tcPr>
            <w:tcW w:w="160" w:type="dxa"/>
            <w:vAlign w:val="bottom"/>
            <w:shd w:val="clear" w:color="auto" w:fill="DCE2EF"/>
          </w:tcPr>
          <w:p>
            <w:pPr>
              <w:spacing w:after="0"/>
              <w:rPr>
                <w:sz w:val="21"/>
                <w:szCs w:val="21"/>
                <w:color w:val="auto"/>
              </w:rPr>
            </w:pPr>
          </w:p>
        </w:tc>
        <w:tc>
          <w:tcPr>
            <w:tcW w:w="1140" w:type="dxa"/>
            <w:vAlign w:val="bottom"/>
            <w:shd w:val="clear" w:color="auto" w:fill="DCE2EF"/>
          </w:tcPr>
          <w:p>
            <w:pPr>
              <w:jc w:val="right"/>
              <w:spacing w:after="0"/>
              <w:rPr>
                <w:sz w:val="20"/>
                <w:szCs w:val="20"/>
                <w:color w:val="auto"/>
              </w:rPr>
            </w:pPr>
            <w:r>
              <w:rPr>
                <w:rFonts w:ascii="Arial" w:cs="Arial" w:eastAsia="Arial" w:hAnsi="Arial"/>
                <w:sz w:val="17"/>
                <w:szCs w:val="17"/>
                <w:color w:val="auto"/>
              </w:rPr>
              <w:t>0.3</w:t>
            </w:r>
          </w:p>
        </w:tc>
        <w:tc>
          <w:tcPr>
            <w:tcW w:w="40" w:type="dxa"/>
            <w:vAlign w:val="bottom"/>
            <w:shd w:val="clear" w:color="auto" w:fill="DCE2EF"/>
          </w:tcPr>
          <w:p>
            <w:pPr>
              <w:spacing w:after="0"/>
              <w:rPr>
                <w:sz w:val="21"/>
                <w:szCs w:val="21"/>
                <w:color w:val="auto"/>
              </w:rPr>
            </w:pPr>
          </w:p>
        </w:tc>
        <w:tc>
          <w:tcPr>
            <w:tcW w:w="60" w:type="dxa"/>
            <w:vAlign w:val="bottom"/>
            <w:shd w:val="clear" w:color="auto" w:fill="DCE2EF"/>
          </w:tcPr>
          <w:p>
            <w:pPr>
              <w:spacing w:after="0"/>
              <w:rPr>
                <w:sz w:val="21"/>
                <w:szCs w:val="21"/>
                <w:color w:val="auto"/>
              </w:rPr>
            </w:pPr>
          </w:p>
        </w:tc>
        <w:tc>
          <w:tcPr>
            <w:tcW w:w="40" w:type="dxa"/>
            <w:vAlign w:val="bottom"/>
            <w:shd w:val="clear" w:color="auto" w:fill="DCE2EF"/>
          </w:tcPr>
          <w:p>
            <w:pPr>
              <w:spacing w:after="0"/>
              <w:rPr>
                <w:sz w:val="21"/>
                <w:szCs w:val="21"/>
                <w:color w:val="auto"/>
              </w:rPr>
            </w:pPr>
          </w:p>
        </w:tc>
        <w:tc>
          <w:tcPr>
            <w:tcW w:w="280" w:type="dxa"/>
            <w:vAlign w:val="bottom"/>
            <w:shd w:val="clear" w:color="auto" w:fill="DCE2EF"/>
          </w:tcPr>
          <w:p>
            <w:pPr>
              <w:spacing w:after="0"/>
              <w:rPr>
                <w:sz w:val="21"/>
                <w:szCs w:val="21"/>
                <w:color w:val="auto"/>
              </w:rPr>
            </w:pPr>
          </w:p>
        </w:tc>
        <w:tc>
          <w:tcPr>
            <w:tcW w:w="1060" w:type="dxa"/>
            <w:vAlign w:val="bottom"/>
            <w:shd w:val="clear" w:color="auto" w:fill="DCE2EF"/>
          </w:tcPr>
          <w:p>
            <w:pPr>
              <w:jc w:val="right"/>
              <w:ind w:right="15"/>
              <w:spacing w:after="0"/>
              <w:rPr>
                <w:sz w:val="20"/>
                <w:szCs w:val="20"/>
                <w:color w:val="auto"/>
              </w:rPr>
            </w:pPr>
            <w:r>
              <w:rPr>
                <w:rFonts w:ascii="Arial" w:cs="Arial" w:eastAsia="Arial" w:hAnsi="Arial"/>
                <w:sz w:val="17"/>
                <w:szCs w:val="17"/>
                <w:color w:val="auto"/>
              </w:rPr>
              <w:t>—</w:t>
            </w:r>
          </w:p>
        </w:tc>
        <w:tc>
          <w:tcPr>
            <w:tcW w:w="20" w:type="dxa"/>
            <w:vAlign w:val="bottom"/>
            <w:shd w:val="clear" w:color="auto" w:fill="DCE2EF"/>
          </w:tcPr>
          <w:p>
            <w:pPr>
              <w:spacing w:after="0"/>
              <w:rPr>
                <w:sz w:val="21"/>
                <w:szCs w:val="2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522" w:right="239" w:bottom="1440" w:gutter="0" w:footer="0" w:header="0"/>
        </w:sectPr>
      </w:pPr>
    </w:p>
    <w:bookmarkStart w:id="14" w:name="page15"/>
    <w:bookmarkEnd w:id="14"/>
    <w:p>
      <w:pPr>
        <w:spacing w:after="0"/>
        <w:rPr>
          <w:sz w:val="20"/>
          <w:szCs w:val="20"/>
          <w:color w:val="auto"/>
        </w:rPr>
      </w:pPr>
      <w:r>
        <w:rPr>
          <w:rFonts w:ascii="Arial" w:cs="Arial" w:eastAsia="Arial" w:hAnsi="Arial"/>
          <w:sz w:val="18"/>
          <w:szCs w:val="18"/>
          <w:b w:val="1"/>
          <w:bCs w:val="1"/>
          <w:color w:val="0046AD"/>
        </w:rPr>
        <w:t>6. FAIR VALUE OF FINANCIAL INSTRUMENTS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106045</wp:posOffset>
            </wp:positionV>
            <wp:extent cx="723773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37730" cy="8890"/>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0046AD"/>
        </w:rPr>
        <w:t>Fair Value Hierarchy of Our Financial Instruments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0046AD"/>
        </w:rPr>
        <w:t>Financial Assets and Liabilities Measured at Fair Value on a Recurring Basis</w:t>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5620" w:type="dxa"/>
            <w:vAlign w:val="bottom"/>
          </w:tcPr>
          <w:p>
            <w:pPr>
              <w:spacing w:after="0"/>
              <w:rPr>
                <w:sz w:val="16"/>
                <w:szCs w:val="16"/>
                <w:color w:val="auto"/>
              </w:rPr>
            </w:pPr>
          </w:p>
        </w:tc>
        <w:tc>
          <w:tcPr>
            <w:tcW w:w="138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9"/>
              </w:rPr>
              <w:t>Fair Value</w:t>
            </w:r>
          </w:p>
        </w:tc>
        <w:tc>
          <w:tcPr>
            <w:tcW w:w="24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20" w:type="dxa"/>
            <w:vAlign w:val="bottom"/>
          </w:tcPr>
          <w:p>
            <w:pPr>
              <w:spacing w:after="0"/>
              <w:rPr>
                <w:sz w:val="16"/>
                <w:szCs w:val="16"/>
                <w:color w:val="auto"/>
              </w:rPr>
            </w:pPr>
          </w:p>
        </w:tc>
      </w:tr>
      <w:tr>
        <w:trPr>
          <w:trHeight w:val="194"/>
        </w:trPr>
        <w:tc>
          <w:tcPr>
            <w:tcW w:w="6280" w:type="dxa"/>
            <w:vAlign w:val="bottom"/>
            <w:gridSpan w:val="3"/>
          </w:tcPr>
          <w:p>
            <w:pPr>
              <w:ind w:left="40"/>
              <w:spacing w:after="0"/>
              <w:rPr>
                <w:sz w:val="20"/>
                <w:szCs w:val="20"/>
                <w:color w:val="auto"/>
              </w:rPr>
            </w:pPr>
            <w:r>
              <w:rPr>
                <w:rFonts w:ascii="Arial" w:cs="Arial" w:eastAsia="Arial" w:hAnsi="Arial"/>
                <w:sz w:val="13"/>
                <w:szCs w:val="13"/>
                <w:i w:val="1"/>
                <w:iCs w:val="1"/>
                <w:color w:val="auto"/>
              </w:rPr>
              <w:t>(in millions)</w:t>
            </w:r>
          </w:p>
        </w:tc>
        <w:tc>
          <w:tcPr>
            <w:tcW w:w="138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rPr>
              <w:t>Hierarchy</w:t>
            </w:r>
          </w:p>
        </w:tc>
        <w:tc>
          <w:tcPr>
            <w:tcW w:w="240" w:type="dxa"/>
            <w:vAlign w:val="bottom"/>
          </w:tcPr>
          <w:p>
            <w:pPr>
              <w:spacing w:after="0"/>
              <w:rPr>
                <w:sz w:val="16"/>
                <w:szCs w:val="16"/>
                <w:color w:val="auto"/>
              </w:rPr>
            </w:pPr>
          </w:p>
        </w:tc>
        <w:tc>
          <w:tcPr>
            <w:tcW w:w="1680" w:type="dxa"/>
            <w:vAlign w:val="bottom"/>
            <w:gridSpan w:val="2"/>
          </w:tcPr>
          <w:p>
            <w:pPr>
              <w:ind w:left="140"/>
              <w:spacing w:after="0"/>
              <w:rPr>
                <w:sz w:val="20"/>
                <w:szCs w:val="20"/>
                <w:color w:val="auto"/>
              </w:rPr>
            </w:pPr>
            <w:r>
              <w:rPr>
                <w:rFonts w:ascii="Arial" w:cs="Arial" w:eastAsia="Arial" w:hAnsi="Arial"/>
                <w:sz w:val="16"/>
                <w:szCs w:val="16"/>
                <w:b w:val="1"/>
                <w:bCs w:val="1"/>
                <w:color w:val="auto"/>
              </w:rPr>
              <w:t>April 30, 2018</w:t>
            </w:r>
          </w:p>
        </w:tc>
        <w:tc>
          <w:tcPr>
            <w:tcW w:w="200" w:type="dxa"/>
            <w:vAlign w:val="bottom"/>
          </w:tcPr>
          <w:p>
            <w:pPr>
              <w:spacing w:after="0"/>
              <w:rPr>
                <w:sz w:val="16"/>
                <w:szCs w:val="16"/>
                <w:color w:val="auto"/>
              </w:rPr>
            </w:pPr>
          </w:p>
        </w:tc>
        <w:tc>
          <w:tcPr>
            <w:tcW w:w="1620" w:type="dxa"/>
            <w:vAlign w:val="bottom"/>
          </w:tcPr>
          <w:p>
            <w:pPr>
              <w:jc w:val="right"/>
              <w:ind w:right="179"/>
              <w:spacing w:after="0"/>
              <w:rPr>
                <w:sz w:val="20"/>
                <w:szCs w:val="20"/>
                <w:color w:val="auto"/>
              </w:rPr>
            </w:pPr>
            <w:r>
              <w:rPr>
                <w:rFonts w:ascii="Arial" w:cs="Arial" w:eastAsia="Arial" w:hAnsi="Arial"/>
                <w:sz w:val="16"/>
                <w:szCs w:val="16"/>
                <w:b w:val="1"/>
                <w:bCs w:val="1"/>
                <w:color w:val="auto"/>
              </w:rPr>
              <w:t>October 31, 2017</w:t>
            </w:r>
          </w:p>
        </w:tc>
      </w:tr>
      <w:tr>
        <w:trPr>
          <w:trHeight w:val="21"/>
        </w:trPr>
        <w:tc>
          <w:tcPr>
            <w:tcW w:w="40" w:type="dxa"/>
            <w:vAlign w:val="bottom"/>
            <w:tcBorders>
              <w:bottom w:val="single" w:sz="8" w:color="DCE2EF"/>
            </w:tcBorders>
          </w:tcPr>
          <w:p>
            <w:pPr>
              <w:spacing w:after="0" w:line="20" w:lineRule="exact"/>
              <w:rPr>
                <w:sz w:val="1"/>
                <w:szCs w:val="1"/>
                <w:color w:val="auto"/>
              </w:rPr>
            </w:pPr>
          </w:p>
        </w:tc>
        <w:tc>
          <w:tcPr>
            <w:tcW w:w="620" w:type="dxa"/>
            <w:vAlign w:val="bottom"/>
            <w:tcBorders>
              <w:top w:val="single" w:sz="8" w:color="auto"/>
              <w:bottom w:val="single" w:sz="8" w:color="DCE2EF"/>
            </w:tcBorders>
          </w:tcPr>
          <w:p>
            <w:pPr>
              <w:spacing w:after="0" w:line="20" w:lineRule="exact"/>
              <w:rPr>
                <w:sz w:val="1"/>
                <w:szCs w:val="1"/>
                <w:color w:val="auto"/>
              </w:rPr>
            </w:pPr>
          </w:p>
        </w:tc>
        <w:tc>
          <w:tcPr>
            <w:tcW w:w="5620" w:type="dxa"/>
            <w:vAlign w:val="bottom"/>
            <w:tcBorders>
              <w:bottom w:val="single" w:sz="8" w:color="DCE2EF"/>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DCE2E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DCE2E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r>
      <w:tr>
        <w:trPr>
          <w:trHeight w:val="250"/>
        </w:trPr>
        <w:tc>
          <w:tcPr>
            <w:tcW w:w="6280" w:type="dxa"/>
            <w:vAlign w:val="bottom"/>
            <w:gridSpan w:val="3"/>
            <w:shd w:val="clear" w:color="auto" w:fill="DCE2EF"/>
          </w:tcPr>
          <w:p>
            <w:pPr>
              <w:ind w:left="40"/>
              <w:spacing w:after="0"/>
              <w:rPr>
                <w:sz w:val="20"/>
                <w:szCs w:val="20"/>
                <w:color w:val="auto"/>
              </w:rPr>
            </w:pPr>
            <w:r>
              <w:rPr>
                <w:rFonts w:ascii="Arial" w:cs="Arial" w:eastAsia="Arial" w:hAnsi="Arial"/>
                <w:sz w:val="16"/>
                <w:szCs w:val="16"/>
                <w:color w:val="auto"/>
              </w:rPr>
              <w:t>Cash and cash equivalents</w:t>
            </w:r>
            <w:r>
              <w:rPr>
                <w:rFonts w:ascii="Arial" w:cs="Arial" w:eastAsia="Arial" w:hAnsi="Arial"/>
                <w:sz w:val="21"/>
                <w:szCs w:val="21"/>
                <w:color w:val="auto"/>
                <w:vertAlign w:val="superscript"/>
              </w:rPr>
              <w:t>(1)</w:t>
            </w:r>
          </w:p>
        </w:tc>
        <w:tc>
          <w:tcPr>
            <w:tcW w:w="1260" w:type="dxa"/>
            <w:vAlign w:val="bottom"/>
            <w:shd w:val="clear" w:color="auto" w:fill="DCE2EF"/>
          </w:tcPr>
          <w:p>
            <w:pPr>
              <w:jc w:val="center"/>
              <w:spacing w:after="0"/>
              <w:rPr>
                <w:sz w:val="20"/>
                <w:szCs w:val="20"/>
                <w:color w:val="auto"/>
              </w:rPr>
            </w:pPr>
            <w:r>
              <w:rPr>
                <w:rFonts w:ascii="Arial" w:cs="Arial" w:eastAsia="Arial" w:hAnsi="Arial"/>
                <w:sz w:val="16"/>
                <w:szCs w:val="16"/>
                <w:color w:val="auto"/>
                <w:w w:val="89"/>
              </w:rPr>
              <w:t>1</w:t>
            </w:r>
          </w:p>
        </w:tc>
        <w:tc>
          <w:tcPr>
            <w:tcW w:w="120" w:type="dxa"/>
            <w:vAlign w:val="bottom"/>
            <w:shd w:val="clear" w:color="auto" w:fill="DCE2EF"/>
          </w:tcPr>
          <w:p>
            <w:pPr>
              <w:spacing w:after="0"/>
              <w:rPr>
                <w:sz w:val="21"/>
                <w:szCs w:val="21"/>
                <w:color w:val="auto"/>
              </w:rPr>
            </w:pPr>
          </w:p>
        </w:tc>
        <w:tc>
          <w:tcPr>
            <w:tcW w:w="240" w:type="dxa"/>
            <w:vAlign w:val="bottom"/>
            <w:shd w:val="clear" w:color="auto" w:fill="DCE2EF"/>
          </w:tcPr>
          <w:p>
            <w:pPr>
              <w:jc w:val="right"/>
              <w:ind w:right="59"/>
              <w:spacing w:after="0"/>
              <w:rPr>
                <w:sz w:val="20"/>
                <w:szCs w:val="20"/>
                <w:color w:val="auto"/>
              </w:rPr>
            </w:pPr>
            <w:r>
              <w:rPr>
                <w:rFonts w:ascii="Arial" w:cs="Arial" w:eastAsia="Arial" w:hAnsi="Arial"/>
                <w:sz w:val="16"/>
                <w:szCs w:val="16"/>
                <w:color w:val="auto"/>
                <w:w w:val="89"/>
              </w:rPr>
              <w:t>$</w:t>
            </w:r>
          </w:p>
        </w:tc>
        <w:tc>
          <w:tcPr>
            <w:tcW w:w="1580" w:type="dxa"/>
            <w:vAlign w:val="bottom"/>
            <w:shd w:val="clear" w:color="auto" w:fill="DCE2EF"/>
          </w:tcPr>
          <w:p>
            <w:pPr>
              <w:jc w:val="right"/>
              <w:ind w:right="39"/>
              <w:spacing w:after="0"/>
              <w:rPr>
                <w:sz w:val="20"/>
                <w:szCs w:val="20"/>
                <w:color w:val="auto"/>
              </w:rPr>
            </w:pPr>
            <w:r>
              <w:rPr>
                <w:rFonts w:ascii="Arial" w:cs="Arial" w:eastAsia="Arial" w:hAnsi="Arial"/>
                <w:sz w:val="16"/>
                <w:szCs w:val="16"/>
                <w:color w:val="auto"/>
              </w:rPr>
              <w:t>69.7</w:t>
            </w:r>
          </w:p>
        </w:tc>
        <w:tc>
          <w:tcPr>
            <w:tcW w:w="100" w:type="dxa"/>
            <w:vAlign w:val="bottom"/>
            <w:shd w:val="clear" w:color="auto" w:fill="DCE2EF"/>
          </w:tcPr>
          <w:p>
            <w:pPr>
              <w:spacing w:after="0"/>
              <w:rPr>
                <w:sz w:val="21"/>
                <w:szCs w:val="21"/>
                <w:color w:val="auto"/>
              </w:rPr>
            </w:pPr>
          </w:p>
        </w:tc>
        <w:tc>
          <w:tcPr>
            <w:tcW w:w="200" w:type="dxa"/>
            <w:vAlign w:val="bottom"/>
            <w:shd w:val="clear" w:color="auto" w:fill="DCE2EF"/>
          </w:tcPr>
          <w:p>
            <w:pPr>
              <w:jc w:val="right"/>
              <w:spacing w:after="0"/>
              <w:rPr>
                <w:sz w:val="20"/>
                <w:szCs w:val="20"/>
                <w:color w:val="auto"/>
              </w:rPr>
            </w:pPr>
            <w:r>
              <w:rPr>
                <w:rFonts w:ascii="Arial" w:cs="Arial" w:eastAsia="Arial" w:hAnsi="Arial"/>
                <w:sz w:val="16"/>
                <w:szCs w:val="16"/>
                <w:color w:val="auto"/>
              </w:rPr>
              <w:t>$</w:t>
            </w:r>
          </w:p>
        </w:tc>
        <w:tc>
          <w:tcPr>
            <w:tcW w:w="1620" w:type="dxa"/>
            <w:vAlign w:val="bottom"/>
            <w:shd w:val="clear" w:color="auto" w:fill="DCE2EF"/>
          </w:tcPr>
          <w:p>
            <w:pPr>
              <w:jc w:val="right"/>
              <w:ind w:right="19"/>
              <w:spacing w:after="0"/>
              <w:rPr>
                <w:sz w:val="20"/>
                <w:szCs w:val="20"/>
                <w:color w:val="auto"/>
              </w:rPr>
            </w:pPr>
            <w:r>
              <w:rPr>
                <w:rFonts w:ascii="Arial" w:cs="Arial" w:eastAsia="Arial" w:hAnsi="Arial"/>
                <w:sz w:val="16"/>
                <w:szCs w:val="16"/>
                <w:color w:val="auto"/>
              </w:rPr>
              <w:t>62.8</w:t>
            </w:r>
          </w:p>
        </w:tc>
      </w:tr>
      <w:tr>
        <w:trPr>
          <w:trHeight w:val="270"/>
        </w:trPr>
        <w:tc>
          <w:tcPr>
            <w:tcW w:w="6280" w:type="dxa"/>
            <w:vAlign w:val="bottom"/>
            <w:gridSpan w:val="3"/>
          </w:tcPr>
          <w:p>
            <w:pPr>
              <w:ind w:left="40"/>
              <w:spacing w:after="0"/>
              <w:rPr>
                <w:sz w:val="20"/>
                <w:szCs w:val="20"/>
                <w:color w:val="auto"/>
              </w:rPr>
            </w:pPr>
            <w:r>
              <w:rPr>
                <w:rFonts w:ascii="Arial" w:cs="Arial" w:eastAsia="Arial" w:hAnsi="Arial"/>
                <w:sz w:val="16"/>
                <w:szCs w:val="16"/>
                <w:color w:val="auto"/>
              </w:rPr>
              <w:t>Insurance deposits</w:t>
            </w:r>
            <w:r>
              <w:rPr>
                <w:rFonts w:ascii="Arial" w:cs="Arial" w:eastAsia="Arial" w:hAnsi="Arial"/>
                <w:sz w:val="21"/>
                <w:szCs w:val="21"/>
                <w:color w:val="auto"/>
                <w:vertAlign w:val="superscript"/>
              </w:rPr>
              <w:t>(2)</w:t>
            </w:r>
          </w:p>
        </w:tc>
        <w:tc>
          <w:tcPr>
            <w:tcW w:w="1260" w:type="dxa"/>
            <w:vAlign w:val="bottom"/>
          </w:tcPr>
          <w:p>
            <w:pPr>
              <w:jc w:val="center"/>
              <w:spacing w:after="0"/>
              <w:rPr>
                <w:sz w:val="20"/>
                <w:szCs w:val="20"/>
                <w:color w:val="auto"/>
              </w:rPr>
            </w:pPr>
            <w:r>
              <w:rPr>
                <w:rFonts w:ascii="Arial" w:cs="Arial" w:eastAsia="Arial" w:hAnsi="Arial"/>
                <w:sz w:val="16"/>
                <w:szCs w:val="16"/>
                <w:color w:val="auto"/>
                <w:w w:val="89"/>
              </w:rPr>
              <w:t>1</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580" w:type="dxa"/>
            <w:vAlign w:val="bottom"/>
          </w:tcPr>
          <w:p>
            <w:pPr>
              <w:jc w:val="right"/>
              <w:ind w:right="39"/>
              <w:spacing w:after="0"/>
              <w:rPr>
                <w:sz w:val="20"/>
                <w:szCs w:val="20"/>
                <w:color w:val="auto"/>
              </w:rPr>
            </w:pPr>
            <w:r>
              <w:rPr>
                <w:rFonts w:ascii="Arial" w:cs="Arial" w:eastAsia="Arial" w:hAnsi="Arial"/>
                <w:sz w:val="16"/>
                <w:szCs w:val="16"/>
                <w:color w:val="auto"/>
              </w:rPr>
              <w:t>10.4</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620" w:type="dxa"/>
            <w:vAlign w:val="bottom"/>
          </w:tcPr>
          <w:p>
            <w:pPr>
              <w:jc w:val="right"/>
              <w:ind w:right="19"/>
              <w:spacing w:after="0"/>
              <w:rPr>
                <w:sz w:val="20"/>
                <w:szCs w:val="20"/>
                <w:color w:val="auto"/>
              </w:rPr>
            </w:pPr>
            <w:r>
              <w:rPr>
                <w:rFonts w:ascii="Arial" w:cs="Arial" w:eastAsia="Arial" w:hAnsi="Arial"/>
                <w:sz w:val="16"/>
                <w:szCs w:val="16"/>
                <w:color w:val="auto"/>
              </w:rPr>
              <w:t>11.2</w:t>
            </w:r>
          </w:p>
        </w:tc>
      </w:tr>
      <w:tr>
        <w:trPr>
          <w:trHeight w:val="270"/>
        </w:trPr>
        <w:tc>
          <w:tcPr>
            <w:tcW w:w="6280" w:type="dxa"/>
            <w:vAlign w:val="bottom"/>
            <w:gridSpan w:val="3"/>
            <w:shd w:val="clear" w:color="auto" w:fill="DCE2EF"/>
          </w:tcPr>
          <w:p>
            <w:pPr>
              <w:ind w:left="40"/>
              <w:spacing w:after="0"/>
              <w:rPr>
                <w:sz w:val="20"/>
                <w:szCs w:val="20"/>
                <w:color w:val="auto"/>
              </w:rPr>
            </w:pPr>
            <w:r>
              <w:rPr>
                <w:rFonts w:ascii="Arial" w:cs="Arial" w:eastAsia="Arial" w:hAnsi="Arial"/>
                <w:sz w:val="16"/>
                <w:szCs w:val="16"/>
                <w:color w:val="auto"/>
              </w:rPr>
              <w:t>Assets held in funded deferred compensation plan</w:t>
            </w:r>
            <w:r>
              <w:rPr>
                <w:rFonts w:ascii="Arial" w:cs="Arial" w:eastAsia="Arial" w:hAnsi="Arial"/>
                <w:sz w:val="21"/>
                <w:szCs w:val="21"/>
                <w:color w:val="auto"/>
                <w:vertAlign w:val="superscript"/>
              </w:rPr>
              <w:t>(3)</w:t>
            </w:r>
          </w:p>
        </w:tc>
        <w:tc>
          <w:tcPr>
            <w:tcW w:w="1260" w:type="dxa"/>
            <w:vAlign w:val="bottom"/>
            <w:shd w:val="clear" w:color="auto" w:fill="DCE2EF"/>
          </w:tcPr>
          <w:p>
            <w:pPr>
              <w:jc w:val="center"/>
              <w:spacing w:after="0"/>
              <w:rPr>
                <w:sz w:val="20"/>
                <w:szCs w:val="20"/>
                <w:color w:val="auto"/>
              </w:rPr>
            </w:pPr>
            <w:r>
              <w:rPr>
                <w:rFonts w:ascii="Arial" w:cs="Arial" w:eastAsia="Arial" w:hAnsi="Arial"/>
                <w:sz w:val="16"/>
                <w:szCs w:val="16"/>
                <w:color w:val="auto"/>
                <w:w w:val="89"/>
              </w:rPr>
              <w:t>1</w:t>
            </w:r>
          </w:p>
        </w:tc>
        <w:tc>
          <w:tcPr>
            <w:tcW w:w="120" w:type="dxa"/>
            <w:vAlign w:val="bottom"/>
            <w:shd w:val="clear" w:color="auto" w:fill="DCE2EF"/>
          </w:tcPr>
          <w:p>
            <w:pPr>
              <w:spacing w:after="0"/>
              <w:rPr>
                <w:sz w:val="23"/>
                <w:szCs w:val="23"/>
                <w:color w:val="auto"/>
              </w:rPr>
            </w:pPr>
          </w:p>
        </w:tc>
        <w:tc>
          <w:tcPr>
            <w:tcW w:w="240" w:type="dxa"/>
            <w:vAlign w:val="bottom"/>
            <w:shd w:val="clear" w:color="auto" w:fill="DCE2EF"/>
          </w:tcPr>
          <w:p>
            <w:pPr>
              <w:spacing w:after="0"/>
              <w:rPr>
                <w:sz w:val="23"/>
                <w:szCs w:val="23"/>
                <w:color w:val="auto"/>
              </w:rPr>
            </w:pPr>
          </w:p>
        </w:tc>
        <w:tc>
          <w:tcPr>
            <w:tcW w:w="1580" w:type="dxa"/>
            <w:vAlign w:val="bottom"/>
            <w:shd w:val="clear" w:color="auto" w:fill="DCE2EF"/>
          </w:tcPr>
          <w:p>
            <w:pPr>
              <w:jc w:val="right"/>
              <w:ind w:right="39"/>
              <w:spacing w:after="0"/>
              <w:rPr>
                <w:sz w:val="20"/>
                <w:szCs w:val="20"/>
                <w:color w:val="auto"/>
              </w:rPr>
            </w:pPr>
            <w:r>
              <w:rPr>
                <w:rFonts w:ascii="Arial" w:cs="Arial" w:eastAsia="Arial" w:hAnsi="Arial"/>
                <w:sz w:val="16"/>
                <w:szCs w:val="16"/>
                <w:color w:val="auto"/>
              </w:rPr>
              <w:t>4.1</w:t>
            </w:r>
          </w:p>
        </w:tc>
        <w:tc>
          <w:tcPr>
            <w:tcW w:w="100" w:type="dxa"/>
            <w:vAlign w:val="bottom"/>
            <w:shd w:val="clear" w:color="auto" w:fill="DCE2EF"/>
          </w:tcPr>
          <w:p>
            <w:pPr>
              <w:spacing w:after="0"/>
              <w:rPr>
                <w:sz w:val="23"/>
                <w:szCs w:val="23"/>
                <w:color w:val="auto"/>
              </w:rPr>
            </w:pPr>
          </w:p>
        </w:tc>
        <w:tc>
          <w:tcPr>
            <w:tcW w:w="200" w:type="dxa"/>
            <w:vAlign w:val="bottom"/>
            <w:shd w:val="clear" w:color="auto" w:fill="DCE2EF"/>
          </w:tcPr>
          <w:p>
            <w:pPr>
              <w:spacing w:after="0"/>
              <w:rPr>
                <w:sz w:val="23"/>
                <w:szCs w:val="23"/>
                <w:color w:val="auto"/>
              </w:rPr>
            </w:pPr>
          </w:p>
        </w:tc>
        <w:tc>
          <w:tcPr>
            <w:tcW w:w="1620" w:type="dxa"/>
            <w:vAlign w:val="bottom"/>
            <w:shd w:val="clear" w:color="auto" w:fill="DCE2EF"/>
          </w:tcPr>
          <w:p>
            <w:pPr>
              <w:jc w:val="right"/>
              <w:ind w:right="19"/>
              <w:spacing w:after="0"/>
              <w:rPr>
                <w:sz w:val="20"/>
                <w:szCs w:val="20"/>
                <w:color w:val="auto"/>
              </w:rPr>
            </w:pPr>
            <w:r>
              <w:rPr>
                <w:rFonts w:ascii="Arial" w:cs="Arial" w:eastAsia="Arial" w:hAnsi="Arial"/>
                <w:sz w:val="16"/>
                <w:szCs w:val="16"/>
                <w:color w:val="auto"/>
              </w:rPr>
              <w:t>4.6</w:t>
            </w:r>
          </w:p>
        </w:tc>
      </w:tr>
      <w:tr>
        <w:trPr>
          <w:trHeight w:val="270"/>
        </w:trPr>
        <w:tc>
          <w:tcPr>
            <w:tcW w:w="6280" w:type="dxa"/>
            <w:vAlign w:val="bottom"/>
            <w:gridSpan w:val="3"/>
          </w:tcPr>
          <w:p>
            <w:pPr>
              <w:ind w:left="40"/>
              <w:spacing w:after="0"/>
              <w:rPr>
                <w:sz w:val="20"/>
                <w:szCs w:val="20"/>
                <w:color w:val="auto"/>
              </w:rPr>
            </w:pPr>
            <w:r>
              <w:rPr>
                <w:rFonts w:ascii="Arial" w:cs="Arial" w:eastAsia="Arial" w:hAnsi="Arial"/>
                <w:sz w:val="16"/>
                <w:szCs w:val="16"/>
                <w:color w:val="auto"/>
              </w:rPr>
              <w:t>Credit facility</w:t>
            </w:r>
            <w:r>
              <w:rPr>
                <w:rFonts w:ascii="Arial" w:cs="Arial" w:eastAsia="Arial" w:hAnsi="Arial"/>
                <w:sz w:val="21"/>
                <w:szCs w:val="21"/>
                <w:color w:val="auto"/>
                <w:vertAlign w:val="superscript"/>
              </w:rPr>
              <w:t>(4)</w:t>
            </w:r>
          </w:p>
        </w:tc>
        <w:tc>
          <w:tcPr>
            <w:tcW w:w="1260" w:type="dxa"/>
            <w:vAlign w:val="bottom"/>
          </w:tcPr>
          <w:p>
            <w:pPr>
              <w:jc w:val="center"/>
              <w:spacing w:after="0"/>
              <w:rPr>
                <w:sz w:val="20"/>
                <w:szCs w:val="20"/>
                <w:color w:val="auto"/>
              </w:rPr>
            </w:pPr>
            <w:r>
              <w:rPr>
                <w:rFonts w:ascii="Arial" w:cs="Arial" w:eastAsia="Arial" w:hAnsi="Arial"/>
                <w:sz w:val="16"/>
                <w:szCs w:val="16"/>
                <w:color w:val="auto"/>
                <w:w w:val="89"/>
              </w:rPr>
              <w:t>2</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580" w:type="dxa"/>
            <w:vAlign w:val="bottom"/>
          </w:tcPr>
          <w:p>
            <w:pPr>
              <w:jc w:val="right"/>
              <w:ind w:right="39"/>
              <w:spacing w:after="0"/>
              <w:rPr>
                <w:sz w:val="20"/>
                <w:szCs w:val="20"/>
                <w:color w:val="auto"/>
              </w:rPr>
            </w:pPr>
            <w:r>
              <w:rPr>
                <w:rFonts w:ascii="Arial" w:cs="Arial" w:eastAsia="Arial" w:hAnsi="Arial"/>
                <w:sz w:val="16"/>
                <w:szCs w:val="16"/>
                <w:color w:val="auto"/>
              </w:rPr>
              <w:t>1,118.7</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620" w:type="dxa"/>
            <w:vAlign w:val="bottom"/>
          </w:tcPr>
          <w:p>
            <w:pPr>
              <w:jc w:val="right"/>
              <w:ind w:right="19"/>
              <w:spacing w:after="0"/>
              <w:rPr>
                <w:sz w:val="20"/>
                <w:szCs w:val="20"/>
                <w:color w:val="auto"/>
              </w:rPr>
            </w:pPr>
            <w:r>
              <w:rPr>
                <w:rFonts w:ascii="Arial" w:cs="Arial" w:eastAsia="Arial" w:hAnsi="Arial"/>
                <w:sz w:val="16"/>
                <w:szCs w:val="16"/>
                <w:color w:val="auto"/>
              </w:rPr>
              <w:t>1,191.2</w:t>
            </w:r>
          </w:p>
        </w:tc>
      </w:tr>
      <w:tr>
        <w:trPr>
          <w:trHeight w:val="270"/>
        </w:trPr>
        <w:tc>
          <w:tcPr>
            <w:tcW w:w="6280" w:type="dxa"/>
            <w:vAlign w:val="bottom"/>
            <w:gridSpan w:val="3"/>
            <w:shd w:val="clear" w:color="auto" w:fill="DCE2EF"/>
          </w:tcPr>
          <w:p>
            <w:pPr>
              <w:ind w:left="40"/>
              <w:spacing w:after="0"/>
              <w:rPr>
                <w:sz w:val="20"/>
                <w:szCs w:val="20"/>
                <w:color w:val="auto"/>
              </w:rPr>
            </w:pPr>
            <w:r>
              <w:rPr>
                <w:rFonts w:ascii="Arial" w:cs="Arial" w:eastAsia="Arial" w:hAnsi="Arial"/>
                <w:sz w:val="16"/>
                <w:szCs w:val="16"/>
                <w:color w:val="auto"/>
              </w:rPr>
              <w:t>Interest rate swaps</w:t>
            </w:r>
            <w:r>
              <w:rPr>
                <w:rFonts w:ascii="Arial" w:cs="Arial" w:eastAsia="Arial" w:hAnsi="Arial"/>
                <w:sz w:val="21"/>
                <w:szCs w:val="21"/>
                <w:color w:val="auto"/>
                <w:vertAlign w:val="superscript"/>
              </w:rPr>
              <w:t>(5)</w:t>
            </w:r>
          </w:p>
        </w:tc>
        <w:tc>
          <w:tcPr>
            <w:tcW w:w="1260" w:type="dxa"/>
            <w:vAlign w:val="bottom"/>
            <w:shd w:val="clear" w:color="auto" w:fill="DCE2EF"/>
          </w:tcPr>
          <w:p>
            <w:pPr>
              <w:jc w:val="center"/>
              <w:spacing w:after="0"/>
              <w:rPr>
                <w:sz w:val="20"/>
                <w:szCs w:val="20"/>
                <w:color w:val="auto"/>
              </w:rPr>
            </w:pPr>
            <w:r>
              <w:rPr>
                <w:rFonts w:ascii="Arial" w:cs="Arial" w:eastAsia="Arial" w:hAnsi="Arial"/>
                <w:sz w:val="16"/>
                <w:szCs w:val="16"/>
                <w:color w:val="auto"/>
                <w:w w:val="89"/>
              </w:rPr>
              <w:t>2</w:t>
            </w:r>
          </w:p>
        </w:tc>
        <w:tc>
          <w:tcPr>
            <w:tcW w:w="120" w:type="dxa"/>
            <w:vAlign w:val="bottom"/>
            <w:shd w:val="clear" w:color="auto" w:fill="DCE2EF"/>
          </w:tcPr>
          <w:p>
            <w:pPr>
              <w:spacing w:after="0"/>
              <w:rPr>
                <w:sz w:val="23"/>
                <w:szCs w:val="23"/>
                <w:color w:val="auto"/>
              </w:rPr>
            </w:pPr>
          </w:p>
        </w:tc>
        <w:tc>
          <w:tcPr>
            <w:tcW w:w="240" w:type="dxa"/>
            <w:vAlign w:val="bottom"/>
            <w:shd w:val="clear" w:color="auto" w:fill="DCE2EF"/>
          </w:tcPr>
          <w:p>
            <w:pPr>
              <w:spacing w:after="0"/>
              <w:rPr>
                <w:sz w:val="23"/>
                <w:szCs w:val="23"/>
                <w:color w:val="auto"/>
              </w:rPr>
            </w:pPr>
          </w:p>
        </w:tc>
        <w:tc>
          <w:tcPr>
            <w:tcW w:w="1680" w:type="dxa"/>
            <w:vAlign w:val="bottom"/>
            <w:gridSpan w:val="2"/>
            <w:shd w:val="clear" w:color="auto" w:fill="DCE2EF"/>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shd w:val="clear" w:color="auto" w:fill="DCE2EF"/>
          </w:tcPr>
          <w:p>
            <w:pPr>
              <w:spacing w:after="0"/>
              <w:rPr>
                <w:sz w:val="23"/>
                <w:szCs w:val="23"/>
                <w:color w:val="auto"/>
              </w:rPr>
            </w:pPr>
          </w:p>
        </w:tc>
        <w:tc>
          <w:tcPr>
            <w:tcW w:w="1620" w:type="dxa"/>
            <w:vAlign w:val="bottom"/>
            <w:shd w:val="clear" w:color="auto" w:fill="DCE2EF"/>
          </w:tcPr>
          <w:p>
            <w:pPr>
              <w:jc w:val="right"/>
              <w:ind w:right="19"/>
              <w:spacing w:after="0"/>
              <w:rPr>
                <w:sz w:val="20"/>
                <w:szCs w:val="20"/>
                <w:color w:val="auto"/>
              </w:rPr>
            </w:pPr>
            <w:r>
              <w:rPr>
                <w:rFonts w:ascii="Arial" w:cs="Arial" w:eastAsia="Arial" w:hAnsi="Arial"/>
                <w:sz w:val="16"/>
                <w:szCs w:val="16"/>
                <w:color w:val="auto"/>
              </w:rPr>
              <w:t>2.9</w:t>
            </w:r>
          </w:p>
        </w:tc>
      </w:tr>
      <w:tr>
        <w:trPr>
          <w:trHeight w:val="270"/>
        </w:trPr>
        <w:tc>
          <w:tcPr>
            <w:tcW w:w="6280" w:type="dxa"/>
            <w:vAlign w:val="bottom"/>
            <w:gridSpan w:val="3"/>
          </w:tcPr>
          <w:p>
            <w:pPr>
              <w:ind w:left="40"/>
              <w:spacing w:after="0"/>
              <w:rPr>
                <w:sz w:val="20"/>
                <w:szCs w:val="20"/>
                <w:color w:val="auto"/>
              </w:rPr>
            </w:pPr>
            <w:r>
              <w:rPr>
                <w:rFonts w:ascii="Arial" w:cs="Arial" w:eastAsia="Arial" w:hAnsi="Arial"/>
                <w:sz w:val="16"/>
                <w:szCs w:val="16"/>
                <w:color w:val="auto"/>
              </w:rPr>
              <w:t>Investments in auction rate securities</w:t>
            </w:r>
            <w:r>
              <w:rPr>
                <w:rFonts w:ascii="Arial" w:cs="Arial" w:eastAsia="Arial" w:hAnsi="Arial"/>
                <w:sz w:val="21"/>
                <w:szCs w:val="21"/>
                <w:color w:val="auto"/>
                <w:vertAlign w:val="superscript"/>
              </w:rPr>
              <w:t>(6)</w:t>
            </w:r>
          </w:p>
        </w:tc>
        <w:tc>
          <w:tcPr>
            <w:tcW w:w="1260" w:type="dxa"/>
            <w:vAlign w:val="bottom"/>
          </w:tcPr>
          <w:p>
            <w:pPr>
              <w:jc w:val="center"/>
              <w:spacing w:after="0"/>
              <w:rPr>
                <w:sz w:val="20"/>
                <w:szCs w:val="20"/>
                <w:color w:val="auto"/>
              </w:rPr>
            </w:pPr>
            <w:r>
              <w:rPr>
                <w:rFonts w:ascii="Arial" w:cs="Arial" w:eastAsia="Arial" w:hAnsi="Arial"/>
                <w:sz w:val="16"/>
                <w:szCs w:val="16"/>
                <w:color w:val="auto"/>
                <w:w w:val="89"/>
              </w:rPr>
              <w:t>3</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580" w:type="dxa"/>
            <w:vAlign w:val="bottom"/>
          </w:tcPr>
          <w:p>
            <w:pPr>
              <w:jc w:val="right"/>
              <w:ind w:right="39"/>
              <w:spacing w:after="0"/>
              <w:rPr>
                <w:sz w:val="20"/>
                <w:szCs w:val="20"/>
                <w:color w:val="auto"/>
              </w:rPr>
            </w:pPr>
            <w:r>
              <w:rPr>
                <w:rFonts w:ascii="Arial" w:cs="Arial" w:eastAsia="Arial" w:hAnsi="Arial"/>
                <w:sz w:val="16"/>
                <w:szCs w:val="16"/>
                <w:color w:val="auto"/>
              </w:rPr>
              <w:t>8.0</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620" w:type="dxa"/>
            <w:vAlign w:val="bottom"/>
          </w:tcPr>
          <w:p>
            <w:pPr>
              <w:jc w:val="right"/>
              <w:ind w:right="19"/>
              <w:spacing w:after="0"/>
              <w:rPr>
                <w:sz w:val="20"/>
                <w:szCs w:val="20"/>
                <w:color w:val="auto"/>
              </w:rPr>
            </w:pPr>
            <w:r>
              <w:rPr>
                <w:rFonts w:ascii="Arial" w:cs="Arial" w:eastAsia="Arial" w:hAnsi="Arial"/>
                <w:sz w:val="16"/>
                <w:szCs w:val="16"/>
                <w:color w:val="auto"/>
              </w:rPr>
              <w:t>8.0</w:t>
            </w:r>
          </w:p>
        </w:tc>
      </w:tr>
      <w:tr>
        <w:trPr>
          <w:trHeight w:val="270"/>
        </w:trPr>
        <w:tc>
          <w:tcPr>
            <w:tcW w:w="6280" w:type="dxa"/>
            <w:vAlign w:val="bottom"/>
            <w:gridSpan w:val="3"/>
            <w:shd w:val="clear" w:color="auto" w:fill="DCE2EF"/>
          </w:tcPr>
          <w:p>
            <w:pPr>
              <w:ind w:left="40"/>
              <w:spacing w:after="0"/>
              <w:rPr>
                <w:sz w:val="20"/>
                <w:szCs w:val="20"/>
                <w:color w:val="auto"/>
              </w:rPr>
            </w:pPr>
            <w:r>
              <w:rPr>
                <w:rFonts w:ascii="Arial" w:cs="Arial" w:eastAsia="Arial" w:hAnsi="Arial"/>
                <w:sz w:val="16"/>
                <w:szCs w:val="16"/>
                <w:color w:val="auto"/>
              </w:rPr>
              <w:t>Contingent consideration liability</w:t>
            </w:r>
            <w:r>
              <w:rPr>
                <w:rFonts w:ascii="Arial" w:cs="Arial" w:eastAsia="Arial" w:hAnsi="Arial"/>
                <w:sz w:val="21"/>
                <w:szCs w:val="21"/>
                <w:color w:val="auto"/>
                <w:vertAlign w:val="superscript"/>
              </w:rPr>
              <w:t>(7)</w:t>
            </w:r>
          </w:p>
        </w:tc>
        <w:tc>
          <w:tcPr>
            <w:tcW w:w="1260" w:type="dxa"/>
            <w:vAlign w:val="bottom"/>
            <w:shd w:val="clear" w:color="auto" w:fill="DCE2EF"/>
          </w:tcPr>
          <w:p>
            <w:pPr>
              <w:jc w:val="center"/>
              <w:spacing w:after="0"/>
              <w:rPr>
                <w:sz w:val="20"/>
                <w:szCs w:val="20"/>
                <w:color w:val="auto"/>
              </w:rPr>
            </w:pPr>
            <w:r>
              <w:rPr>
                <w:rFonts w:ascii="Arial" w:cs="Arial" w:eastAsia="Arial" w:hAnsi="Arial"/>
                <w:sz w:val="16"/>
                <w:szCs w:val="16"/>
                <w:color w:val="auto"/>
                <w:w w:val="89"/>
              </w:rPr>
              <w:t>3</w:t>
            </w:r>
          </w:p>
        </w:tc>
        <w:tc>
          <w:tcPr>
            <w:tcW w:w="120" w:type="dxa"/>
            <w:vAlign w:val="bottom"/>
            <w:shd w:val="clear" w:color="auto" w:fill="DCE2EF"/>
          </w:tcPr>
          <w:p>
            <w:pPr>
              <w:spacing w:after="0"/>
              <w:rPr>
                <w:sz w:val="23"/>
                <w:szCs w:val="23"/>
                <w:color w:val="auto"/>
              </w:rPr>
            </w:pPr>
          </w:p>
        </w:tc>
        <w:tc>
          <w:tcPr>
            <w:tcW w:w="240" w:type="dxa"/>
            <w:vAlign w:val="bottom"/>
            <w:shd w:val="clear" w:color="auto" w:fill="DCE2EF"/>
          </w:tcPr>
          <w:p>
            <w:pPr>
              <w:spacing w:after="0"/>
              <w:rPr>
                <w:sz w:val="23"/>
                <w:szCs w:val="23"/>
                <w:color w:val="auto"/>
              </w:rPr>
            </w:pPr>
          </w:p>
        </w:tc>
        <w:tc>
          <w:tcPr>
            <w:tcW w:w="1580" w:type="dxa"/>
            <w:vAlign w:val="bottom"/>
            <w:shd w:val="clear" w:color="auto" w:fill="DCE2EF"/>
          </w:tcPr>
          <w:p>
            <w:pPr>
              <w:jc w:val="right"/>
              <w:ind w:right="39"/>
              <w:spacing w:after="0"/>
              <w:rPr>
                <w:sz w:val="20"/>
                <w:szCs w:val="20"/>
                <w:color w:val="auto"/>
              </w:rPr>
            </w:pPr>
            <w:r>
              <w:rPr>
                <w:rFonts w:ascii="Arial" w:cs="Arial" w:eastAsia="Arial" w:hAnsi="Arial"/>
                <w:sz w:val="16"/>
                <w:szCs w:val="16"/>
                <w:color w:val="auto"/>
              </w:rPr>
              <w:t>0.9</w:t>
            </w:r>
          </w:p>
        </w:tc>
        <w:tc>
          <w:tcPr>
            <w:tcW w:w="100" w:type="dxa"/>
            <w:vAlign w:val="bottom"/>
            <w:shd w:val="clear" w:color="auto" w:fill="DCE2EF"/>
          </w:tcPr>
          <w:p>
            <w:pPr>
              <w:spacing w:after="0"/>
              <w:rPr>
                <w:sz w:val="23"/>
                <w:szCs w:val="23"/>
                <w:color w:val="auto"/>
              </w:rPr>
            </w:pPr>
          </w:p>
        </w:tc>
        <w:tc>
          <w:tcPr>
            <w:tcW w:w="200" w:type="dxa"/>
            <w:vAlign w:val="bottom"/>
            <w:shd w:val="clear" w:color="auto" w:fill="DCE2EF"/>
          </w:tcPr>
          <w:p>
            <w:pPr>
              <w:spacing w:after="0"/>
              <w:rPr>
                <w:sz w:val="23"/>
                <w:szCs w:val="23"/>
                <w:color w:val="auto"/>
              </w:rPr>
            </w:pPr>
          </w:p>
        </w:tc>
        <w:tc>
          <w:tcPr>
            <w:tcW w:w="1620" w:type="dxa"/>
            <w:vAlign w:val="bottom"/>
            <w:shd w:val="clear" w:color="auto" w:fill="DCE2EF"/>
          </w:tcPr>
          <w:p>
            <w:pPr>
              <w:jc w:val="right"/>
              <w:ind w:right="19"/>
              <w:spacing w:after="0"/>
              <w:rPr>
                <w:sz w:val="20"/>
                <w:szCs w:val="20"/>
                <w:color w:val="auto"/>
              </w:rPr>
            </w:pPr>
            <w:r>
              <w:rPr>
                <w:rFonts w:ascii="Arial" w:cs="Arial" w:eastAsia="Arial" w:hAnsi="Arial"/>
                <w:sz w:val="16"/>
                <w:szCs w:val="16"/>
                <w:color w:val="auto"/>
              </w:rPr>
              <w:t>0.9</w:t>
            </w:r>
          </w:p>
        </w:tc>
      </w:tr>
    </w:tbl>
    <w:p>
      <w:pPr>
        <w:spacing w:after="0" w:line="63" w:lineRule="exact"/>
        <w:rPr>
          <w:sz w:val="20"/>
          <w:szCs w:val="20"/>
          <w:color w:val="auto"/>
        </w:rPr>
      </w:pPr>
    </w:p>
    <w:p>
      <w:pPr>
        <w:ind w:left="180" w:hanging="172"/>
        <w:spacing w:after="0"/>
        <w:tabs>
          <w:tab w:leader="none" w:pos="180" w:val="left"/>
        </w:tabs>
        <w:numPr>
          <w:ilvl w:val="0"/>
          <w:numId w:val="8"/>
        </w:numPr>
        <w:rPr>
          <w:rFonts w:ascii="Arial" w:cs="Arial" w:eastAsia="Arial" w:hAnsi="Arial"/>
          <w:sz w:val="21"/>
          <w:szCs w:val="21"/>
          <w:color w:val="auto"/>
          <w:vertAlign w:val="superscript"/>
        </w:rPr>
      </w:pPr>
      <w:r>
        <w:rPr>
          <w:rFonts w:ascii="Arial" w:cs="Arial" w:eastAsia="Arial" w:hAnsi="Arial"/>
          <w:sz w:val="15"/>
          <w:szCs w:val="15"/>
          <w:color w:val="auto"/>
        </w:rPr>
        <w:t>Cash and cash equivalents are stated at nominal value, which equals fair value.</w:t>
      </w:r>
    </w:p>
    <w:p>
      <w:pPr>
        <w:spacing w:after="0" w:line="102" w:lineRule="exact"/>
        <w:rPr>
          <w:rFonts w:ascii="Arial" w:cs="Arial" w:eastAsia="Arial" w:hAnsi="Arial"/>
          <w:sz w:val="21"/>
          <w:szCs w:val="21"/>
          <w:color w:val="auto"/>
          <w:vertAlign w:val="superscript"/>
        </w:rPr>
      </w:pPr>
    </w:p>
    <w:p>
      <w:pPr>
        <w:jc w:val="both"/>
        <w:ind w:firstLine="8"/>
        <w:spacing w:after="0" w:line="411" w:lineRule="auto"/>
        <w:tabs>
          <w:tab w:leader="none" w:pos="176" w:val="left"/>
        </w:tabs>
        <w:numPr>
          <w:ilvl w:val="0"/>
          <w:numId w:val="8"/>
        </w:numPr>
        <w:rPr>
          <w:rFonts w:ascii="Arial" w:cs="Arial" w:eastAsia="Arial" w:hAnsi="Arial"/>
          <w:sz w:val="19"/>
          <w:szCs w:val="19"/>
          <w:color w:val="auto"/>
          <w:vertAlign w:val="superscript"/>
        </w:rPr>
      </w:pPr>
      <w:r>
        <w:rPr>
          <w:rFonts w:ascii="Arial" w:cs="Arial" w:eastAsia="Arial" w:hAnsi="Arial"/>
          <w:sz w:val="15"/>
          <w:szCs w:val="15"/>
          <w:color w:val="auto"/>
        </w:rPr>
        <w:t>Represents restricted deposits that are used to collateralize our insurance obligations and are stated at nominal value, which equals fair value. These insurance deposits are included in “Other noncurrent assets” on the accompanying unaudited consolidated balance sheets. See Note 8, “Insurance,” for further information.</w:t>
      </w:r>
    </w:p>
    <w:p>
      <w:pPr>
        <w:spacing w:after="0" w:line="5" w:lineRule="exact"/>
        <w:rPr>
          <w:rFonts w:ascii="Arial" w:cs="Arial" w:eastAsia="Arial" w:hAnsi="Arial"/>
          <w:sz w:val="19"/>
          <w:szCs w:val="19"/>
          <w:color w:val="auto"/>
          <w:vertAlign w:val="superscript"/>
        </w:rPr>
      </w:pPr>
    </w:p>
    <w:p>
      <w:pPr>
        <w:jc w:val="both"/>
        <w:ind w:firstLine="8"/>
        <w:spacing w:after="0" w:line="437" w:lineRule="auto"/>
        <w:tabs>
          <w:tab w:leader="none" w:pos="162" w:val="left"/>
        </w:tabs>
        <w:numPr>
          <w:ilvl w:val="0"/>
          <w:numId w:val="8"/>
        </w:numPr>
        <w:rPr>
          <w:rFonts w:ascii="Arial" w:cs="Arial" w:eastAsia="Arial" w:hAnsi="Arial"/>
          <w:sz w:val="18"/>
          <w:szCs w:val="18"/>
          <w:color w:val="auto"/>
          <w:vertAlign w:val="superscript"/>
        </w:rPr>
      </w:pPr>
      <w:r>
        <w:rPr>
          <w:rFonts w:ascii="Arial" w:cs="Arial" w:eastAsia="Arial" w:hAnsi="Arial"/>
          <w:sz w:val="14"/>
          <w:szCs w:val="14"/>
          <w:color w:val="auto"/>
        </w:rPr>
        <w:t>Represents investments held in a Rabbi trust associated with one of our deferred compensation plans, which we include in “Other noncurrent assets” on the accompanying unaudited consolidated balance sheets. The fair value of the assets held in the funded deferred compensation plan is based on quoted market prices.</w:t>
      </w:r>
    </w:p>
    <w:p>
      <w:pPr>
        <w:spacing w:after="0" w:line="5" w:lineRule="exact"/>
        <w:rPr>
          <w:rFonts w:ascii="Arial" w:cs="Arial" w:eastAsia="Arial" w:hAnsi="Arial"/>
          <w:sz w:val="18"/>
          <w:szCs w:val="18"/>
          <w:color w:val="auto"/>
          <w:vertAlign w:val="superscript"/>
        </w:rPr>
      </w:pPr>
    </w:p>
    <w:p>
      <w:pPr>
        <w:ind w:firstLine="8"/>
        <w:spacing w:after="0" w:line="263" w:lineRule="auto"/>
        <w:tabs>
          <w:tab w:leader="none" w:pos="162" w:val="left"/>
        </w:tabs>
        <w:numPr>
          <w:ilvl w:val="0"/>
          <w:numId w:val="8"/>
        </w:numPr>
        <w:rPr>
          <w:rFonts w:ascii="Arial" w:cs="Arial" w:eastAsia="Arial" w:hAnsi="Arial"/>
          <w:sz w:val="18"/>
          <w:szCs w:val="18"/>
          <w:color w:val="auto"/>
          <w:vertAlign w:val="superscript"/>
        </w:rPr>
      </w:pPr>
      <w:r>
        <w:rPr>
          <w:rFonts w:ascii="Arial" w:cs="Arial" w:eastAsia="Arial" w:hAnsi="Arial"/>
          <w:sz w:val="14"/>
          <w:szCs w:val="14"/>
          <w:color w:val="auto"/>
        </w:rPr>
        <w:t>Represents gross outstanding borrowings under our syndicated line of credit and term loan. Due to variable interest rates, the carrying value of outstanding borrowings under our line of credit and term loan approximates the fair value. See Note 9, “Credit Facility,” for further information.</w:t>
      </w:r>
    </w:p>
    <w:p>
      <w:pPr>
        <w:spacing w:after="0" w:line="82" w:lineRule="exact"/>
        <w:rPr>
          <w:rFonts w:ascii="Arial" w:cs="Arial" w:eastAsia="Arial" w:hAnsi="Arial"/>
          <w:sz w:val="18"/>
          <w:szCs w:val="18"/>
          <w:color w:val="auto"/>
          <w:vertAlign w:val="superscript"/>
        </w:rPr>
      </w:pPr>
    </w:p>
    <w:p>
      <w:pPr>
        <w:jc w:val="both"/>
        <w:ind w:firstLine="8"/>
        <w:spacing w:after="0" w:line="272" w:lineRule="auto"/>
        <w:tabs>
          <w:tab w:leader="none" w:pos="162" w:val="left"/>
        </w:tabs>
        <w:numPr>
          <w:ilvl w:val="0"/>
          <w:numId w:val="8"/>
        </w:numPr>
        <w:rPr>
          <w:rFonts w:ascii="Arial" w:cs="Arial" w:eastAsia="Arial" w:hAnsi="Arial"/>
          <w:sz w:val="18"/>
          <w:szCs w:val="18"/>
          <w:color w:val="auto"/>
          <w:vertAlign w:val="superscript"/>
        </w:rPr>
      </w:pPr>
      <w:r>
        <w:rPr>
          <w:rFonts w:ascii="Arial" w:cs="Arial" w:eastAsia="Arial" w:hAnsi="Arial"/>
          <w:sz w:val="14"/>
          <w:szCs w:val="14"/>
          <w:color w:val="auto"/>
        </w:rPr>
        <w:t>Represents interest rate swap derivatives designated as cash flow hedges. The fair values of the interest rate swaps are estimated based on the present value of the difference between expected cash flows calculated at the contracted interest rates and the expected cash flows at current market interest rates using observable benchmarks for LIBOR forward rates at the end of the period. At October 31, 2017, these interest rate swaps were included in “Other noncurrent assets” on the accompanying unaudited consolidated balance sheets. During April 2018, we elected to terminate our interest rate swaps. See Note 9, “Credit Facility,” for further information.</w:t>
      </w:r>
    </w:p>
    <w:p>
      <w:pPr>
        <w:spacing w:after="0" w:line="271" w:lineRule="exact"/>
        <w:rPr>
          <w:rFonts w:ascii="Arial" w:cs="Arial" w:eastAsia="Arial" w:hAnsi="Arial"/>
          <w:sz w:val="18"/>
          <w:szCs w:val="18"/>
          <w:color w:val="auto"/>
          <w:vertAlign w:val="superscript"/>
        </w:rPr>
      </w:pPr>
    </w:p>
    <w:p>
      <w:pPr>
        <w:jc w:val="both"/>
        <w:ind w:firstLine="8"/>
        <w:spacing w:after="0" w:line="358" w:lineRule="auto"/>
        <w:tabs>
          <w:tab w:leader="none" w:pos="162" w:val="left"/>
        </w:tabs>
        <w:numPr>
          <w:ilvl w:val="0"/>
          <w:numId w:val="8"/>
        </w:numPr>
        <w:rPr>
          <w:rFonts w:ascii="Arial" w:cs="Arial" w:eastAsia="Arial" w:hAnsi="Arial"/>
          <w:sz w:val="18"/>
          <w:szCs w:val="18"/>
          <w:color w:val="auto"/>
          <w:vertAlign w:val="superscript"/>
        </w:rPr>
      </w:pPr>
      <w:r>
        <w:rPr>
          <w:rFonts w:ascii="Arial" w:cs="Arial" w:eastAsia="Arial" w:hAnsi="Arial"/>
          <w:sz w:val="14"/>
          <w:szCs w:val="14"/>
          <w:color w:val="auto"/>
        </w:rPr>
        <w:t>The fair value of investments in auction rate securities is based on discounted cash flow valuation models, primarily utilizing unobservable inputs, including assumptions about the underlying collateral, credit risks associated with the issuer, credit enhancements associated with financial insurance guarantees, and the possibility of the security being re-financed by the issuer or having a successful auction. These amounts are included in “Other investments” on the accompanying unaudited consolidated balance sheets. On May 16, 2018, we sold one of these securities. See Note 7, “Auction Rate Securities,” for further information.</w:t>
      </w:r>
    </w:p>
    <w:p>
      <w:pPr>
        <w:spacing w:after="0" w:line="24" w:lineRule="exact"/>
        <w:rPr>
          <w:rFonts w:ascii="Arial" w:cs="Arial" w:eastAsia="Arial" w:hAnsi="Arial"/>
          <w:sz w:val="18"/>
          <w:szCs w:val="18"/>
          <w:color w:val="auto"/>
          <w:vertAlign w:val="superscript"/>
        </w:rPr>
      </w:pPr>
    </w:p>
    <w:p>
      <w:pPr>
        <w:jc w:val="both"/>
        <w:ind w:firstLine="8"/>
        <w:spacing w:after="0" w:line="260" w:lineRule="auto"/>
        <w:tabs>
          <w:tab w:leader="none" w:pos="162" w:val="left"/>
        </w:tabs>
        <w:numPr>
          <w:ilvl w:val="0"/>
          <w:numId w:val="8"/>
        </w:numPr>
        <w:rPr>
          <w:rFonts w:ascii="Arial" w:cs="Arial" w:eastAsia="Arial" w:hAnsi="Arial"/>
          <w:sz w:val="18"/>
          <w:szCs w:val="18"/>
          <w:color w:val="auto"/>
          <w:vertAlign w:val="superscript"/>
        </w:rPr>
      </w:pPr>
      <w:r>
        <w:rPr>
          <w:rFonts w:ascii="Arial" w:cs="Arial" w:eastAsia="Arial" w:hAnsi="Arial"/>
          <w:sz w:val="14"/>
          <w:szCs w:val="14"/>
          <w:color w:val="auto"/>
        </w:rPr>
        <w:t>Certain of our acquisitions involve the payment of contingent consideration. The fair value of these liabilities is based on the expected achievement of certain pre-established revenue goals. Our contingent consideration liability is included in “Other accrued liabilities” and “Other noncurrent liabilities” on the accompanying unaudited consolidated balance sheets.</w:t>
      </w:r>
    </w:p>
    <w:p>
      <w:pPr>
        <w:spacing w:after="0" w:line="32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During the six months ended April 30, 2018, we had no transfers of assets or liabilities between any of the above hierarchy levels.</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0046AD"/>
        </w:rPr>
        <w:t>Non-Financial Assets Measured at Fair Value on a Non-Recurring Basis</w:t>
      </w:r>
    </w:p>
    <w:p>
      <w:pPr>
        <w:spacing w:after="0" w:line="193"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6"/>
          <w:szCs w:val="16"/>
          <w:color w:val="auto"/>
        </w:rPr>
        <w:t>I</w:t>
      </w:r>
      <w:r>
        <w:rPr>
          <w:rFonts w:ascii="Arial" w:cs="Arial" w:eastAsia="Arial" w:hAnsi="Arial"/>
          <w:sz w:val="18"/>
          <w:szCs w:val="18"/>
          <w:color w:val="auto"/>
        </w:rPr>
        <w:t>n certain circumstances we measure certain assets that are subject to fair value adjustments at fair value on a non-recurring basis.</w:t>
      </w:r>
      <w:r>
        <w:rPr>
          <w:rFonts w:ascii="Arial" w:cs="Arial" w:eastAsia="Arial" w:hAnsi="Arial"/>
          <w:sz w:val="16"/>
          <w:szCs w:val="16"/>
          <w:color w:val="auto"/>
        </w:rPr>
        <w:t xml:space="preserve"> </w:t>
      </w:r>
      <w:r>
        <w:rPr>
          <w:rFonts w:ascii="Arial" w:cs="Arial" w:eastAsia="Arial" w:hAnsi="Arial"/>
          <w:sz w:val="18"/>
          <w:szCs w:val="18"/>
          <w:color w:val="auto"/>
        </w:rPr>
        <w:t>These assets can include: goodwill; intangible assets; property, plant and equipment; and long-lived assets that have been reduced to fair value when they are held for sale.</w:t>
      </w:r>
    </w:p>
    <w:p>
      <w:pPr>
        <w:spacing w:after="0" w:line="148"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On November 1, 2017, we reorganized our reportable segments and goodwill reporting units. In connection with this reorganization, we performed a qualitative goodwill impairment test immediately before and after the segment realignment. In analyzing the results of operations and business conditions of the goodwill reporting units, we determined the likelihood of a goodwill impairment did not reach the more-likely-than-not threshold specified in U.S. GAAP for any of the reporting units that were evaluated. Accordingly, we concluded that goodwill related to those reporting units was not impaired and further quantitative testing was not required.</w:t>
      </w: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522" w:right="239" w:bottom="1440" w:gutter="0" w:footer="0" w:header="0"/>
        </w:sectPr>
      </w:pPr>
    </w:p>
    <w:bookmarkStart w:id="15" w:name="page16"/>
    <w:bookmarkEnd w:id="15"/>
    <w:p>
      <w:pPr>
        <w:spacing w:after="0"/>
        <w:rPr>
          <w:sz w:val="20"/>
          <w:szCs w:val="20"/>
          <w:color w:val="auto"/>
        </w:rPr>
      </w:pPr>
      <w:r>
        <w:rPr>
          <w:rFonts w:ascii="Arial" w:cs="Arial" w:eastAsia="Arial" w:hAnsi="Arial"/>
          <w:sz w:val="18"/>
          <w:szCs w:val="18"/>
          <w:b w:val="1"/>
          <w:bCs w:val="1"/>
          <w:color w:val="0046AD"/>
        </w:rPr>
        <w:t>7. AUCTION RATE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106045</wp:posOffset>
            </wp:positionV>
            <wp:extent cx="723773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37730" cy="8890"/>
                    </a:xfrm>
                    <a:prstGeom prst="rect">
                      <a:avLst/>
                    </a:prstGeom>
                    <a:noFill/>
                  </pic:spPr>
                </pic:pic>
              </a:graphicData>
            </a:graphic>
          </wp:anchor>
        </w:drawing>
      </w:r>
    </w:p>
    <w:p>
      <w:pPr>
        <w:spacing w:after="0" w:line="200" w:lineRule="exact"/>
        <w:rPr>
          <w:sz w:val="20"/>
          <w:szCs w:val="20"/>
          <w:color w:val="auto"/>
        </w:rPr>
      </w:pPr>
    </w:p>
    <w:p>
      <w:pPr>
        <w:spacing w:after="0" w:line="243"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At April 30, 2018 and October 31, 2017, we held investments in auction rate securities from two different issuers that had an aggregate original principal amount of $10.0 million and an amortized cost and fair value of $8.0 million. These two auction rate securities are debt instruments with stated maturities in 2036 and 2050. The interest rates for these securities are designed to be reset through Dutch auctions approximately every thirty days, but auctions for these securities have not occurred since August 2007. On May 16, 2018, we sold one of our auction rate securities with an original par value of $5.0 million and an amortized cost basis of $3.0 million for proceeds of $2.9 million.</w:t>
      </w:r>
    </w:p>
    <w:p>
      <w:pPr>
        <w:spacing w:after="0" w:line="152"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color w:val="auto"/>
        </w:rPr>
        <w:t>At April 30, 2018 and October 31, 2017, there were no unrealized gains or losses on our auction rate securities included in accumulated other comprehensive income (loss), net of taxes (“AOCI”), and the total amount of other-than-temporary impairment credit loss on our auction rate security investments included in our retained earnings was $2.0 million.</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0046AD"/>
        </w:rPr>
        <w:t>Significant Assumptions Used to Determine the Fair Values of Our Auction Rate Securities</w:t>
      </w:r>
    </w:p>
    <w:p>
      <w:pPr>
        <w:spacing w:after="0" w:line="347" w:lineRule="exact"/>
        <w:rPr>
          <w:sz w:val="20"/>
          <w:szCs w:val="20"/>
          <w:color w:val="auto"/>
        </w:rPr>
      </w:pPr>
    </w:p>
    <w:tbl>
      <w:tblPr>
        <w:tblLayout w:type="fixed"/>
        <w:tblInd w:w="0" w:type="dxa"/>
        <w:tblCellMar>
          <w:top w:w="0" w:type="dxa"/>
          <w:left w:w="0" w:type="dxa"/>
          <w:bottom w:w="0" w:type="dxa"/>
          <w:right w:w="0" w:type="dxa"/>
        </w:tblCellMar>
      </w:tblPr>
      <w:tr>
        <w:trPr>
          <w:trHeight w:val="246"/>
        </w:trPr>
        <w:tc>
          <w:tcPr>
            <w:tcW w:w="3660" w:type="dxa"/>
            <w:vAlign w:val="bottom"/>
            <w:tcBorders>
              <w:bottom w:val="single" w:sz="8" w:color="auto"/>
            </w:tcBorders>
          </w:tcPr>
          <w:p>
            <w:pPr>
              <w:ind w:left="40"/>
              <w:spacing w:after="0"/>
              <w:rPr>
                <w:sz w:val="20"/>
                <w:szCs w:val="20"/>
                <w:color w:val="auto"/>
              </w:rPr>
            </w:pPr>
            <w:r>
              <w:rPr>
                <w:rFonts w:ascii="Arial" w:cs="Arial" w:eastAsia="Arial" w:hAnsi="Arial"/>
                <w:sz w:val="18"/>
                <w:szCs w:val="18"/>
                <w:b w:val="1"/>
                <w:bCs w:val="1"/>
                <w:color w:val="auto"/>
              </w:rPr>
              <w:t>Assumption</w:t>
            </w:r>
          </w:p>
        </w:tc>
        <w:tc>
          <w:tcPr>
            <w:tcW w:w="120" w:type="dxa"/>
            <w:vAlign w:val="bottom"/>
            <w:tcBorders>
              <w:bottom w:val="single" w:sz="8" w:color="DCE2EF"/>
            </w:tcBorders>
          </w:tcPr>
          <w:p>
            <w:pPr>
              <w:spacing w:after="0"/>
              <w:rPr>
                <w:sz w:val="21"/>
                <w:szCs w:val="21"/>
                <w:color w:val="auto"/>
              </w:rPr>
            </w:pPr>
          </w:p>
        </w:tc>
        <w:tc>
          <w:tcPr>
            <w:tcW w:w="37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April 30, 2018</w:t>
            </w:r>
          </w:p>
        </w:tc>
        <w:tc>
          <w:tcPr>
            <w:tcW w:w="100" w:type="dxa"/>
            <w:vAlign w:val="bottom"/>
            <w:tcBorders>
              <w:bottom w:val="single" w:sz="8" w:color="DCE2EF"/>
            </w:tcBorders>
          </w:tcPr>
          <w:p>
            <w:pPr>
              <w:spacing w:after="0"/>
              <w:rPr>
                <w:sz w:val="21"/>
                <w:szCs w:val="21"/>
                <w:color w:val="auto"/>
              </w:rPr>
            </w:pPr>
          </w:p>
        </w:tc>
        <w:tc>
          <w:tcPr>
            <w:tcW w:w="3760" w:type="dxa"/>
            <w:vAlign w:val="bottom"/>
            <w:tcBorders>
              <w:bottom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w w:val="99"/>
              </w:rPr>
              <w:t>October 31, 2017</w:t>
            </w:r>
          </w:p>
        </w:tc>
      </w:tr>
      <w:tr>
        <w:trPr>
          <w:trHeight w:val="257"/>
        </w:trPr>
        <w:tc>
          <w:tcPr>
            <w:tcW w:w="3780" w:type="dxa"/>
            <w:vAlign w:val="bottom"/>
            <w:gridSpan w:val="2"/>
            <w:shd w:val="clear" w:color="auto" w:fill="DCE2EF"/>
          </w:tcPr>
          <w:p>
            <w:pPr>
              <w:ind w:left="40"/>
              <w:spacing w:after="0"/>
              <w:rPr>
                <w:sz w:val="20"/>
                <w:szCs w:val="20"/>
                <w:color w:val="auto"/>
              </w:rPr>
            </w:pPr>
            <w:r>
              <w:rPr>
                <w:rFonts w:ascii="Arial" w:cs="Arial" w:eastAsia="Arial" w:hAnsi="Arial"/>
                <w:sz w:val="18"/>
                <w:szCs w:val="18"/>
                <w:color w:val="auto"/>
              </w:rPr>
              <w:t>Discount rates</w:t>
            </w:r>
          </w:p>
        </w:tc>
        <w:tc>
          <w:tcPr>
            <w:tcW w:w="3880" w:type="dxa"/>
            <w:vAlign w:val="bottom"/>
            <w:gridSpan w:val="2"/>
            <w:shd w:val="clear" w:color="auto" w:fill="DCE2EF"/>
          </w:tcPr>
          <w:p>
            <w:pPr>
              <w:jc w:val="center"/>
              <w:ind w:right="100"/>
              <w:spacing w:after="0"/>
              <w:rPr>
                <w:sz w:val="20"/>
                <w:szCs w:val="20"/>
                <w:color w:val="auto"/>
              </w:rPr>
            </w:pPr>
            <w:r>
              <w:rPr>
                <w:rFonts w:ascii="Arial" w:cs="Arial" w:eastAsia="Arial" w:hAnsi="Arial"/>
                <w:sz w:val="18"/>
                <w:szCs w:val="18"/>
                <w:color w:val="auto"/>
                <w:w w:val="99"/>
              </w:rPr>
              <w:t>L + 0.47% and L + 0.74%</w:t>
            </w:r>
          </w:p>
        </w:tc>
        <w:tc>
          <w:tcPr>
            <w:tcW w:w="3760" w:type="dxa"/>
            <w:vAlign w:val="bottom"/>
            <w:gridSpan w:val="2"/>
            <w:shd w:val="clear" w:color="auto" w:fill="DCE2EF"/>
          </w:tcPr>
          <w:p>
            <w:pPr>
              <w:jc w:val="center"/>
              <w:spacing w:after="0"/>
              <w:rPr>
                <w:sz w:val="20"/>
                <w:szCs w:val="20"/>
                <w:color w:val="auto"/>
              </w:rPr>
            </w:pPr>
            <w:r>
              <w:rPr>
                <w:rFonts w:ascii="Arial" w:cs="Arial" w:eastAsia="Arial" w:hAnsi="Arial"/>
                <w:sz w:val="18"/>
                <w:szCs w:val="18"/>
                <w:color w:val="auto"/>
              </w:rPr>
              <w:t>L + 0.42% and L + 0.79%</w:t>
            </w:r>
          </w:p>
        </w:tc>
      </w:tr>
      <w:tr>
        <w:trPr>
          <w:trHeight w:val="263"/>
        </w:trPr>
        <w:tc>
          <w:tcPr>
            <w:tcW w:w="3780" w:type="dxa"/>
            <w:vAlign w:val="bottom"/>
            <w:gridSpan w:val="2"/>
          </w:tcPr>
          <w:p>
            <w:pPr>
              <w:ind w:left="40"/>
              <w:spacing w:after="0"/>
              <w:rPr>
                <w:sz w:val="20"/>
                <w:szCs w:val="20"/>
                <w:color w:val="auto"/>
              </w:rPr>
            </w:pPr>
            <w:r>
              <w:rPr>
                <w:rFonts w:ascii="Arial" w:cs="Arial" w:eastAsia="Arial" w:hAnsi="Arial"/>
                <w:sz w:val="18"/>
                <w:szCs w:val="18"/>
                <w:color w:val="auto"/>
              </w:rPr>
              <w:t>Yields</w:t>
            </w:r>
          </w:p>
        </w:tc>
        <w:tc>
          <w:tcPr>
            <w:tcW w:w="388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2.15%, L + 2.00%</w:t>
            </w:r>
          </w:p>
        </w:tc>
        <w:tc>
          <w:tcPr>
            <w:tcW w:w="3760" w:type="dxa"/>
            <w:vAlign w:val="bottom"/>
            <w:gridSpan w:val="2"/>
          </w:tcPr>
          <w:p>
            <w:pPr>
              <w:jc w:val="center"/>
              <w:spacing w:after="0"/>
              <w:rPr>
                <w:sz w:val="20"/>
                <w:szCs w:val="20"/>
                <w:color w:val="auto"/>
              </w:rPr>
            </w:pPr>
            <w:r>
              <w:rPr>
                <w:rFonts w:ascii="Arial" w:cs="Arial" w:eastAsia="Arial" w:hAnsi="Arial"/>
                <w:sz w:val="18"/>
                <w:szCs w:val="18"/>
                <w:color w:val="auto"/>
              </w:rPr>
              <w:t>2.15%, L + 2.00%</w:t>
            </w:r>
          </w:p>
        </w:tc>
      </w:tr>
      <w:tr>
        <w:trPr>
          <w:trHeight w:val="277"/>
        </w:trPr>
        <w:tc>
          <w:tcPr>
            <w:tcW w:w="3780" w:type="dxa"/>
            <w:vAlign w:val="bottom"/>
            <w:gridSpan w:val="2"/>
            <w:shd w:val="clear" w:color="auto" w:fill="DCE2EF"/>
          </w:tcPr>
          <w:p>
            <w:pPr>
              <w:ind w:left="40"/>
              <w:spacing w:after="0"/>
              <w:rPr>
                <w:sz w:val="20"/>
                <w:szCs w:val="20"/>
                <w:color w:val="auto"/>
              </w:rPr>
            </w:pPr>
            <w:r>
              <w:rPr>
                <w:rFonts w:ascii="Arial" w:cs="Arial" w:eastAsia="Arial" w:hAnsi="Arial"/>
                <w:sz w:val="18"/>
                <w:szCs w:val="18"/>
                <w:color w:val="auto"/>
              </w:rPr>
              <w:t>Average expected lives</w:t>
            </w:r>
          </w:p>
        </w:tc>
        <w:tc>
          <w:tcPr>
            <w:tcW w:w="3880" w:type="dxa"/>
            <w:vAlign w:val="bottom"/>
            <w:gridSpan w:val="2"/>
            <w:shd w:val="clear" w:color="auto" w:fill="DCE2EF"/>
          </w:tcPr>
          <w:p>
            <w:pPr>
              <w:jc w:val="center"/>
              <w:ind w:right="100"/>
              <w:spacing w:after="0"/>
              <w:rPr>
                <w:sz w:val="20"/>
                <w:szCs w:val="20"/>
                <w:color w:val="auto"/>
              </w:rPr>
            </w:pPr>
            <w:r>
              <w:rPr>
                <w:rFonts w:ascii="Arial" w:cs="Arial" w:eastAsia="Arial" w:hAnsi="Arial"/>
                <w:sz w:val="18"/>
                <w:szCs w:val="18"/>
                <w:color w:val="auto"/>
                <w:w w:val="98"/>
              </w:rPr>
              <w:t>4 – 10 years</w:t>
            </w:r>
          </w:p>
        </w:tc>
        <w:tc>
          <w:tcPr>
            <w:tcW w:w="3760" w:type="dxa"/>
            <w:vAlign w:val="bottom"/>
            <w:gridSpan w:val="2"/>
            <w:shd w:val="clear" w:color="auto" w:fill="DCE2EF"/>
          </w:tcPr>
          <w:p>
            <w:pPr>
              <w:jc w:val="center"/>
              <w:spacing w:after="0"/>
              <w:rPr>
                <w:sz w:val="20"/>
                <w:szCs w:val="20"/>
                <w:color w:val="auto"/>
              </w:rPr>
            </w:pPr>
            <w:r>
              <w:rPr>
                <w:rFonts w:ascii="Arial" w:cs="Arial" w:eastAsia="Arial" w:hAnsi="Arial"/>
                <w:sz w:val="18"/>
                <w:szCs w:val="18"/>
                <w:color w:val="auto"/>
              </w:rPr>
              <w:t>4 – 10 years</w:t>
            </w:r>
          </w:p>
        </w:tc>
      </w:tr>
      <w:tr>
        <w:trPr>
          <w:trHeight w:val="359"/>
        </w:trPr>
        <w:tc>
          <w:tcPr>
            <w:tcW w:w="3780" w:type="dxa"/>
            <w:vAlign w:val="bottom"/>
            <w:gridSpan w:val="2"/>
          </w:tcPr>
          <w:p>
            <w:pPr>
              <w:spacing w:after="0"/>
              <w:rPr>
                <w:sz w:val="20"/>
                <w:szCs w:val="20"/>
                <w:color w:val="auto"/>
              </w:rPr>
            </w:pPr>
            <w:r>
              <w:rPr>
                <w:rFonts w:ascii="Arial" w:cs="Arial" w:eastAsia="Arial" w:hAnsi="Arial"/>
                <w:sz w:val="16"/>
                <w:szCs w:val="16"/>
                <w:color w:val="auto"/>
              </w:rPr>
              <w:t>L – One Month LIBOR</w:t>
            </w:r>
          </w:p>
        </w:tc>
        <w:tc>
          <w:tcPr>
            <w:tcW w:w="3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74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425"/>
        </w:trPr>
        <w:tc>
          <w:tcPr>
            <w:tcW w:w="3780" w:type="dxa"/>
            <w:vAlign w:val="bottom"/>
            <w:gridSpan w:val="2"/>
          </w:tcPr>
          <w:p>
            <w:pPr>
              <w:spacing w:after="0"/>
              <w:rPr>
                <w:sz w:val="20"/>
                <w:szCs w:val="20"/>
                <w:color w:val="auto"/>
              </w:rPr>
            </w:pPr>
            <w:r>
              <w:rPr>
                <w:rFonts w:ascii="Arial" w:cs="Arial" w:eastAsia="Arial" w:hAnsi="Arial"/>
                <w:sz w:val="18"/>
                <w:szCs w:val="18"/>
                <w:b w:val="1"/>
                <w:bCs w:val="1"/>
                <w:color w:val="0046AD"/>
              </w:rPr>
              <w:t>8. INSURANCE</w:t>
            </w:r>
          </w:p>
        </w:tc>
        <w:tc>
          <w:tcPr>
            <w:tcW w:w="3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74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35"/>
        </w:trPr>
        <w:tc>
          <w:tcPr>
            <w:tcW w:w="3660" w:type="dxa"/>
            <w:vAlign w:val="bottom"/>
            <w:tcBorders>
              <w:bottom w:val="single" w:sz="8" w:color="E98300"/>
            </w:tcBorders>
          </w:tcPr>
          <w:p>
            <w:pPr>
              <w:spacing w:after="0"/>
              <w:rPr>
                <w:sz w:val="11"/>
                <w:szCs w:val="11"/>
                <w:color w:val="auto"/>
              </w:rPr>
            </w:pPr>
          </w:p>
        </w:tc>
        <w:tc>
          <w:tcPr>
            <w:tcW w:w="120" w:type="dxa"/>
            <w:vAlign w:val="bottom"/>
            <w:tcBorders>
              <w:bottom w:val="single" w:sz="8" w:color="E98300"/>
            </w:tcBorders>
          </w:tcPr>
          <w:p>
            <w:pPr>
              <w:spacing w:after="0"/>
              <w:rPr>
                <w:sz w:val="11"/>
                <w:szCs w:val="11"/>
                <w:color w:val="auto"/>
              </w:rPr>
            </w:pPr>
          </w:p>
        </w:tc>
        <w:tc>
          <w:tcPr>
            <w:tcW w:w="3780" w:type="dxa"/>
            <w:vAlign w:val="bottom"/>
            <w:tcBorders>
              <w:bottom w:val="single" w:sz="8" w:color="E98300"/>
            </w:tcBorders>
          </w:tcPr>
          <w:p>
            <w:pPr>
              <w:spacing w:after="0"/>
              <w:rPr>
                <w:sz w:val="11"/>
                <w:szCs w:val="11"/>
                <w:color w:val="auto"/>
              </w:rPr>
            </w:pPr>
          </w:p>
        </w:tc>
        <w:tc>
          <w:tcPr>
            <w:tcW w:w="100" w:type="dxa"/>
            <w:vAlign w:val="bottom"/>
            <w:tcBorders>
              <w:bottom w:val="single" w:sz="8" w:color="E98300"/>
            </w:tcBorders>
          </w:tcPr>
          <w:p>
            <w:pPr>
              <w:spacing w:after="0"/>
              <w:rPr>
                <w:sz w:val="11"/>
                <w:szCs w:val="11"/>
                <w:color w:val="auto"/>
              </w:rPr>
            </w:pPr>
          </w:p>
        </w:tc>
        <w:tc>
          <w:tcPr>
            <w:tcW w:w="3740" w:type="dxa"/>
            <w:vAlign w:val="bottom"/>
            <w:tcBorders>
              <w:bottom w:val="single" w:sz="8" w:color="E98300"/>
            </w:tcBorders>
          </w:tcPr>
          <w:p>
            <w:pPr>
              <w:spacing w:after="0"/>
              <w:rPr>
                <w:sz w:val="11"/>
                <w:szCs w:val="11"/>
                <w:color w:val="auto"/>
              </w:rPr>
            </w:pPr>
          </w:p>
        </w:tc>
        <w:tc>
          <w:tcPr>
            <w:tcW w:w="20" w:type="dxa"/>
            <w:vAlign w:val="bottom"/>
          </w:tcPr>
          <w:p>
            <w:pPr>
              <w:spacing w:after="0"/>
              <w:rPr>
                <w:sz w:val="11"/>
                <w:szCs w:val="11"/>
                <w:color w:val="auto"/>
              </w:rPr>
            </w:pPr>
          </w:p>
        </w:tc>
      </w:tr>
    </w:tbl>
    <w:p>
      <w:pPr>
        <w:spacing w:after="0" w:line="283"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18"/>
          <w:szCs w:val="18"/>
          <w:color w:val="auto"/>
        </w:rPr>
        <w:t>We use a combination of insured and self-insurance programs to cover workers’ compensation, general liability, automobile liability, property damage, and other insurable risks. For the majority of these insurance programs, we retain the initial $ 1.0 million of exposure on a per-occurrence basis, either through deductibles or self-insured retentions. Beyond the retained exposures, we have varying primary policy limits ranging between $1.0 million and $5.0 million per occurrence. To cover general liability and automobile liability losses above these primary limits, we maintain commercial umbrella insurance policies that provide aggregate limits of $200.0 million. Our insurance policies generally cover workers’ compensation losses to the full extent of statutory requirements. Additionally, to cover property damage risks above our retained limits, we maintain policies that provide per occurrence limits of $75.0 million. We are also self-insured for certain employee medical and dental plans. We maintain stop-loss insurance for our self-insured medical plan under which we retain up to $0.4 million of exposure on a per-participant, per-year basis with respect to claims.</w:t>
      </w:r>
    </w:p>
    <w:p>
      <w:pPr>
        <w:spacing w:after="0" w:line="159"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The adequacy of our reserves for workers’ compensation, general liability, automobile liability, and property damage insurance claims is based upon known trends and events and the actuarial estimates of required reserves considering the most recently completed actuarial reports. We use all available information to develop our best estimate of insurance claims reserves as information is obtained. The results of actuarial studies are used to estimate our insurance rates and insurance reserves for future periods and to adjust reserves, if appropriate, for prior years.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color w:val="0046AD"/>
        </w:rPr>
        <w:t>Actuarial Review Performed During the First Quarter of 2018</w:t>
      </w:r>
    </w:p>
    <w:p>
      <w:pPr>
        <w:spacing w:after="0" w:line="193"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color w:val="auto"/>
        </w:rPr>
        <w:t>During the three months ended January 31, 2018, we performed an actuarial review of the majority of our casualty insurance programs that considered changes in claim developments and claim payment activity for the period commencing May 1, 2017 and ending October 31, 2017 for all policy years in which open claims existed.</w:t>
      </w:r>
    </w:p>
    <w:p>
      <w:pPr>
        <w:spacing w:after="0" w:line="148"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The actuarial review indicated the claims reduction and safety initiatives we implemented have had a positive impact on our claims costs in the most recent years. Most notably, over the past two years there has been a decrease in claim frequency for workers’ compensation lost-time claims and general liability bodily injury claims. However, there have been unfavorable developments in ultimate losses beyond our estimates for general liability and workers’ compensation claims related to prior years, as described below.</w:t>
      </w:r>
    </w:p>
    <w:p>
      <w:pPr>
        <w:spacing w:after="0" w:line="150" w:lineRule="exact"/>
        <w:rPr>
          <w:sz w:val="20"/>
          <w:szCs w:val="20"/>
          <w:color w:val="auto"/>
        </w:rPr>
      </w:pPr>
    </w:p>
    <w:p>
      <w:pPr>
        <w:jc w:val="both"/>
        <w:ind w:firstLine="648"/>
        <w:spacing w:after="0" w:line="262" w:lineRule="auto"/>
        <w:rPr>
          <w:sz w:val="20"/>
          <w:szCs w:val="20"/>
          <w:color w:val="auto"/>
        </w:rPr>
      </w:pPr>
      <w:r>
        <w:rPr>
          <w:rFonts w:ascii="Arial" w:cs="Arial" w:eastAsia="Arial" w:hAnsi="Arial"/>
          <w:sz w:val="18"/>
          <w:szCs w:val="18"/>
          <w:color w:val="auto"/>
        </w:rPr>
        <w:t>The actuarial review indicated a continued decrease over the most recent years in the total number of reported claims related to our general liability program, particularly with respect to bodily injury claims. However, in prior year</w:t>
      </w: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522" w:right="239" w:bottom="1440" w:gutter="0" w:footer="0" w:header="0"/>
        </w:sectPr>
      </w:pPr>
    </w:p>
    <w:bookmarkStart w:id="16" w:name="page17"/>
    <w:bookmarkEnd w:id="16"/>
    <w:p>
      <w:pPr>
        <w:jc w:val="both"/>
        <w:spacing w:after="0" w:line="262" w:lineRule="auto"/>
        <w:rPr>
          <w:sz w:val="20"/>
          <w:szCs w:val="20"/>
          <w:color w:val="auto"/>
        </w:rPr>
      </w:pPr>
      <w:r>
        <w:rPr>
          <w:rFonts w:ascii="Arial" w:cs="Arial" w:eastAsia="Arial" w:hAnsi="Arial"/>
          <w:sz w:val="18"/>
          <w:szCs w:val="18"/>
          <w:color w:val="auto"/>
        </w:rPr>
        <w:t>claims we experienced adverse developments that are largely attributable to adjustments related to certain bodily injury claims and to losses for property damage.</w:t>
      </w:r>
    </w:p>
    <w:p>
      <w:pPr>
        <w:spacing w:after="0" w:line="142"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color w:val="auto"/>
        </w:rPr>
        <w:t>We are experiencing a reduced frequency of claims in our workers’ compensation program. However, due to increases in projected costs and severity of claims in certain prior fiscal years, in the first quarter of 2018 we increased our estimate of ultimate losses for workers’ compensation claims. Statutory, regulatory, and legal developments have contributed to the increase in our estimated losses.</w:t>
      </w:r>
    </w:p>
    <w:p>
      <w:pPr>
        <w:spacing w:after="0" w:line="148"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Based on the results of the actuarial review and subsequent developments, at January 31, 2018 we increased our total reserves for known claims as well as our estimate of the loss amounts associated with incurred but not reported claims for prior periods by $2.0 million. As we continue to see a similar trend in adverse developments, at April 30, 2018 we increased our reserves by an additional $2.0 million. For the six months ended April 30, 2018, the total increase to our reserves for claims related to prior periods was $4.0 million. This adjustment was $6.0 million lower than the total adjustment related to prior year claims of $10.0 million during the six months ended April 30, 2017.</w:t>
      </w:r>
    </w:p>
    <w:p>
      <w:pPr>
        <w:spacing w:after="0" w:line="152" w:lineRule="exact"/>
        <w:rPr>
          <w:sz w:val="20"/>
          <w:szCs w:val="20"/>
          <w:color w:val="auto"/>
        </w:rPr>
      </w:pPr>
    </w:p>
    <w:p>
      <w:pPr>
        <w:jc w:val="both"/>
        <w:ind w:right="20" w:firstLine="648"/>
        <w:spacing w:after="0" w:line="262" w:lineRule="auto"/>
        <w:rPr>
          <w:sz w:val="20"/>
          <w:szCs w:val="20"/>
          <w:color w:val="auto"/>
        </w:rPr>
      </w:pPr>
      <w:r>
        <w:rPr>
          <w:rFonts w:ascii="Arial" w:cs="Arial" w:eastAsia="Arial" w:hAnsi="Arial"/>
          <w:sz w:val="18"/>
          <w:szCs w:val="18"/>
          <w:color w:val="auto"/>
        </w:rPr>
        <w:t>During the third quarter of 2018, comprehensive actuarial evaluations are expected to be completed for our significant insurance programs using updated claims data, and these evaluations may lead to further adjustments to our insurance reserves.</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0046AD"/>
        </w:rPr>
        <w:t>Insurance Related Balances and Activity</w:t>
      </w:r>
    </w:p>
    <w:p>
      <w:pPr>
        <w:spacing w:after="0" w:line="347"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7160" w:type="dxa"/>
            <w:vAlign w:val="bottom"/>
            <w:gridSpan w:val="3"/>
          </w:tcPr>
          <w:p>
            <w:pPr>
              <w:ind w:left="40"/>
              <w:spacing w:after="0"/>
              <w:rPr>
                <w:sz w:val="20"/>
                <w:szCs w:val="20"/>
                <w:color w:val="auto"/>
              </w:rPr>
            </w:pPr>
            <w:r>
              <w:rPr>
                <w:rFonts w:ascii="Arial" w:cs="Arial" w:eastAsia="Arial" w:hAnsi="Arial"/>
                <w:sz w:val="14"/>
                <w:szCs w:val="14"/>
                <w:i w:val="1"/>
                <w:iCs w:val="1"/>
                <w:color w:val="auto"/>
              </w:rPr>
              <w:t>(in millions)</w:t>
            </w:r>
          </w:p>
        </w:tc>
        <w:tc>
          <w:tcPr>
            <w:tcW w:w="300" w:type="dxa"/>
            <w:vAlign w:val="bottom"/>
          </w:tcPr>
          <w:p>
            <w:pPr>
              <w:spacing w:after="0"/>
              <w:rPr>
                <w:sz w:val="18"/>
                <w:szCs w:val="18"/>
                <w:color w:val="auto"/>
              </w:rPr>
            </w:pPr>
          </w:p>
        </w:tc>
        <w:tc>
          <w:tcPr>
            <w:tcW w:w="1880" w:type="dxa"/>
            <w:vAlign w:val="bottom"/>
            <w:gridSpan w:val="2"/>
          </w:tcPr>
          <w:p>
            <w:pPr>
              <w:ind w:left="160"/>
              <w:spacing w:after="0"/>
              <w:rPr>
                <w:sz w:val="20"/>
                <w:szCs w:val="20"/>
                <w:color w:val="auto"/>
              </w:rPr>
            </w:pPr>
            <w:r>
              <w:rPr>
                <w:rFonts w:ascii="Arial" w:cs="Arial" w:eastAsia="Arial" w:hAnsi="Arial"/>
                <w:sz w:val="18"/>
                <w:szCs w:val="18"/>
                <w:b w:val="1"/>
                <w:bCs w:val="1"/>
                <w:color w:val="auto"/>
              </w:rPr>
              <w:t>April 30, 2018</w:t>
            </w:r>
          </w:p>
        </w:tc>
        <w:tc>
          <w:tcPr>
            <w:tcW w:w="220" w:type="dxa"/>
            <w:vAlign w:val="bottom"/>
          </w:tcPr>
          <w:p>
            <w:pPr>
              <w:spacing w:after="0"/>
              <w:rPr>
                <w:sz w:val="18"/>
                <w:szCs w:val="18"/>
                <w:color w:val="auto"/>
              </w:rPr>
            </w:pPr>
          </w:p>
        </w:tc>
        <w:tc>
          <w:tcPr>
            <w:tcW w:w="1840" w:type="dxa"/>
            <w:vAlign w:val="bottom"/>
          </w:tcPr>
          <w:p>
            <w:pPr>
              <w:jc w:val="right"/>
              <w:ind w:right="210"/>
              <w:spacing w:after="0"/>
              <w:rPr>
                <w:sz w:val="20"/>
                <w:szCs w:val="20"/>
                <w:color w:val="auto"/>
              </w:rPr>
            </w:pPr>
            <w:r>
              <w:rPr>
                <w:rFonts w:ascii="Arial" w:cs="Arial" w:eastAsia="Arial" w:hAnsi="Arial"/>
                <w:sz w:val="18"/>
                <w:szCs w:val="18"/>
                <w:b w:val="1"/>
                <w:bCs w:val="1"/>
                <w:color w:val="auto"/>
              </w:rPr>
              <w:t>October 31, 2017</w:t>
            </w:r>
          </w:p>
        </w:tc>
      </w:tr>
      <w:tr>
        <w:trPr>
          <w:trHeight w:val="21"/>
        </w:trPr>
        <w:tc>
          <w:tcPr>
            <w:tcW w:w="40" w:type="dxa"/>
            <w:vAlign w:val="bottom"/>
            <w:tcBorders>
              <w:bottom w:val="single" w:sz="8" w:color="DCE2EF"/>
            </w:tcBorders>
          </w:tcPr>
          <w:p>
            <w:pPr>
              <w:spacing w:after="0" w:line="20" w:lineRule="exact"/>
              <w:rPr>
                <w:sz w:val="1"/>
                <w:szCs w:val="1"/>
                <w:color w:val="auto"/>
              </w:rPr>
            </w:pPr>
          </w:p>
        </w:tc>
        <w:tc>
          <w:tcPr>
            <w:tcW w:w="700" w:type="dxa"/>
            <w:vAlign w:val="bottom"/>
            <w:tcBorders>
              <w:top w:val="single" w:sz="8" w:color="auto"/>
              <w:bottom w:val="single" w:sz="8" w:color="DCE2EF"/>
            </w:tcBorders>
          </w:tcPr>
          <w:p>
            <w:pPr>
              <w:spacing w:after="0" w:line="20" w:lineRule="exact"/>
              <w:rPr>
                <w:sz w:val="1"/>
                <w:szCs w:val="1"/>
                <w:color w:val="auto"/>
              </w:rPr>
            </w:pPr>
          </w:p>
        </w:tc>
        <w:tc>
          <w:tcPr>
            <w:tcW w:w="6420" w:type="dxa"/>
            <w:vAlign w:val="bottom"/>
            <w:tcBorders>
              <w:bottom w:val="single" w:sz="8" w:color="DCE2E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DCE2E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r>
      <w:tr>
        <w:trPr>
          <w:trHeight w:val="250"/>
        </w:trPr>
        <w:tc>
          <w:tcPr>
            <w:tcW w:w="7160" w:type="dxa"/>
            <w:vAlign w:val="bottom"/>
            <w:gridSpan w:val="3"/>
            <w:shd w:val="clear" w:color="auto" w:fill="DCE2EF"/>
          </w:tcPr>
          <w:p>
            <w:pPr>
              <w:ind w:left="40"/>
              <w:spacing w:after="0"/>
              <w:rPr>
                <w:sz w:val="20"/>
                <w:szCs w:val="20"/>
                <w:color w:val="auto"/>
              </w:rPr>
            </w:pPr>
            <w:r>
              <w:rPr>
                <w:rFonts w:ascii="Arial" w:cs="Arial" w:eastAsia="Arial" w:hAnsi="Arial"/>
                <w:sz w:val="18"/>
                <w:szCs w:val="18"/>
                <w:color w:val="auto"/>
              </w:rPr>
              <w:t>Insurance claim reserves excluding medical and dental</w:t>
            </w:r>
          </w:p>
        </w:tc>
        <w:tc>
          <w:tcPr>
            <w:tcW w:w="300" w:type="dxa"/>
            <w:vAlign w:val="bottom"/>
            <w:shd w:val="clear" w:color="auto" w:fill="DCE2EF"/>
          </w:tcPr>
          <w:p>
            <w:pPr>
              <w:jc w:val="right"/>
              <w:ind w:right="70"/>
              <w:spacing w:after="0"/>
              <w:rPr>
                <w:sz w:val="20"/>
                <w:szCs w:val="20"/>
                <w:color w:val="auto"/>
              </w:rPr>
            </w:pPr>
            <w:r>
              <w:rPr>
                <w:rFonts w:ascii="Arial" w:cs="Arial" w:eastAsia="Arial" w:hAnsi="Arial"/>
                <w:sz w:val="18"/>
                <w:szCs w:val="18"/>
                <w:color w:val="auto"/>
              </w:rPr>
              <w:t>$</w:t>
            </w:r>
          </w:p>
        </w:tc>
        <w:tc>
          <w:tcPr>
            <w:tcW w:w="1780" w:type="dxa"/>
            <w:vAlign w:val="bottom"/>
            <w:shd w:val="clear" w:color="auto" w:fill="DCE2EF"/>
          </w:tcPr>
          <w:p>
            <w:pPr>
              <w:jc w:val="right"/>
              <w:ind w:right="30"/>
              <w:spacing w:after="0"/>
              <w:rPr>
                <w:sz w:val="20"/>
                <w:szCs w:val="20"/>
                <w:color w:val="auto"/>
              </w:rPr>
            </w:pPr>
            <w:r>
              <w:rPr>
                <w:rFonts w:ascii="Arial" w:cs="Arial" w:eastAsia="Arial" w:hAnsi="Arial"/>
                <w:sz w:val="18"/>
                <w:szCs w:val="18"/>
                <w:color w:val="auto"/>
              </w:rPr>
              <w:t>495.7</w:t>
            </w:r>
          </w:p>
        </w:tc>
        <w:tc>
          <w:tcPr>
            <w:tcW w:w="100" w:type="dxa"/>
            <w:vAlign w:val="bottom"/>
            <w:shd w:val="clear" w:color="auto" w:fill="DCE2EF"/>
          </w:tcPr>
          <w:p>
            <w:pPr>
              <w:spacing w:after="0"/>
              <w:rPr>
                <w:sz w:val="21"/>
                <w:szCs w:val="21"/>
                <w:color w:val="auto"/>
              </w:rPr>
            </w:pPr>
          </w:p>
        </w:tc>
        <w:tc>
          <w:tcPr>
            <w:tcW w:w="220" w:type="dxa"/>
            <w:vAlign w:val="bottom"/>
            <w:shd w:val="clear" w:color="auto" w:fill="DCE2EF"/>
          </w:tcPr>
          <w:p>
            <w:pPr>
              <w:jc w:val="right"/>
              <w:ind w:right="10"/>
              <w:spacing w:after="0"/>
              <w:rPr>
                <w:sz w:val="20"/>
                <w:szCs w:val="20"/>
                <w:color w:val="auto"/>
              </w:rPr>
            </w:pPr>
            <w:r>
              <w:rPr>
                <w:rFonts w:ascii="Arial" w:cs="Arial" w:eastAsia="Arial" w:hAnsi="Arial"/>
                <w:sz w:val="18"/>
                <w:szCs w:val="18"/>
                <w:color w:val="auto"/>
                <w:w w:val="99"/>
              </w:rPr>
              <w:t>$</w:t>
            </w:r>
          </w:p>
        </w:tc>
        <w:tc>
          <w:tcPr>
            <w:tcW w:w="1840" w:type="dxa"/>
            <w:vAlign w:val="bottom"/>
            <w:shd w:val="clear" w:color="auto" w:fill="DCE2EF"/>
          </w:tcPr>
          <w:p>
            <w:pPr>
              <w:jc w:val="right"/>
              <w:ind w:right="10"/>
              <w:spacing w:after="0"/>
              <w:rPr>
                <w:sz w:val="20"/>
                <w:szCs w:val="20"/>
                <w:color w:val="auto"/>
              </w:rPr>
            </w:pPr>
            <w:r>
              <w:rPr>
                <w:rFonts w:ascii="Arial" w:cs="Arial" w:eastAsia="Arial" w:hAnsi="Arial"/>
                <w:sz w:val="18"/>
                <w:szCs w:val="18"/>
                <w:color w:val="auto"/>
              </w:rPr>
              <w:t>485.6</w:t>
            </w:r>
          </w:p>
        </w:tc>
      </w:tr>
      <w:tr>
        <w:trPr>
          <w:trHeight w:val="263"/>
        </w:trPr>
        <w:tc>
          <w:tcPr>
            <w:tcW w:w="7160" w:type="dxa"/>
            <w:vAlign w:val="bottom"/>
            <w:gridSpan w:val="3"/>
          </w:tcPr>
          <w:p>
            <w:pPr>
              <w:ind w:left="40"/>
              <w:spacing w:after="0"/>
              <w:rPr>
                <w:sz w:val="20"/>
                <w:szCs w:val="20"/>
                <w:color w:val="auto"/>
              </w:rPr>
            </w:pPr>
            <w:r>
              <w:rPr>
                <w:rFonts w:ascii="Arial" w:cs="Arial" w:eastAsia="Arial" w:hAnsi="Arial"/>
                <w:sz w:val="18"/>
                <w:szCs w:val="18"/>
                <w:color w:val="auto"/>
              </w:rPr>
              <w:t>Medical and dental claim reserves</w:t>
            </w:r>
          </w:p>
        </w:tc>
        <w:tc>
          <w:tcPr>
            <w:tcW w:w="300" w:type="dxa"/>
            <w:vAlign w:val="bottom"/>
          </w:tcPr>
          <w:p>
            <w:pPr>
              <w:spacing w:after="0"/>
              <w:rPr>
                <w:sz w:val="22"/>
                <w:szCs w:val="22"/>
                <w:color w:val="auto"/>
              </w:rPr>
            </w:pPr>
          </w:p>
        </w:tc>
        <w:tc>
          <w:tcPr>
            <w:tcW w:w="1780" w:type="dxa"/>
            <w:vAlign w:val="bottom"/>
          </w:tcPr>
          <w:p>
            <w:pPr>
              <w:jc w:val="right"/>
              <w:ind w:right="30"/>
              <w:spacing w:after="0"/>
              <w:rPr>
                <w:sz w:val="20"/>
                <w:szCs w:val="20"/>
                <w:color w:val="auto"/>
              </w:rPr>
            </w:pPr>
            <w:r>
              <w:rPr>
                <w:rFonts w:ascii="Arial" w:cs="Arial" w:eastAsia="Arial" w:hAnsi="Arial"/>
                <w:sz w:val="18"/>
                <w:szCs w:val="18"/>
                <w:color w:val="auto"/>
              </w:rPr>
              <w:t>10.0</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840" w:type="dxa"/>
            <w:vAlign w:val="bottom"/>
          </w:tcPr>
          <w:p>
            <w:pPr>
              <w:jc w:val="right"/>
              <w:ind w:right="10"/>
              <w:spacing w:after="0"/>
              <w:rPr>
                <w:sz w:val="20"/>
                <w:szCs w:val="20"/>
                <w:color w:val="auto"/>
              </w:rPr>
            </w:pPr>
            <w:r>
              <w:rPr>
                <w:rFonts w:ascii="Arial" w:cs="Arial" w:eastAsia="Arial" w:hAnsi="Arial"/>
                <w:sz w:val="18"/>
                <w:szCs w:val="18"/>
                <w:color w:val="auto"/>
              </w:rPr>
              <w:t>9.8</w:t>
            </w:r>
          </w:p>
        </w:tc>
      </w:tr>
      <w:tr>
        <w:trPr>
          <w:trHeight w:val="277"/>
        </w:trPr>
        <w:tc>
          <w:tcPr>
            <w:tcW w:w="7160" w:type="dxa"/>
            <w:vAlign w:val="bottom"/>
            <w:gridSpan w:val="3"/>
            <w:shd w:val="clear" w:color="auto" w:fill="DCE2EF"/>
          </w:tcPr>
          <w:p>
            <w:pPr>
              <w:ind w:left="40"/>
              <w:spacing w:after="0"/>
              <w:rPr>
                <w:sz w:val="20"/>
                <w:szCs w:val="20"/>
                <w:color w:val="auto"/>
              </w:rPr>
            </w:pPr>
            <w:r>
              <w:rPr>
                <w:rFonts w:ascii="Arial" w:cs="Arial" w:eastAsia="Arial" w:hAnsi="Arial"/>
                <w:sz w:val="18"/>
                <w:szCs w:val="18"/>
                <w:color w:val="auto"/>
              </w:rPr>
              <w:t>Insurance recoverables</w:t>
            </w:r>
          </w:p>
        </w:tc>
        <w:tc>
          <w:tcPr>
            <w:tcW w:w="300" w:type="dxa"/>
            <w:vAlign w:val="bottom"/>
            <w:shd w:val="clear" w:color="auto" w:fill="DCE2EF"/>
          </w:tcPr>
          <w:p>
            <w:pPr>
              <w:spacing w:after="0"/>
              <w:rPr>
                <w:sz w:val="24"/>
                <w:szCs w:val="24"/>
                <w:color w:val="auto"/>
              </w:rPr>
            </w:pPr>
          </w:p>
        </w:tc>
        <w:tc>
          <w:tcPr>
            <w:tcW w:w="1780" w:type="dxa"/>
            <w:vAlign w:val="bottom"/>
            <w:shd w:val="clear" w:color="auto" w:fill="DCE2EF"/>
          </w:tcPr>
          <w:p>
            <w:pPr>
              <w:jc w:val="right"/>
              <w:ind w:right="30"/>
              <w:spacing w:after="0"/>
              <w:rPr>
                <w:sz w:val="20"/>
                <w:szCs w:val="20"/>
                <w:color w:val="auto"/>
              </w:rPr>
            </w:pPr>
            <w:r>
              <w:rPr>
                <w:rFonts w:ascii="Arial" w:cs="Arial" w:eastAsia="Arial" w:hAnsi="Arial"/>
                <w:sz w:val="18"/>
                <w:szCs w:val="18"/>
                <w:color w:val="auto"/>
              </w:rPr>
              <w:t>74.9</w:t>
            </w:r>
          </w:p>
        </w:tc>
        <w:tc>
          <w:tcPr>
            <w:tcW w:w="100" w:type="dxa"/>
            <w:vAlign w:val="bottom"/>
            <w:shd w:val="clear" w:color="auto" w:fill="DCE2EF"/>
          </w:tcPr>
          <w:p>
            <w:pPr>
              <w:spacing w:after="0"/>
              <w:rPr>
                <w:sz w:val="24"/>
                <w:szCs w:val="24"/>
                <w:color w:val="auto"/>
              </w:rPr>
            </w:pPr>
          </w:p>
        </w:tc>
        <w:tc>
          <w:tcPr>
            <w:tcW w:w="220" w:type="dxa"/>
            <w:vAlign w:val="bottom"/>
            <w:shd w:val="clear" w:color="auto" w:fill="DCE2EF"/>
          </w:tcPr>
          <w:p>
            <w:pPr>
              <w:spacing w:after="0"/>
              <w:rPr>
                <w:sz w:val="24"/>
                <w:szCs w:val="24"/>
                <w:color w:val="auto"/>
              </w:rPr>
            </w:pPr>
          </w:p>
        </w:tc>
        <w:tc>
          <w:tcPr>
            <w:tcW w:w="1840" w:type="dxa"/>
            <w:vAlign w:val="bottom"/>
            <w:shd w:val="clear" w:color="auto" w:fill="DCE2EF"/>
          </w:tcPr>
          <w:p>
            <w:pPr>
              <w:jc w:val="right"/>
              <w:ind w:right="10"/>
              <w:spacing w:after="0"/>
              <w:rPr>
                <w:sz w:val="20"/>
                <w:szCs w:val="20"/>
                <w:color w:val="auto"/>
              </w:rPr>
            </w:pPr>
            <w:r>
              <w:rPr>
                <w:rFonts w:ascii="Arial" w:cs="Arial" w:eastAsia="Arial" w:hAnsi="Arial"/>
                <w:sz w:val="18"/>
                <w:szCs w:val="18"/>
                <w:color w:val="auto"/>
              </w:rPr>
              <w:t>73.1</w:t>
            </w:r>
          </w:p>
        </w:tc>
      </w:tr>
    </w:tbl>
    <w:p>
      <w:pPr>
        <w:spacing w:after="0" w:line="161" w:lineRule="exact"/>
        <w:rPr>
          <w:sz w:val="20"/>
          <w:szCs w:val="20"/>
          <w:color w:val="auto"/>
        </w:rPr>
      </w:pPr>
    </w:p>
    <w:p>
      <w:pPr>
        <w:jc w:val="both"/>
        <w:ind w:firstLine="648"/>
        <w:spacing w:after="0" w:line="262" w:lineRule="auto"/>
        <w:rPr>
          <w:sz w:val="20"/>
          <w:szCs w:val="20"/>
          <w:color w:val="auto"/>
        </w:rPr>
      </w:pPr>
      <w:r>
        <w:rPr>
          <w:rFonts w:ascii="Arial" w:cs="Arial" w:eastAsia="Arial" w:hAnsi="Arial"/>
          <w:sz w:val="18"/>
          <w:szCs w:val="18"/>
          <w:color w:val="auto"/>
        </w:rPr>
        <w:t>At April 30, 2018 and October 31, 2017, insurance recoverables are included in “Other current assets” and “Other noncurrent assets” on the accompanying unaudited consolidated balance sheets.</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0046AD"/>
        </w:rPr>
        <w:t>Instruments Used to Collateralize Our Insurance Obligations</w:t>
      </w:r>
    </w:p>
    <w:p>
      <w:pPr>
        <w:spacing w:after="0" w:line="347"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4000" w:type="dxa"/>
            <w:vAlign w:val="bottom"/>
            <w:gridSpan w:val="3"/>
          </w:tcPr>
          <w:p>
            <w:pPr>
              <w:ind w:left="40"/>
              <w:spacing w:after="0"/>
              <w:rPr>
                <w:sz w:val="20"/>
                <w:szCs w:val="20"/>
                <w:color w:val="auto"/>
              </w:rPr>
            </w:pPr>
            <w:r>
              <w:rPr>
                <w:rFonts w:ascii="Arial" w:cs="Arial" w:eastAsia="Arial" w:hAnsi="Arial"/>
                <w:sz w:val="14"/>
                <w:szCs w:val="14"/>
                <w:i w:val="1"/>
                <w:iCs w:val="1"/>
                <w:color w:val="auto"/>
              </w:rPr>
              <w:t>(in millions)</w:t>
            </w:r>
          </w:p>
        </w:tc>
        <w:tc>
          <w:tcPr>
            <w:tcW w:w="3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80" w:type="dxa"/>
            <w:vAlign w:val="bottom"/>
            <w:gridSpan w:val="2"/>
          </w:tcPr>
          <w:p>
            <w:pPr>
              <w:ind w:left="160"/>
              <w:spacing w:after="0"/>
              <w:rPr>
                <w:sz w:val="20"/>
                <w:szCs w:val="20"/>
                <w:color w:val="auto"/>
              </w:rPr>
            </w:pPr>
            <w:r>
              <w:rPr>
                <w:rFonts w:ascii="Arial" w:cs="Arial" w:eastAsia="Arial" w:hAnsi="Arial"/>
                <w:sz w:val="18"/>
                <w:szCs w:val="18"/>
                <w:b w:val="1"/>
                <w:bCs w:val="1"/>
                <w:color w:val="auto"/>
              </w:rPr>
              <w:t>April 30, 2018</w:t>
            </w:r>
          </w:p>
        </w:tc>
        <w:tc>
          <w:tcPr>
            <w:tcW w:w="220" w:type="dxa"/>
            <w:vAlign w:val="bottom"/>
          </w:tcPr>
          <w:p>
            <w:pPr>
              <w:spacing w:after="0"/>
              <w:rPr>
                <w:sz w:val="18"/>
                <w:szCs w:val="18"/>
                <w:color w:val="auto"/>
              </w:rPr>
            </w:pPr>
          </w:p>
        </w:tc>
        <w:tc>
          <w:tcPr>
            <w:tcW w:w="1840" w:type="dxa"/>
            <w:vAlign w:val="bottom"/>
          </w:tcPr>
          <w:p>
            <w:pPr>
              <w:jc w:val="right"/>
              <w:ind w:right="210"/>
              <w:spacing w:after="0"/>
              <w:rPr>
                <w:sz w:val="20"/>
                <w:szCs w:val="20"/>
                <w:color w:val="auto"/>
              </w:rPr>
            </w:pPr>
            <w:r>
              <w:rPr>
                <w:rFonts w:ascii="Arial" w:cs="Arial" w:eastAsia="Arial" w:hAnsi="Arial"/>
                <w:sz w:val="18"/>
                <w:szCs w:val="18"/>
                <w:b w:val="1"/>
                <w:bCs w:val="1"/>
                <w:color w:val="auto"/>
              </w:rPr>
              <w:t>October 31, 2017</w:t>
            </w:r>
          </w:p>
        </w:tc>
        <w:tc>
          <w:tcPr>
            <w:tcW w:w="0" w:type="dxa"/>
            <w:vAlign w:val="bottom"/>
          </w:tcPr>
          <w:p>
            <w:pPr>
              <w:spacing w:after="0"/>
              <w:rPr>
                <w:sz w:val="1"/>
                <w:szCs w:val="1"/>
                <w:color w:val="auto"/>
              </w:rPr>
            </w:pPr>
          </w:p>
        </w:tc>
      </w:tr>
      <w:tr>
        <w:trPr>
          <w:trHeight w:val="21"/>
        </w:trPr>
        <w:tc>
          <w:tcPr>
            <w:tcW w:w="40" w:type="dxa"/>
            <w:vAlign w:val="bottom"/>
            <w:tcBorders>
              <w:bottom w:val="single" w:sz="8" w:color="DCE2EF"/>
            </w:tcBorders>
          </w:tcPr>
          <w:p>
            <w:pPr>
              <w:spacing w:after="0" w:line="20" w:lineRule="exact"/>
              <w:rPr>
                <w:sz w:val="1"/>
                <w:szCs w:val="1"/>
                <w:color w:val="auto"/>
              </w:rPr>
            </w:pPr>
          </w:p>
        </w:tc>
        <w:tc>
          <w:tcPr>
            <w:tcW w:w="700" w:type="dxa"/>
            <w:vAlign w:val="bottom"/>
            <w:tcBorders>
              <w:top w:val="single" w:sz="8" w:color="auto"/>
              <w:bottom w:val="single" w:sz="8" w:color="DCE2EF"/>
            </w:tcBorders>
          </w:tcPr>
          <w:p>
            <w:pPr>
              <w:spacing w:after="0" w:line="20" w:lineRule="exact"/>
              <w:rPr>
                <w:sz w:val="1"/>
                <w:szCs w:val="1"/>
                <w:color w:val="auto"/>
              </w:rPr>
            </w:pPr>
          </w:p>
        </w:tc>
        <w:tc>
          <w:tcPr>
            <w:tcW w:w="3260" w:type="dxa"/>
            <w:vAlign w:val="bottom"/>
            <w:tcBorders>
              <w:bottom w:val="single" w:sz="8" w:color="DCE2EF"/>
            </w:tcBorders>
          </w:tcPr>
          <w:p>
            <w:pPr>
              <w:spacing w:after="0" w:line="20" w:lineRule="exact"/>
              <w:rPr>
                <w:sz w:val="1"/>
                <w:szCs w:val="1"/>
                <w:color w:val="auto"/>
              </w:rPr>
            </w:pPr>
          </w:p>
        </w:tc>
        <w:tc>
          <w:tcPr>
            <w:tcW w:w="3160" w:type="dxa"/>
            <w:vAlign w:val="bottom"/>
            <w:tcBorders>
              <w:bottom w:val="single" w:sz="8" w:color="DCE2E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DCE2E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50"/>
        </w:trPr>
        <w:tc>
          <w:tcPr>
            <w:tcW w:w="4000" w:type="dxa"/>
            <w:vAlign w:val="bottom"/>
            <w:gridSpan w:val="3"/>
            <w:shd w:val="clear" w:color="auto" w:fill="DCE2EF"/>
          </w:tcPr>
          <w:p>
            <w:pPr>
              <w:ind w:left="40"/>
              <w:spacing w:after="0"/>
              <w:rPr>
                <w:sz w:val="20"/>
                <w:szCs w:val="20"/>
                <w:color w:val="auto"/>
              </w:rPr>
            </w:pPr>
            <w:r>
              <w:rPr>
                <w:rFonts w:ascii="Arial" w:cs="Arial" w:eastAsia="Arial" w:hAnsi="Arial"/>
                <w:sz w:val="18"/>
                <w:szCs w:val="18"/>
                <w:color w:val="auto"/>
              </w:rPr>
              <w:t>Standby letters of credit</w:t>
            </w:r>
          </w:p>
        </w:tc>
        <w:tc>
          <w:tcPr>
            <w:tcW w:w="3460" w:type="dxa"/>
            <w:vAlign w:val="bottom"/>
            <w:gridSpan w:val="2"/>
            <w:shd w:val="clear" w:color="auto" w:fill="DCE2EF"/>
          </w:tcPr>
          <w:p>
            <w:pPr>
              <w:jc w:val="right"/>
              <w:ind w:right="160"/>
              <w:spacing w:after="0"/>
              <w:rPr>
                <w:sz w:val="20"/>
                <w:szCs w:val="20"/>
                <w:color w:val="auto"/>
              </w:rPr>
            </w:pPr>
            <w:r>
              <w:rPr>
                <w:rFonts w:ascii="Arial" w:cs="Arial" w:eastAsia="Arial" w:hAnsi="Arial"/>
                <w:sz w:val="18"/>
                <w:szCs w:val="18"/>
                <w:color w:val="auto"/>
              </w:rPr>
              <w:t>$</w:t>
            </w:r>
          </w:p>
        </w:tc>
        <w:tc>
          <w:tcPr>
            <w:tcW w:w="1780" w:type="dxa"/>
            <w:vAlign w:val="bottom"/>
            <w:shd w:val="clear" w:color="auto" w:fill="DCE2EF"/>
          </w:tcPr>
          <w:p>
            <w:pPr>
              <w:jc w:val="right"/>
              <w:ind w:right="30"/>
              <w:spacing w:after="0"/>
              <w:rPr>
                <w:sz w:val="20"/>
                <w:szCs w:val="20"/>
                <w:color w:val="auto"/>
              </w:rPr>
            </w:pPr>
            <w:r>
              <w:rPr>
                <w:rFonts w:ascii="Arial" w:cs="Arial" w:eastAsia="Arial" w:hAnsi="Arial"/>
                <w:sz w:val="18"/>
                <w:szCs w:val="18"/>
                <w:color w:val="auto"/>
              </w:rPr>
              <w:t>136.7</w:t>
            </w:r>
          </w:p>
        </w:tc>
        <w:tc>
          <w:tcPr>
            <w:tcW w:w="100" w:type="dxa"/>
            <w:vAlign w:val="bottom"/>
            <w:shd w:val="clear" w:color="auto" w:fill="DCE2EF"/>
          </w:tcPr>
          <w:p>
            <w:pPr>
              <w:spacing w:after="0"/>
              <w:rPr>
                <w:sz w:val="21"/>
                <w:szCs w:val="21"/>
                <w:color w:val="auto"/>
              </w:rPr>
            </w:pPr>
          </w:p>
        </w:tc>
        <w:tc>
          <w:tcPr>
            <w:tcW w:w="220" w:type="dxa"/>
            <w:vAlign w:val="bottom"/>
            <w:shd w:val="clear" w:color="auto" w:fill="DCE2EF"/>
          </w:tcPr>
          <w:p>
            <w:pPr>
              <w:jc w:val="right"/>
              <w:ind w:right="10"/>
              <w:spacing w:after="0"/>
              <w:rPr>
                <w:sz w:val="20"/>
                <w:szCs w:val="20"/>
                <w:color w:val="auto"/>
              </w:rPr>
            </w:pPr>
            <w:r>
              <w:rPr>
                <w:rFonts w:ascii="Arial" w:cs="Arial" w:eastAsia="Arial" w:hAnsi="Arial"/>
                <w:sz w:val="18"/>
                <w:szCs w:val="18"/>
                <w:color w:val="auto"/>
                <w:w w:val="99"/>
              </w:rPr>
              <w:t>$</w:t>
            </w:r>
          </w:p>
        </w:tc>
        <w:tc>
          <w:tcPr>
            <w:tcW w:w="1840" w:type="dxa"/>
            <w:vAlign w:val="bottom"/>
            <w:shd w:val="clear" w:color="auto" w:fill="DCE2EF"/>
          </w:tcPr>
          <w:p>
            <w:pPr>
              <w:jc w:val="right"/>
              <w:ind w:right="10"/>
              <w:spacing w:after="0"/>
              <w:rPr>
                <w:sz w:val="20"/>
                <w:szCs w:val="20"/>
                <w:color w:val="auto"/>
              </w:rPr>
            </w:pPr>
            <w:r>
              <w:rPr>
                <w:rFonts w:ascii="Arial" w:cs="Arial" w:eastAsia="Arial" w:hAnsi="Arial"/>
                <w:sz w:val="18"/>
                <w:szCs w:val="18"/>
                <w:color w:val="auto"/>
              </w:rPr>
              <w:t>137.6</w:t>
            </w:r>
          </w:p>
        </w:tc>
        <w:tc>
          <w:tcPr>
            <w:tcW w:w="0" w:type="dxa"/>
            <w:vAlign w:val="bottom"/>
          </w:tcPr>
          <w:p>
            <w:pPr>
              <w:spacing w:after="0"/>
              <w:rPr>
                <w:sz w:val="1"/>
                <w:szCs w:val="1"/>
                <w:color w:val="auto"/>
              </w:rPr>
            </w:pPr>
          </w:p>
        </w:tc>
      </w:tr>
      <w:tr>
        <w:trPr>
          <w:trHeight w:val="263"/>
        </w:trPr>
        <w:tc>
          <w:tcPr>
            <w:tcW w:w="4000" w:type="dxa"/>
            <w:vAlign w:val="bottom"/>
            <w:gridSpan w:val="3"/>
          </w:tcPr>
          <w:p>
            <w:pPr>
              <w:ind w:left="40"/>
              <w:spacing w:after="0"/>
              <w:rPr>
                <w:sz w:val="20"/>
                <w:szCs w:val="20"/>
                <w:color w:val="auto"/>
              </w:rPr>
            </w:pPr>
            <w:r>
              <w:rPr>
                <w:rFonts w:ascii="Arial" w:cs="Arial" w:eastAsia="Arial" w:hAnsi="Arial"/>
                <w:sz w:val="18"/>
                <w:szCs w:val="18"/>
                <w:color w:val="auto"/>
              </w:rPr>
              <w:t>Surety bonds</w:t>
            </w:r>
          </w:p>
        </w:tc>
        <w:tc>
          <w:tcPr>
            <w:tcW w:w="31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780" w:type="dxa"/>
            <w:vAlign w:val="bottom"/>
          </w:tcPr>
          <w:p>
            <w:pPr>
              <w:jc w:val="right"/>
              <w:ind w:right="30"/>
              <w:spacing w:after="0"/>
              <w:rPr>
                <w:sz w:val="20"/>
                <w:szCs w:val="20"/>
                <w:color w:val="auto"/>
              </w:rPr>
            </w:pPr>
            <w:r>
              <w:rPr>
                <w:rFonts w:ascii="Arial" w:cs="Arial" w:eastAsia="Arial" w:hAnsi="Arial"/>
                <w:sz w:val="18"/>
                <w:szCs w:val="18"/>
                <w:color w:val="auto"/>
              </w:rPr>
              <w:t>78.2</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840" w:type="dxa"/>
            <w:vAlign w:val="bottom"/>
          </w:tcPr>
          <w:p>
            <w:pPr>
              <w:jc w:val="right"/>
              <w:ind w:right="10"/>
              <w:spacing w:after="0"/>
              <w:rPr>
                <w:sz w:val="20"/>
                <w:szCs w:val="20"/>
                <w:color w:val="auto"/>
              </w:rPr>
            </w:pPr>
            <w:r>
              <w:rPr>
                <w:rFonts w:ascii="Arial" w:cs="Arial" w:eastAsia="Arial" w:hAnsi="Arial"/>
                <w:sz w:val="18"/>
                <w:szCs w:val="18"/>
                <w:color w:val="auto"/>
              </w:rPr>
              <w:t>77.5</w:t>
            </w:r>
          </w:p>
        </w:tc>
        <w:tc>
          <w:tcPr>
            <w:tcW w:w="0" w:type="dxa"/>
            <w:vAlign w:val="bottom"/>
          </w:tcPr>
          <w:p>
            <w:pPr>
              <w:spacing w:after="0"/>
              <w:rPr>
                <w:sz w:val="1"/>
                <w:szCs w:val="1"/>
                <w:color w:val="auto"/>
              </w:rPr>
            </w:pPr>
          </w:p>
        </w:tc>
      </w:tr>
      <w:tr>
        <w:trPr>
          <w:trHeight w:val="270"/>
        </w:trPr>
        <w:tc>
          <w:tcPr>
            <w:tcW w:w="4000" w:type="dxa"/>
            <w:vAlign w:val="bottom"/>
            <w:gridSpan w:val="3"/>
            <w:shd w:val="clear" w:color="auto" w:fill="DCE2EF"/>
          </w:tcPr>
          <w:p>
            <w:pPr>
              <w:ind w:left="40"/>
              <w:spacing w:after="0"/>
              <w:rPr>
                <w:sz w:val="20"/>
                <w:szCs w:val="20"/>
                <w:color w:val="auto"/>
              </w:rPr>
            </w:pPr>
            <w:r>
              <w:rPr>
                <w:rFonts w:ascii="Arial" w:cs="Arial" w:eastAsia="Arial" w:hAnsi="Arial"/>
                <w:sz w:val="18"/>
                <w:szCs w:val="18"/>
                <w:color w:val="auto"/>
              </w:rPr>
              <w:t>Restricted insurance deposits</w:t>
            </w:r>
          </w:p>
        </w:tc>
        <w:tc>
          <w:tcPr>
            <w:tcW w:w="3160" w:type="dxa"/>
            <w:vAlign w:val="bottom"/>
            <w:shd w:val="clear" w:color="auto" w:fill="DCE2EF"/>
          </w:tcPr>
          <w:p>
            <w:pPr>
              <w:spacing w:after="0"/>
              <w:rPr>
                <w:sz w:val="23"/>
                <w:szCs w:val="23"/>
                <w:color w:val="auto"/>
              </w:rPr>
            </w:pPr>
          </w:p>
        </w:tc>
        <w:tc>
          <w:tcPr>
            <w:tcW w:w="300" w:type="dxa"/>
            <w:vAlign w:val="bottom"/>
            <w:tcBorders>
              <w:bottom w:val="single" w:sz="8" w:color="auto"/>
            </w:tcBorders>
            <w:shd w:val="clear" w:color="auto" w:fill="DCE2EF"/>
          </w:tcPr>
          <w:p>
            <w:pPr>
              <w:spacing w:after="0"/>
              <w:rPr>
                <w:sz w:val="23"/>
                <w:szCs w:val="23"/>
                <w:color w:val="auto"/>
              </w:rPr>
            </w:pPr>
          </w:p>
        </w:tc>
        <w:tc>
          <w:tcPr>
            <w:tcW w:w="1780" w:type="dxa"/>
            <w:vAlign w:val="bottom"/>
            <w:tcBorders>
              <w:bottom w:val="single" w:sz="8" w:color="auto"/>
            </w:tcBorders>
            <w:shd w:val="clear" w:color="auto" w:fill="DCE2EF"/>
          </w:tcPr>
          <w:p>
            <w:pPr>
              <w:jc w:val="right"/>
              <w:ind w:right="30"/>
              <w:spacing w:after="0"/>
              <w:rPr>
                <w:sz w:val="20"/>
                <w:szCs w:val="20"/>
                <w:color w:val="auto"/>
              </w:rPr>
            </w:pPr>
            <w:r>
              <w:rPr>
                <w:rFonts w:ascii="Arial" w:cs="Arial" w:eastAsia="Arial" w:hAnsi="Arial"/>
                <w:sz w:val="18"/>
                <w:szCs w:val="18"/>
                <w:color w:val="auto"/>
              </w:rPr>
              <w:t>10.4</w:t>
            </w:r>
          </w:p>
        </w:tc>
        <w:tc>
          <w:tcPr>
            <w:tcW w:w="100" w:type="dxa"/>
            <w:vAlign w:val="bottom"/>
            <w:shd w:val="clear" w:color="auto" w:fill="DCE2EF"/>
          </w:tcPr>
          <w:p>
            <w:pPr>
              <w:spacing w:after="0"/>
              <w:rPr>
                <w:sz w:val="23"/>
                <w:szCs w:val="23"/>
                <w:color w:val="auto"/>
              </w:rPr>
            </w:pPr>
          </w:p>
        </w:tc>
        <w:tc>
          <w:tcPr>
            <w:tcW w:w="220" w:type="dxa"/>
            <w:vAlign w:val="bottom"/>
            <w:tcBorders>
              <w:bottom w:val="single" w:sz="8" w:color="auto"/>
            </w:tcBorders>
            <w:shd w:val="clear" w:color="auto" w:fill="DCE2EF"/>
          </w:tcPr>
          <w:p>
            <w:pPr>
              <w:spacing w:after="0"/>
              <w:rPr>
                <w:sz w:val="23"/>
                <w:szCs w:val="23"/>
                <w:color w:val="auto"/>
              </w:rPr>
            </w:pPr>
          </w:p>
        </w:tc>
        <w:tc>
          <w:tcPr>
            <w:tcW w:w="1840" w:type="dxa"/>
            <w:vAlign w:val="bottom"/>
            <w:tcBorders>
              <w:bottom w:val="single" w:sz="8" w:color="auto"/>
            </w:tcBorders>
            <w:shd w:val="clear" w:color="auto" w:fill="DCE2EF"/>
          </w:tcPr>
          <w:p>
            <w:pPr>
              <w:jc w:val="right"/>
              <w:ind w:right="10"/>
              <w:spacing w:after="0"/>
              <w:rPr>
                <w:sz w:val="20"/>
                <w:szCs w:val="20"/>
                <w:color w:val="auto"/>
              </w:rPr>
            </w:pPr>
            <w:r>
              <w:rPr>
                <w:rFonts w:ascii="Arial" w:cs="Arial" w:eastAsia="Arial" w:hAnsi="Arial"/>
                <w:sz w:val="18"/>
                <w:szCs w:val="18"/>
                <w:color w:val="auto"/>
              </w:rPr>
              <w:t>11.2</w:t>
            </w:r>
          </w:p>
        </w:tc>
        <w:tc>
          <w:tcPr>
            <w:tcW w:w="0" w:type="dxa"/>
            <w:vAlign w:val="bottom"/>
          </w:tcPr>
          <w:p>
            <w:pPr>
              <w:spacing w:after="0"/>
              <w:rPr>
                <w:sz w:val="1"/>
                <w:szCs w:val="1"/>
                <w:color w:val="auto"/>
              </w:rPr>
            </w:pPr>
          </w:p>
        </w:tc>
      </w:tr>
      <w:tr>
        <w:trPr>
          <w:trHeight w:val="257"/>
        </w:trPr>
        <w:tc>
          <w:tcPr>
            <w:tcW w:w="4000" w:type="dxa"/>
            <w:vAlign w:val="bottom"/>
            <w:gridSpan w:val="3"/>
          </w:tcPr>
          <w:p>
            <w:pPr>
              <w:ind w:left="40"/>
              <w:spacing w:after="0"/>
              <w:rPr>
                <w:sz w:val="20"/>
                <w:szCs w:val="20"/>
                <w:color w:val="auto"/>
              </w:rPr>
            </w:pPr>
            <w:r>
              <w:rPr>
                <w:rFonts w:ascii="Arial" w:cs="Arial" w:eastAsia="Arial" w:hAnsi="Arial"/>
                <w:sz w:val="18"/>
                <w:szCs w:val="18"/>
                <w:color w:val="auto"/>
              </w:rPr>
              <w:t>Total</w:t>
            </w:r>
          </w:p>
        </w:tc>
        <w:tc>
          <w:tcPr>
            <w:tcW w:w="34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780" w:type="dxa"/>
            <w:vAlign w:val="bottom"/>
          </w:tcPr>
          <w:p>
            <w:pPr>
              <w:jc w:val="right"/>
              <w:ind w:right="30"/>
              <w:spacing w:after="0"/>
              <w:rPr>
                <w:sz w:val="20"/>
                <w:szCs w:val="20"/>
                <w:color w:val="auto"/>
              </w:rPr>
            </w:pPr>
            <w:r>
              <w:rPr>
                <w:rFonts w:ascii="Arial" w:cs="Arial" w:eastAsia="Arial" w:hAnsi="Arial"/>
                <w:sz w:val="18"/>
                <w:szCs w:val="18"/>
                <w:color w:val="auto"/>
              </w:rPr>
              <w:t>225.3</w:t>
            </w:r>
          </w:p>
        </w:tc>
        <w:tc>
          <w:tcPr>
            <w:tcW w:w="100" w:type="dxa"/>
            <w:vAlign w:val="bottom"/>
          </w:tcPr>
          <w:p>
            <w:pPr>
              <w:spacing w:after="0"/>
              <w:rPr>
                <w:sz w:val="22"/>
                <w:szCs w:val="22"/>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840" w:type="dxa"/>
            <w:vAlign w:val="bottom"/>
          </w:tcPr>
          <w:p>
            <w:pPr>
              <w:jc w:val="right"/>
              <w:ind w:right="10"/>
              <w:spacing w:after="0"/>
              <w:rPr>
                <w:sz w:val="20"/>
                <w:szCs w:val="20"/>
                <w:color w:val="auto"/>
              </w:rPr>
            </w:pPr>
            <w:r>
              <w:rPr>
                <w:rFonts w:ascii="Arial" w:cs="Arial" w:eastAsia="Arial" w:hAnsi="Arial"/>
                <w:sz w:val="18"/>
                <w:szCs w:val="18"/>
                <w:color w:val="auto"/>
              </w:rPr>
              <w:t>226.3</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260" w:type="dxa"/>
            <w:vAlign w:val="bottom"/>
          </w:tcPr>
          <w:p>
            <w:pPr>
              <w:spacing w:after="0" w:line="20" w:lineRule="exact"/>
              <w:rPr>
                <w:sz w:val="1"/>
                <w:szCs w:val="1"/>
                <w:color w:val="auto"/>
              </w:rPr>
            </w:pPr>
          </w:p>
        </w:tc>
        <w:tc>
          <w:tcPr>
            <w:tcW w:w="3160" w:type="dxa"/>
            <w:vAlign w:val="bottom"/>
            <w:vMerge w:val="restart"/>
          </w:tcPr>
          <w:p>
            <w:pPr>
              <w:jc w:val="right"/>
              <w:ind w:right="1250"/>
              <w:spacing w:after="0"/>
              <w:rPr>
                <w:sz w:val="20"/>
                <w:szCs w:val="20"/>
                <w:color w:val="auto"/>
              </w:rPr>
            </w:pPr>
            <w:r>
              <w:rPr>
                <w:rFonts w:ascii="Arial" w:cs="Arial" w:eastAsia="Arial" w:hAnsi="Arial"/>
                <w:sz w:val="18"/>
                <w:szCs w:val="18"/>
                <w:color w:val="auto"/>
              </w:rPr>
              <w:t>14</w:t>
            </w:r>
          </w:p>
        </w:tc>
        <w:tc>
          <w:tcPr>
            <w:tcW w:w="300" w:type="dxa"/>
            <w:vAlign w:val="bottom"/>
            <w:tcBorders>
              <w:top w:val="single" w:sz="8" w:color="auto"/>
              <w:bottom w:val="single" w:sz="8" w:color="auto"/>
            </w:tcBorders>
          </w:tcPr>
          <w:p>
            <w:pPr>
              <w:spacing w:after="0" w:line="20" w:lineRule="exact"/>
              <w:rPr>
                <w:sz w:val="1"/>
                <w:szCs w:val="1"/>
                <w:color w:val="auto"/>
              </w:rPr>
            </w:pPr>
          </w:p>
        </w:tc>
        <w:tc>
          <w:tcPr>
            <w:tcW w:w="1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8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0"/>
        </w:trPr>
        <w:tc>
          <w:tcPr>
            <w:tcW w:w="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260" w:type="dxa"/>
            <w:vAlign w:val="bottom"/>
          </w:tcPr>
          <w:p>
            <w:pPr>
              <w:spacing w:after="0"/>
              <w:rPr>
                <w:sz w:val="24"/>
                <w:szCs w:val="24"/>
                <w:color w:val="auto"/>
              </w:rPr>
            </w:pPr>
          </w:p>
        </w:tc>
        <w:tc>
          <w:tcPr>
            <w:tcW w:w="3160" w:type="dxa"/>
            <w:vAlign w:val="bottom"/>
            <w:vMerge w:val="continue"/>
          </w:tcPr>
          <w:p>
            <w:pPr>
              <w:spacing w:after="0"/>
              <w:rPr>
                <w:sz w:val="24"/>
                <w:szCs w:val="24"/>
                <w:color w:val="auto"/>
              </w:rPr>
            </w:pPr>
          </w:p>
        </w:tc>
        <w:tc>
          <w:tcPr>
            <w:tcW w:w="30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544" w:right="239" w:bottom="1440" w:gutter="0" w:footer="0" w:header="0"/>
        </w:sectPr>
      </w:pPr>
    </w:p>
    <w:bookmarkStart w:id="17" w:name="page18"/>
    <w:bookmarkEnd w:id="17"/>
    <w:p>
      <w:pPr>
        <w:spacing w:after="0"/>
        <w:rPr>
          <w:sz w:val="20"/>
          <w:szCs w:val="20"/>
          <w:color w:val="auto"/>
        </w:rPr>
      </w:pPr>
      <w:r>
        <w:rPr>
          <w:rFonts w:ascii="Arial" w:cs="Arial" w:eastAsia="Arial" w:hAnsi="Arial"/>
          <w:sz w:val="18"/>
          <w:szCs w:val="18"/>
          <w:b w:val="1"/>
          <w:bCs w:val="1"/>
          <w:color w:val="0046AD"/>
        </w:rPr>
        <w:t>9. CREDIT FACILITY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106045</wp:posOffset>
            </wp:positionV>
            <wp:extent cx="723773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37730" cy="8890"/>
                    </a:xfrm>
                    <a:prstGeom prst="rect">
                      <a:avLst/>
                    </a:prstGeom>
                    <a:noFill/>
                  </pic:spPr>
                </pic:pic>
              </a:graphicData>
            </a:graphic>
          </wp:anchor>
        </w:drawing>
      </w:r>
    </w:p>
    <w:p>
      <w:pPr>
        <w:spacing w:after="0" w:line="200" w:lineRule="exact"/>
        <w:rPr>
          <w:sz w:val="20"/>
          <w:szCs w:val="20"/>
          <w:color w:val="auto"/>
        </w:rPr>
      </w:pPr>
    </w:p>
    <w:p>
      <w:pPr>
        <w:spacing w:after="0" w:line="243"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8"/>
          <w:szCs w:val="18"/>
          <w:color w:val="auto"/>
        </w:rPr>
        <w:t>On September 1, 2017, we refinanced and replaced our then-existing $800.0 million credit facility with a new senior, secured five-year syndicated credit facility (the “Credit Facility”), consisting of a $900.0 million revolving line of credit and an $800.0 million amortizing term loan, scheduled to mature on September 1, 2022. The line of credit reduces to $800.0 million after one year. The Credit Facility also provides for the issuance of up to $300.0 million for standby letters of credit and the issuance of up to $75.0 million in swingline advances. The obligations under the Credit Facility are secured on a first-priority basis by a lien on substantially all of our assets and properties, subject to certain exceptions.</w:t>
      </w:r>
    </w:p>
    <w:p>
      <w:pPr>
        <w:spacing w:after="0" w:line="155"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8"/>
          <w:szCs w:val="18"/>
          <w:color w:val="auto"/>
        </w:rPr>
        <w:t>Borrowings under the Credit Facility bear interest at a rate equal to 1-month LIBOR plus a spread that is based upon our leverage ratio. The spread ranges from 1.00% to 2.25% for Eurocurrency loans and 0.00% to 1.25% for base rate loans. At April 30, 2018, the weighted average interest rate on our outstanding borrowings was 4.02%. We also pay a commitment fee, based on our leverage ratio and payable quarterly in arrears, ranging from 0.200% to 0.350% on the average daily unused portion of the line of credit. For purposes of this calculation, irrevocable standby letters of credit, which are issued primarily in conjunction with our insurance programs, and cash borrowings are included as outstanding under the line of credit.</w:t>
      </w:r>
    </w:p>
    <w:p>
      <w:pPr>
        <w:spacing w:after="0" w:line="155"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The Credit Facility contains certain covenants, including a maximum leverage ratio of 4.75 to 1.0, which steps down to 3.50 to 1.0 by July 2020, and a minimum fixed charge coverage ratio of 1.50 to 1.0, as well as other financial and non-financial covenants. In the event of a material acquisition, as defined in the Credit Facility, we may elect to increase the leverage ratio to 3.75 to 1.0 for a total of four fiscal quarters, provided the leverage ratio had already been reduced to 3.50 to 1.0. Our borrowing capacity is subject to, and limited by, compliance with the covenants described above. At April 30, 2018, we were in compliance with these covenants.</w:t>
      </w:r>
    </w:p>
    <w:p>
      <w:pPr>
        <w:spacing w:after="0" w:line="152"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The Credit Facility also includes customary events of default, including failure to pay principal, interest, or fees when due, failure to comply with covenants, the occurrence of certain material judgments, or a change in control of the Company. If certain events of default occur, including certain cross-defaults, insolvency, change in control, or violation of specific covenants, the lenders can terminate or suspend our access to the Credit Facility and declare all amounts outstanding (including all accrued interest and unpaid fees) to be immediately due and payable, and require that we cash collateralize the outstanding standby letters of credit.</w:t>
      </w:r>
    </w:p>
    <w:p>
      <w:pPr>
        <w:spacing w:after="0" w:line="152" w:lineRule="exact"/>
        <w:rPr>
          <w:sz w:val="20"/>
          <w:szCs w:val="20"/>
          <w:color w:val="auto"/>
        </w:rPr>
      </w:pPr>
    </w:p>
    <w:p>
      <w:pPr>
        <w:jc w:val="both"/>
        <w:ind w:right="20" w:firstLine="648"/>
        <w:spacing w:after="0" w:line="262" w:lineRule="auto"/>
        <w:rPr>
          <w:sz w:val="20"/>
          <w:szCs w:val="20"/>
          <w:color w:val="auto"/>
        </w:rPr>
      </w:pPr>
      <w:r>
        <w:rPr>
          <w:rFonts w:ascii="Arial" w:cs="Arial" w:eastAsia="Arial" w:hAnsi="Arial"/>
          <w:sz w:val="18"/>
          <w:szCs w:val="18"/>
          <w:color w:val="auto"/>
        </w:rPr>
        <w:t>Total deferred financing costs related to the Credit Facility were $18.7 million, consisting of $ 13.4 million related to the term loan and $5.2 million related to the line of credit, which are being amortized to interest expense over the term of the Credit Facility.</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0046AD"/>
        </w:rPr>
        <w:t>Credit Facility Information</w:t>
      </w:r>
    </w:p>
    <w:p>
      <w:pPr>
        <w:spacing w:after="0" w:line="347"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7160" w:type="dxa"/>
            <w:vAlign w:val="bottom"/>
            <w:gridSpan w:val="3"/>
          </w:tcPr>
          <w:p>
            <w:pPr>
              <w:ind w:left="40"/>
              <w:spacing w:after="0"/>
              <w:rPr>
                <w:sz w:val="20"/>
                <w:szCs w:val="20"/>
                <w:color w:val="auto"/>
              </w:rPr>
            </w:pPr>
            <w:r>
              <w:rPr>
                <w:rFonts w:ascii="Arial" w:cs="Arial" w:eastAsia="Arial" w:hAnsi="Arial"/>
                <w:sz w:val="14"/>
                <w:szCs w:val="14"/>
                <w:i w:val="1"/>
                <w:iCs w:val="1"/>
                <w:color w:val="auto"/>
              </w:rPr>
              <w:t>(in millions)</w:t>
            </w:r>
          </w:p>
        </w:tc>
        <w:tc>
          <w:tcPr>
            <w:tcW w:w="300" w:type="dxa"/>
            <w:vAlign w:val="bottom"/>
          </w:tcPr>
          <w:p>
            <w:pPr>
              <w:spacing w:after="0"/>
              <w:rPr>
                <w:sz w:val="18"/>
                <w:szCs w:val="18"/>
                <w:color w:val="auto"/>
              </w:rPr>
            </w:pPr>
          </w:p>
        </w:tc>
        <w:tc>
          <w:tcPr>
            <w:tcW w:w="1880" w:type="dxa"/>
            <w:vAlign w:val="bottom"/>
            <w:gridSpan w:val="2"/>
          </w:tcPr>
          <w:p>
            <w:pPr>
              <w:ind w:left="160"/>
              <w:spacing w:after="0"/>
              <w:rPr>
                <w:sz w:val="20"/>
                <w:szCs w:val="20"/>
                <w:color w:val="auto"/>
              </w:rPr>
            </w:pPr>
            <w:r>
              <w:rPr>
                <w:rFonts w:ascii="Arial" w:cs="Arial" w:eastAsia="Arial" w:hAnsi="Arial"/>
                <w:sz w:val="18"/>
                <w:szCs w:val="18"/>
                <w:b w:val="1"/>
                <w:bCs w:val="1"/>
                <w:color w:val="auto"/>
              </w:rPr>
              <w:t>April 30, 2018</w:t>
            </w:r>
          </w:p>
        </w:tc>
        <w:tc>
          <w:tcPr>
            <w:tcW w:w="220" w:type="dxa"/>
            <w:vAlign w:val="bottom"/>
          </w:tcPr>
          <w:p>
            <w:pPr>
              <w:spacing w:after="0"/>
              <w:rPr>
                <w:sz w:val="18"/>
                <w:szCs w:val="18"/>
                <w:color w:val="auto"/>
              </w:rPr>
            </w:pPr>
          </w:p>
        </w:tc>
        <w:tc>
          <w:tcPr>
            <w:tcW w:w="1840" w:type="dxa"/>
            <w:vAlign w:val="bottom"/>
          </w:tcPr>
          <w:p>
            <w:pPr>
              <w:jc w:val="right"/>
              <w:ind w:right="210"/>
              <w:spacing w:after="0"/>
              <w:rPr>
                <w:sz w:val="20"/>
                <w:szCs w:val="20"/>
                <w:color w:val="auto"/>
              </w:rPr>
            </w:pPr>
            <w:r>
              <w:rPr>
                <w:rFonts w:ascii="Arial" w:cs="Arial" w:eastAsia="Arial" w:hAnsi="Arial"/>
                <w:sz w:val="18"/>
                <w:szCs w:val="18"/>
                <w:b w:val="1"/>
                <w:bCs w:val="1"/>
                <w:color w:val="auto"/>
              </w:rPr>
              <w:t>October 31, 2017</w:t>
            </w:r>
          </w:p>
        </w:tc>
      </w:tr>
      <w:tr>
        <w:trPr>
          <w:trHeight w:val="21"/>
        </w:trPr>
        <w:tc>
          <w:tcPr>
            <w:tcW w:w="40" w:type="dxa"/>
            <w:vAlign w:val="bottom"/>
            <w:tcBorders>
              <w:bottom w:val="single" w:sz="8" w:color="DCE2EF"/>
            </w:tcBorders>
          </w:tcPr>
          <w:p>
            <w:pPr>
              <w:spacing w:after="0" w:line="20" w:lineRule="exact"/>
              <w:rPr>
                <w:sz w:val="1"/>
                <w:szCs w:val="1"/>
                <w:color w:val="auto"/>
              </w:rPr>
            </w:pPr>
          </w:p>
        </w:tc>
        <w:tc>
          <w:tcPr>
            <w:tcW w:w="700" w:type="dxa"/>
            <w:vAlign w:val="bottom"/>
            <w:tcBorders>
              <w:top w:val="single" w:sz="8" w:color="auto"/>
              <w:bottom w:val="single" w:sz="8" w:color="DCE2EF"/>
            </w:tcBorders>
          </w:tcPr>
          <w:p>
            <w:pPr>
              <w:spacing w:after="0" w:line="20" w:lineRule="exact"/>
              <w:rPr>
                <w:sz w:val="1"/>
                <w:szCs w:val="1"/>
                <w:color w:val="auto"/>
              </w:rPr>
            </w:pPr>
          </w:p>
        </w:tc>
        <w:tc>
          <w:tcPr>
            <w:tcW w:w="6420" w:type="dxa"/>
            <w:vAlign w:val="bottom"/>
            <w:tcBorders>
              <w:bottom w:val="single" w:sz="8" w:color="DCE2E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DCE2E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r>
      <w:tr>
        <w:trPr>
          <w:trHeight w:val="264"/>
        </w:trPr>
        <w:tc>
          <w:tcPr>
            <w:tcW w:w="7160" w:type="dxa"/>
            <w:vAlign w:val="bottom"/>
            <w:gridSpan w:val="3"/>
            <w:shd w:val="clear" w:color="auto" w:fill="DCE2EF"/>
          </w:tcPr>
          <w:p>
            <w:pPr>
              <w:ind w:left="40"/>
              <w:spacing w:after="0"/>
              <w:rPr>
                <w:sz w:val="20"/>
                <w:szCs w:val="20"/>
                <w:color w:val="auto"/>
              </w:rPr>
            </w:pPr>
            <w:r>
              <w:rPr>
                <w:rFonts w:ascii="Arial" w:cs="Arial" w:eastAsia="Arial" w:hAnsi="Arial"/>
                <w:sz w:val="18"/>
                <w:szCs w:val="18"/>
                <w:color w:val="auto"/>
              </w:rPr>
              <w:t>Current portion of long-term debt</w:t>
            </w:r>
          </w:p>
        </w:tc>
        <w:tc>
          <w:tcPr>
            <w:tcW w:w="300" w:type="dxa"/>
            <w:vAlign w:val="bottom"/>
            <w:shd w:val="clear" w:color="auto" w:fill="DCE2EF"/>
          </w:tcPr>
          <w:p>
            <w:pPr>
              <w:spacing w:after="0"/>
              <w:rPr>
                <w:sz w:val="22"/>
                <w:szCs w:val="22"/>
                <w:color w:val="auto"/>
              </w:rPr>
            </w:pPr>
          </w:p>
        </w:tc>
        <w:tc>
          <w:tcPr>
            <w:tcW w:w="1780" w:type="dxa"/>
            <w:vAlign w:val="bottom"/>
            <w:shd w:val="clear" w:color="auto" w:fill="DCE2EF"/>
          </w:tcPr>
          <w:p>
            <w:pPr>
              <w:spacing w:after="0"/>
              <w:rPr>
                <w:sz w:val="22"/>
                <w:szCs w:val="22"/>
                <w:color w:val="auto"/>
              </w:rPr>
            </w:pPr>
          </w:p>
        </w:tc>
        <w:tc>
          <w:tcPr>
            <w:tcW w:w="100" w:type="dxa"/>
            <w:vAlign w:val="bottom"/>
            <w:shd w:val="clear" w:color="auto" w:fill="DCE2EF"/>
          </w:tcPr>
          <w:p>
            <w:pPr>
              <w:spacing w:after="0"/>
              <w:rPr>
                <w:sz w:val="22"/>
                <w:szCs w:val="22"/>
                <w:color w:val="auto"/>
              </w:rPr>
            </w:pPr>
          </w:p>
        </w:tc>
        <w:tc>
          <w:tcPr>
            <w:tcW w:w="220" w:type="dxa"/>
            <w:vAlign w:val="bottom"/>
            <w:shd w:val="clear" w:color="auto" w:fill="DCE2EF"/>
          </w:tcPr>
          <w:p>
            <w:pPr>
              <w:spacing w:after="0"/>
              <w:rPr>
                <w:sz w:val="22"/>
                <w:szCs w:val="22"/>
                <w:color w:val="auto"/>
              </w:rPr>
            </w:pPr>
          </w:p>
        </w:tc>
        <w:tc>
          <w:tcPr>
            <w:tcW w:w="1840" w:type="dxa"/>
            <w:vAlign w:val="bottom"/>
            <w:shd w:val="clear" w:color="auto" w:fill="DCE2EF"/>
          </w:tcPr>
          <w:p>
            <w:pPr>
              <w:spacing w:after="0"/>
              <w:rPr>
                <w:sz w:val="22"/>
                <w:szCs w:val="22"/>
                <w:color w:val="auto"/>
              </w:rPr>
            </w:pPr>
          </w:p>
        </w:tc>
      </w:tr>
      <w:tr>
        <w:trPr>
          <w:trHeight w:val="263"/>
        </w:trPr>
        <w:tc>
          <w:tcPr>
            <w:tcW w:w="40" w:type="dxa"/>
            <w:vAlign w:val="bottom"/>
          </w:tcPr>
          <w:p>
            <w:pPr>
              <w:spacing w:after="0"/>
              <w:rPr>
                <w:sz w:val="22"/>
                <w:szCs w:val="22"/>
                <w:color w:val="auto"/>
              </w:rPr>
            </w:pPr>
          </w:p>
        </w:tc>
        <w:tc>
          <w:tcPr>
            <w:tcW w:w="7120" w:type="dxa"/>
            <w:vAlign w:val="bottom"/>
            <w:gridSpan w:val="2"/>
          </w:tcPr>
          <w:p>
            <w:pPr>
              <w:ind w:left="240"/>
              <w:spacing w:after="0"/>
              <w:rPr>
                <w:sz w:val="20"/>
                <w:szCs w:val="20"/>
                <w:color w:val="auto"/>
              </w:rPr>
            </w:pPr>
            <w:r>
              <w:rPr>
                <w:rFonts w:ascii="Arial" w:cs="Arial" w:eastAsia="Arial" w:hAnsi="Arial"/>
                <w:sz w:val="18"/>
                <w:szCs w:val="18"/>
                <w:color w:val="auto"/>
              </w:rPr>
              <w:t>Gross term loan</w:t>
            </w:r>
          </w:p>
        </w:tc>
        <w:tc>
          <w:tcPr>
            <w:tcW w:w="30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780" w:type="dxa"/>
            <w:vAlign w:val="bottom"/>
          </w:tcPr>
          <w:p>
            <w:pPr>
              <w:jc w:val="right"/>
              <w:ind w:right="30"/>
              <w:spacing w:after="0"/>
              <w:rPr>
                <w:sz w:val="20"/>
                <w:szCs w:val="20"/>
                <w:color w:val="auto"/>
              </w:rPr>
            </w:pPr>
            <w:r>
              <w:rPr>
                <w:rFonts w:ascii="Arial" w:cs="Arial" w:eastAsia="Arial" w:hAnsi="Arial"/>
                <w:sz w:val="18"/>
                <w:szCs w:val="18"/>
                <w:color w:val="auto"/>
              </w:rPr>
              <w:t>20.0</w:t>
            </w:r>
          </w:p>
        </w:tc>
        <w:tc>
          <w:tcPr>
            <w:tcW w:w="100" w:type="dxa"/>
            <w:vAlign w:val="bottom"/>
          </w:tcPr>
          <w:p>
            <w:pPr>
              <w:spacing w:after="0"/>
              <w:rPr>
                <w:sz w:val="22"/>
                <w:szCs w:val="22"/>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840" w:type="dxa"/>
            <w:vAlign w:val="bottom"/>
          </w:tcPr>
          <w:p>
            <w:pPr>
              <w:jc w:val="right"/>
              <w:ind w:right="10"/>
              <w:spacing w:after="0"/>
              <w:rPr>
                <w:sz w:val="20"/>
                <w:szCs w:val="20"/>
                <w:color w:val="auto"/>
              </w:rPr>
            </w:pPr>
            <w:r>
              <w:rPr>
                <w:rFonts w:ascii="Arial" w:cs="Arial" w:eastAsia="Arial" w:hAnsi="Arial"/>
                <w:sz w:val="18"/>
                <w:szCs w:val="18"/>
                <w:color w:val="auto"/>
              </w:rPr>
              <w:t>20.0</w:t>
            </w:r>
          </w:p>
        </w:tc>
      </w:tr>
      <w:tr>
        <w:trPr>
          <w:trHeight w:val="270"/>
        </w:trPr>
        <w:tc>
          <w:tcPr>
            <w:tcW w:w="40" w:type="dxa"/>
            <w:vAlign w:val="bottom"/>
            <w:shd w:val="clear" w:color="auto" w:fill="DCE2EF"/>
          </w:tcPr>
          <w:p>
            <w:pPr>
              <w:spacing w:after="0"/>
              <w:rPr>
                <w:sz w:val="23"/>
                <w:szCs w:val="23"/>
                <w:color w:val="auto"/>
              </w:rPr>
            </w:pPr>
          </w:p>
        </w:tc>
        <w:tc>
          <w:tcPr>
            <w:tcW w:w="7120" w:type="dxa"/>
            <w:vAlign w:val="bottom"/>
            <w:gridSpan w:val="2"/>
            <w:shd w:val="clear" w:color="auto" w:fill="DCE2EF"/>
          </w:tcPr>
          <w:p>
            <w:pPr>
              <w:ind w:left="240"/>
              <w:spacing w:after="0"/>
              <w:rPr>
                <w:sz w:val="20"/>
                <w:szCs w:val="20"/>
                <w:color w:val="auto"/>
              </w:rPr>
            </w:pPr>
            <w:r>
              <w:rPr>
                <w:rFonts w:ascii="Arial" w:cs="Arial" w:eastAsia="Arial" w:hAnsi="Arial"/>
                <w:sz w:val="18"/>
                <w:szCs w:val="18"/>
                <w:color w:val="auto"/>
              </w:rPr>
              <w:t>Less: unamortized deferred financing costs</w:t>
            </w:r>
          </w:p>
        </w:tc>
        <w:tc>
          <w:tcPr>
            <w:tcW w:w="300" w:type="dxa"/>
            <w:vAlign w:val="bottom"/>
            <w:tcBorders>
              <w:bottom w:val="single" w:sz="8" w:color="auto"/>
            </w:tcBorders>
            <w:shd w:val="clear" w:color="auto" w:fill="DCE2EF"/>
          </w:tcPr>
          <w:p>
            <w:pPr>
              <w:spacing w:after="0"/>
              <w:rPr>
                <w:sz w:val="23"/>
                <w:szCs w:val="23"/>
                <w:color w:val="auto"/>
              </w:rPr>
            </w:pPr>
          </w:p>
        </w:tc>
        <w:tc>
          <w:tcPr>
            <w:tcW w:w="1780" w:type="dxa"/>
            <w:vAlign w:val="bottom"/>
            <w:tcBorders>
              <w:bottom w:val="single" w:sz="8" w:color="auto"/>
            </w:tcBorders>
            <w:shd w:val="clear" w:color="auto" w:fill="DCE2EF"/>
          </w:tcPr>
          <w:p>
            <w:pPr>
              <w:jc w:val="right"/>
              <w:spacing w:after="0"/>
              <w:rPr>
                <w:sz w:val="20"/>
                <w:szCs w:val="20"/>
                <w:color w:val="auto"/>
              </w:rPr>
            </w:pPr>
            <w:r>
              <w:rPr>
                <w:rFonts w:ascii="Arial" w:cs="Arial" w:eastAsia="Arial" w:hAnsi="Arial"/>
                <w:sz w:val="18"/>
                <w:szCs w:val="18"/>
                <w:color w:val="auto"/>
              </w:rPr>
              <w:t>(3.0)</w:t>
            </w:r>
          </w:p>
        </w:tc>
        <w:tc>
          <w:tcPr>
            <w:tcW w:w="100" w:type="dxa"/>
            <w:vAlign w:val="bottom"/>
            <w:shd w:val="clear" w:color="auto" w:fill="DCE2EF"/>
          </w:tcPr>
          <w:p>
            <w:pPr>
              <w:spacing w:after="0"/>
              <w:rPr>
                <w:sz w:val="23"/>
                <w:szCs w:val="23"/>
                <w:color w:val="auto"/>
              </w:rPr>
            </w:pPr>
          </w:p>
        </w:tc>
        <w:tc>
          <w:tcPr>
            <w:tcW w:w="220" w:type="dxa"/>
            <w:vAlign w:val="bottom"/>
            <w:tcBorders>
              <w:bottom w:val="single" w:sz="8" w:color="auto"/>
            </w:tcBorders>
            <w:shd w:val="clear" w:color="auto" w:fill="DCE2EF"/>
          </w:tcPr>
          <w:p>
            <w:pPr>
              <w:spacing w:after="0"/>
              <w:rPr>
                <w:sz w:val="23"/>
                <w:szCs w:val="23"/>
                <w:color w:val="auto"/>
              </w:rPr>
            </w:pPr>
          </w:p>
        </w:tc>
        <w:tc>
          <w:tcPr>
            <w:tcW w:w="1840" w:type="dxa"/>
            <w:vAlign w:val="bottom"/>
            <w:tcBorders>
              <w:bottom w:val="single" w:sz="8" w:color="auto"/>
            </w:tcBorders>
            <w:shd w:val="clear" w:color="auto" w:fill="DCE2EF"/>
          </w:tcPr>
          <w:p>
            <w:pPr>
              <w:jc w:val="right"/>
              <w:spacing w:after="0"/>
              <w:rPr>
                <w:sz w:val="20"/>
                <w:szCs w:val="20"/>
                <w:color w:val="auto"/>
              </w:rPr>
            </w:pPr>
            <w:r>
              <w:rPr>
                <w:rFonts w:ascii="Arial" w:cs="Arial" w:eastAsia="Arial" w:hAnsi="Arial"/>
                <w:sz w:val="18"/>
                <w:szCs w:val="18"/>
                <w:color w:val="auto"/>
              </w:rPr>
              <w:t>(3.1)</w:t>
            </w:r>
          </w:p>
        </w:tc>
      </w:tr>
      <w:tr>
        <w:trPr>
          <w:trHeight w:val="250"/>
        </w:trPr>
        <w:tc>
          <w:tcPr>
            <w:tcW w:w="40" w:type="dxa"/>
            <w:vAlign w:val="bottom"/>
            <w:tcBorders>
              <w:bottom w:val="single" w:sz="8" w:color="DCE2EF"/>
            </w:tcBorders>
          </w:tcPr>
          <w:p>
            <w:pPr>
              <w:spacing w:after="0"/>
              <w:rPr>
                <w:sz w:val="21"/>
                <w:szCs w:val="21"/>
                <w:color w:val="auto"/>
              </w:rPr>
            </w:pPr>
          </w:p>
        </w:tc>
        <w:tc>
          <w:tcPr>
            <w:tcW w:w="7120" w:type="dxa"/>
            <w:vAlign w:val="bottom"/>
            <w:tcBorders>
              <w:bottom w:val="single" w:sz="8" w:color="DCE2EF"/>
            </w:tcBorders>
            <w:gridSpan w:val="2"/>
          </w:tcPr>
          <w:p>
            <w:pPr>
              <w:ind w:left="460"/>
              <w:spacing w:after="0"/>
              <w:rPr>
                <w:sz w:val="20"/>
                <w:szCs w:val="20"/>
                <w:color w:val="auto"/>
              </w:rPr>
            </w:pPr>
            <w:r>
              <w:rPr>
                <w:rFonts w:ascii="Arial" w:cs="Arial" w:eastAsia="Arial" w:hAnsi="Arial"/>
                <w:sz w:val="18"/>
                <w:szCs w:val="18"/>
                <w:color w:val="auto"/>
              </w:rPr>
              <w:t>Current portion of term loan</w:t>
            </w:r>
          </w:p>
        </w:tc>
        <w:tc>
          <w:tcPr>
            <w:tcW w:w="30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w:t>
            </w:r>
          </w:p>
        </w:tc>
        <w:tc>
          <w:tcPr>
            <w:tcW w:w="17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17.0</w:t>
            </w:r>
          </w:p>
        </w:tc>
        <w:tc>
          <w:tcPr>
            <w:tcW w:w="100" w:type="dxa"/>
            <w:vAlign w:val="bottom"/>
            <w:tcBorders>
              <w:bottom w:val="single" w:sz="8" w:color="DCE2EF"/>
            </w:tcBorders>
          </w:tcPr>
          <w:p>
            <w:pPr>
              <w:spacing w:after="0"/>
              <w:rPr>
                <w:sz w:val="21"/>
                <w:szCs w:val="21"/>
                <w:color w:val="auto"/>
              </w:rPr>
            </w:pP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8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16.9</w:t>
            </w:r>
          </w:p>
        </w:tc>
      </w:tr>
      <w:tr>
        <w:trPr>
          <w:trHeight w:val="324"/>
        </w:trPr>
        <w:tc>
          <w:tcPr>
            <w:tcW w:w="40" w:type="dxa"/>
            <w:vAlign w:val="bottom"/>
            <w:shd w:val="clear" w:color="auto" w:fill="DCE2EF"/>
          </w:tcPr>
          <w:p>
            <w:pPr>
              <w:spacing w:after="0"/>
              <w:rPr>
                <w:sz w:val="24"/>
                <w:szCs w:val="24"/>
                <w:color w:val="auto"/>
              </w:rPr>
            </w:pPr>
          </w:p>
        </w:tc>
        <w:tc>
          <w:tcPr>
            <w:tcW w:w="700" w:type="dxa"/>
            <w:vAlign w:val="bottom"/>
            <w:shd w:val="clear" w:color="auto" w:fill="DCE2EF"/>
          </w:tcPr>
          <w:p>
            <w:pPr>
              <w:spacing w:after="0"/>
              <w:rPr>
                <w:sz w:val="24"/>
                <w:szCs w:val="24"/>
                <w:color w:val="auto"/>
              </w:rPr>
            </w:pPr>
          </w:p>
        </w:tc>
        <w:tc>
          <w:tcPr>
            <w:tcW w:w="6420" w:type="dxa"/>
            <w:vAlign w:val="bottom"/>
            <w:shd w:val="clear" w:color="auto" w:fill="DCE2EF"/>
          </w:tcPr>
          <w:p>
            <w:pPr>
              <w:spacing w:after="0"/>
              <w:rPr>
                <w:sz w:val="24"/>
                <w:szCs w:val="24"/>
                <w:color w:val="auto"/>
              </w:rPr>
            </w:pPr>
          </w:p>
        </w:tc>
        <w:tc>
          <w:tcPr>
            <w:tcW w:w="300" w:type="dxa"/>
            <w:vAlign w:val="bottom"/>
            <w:shd w:val="clear" w:color="auto" w:fill="DCE2EF"/>
          </w:tcPr>
          <w:p>
            <w:pPr>
              <w:spacing w:after="0"/>
              <w:rPr>
                <w:sz w:val="24"/>
                <w:szCs w:val="24"/>
                <w:color w:val="auto"/>
              </w:rPr>
            </w:pPr>
          </w:p>
        </w:tc>
        <w:tc>
          <w:tcPr>
            <w:tcW w:w="1780" w:type="dxa"/>
            <w:vAlign w:val="bottom"/>
            <w:shd w:val="clear" w:color="auto" w:fill="DCE2EF"/>
          </w:tcPr>
          <w:p>
            <w:pPr>
              <w:spacing w:after="0"/>
              <w:rPr>
                <w:sz w:val="24"/>
                <w:szCs w:val="24"/>
                <w:color w:val="auto"/>
              </w:rPr>
            </w:pPr>
          </w:p>
        </w:tc>
        <w:tc>
          <w:tcPr>
            <w:tcW w:w="100" w:type="dxa"/>
            <w:vAlign w:val="bottom"/>
            <w:shd w:val="clear" w:color="auto" w:fill="DCE2EF"/>
          </w:tcPr>
          <w:p>
            <w:pPr>
              <w:spacing w:after="0"/>
              <w:rPr>
                <w:sz w:val="24"/>
                <w:szCs w:val="24"/>
                <w:color w:val="auto"/>
              </w:rPr>
            </w:pPr>
          </w:p>
        </w:tc>
        <w:tc>
          <w:tcPr>
            <w:tcW w:w="220" w:type="dxa"/>
            <w:vAlign w:val="bottom"/>
            <w:shd w:val="clear" w:color="auto" w:fill="DCE2EF"/>
          </w:tcPr>
          <w:p>
            <w:pPr>
              <w:spacing w:after="0"/>
              <w:rPr>
                <w:sz w:val="24"/>
                <w:szCs w:val="24"/>
                <w:color w:val="auto"/>
              </w:rPr>
            </w:pPr>
          </w:p>
        </w:tc>
        <w:tc>
          <w:tcPr>
            <w:tcW w:w="1840" w:type="dxa"/>
            <w:vAlign w:val="bottom"/>
            <w:shd w:val="clear" w:color="auto" w:fill="DCE2EF"/>
          </w:tcPr>
          <w:p>
            <w:pPr>
              <w:spacing w:after="0"/>
              <w:rPr>
                <w:sz w:val="24"/>
                <w:szCs w:val="24"/>
                <w:color w:val="auto"/>
              </w:rPr>
            </w:pPr>
          </w:p>
        </w:tc>
      </w:tr>
      <w:tr>
        <w:trPr>
          <w:trHeight w:val="263"/>
        </w:trPr>
        <w:tc>
          <w:tcPr>
            <w:tcW w:w="7160" w:type="dxa"/>
            <w:vAlign w:val="bottom"/>
            <w:gridSpan w:val="3"/>
          </w:tcPr>
          <w:p>
            <w:pPr>
              <w:ind w:left="40"/>
              <w:spacing w:after="0"/>
              <w:rPr>
                <w:sz w:val="20"/>
                <w:szCs w:val="20"/>
                <w:color w:val="auto"/>
              </w:rPr>
            </w:pPr>
            <w:r>
              <w:rPr>
                <w:rFonts w:ascii="Arial" w:cs="Arial" w:eastAsia="Arial" w:hAnsi="Arial"/>
                <w:sz w:val="18"/>
                <w:szCs w:val="18"/>
                <w:color w:val="auto"/>
              </w:rPr>
              <w:t>Long-term debt</w:t>
            </w:r>
          </w:p>
        </w:tc>
        <w:tc>
          <w:tcPr>
            <w:tcW w:w="300" w:type="dxa"/>
            <w:vAlign w:val="bottom"/>
          </w:tcPr>
          <w:p>
            <w:pPr>
              <w:spacing w:after="0"/>
              <w:rPr>
                <w:sz w:val="22"/>
                <w:szCs w:val="22"/>
                <w:color w:val="auto"/>
              </w:rPr>
            </w:pPr>
          </w:p>
        </w:tc>
        <w:tc>
          <w:tcPr>
            <w:tcW w:w="17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840" w:type="dxa"/>
            <w:vAlign w:val="bottom"/>
          </w:tcPr>
          <w:p>
            <w:pPr>
              <w:spacing w:after="0"/>
              <w:rPr>
                <w:sz w:val="22"/>
                <w:szCs w:val="22"/>
                <w:color w:val="auto"/>
              </w:rPr>
            </w:pPr>
          </w:p>
        </w:tc>
      </w:tr>
      <w:tr>
        <w:trPr>
          <w:trHeight w:val="277"/>
        </w:trPr>
        <w:tc>
          <w:tcPr>
            <w:tcW w:w="40" w:type="dxa"/>
            <w:vAlign w:val="bottom"/>
            <w:shd w:val="clear" w:color="auto" w:fill="DCE2EF"/>
          </w:tcPr>
          <w:p>
            <w:pPr>
              <w:spacing w:after="0"/>
              <w:rPr>
                <w:sz w:val="24"/>
                <w:szCs w:val="24"/>
                <w:color w:val="auto"/>
              </w:rPr>
            </w:pPr>
          </w:p>
        </w:tc>
        <w:tc>
          <w:tcPr>
            <w:tcW w:w="7120" w:type="dxa"/>
            <w:vAlign w:val="bottom"/>
            <w:gridSpan w:val="2"/>
            <w:shd w:val="clear" w:color="auto" w:fill="DCE2EF"/>
          </w:tcPr>
          <w:p>
            <w:pPr>
              <w:ind w:left="240"/>
              <w:spacing w:after="0"/>
              <w:rPr>
                <w:sz w:val="20"/>
                <w:szCs w:val="20"/>
                <w:color w:val="auto"/>
              </w:rPr>
            </w:pPr>
            <w:r>
              <w:rPr>
                <w:rFonts w:ascii="Arial" w:cs="Arial" w:eastAsia="Arial" w:hAnsi="Arial"/>
                <w:sz w:val="18"/>
                <w:szCs w:val="18"/>
                <w:color w:val="auto"/>
              </w:rPr>
              <w:t>Gross term loan</w:t>
            </w:r>
          </w:p>
        </w:tc>
        <w:tc>
          <w:tcPr>
            <w:tcW w:w="300" w:type="dxa"/>
            <w:vAlign w:val="bottom"/>
            <w:shd w:val="clear" w:color="auto" w:fill="DCE2EF"/>
          </w:tcPr>
          <w:p>
            <w:pPr>
              <w:jc w:val="right"/>
              <w:ind w:right="70"/>
              <w:spacing w:after="0"/>
              <w:rPr>
                <w:sz w:val="20"/>
                <w:szCs w:val="20"/>
                <w:color w:val="auto"/>
              </w:rPr>
            </w:pPr>
            <w:r>
              <w:rPr>
                <w:rFonts w:ascii="Arial" w:cs="Arial" w:eastAsia="Arial" w:hAnsi="Arial"/>
                <w:sz w:val="18"/>
                <w:szCs w:val="18"/>
                <w:color w:val="auto"/>
              </w:rPr>
              <w:t>$</w:t>
            </w:r>
          </w:p>
        </w:tc>
        <w:tc>
          <w:tcPr>
            <w:tcW w:w="1780" w:type="dxa"/>
            <w:vAlign w:val="bottom"/>
            <w:shd w:val="clear" w:color="auto" w:fill="DCE2EF"/>
          </w:tcPr>
          <w:p>
            <w:pPr>
              <w:jc w:val="right"/>
              <w:ind w:right="30"/>
              <w:spacing w:after="0"/>
              <w:rPr>
                <w:sz w:val="20"/>
                <w:szCs w:val="20"/>
                <w:color w:val="auto"/>
              </w:rPr>
            </w:pPr>
            <w:r>
              <w:rPr>
                <w:rFonts w:ascii="Arial" w:cs="Arial" w:eastAsia="Arial" w:hAnsi="Arial"/>
                <w:sz w:val="18"/>
                <w:szCs w:val="18"/>
                <w:color w:val="auto"/>
              </w:rPr>
              <w:t>760.0</w:t>
            </w:r>
          </w:p>
        </w:tc>
        <w:tc>
          <w:tcPr>
            <w:tcW w:w="100" w:type="dxa"/>
            <w:vAlign w:val="bottom"/>
            <w:shd w:val="clear" w:color="auto" w:fill="DCE2EF"/>
          </w:tcPr>
          <w:p>
            <w:pPr>
              <w:spacing w:after="0"/>
              <w:rPr>
                <w:sz w:val="24"/>
                <w:szCs w:val="24"/>
                <w:color w:val="auto"/>
              </w:rPr>
            </w:pPr>
          </w:p>
        </w:tc>
        <w:tc>
          <w:tcPr>
            <w:tcW w:w="220" w:type="dxa"/>
            <w:vAlign w:val="bottom"/>
            <w:shd w:val="clear" w:color="auto" w:fill="DCE2EF"/>
          </w:tcPr>
          <w:p>
            <w:pPr>
              <w:jc w:val="right"/>
              <w:ind w:right="10"/>
              <w:spacing w:after="0"/>
              <w:rPr>
                <w:sz w:val="20"/>
                <w:szCs w:val="20"/>
                <w:color w:val="auto"/>
              </w:rPr>
            </w:pPr>
            <w:r>
              <w:rPr>
                <w:rFonts w:ascii="Arial" w:cs="Arial" w:eastAsia="Arial" w:hAnsi="Arial"/>
                <w:sz w:val="18"/>
                <w:szCs w:val="18"/>
                <w:color w:val="auto"/>
                <w:w w:val="99"/>
              </w:rPr>
              <w:t>$</w:t>
            </w:r>
          </w:p>
        </w:tc>
        <w:tc>
          <w:tcPr>
            <w:tcW w:w="1840" w:type="dxa"/>
            <w:vAlign w:val="bottom"/>
            <w:shd w:val="clear" w:color="auto" w:fill="DCE2EF"/>
          </w:tcPr>
          <w:p>
            <w:pPr>
              <w:jc w:val="right"/>
              <w:ind w:right="10"/>
              <w:spacing w:after="0"/>
              <w:rPr>
                <w:sz w:val="20"/>
                <w:szCs w:val="20"/>
                <w:color w:val="auto"/>
              </w:rPr>
            </w:pPr>
            <w:r>
              <w:rPr>
                <w:rFonts w:ascii="Arial" w:cs="Arial" w:eastAsia="Arial" w:hAnsi="Arial"/>
                <w:sz w:val="18"/>
                <w:szCs w:val="18"/>
                <w:color w:val="auto"/>
              </w:rPr>
              <w:t>780.0</w:t>
            </w:r>
          </w:p>
        </w:tc>
      </w:tr>
      <w:tr>
        <w:trPr>
          <w:trHeight w:val="264"/>
        </w:trPr>
        <w:tc>
          <w:tcPr>
            <w:tcW w:w="40" w:type="dxa"/>
            <w:vAlign w:val="bottom"/>
            <w:tcBorders>
              <w:bottom w:val="single" w:sz="8" w:color="DCE2EF"/>
            </w:tcBorders>
          </w:tcPr>
          <w:p>
            <w:pPr>
              <w:spacing w:after="0"/>
              <w:rPr>
                <w:sz w:val="22"/>
                <w:szCs w:val="22"/>
                <w:color w:val="auto"/>
              </w:rPr>
            </w:pPr>
          </w:p>
        </w:tc>
        <w:tc>
          <w:tcPr>
            <w:tcW w:w="7120" w:type="dxa"/>
            <w:vAlign w:val="bottom"/>
            <w:tcBorders>
              <w:bottom w:val="single" w:sz="8" w:color="DCE2EF"/>
            </w:tcBorders>
            <w:gridSpan w:val="2"/>
          </w:tcPr>
          <w:p>
            <w:pPr>
              <w:ind w:left="240"/>
              <w:spacing w:after="0"/>
              <w:rPr>
                <w:sz w:val="20"/>
                <w:szCs w:val="20"/>
                <w:color w:val="auto"/>
              </w:rPr>
            </w:pPr>
            <w:r>
              <w:rPr>
                <w:rFonts w:ascii="Arial" w:cs="Arial" w:eastAsia="Arial" w:hAnsi="Arial"/>
                <w:sz w:val="18"/>
                <w:szCs w:val="18"/>
                <w:color w:val="auto"/>
              </w:rPr>
              <w:t>Less: unamortized deferred financing costs</w:t>
            </w:r>
          </w:p>
        </w:tc>
        <w:tc>
          <w:tcPr>
            <w:tcW w:w="300" w:type="dxa"/>
            <w:vAlign w:val="bottom"/>
            <w:tcBorders>
              <w:bottom w:val="single" w:sz="8" w:color="auto"/>
            </w:tcBorders>
          </w:tcPr>
          <w:p>
            <w:pPr>
              <w:spacing w:after="0"/>
              <w:rPr>
                <w:sz w:val="22"/>
                <w:szCs w:val="22"/>
                <w:color w:val="auto"/>
              </w:rPr>
            </w:pPr>
          </w:p>
        </w:tc>
        <w:tc>
          <w:tcPr>
            <w:tcW w:w="1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(8.4)</w:t>
            </w:r>
          </w:p>
        </w:tc>
        <w:tc>
          <w:tcPr>
            <w:tcW w:w="100" w:type="dxa"/>
            <w:vAlign w:val="bottom"/>
            <w:tcBorders>
              <w:bottom w:val="single" w:sz="8" w:color="DCE2E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(9.9)</w:t>
            </w:r>
          </w:p>
        </w:tc>
      </w:tr>
      <w:tr>
        <w:trPr>
          <w:trHeight w:val="257"/>
        </w:trPr>
        <w:tc>
          <w:tcPr>
            <w:tcW w:w="40" w:type="dxa"/>
            <w:vAlign w:val="bottom"/>
            <w:shd w:val="clear" w:color="auto" w:fill="DCE2EF"/>
          </w:tcPr>
          <w:p>
            <w:pPr>
              <w:spacing w:after="0"/>
              <w:rPr>
                <w:sz w:val="22"/>
                <w:szCs w:val="22"/>
                <w:color w:val="auto"/>
              </w:rPr>
            </w:pPr>
          </w:p>
        </w:tc>
        <w:tc>
          <w:tcPr>
            <w:tcW w:w="7120" w:type="dxa"/>
            <w:vAlign w:val="bottom"/>
            <w:gridSpan w:val="2"/>
            <w:shd w:val="clear" w:color="auto" w:fill="DCE2EF"/>
          </w:tcPr>
          <w:p>
            <w:pPr>
              <w:ind w:left="460"/>
              <w:spacing w:after="0"/>
              <w:rPr>
                <w:sz w:val="20"/>
                <w:szCs w:val="20"/>
                <w:color w:val="auto"/>
              </w:rPr>
            </w:pPr>
            <w:r>
              <w:rPr>
                <w:rFonts w:ascii="Arial" w:cs="Arial" w:eastAsia="Arial" w:hAnsi="Arial"/>
                <w:sz w:val="18"/>
                <w:szCs w:val="18"/>
                <w:color w:val="auto"/>
              </w:rPr>
              <w:t>Total noncurrent portion of term loan</w:t>
            </w:r>
          </w:p>
        </w:tc>
        <w:tc>
          <w:tcPr>
            <w:tcW w:w="300" w:type="dxa"/>
            <w:vAlign w:val="bottom"/>
            <w:shd w:val="clear" w:color="auto" w:fill="DCE2EF"/>
          </w:tcPr>
          <w:p>
            <w:pPr>
              <w:spacing w:after="0"/>
              <w:rPr>
                <w:sz w:val="22"/>
                <w:szCs w:val="22"/>
                <w:color w:val="auto"/>
              </w:rPr>
            </w:pPr>
          </w:p>
        </w:tc>
        <w:tc>
          <w:tcPr>
            <w:tcW w:w="1780" w:type="dxa"/>
            <w:vAlign w:val="bottom"/>
            <w:shd w:val="clear" w:color="auto" w:fill="DCE2EF"/>
          </w:tcPr>
          <w:p>
            <w:pPr>
              <w:jc w:val="right"/>
              <w:ind w:right="30"/>
              <w:spacing w:after="0"/>
              <w:rPr>
                <w:sz w:val="20"/>
                <w:szCs w:val="20"/>
                <w:color w:val="auto"/>
              </w:rPr>
            </w:pPr>
            <w:r>
              <w:rPr>
                <w:rFonts w:ascii="Arial" w:cs="Arial" w:eastAsia="Arial" w:hAnsi="Arial"/>
                <w:sz w:val="18"/>
                <w:szCs w:val="18"/>
                <w:color w:val="auto"/>
              </w:rPr>
              <w:t>751.6</w:t>
            </w:r>
          </w:p>
        </w:tc>
        <w:tc>
          <w:tcPr>
            <w:tcW w:w="100" w:type="dxa"/>
            <w:vAlign w:val="bottom"/>
            <w:shd w:val="clear" w:color="auto" w:fill="DCE2EF"/>
          </w:tcPr>
          <w:p>
            <w:pPr>
              <w:spacing w:after="0"/>
              <w:rPr>
                <w:sz w:val="22"/>
                <w:szCs w:val="22"/>
                <w:color w:val="auto"/>
              </w:rPr>
            </w:pPr>
          </w:p>
        </w:tc>
        <w:tc>
          <w:tcPr>
            <w:tcW w:w="220" w:type="dxa"/>
            <w:vAlign w:val="bottom"/>
            <w:shd w:val="clear" w:color="auto" w:fill="DCE2EF"/>
          </w:tcPr>
          <w:p>
            <w:pPr>
              <w:spacing w:after="0"/>
              <w:rPr>
                <w:sz w:val="22"/>
                <w:szCs w:val="22"/>
                <w:color w:val="auto"/>
              </w:rPr>
            </w:pPr>
          </w:p>
        </w:tc>
        <w:tc>
          <w:tcPr>
            <w:tcW w:w="1840" w:type="dxa"/>
            <w:vAlign w:val="bottom"/>
            <w:shd w:val="clear" w:color="auto" w:fill="DCE2EF"/>
          </w:tcPr>
          <w:p>
            <w:pPr>
              <w:jc w:val="right"/>
              <w:ind w:right="10"/>
              <w:spacing w:after="0"/>
              <w:rPr>
                <w:sz w:val="20"/>
                <w:szCs w:val="20"/>
                <w:color w:val="auto"/>
              </w:rPr>
            </w:pPr>
            <w:r>
              <w:rPr>
                <w:rFonts w:ascii="Arial" w:cs="Arial" w:eastAsia="Arial" w:hAnsi="Arial"/>
                <w:sz w:val="18"/>
                <w:szCs w:val="18"/>
                <w:color w:val="auto"/>
              </w:rPr>
              <w:t>770.1</w:t>
            </w:r>
          </w:p>
        </w:tc>
      </w:tr>
      <w:tr>
        <w:trPr>
          <w:trHeight w:val="270"/>
        </w:trPr>
        <w:tc>
          <w:tcPr>
            <w:tcW w:w="40" w:type="dxa"/>
            <w:vAlign w:val="bottom"/>
            <w:tcBorders>
              <w:bottom w:val="single" w:sz="8" w:color="DCE2EF"/>
            </w:tcBorders>
          </w:tcPr>
          <w:p>
            <w:pPr>
              <w:spacing w:after="0"/>
              <w:rPr>
                <w:sz w:val="23"/>
                <w:szCs w:val="23"/>
                <w:color w:val="auto"/>
              </w:rPr>
            </w:pPr>
          </w:p>
        </w:tc>
        <w:tc>
          <w:tcPr>
            <w:tcW w:w="7120" w:type="dxa"/>
            <w:vAlign w:val="bottom"/>
            <w:tcBorders>
              <w:bottom w:val="single" w:sz="8" w:color="DCE2EF"/>
            </w:tcBorders>
            <w:gridSpan w:val="2"/>
          </w:tcPr>
          <w:p>
            <w:pPr>
              <w:ind w:left="240"/>
              <w:spacing w:after="0"/>
              <w:rPr>
                <w:sz w:val="20"/>
                <w:szCs w:val="20"/>
                <w:color w:val="auto"/>
              </w:rPr>
            </w:pPr>
            <w:r>
              <w:rPr>
                <w:rFonts w:ascii="Arial" w:cs="Arial" w:eastAsia="Arial" w:hAnsi="Arial"/>
                <w:sz w:val="18"/>
                <w:szCs w:val="18"/>
                <w:color w:val="auto"/>
              </w:rPr>
              <w:t>Line of credit</w:t>
            </w:r>
            <w:r>
              <w:rPr>
                <w:rFonts w:ascii="Arial" w:cs="Arial" w:eastAsia="Arial" w:hAnsi="Arial"/>
                <w:sz w:val="21"/>
                <w:szCs w:val="21"/>
                <w:color w:val="auto"/>
                <w:vertAlign w:val="superscript"/>
              </w:rPr>
              <w:t>(1)(2)</w:t>
            </w:r>
          </w:p>
        </w:tc>
        <w:tc>
          <w:tcPr>
            <w:tcW w:w="300" w:type="dxa"/>
            <w:vAlign w:val="bottom"/>
            <w:tcBorders>
              <w:bottom w:val="single" w:sz="8" w:color="auto"/>
            </w:tcBorders>
          </w:tcPr>
          <w:p>
            <w:pPr>
              <w:spacing w:after="0"/>
              <w:rPr>
                <w:sz w:val="23"/>
                <w:szCs w:val="23"/>
                <w:color w:val="auto"/>
              </w:rPr>
            </w:pPr>
          </w:p>
        </w:tc>
        <w:tc>
          <w:tcPr>
            <w:tcW w:w="17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338.7</w:t>
            </w:r>
          </w:p>
        </w:tc>
        <w:tc>
          <w:tcPr>
            <w:tcW w:w="100" w:type="dxa"/>
            <w:vAlign w:val="bottom"/>
            <w:tcBorders>
              <w:bottom w:val="single" w:sz="8" w:color="DCE2EF"/>
            </w:tcBorders>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18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391.2</w:t>
            </w:r>
          </w:p>
        </w:tc>
      </w:tr>
      <w:tr>
        <w:trPr>
          <w:trHeight w:val="250"/>
        </w:trPr>
        <w:tc>
          <w:tcPr>
            <w:tcW w:w="40" w:type="dxa"/>
            <w:vAlign w:val="bottom"/>
            <w:tcBorders>
              <w:bottom w:val="single" w:sz="8" w:color="DCE2EF"/>
            </w:tcBorders>
            <w:shd w:val="clear" w:color="auto" w:fill="DCE2EF"/>
          </w:tcPr>
          <w:p>
            <w:pPr>
              <w:spacing w:after="0"/>
              <w:rPr>
                <w:sz w:val="21"/>
                <w:szCs w:val="21"/>
                <w:color w:val="auto"/>
              </w:rPr>
            </w:pPr>
          </w:p>
        </w:tc>
        <w:tc>
          <w:tcPr>
            <w:tcW w:w="7120" w:type="dxa"/>
            <w:vAlign w:val="bottom"/>
            <w:tcBorders>
              <w:bottom w:val="single" w:sz="8" w:color="DCE2EF"/>
            </w:tcBorders>
            <w:gridSpan w:val="2"/>
            <w:shd w:val="clear" w:color="auto" w:fill="DCE2EF"/>
          </w:tcPr>
          <w:p>
            <w:pPr>
              <w:ind w:left="240"/>
              <w:spacing w:after="0"/>
              <w:rPr>
                <w:sz w:val="20"/>
                <w:szCs w:val="20"/>
                <w:color w:val="auto"/>
              </w:rPr>
            </w:pPr>
            <w:r>
              <w:rPr>
                <w:rFonts w:ascii="Arial" w:cs="Arial" w:eastAsia="Arial" w:hAnsi="Arial"/>
                <w:sz w:val="18"/>
                <w:szCs w:val="18"/>
                <w:color w:val="auto"/>
              </w:rPr>
              <w:t>Long-term debt</w:t>
            </w:r>
          </w:p>
        </w:tc>
        <w:tc>
          <w:tcPr>
            <w:tcW w:w="300" w:type="dxa"/>
            <w:vAlign w:val="bottom"/>
            <w:tcBorders>
              <w:bottom w:val="single" w:sz="8" w:color="auto"/>
            </w:tcBorders>
            <w:shd w:val="clear" w:color="auto" w:fill="DCE2EF"/>
          </w:tcPr>
          <w:p>
            <w:pPr>
              <w:jc w:val="right"/>
              <w:ind w:right="70"/>
              <w:spacing w:after="0"/>
              <w:rPr>
                <w:sz w:val="20"/>
                <w:szCs w:val="20"/>
                <w:color w:val="auto"/>
              </w:rPr>
            </w:pPr>
            <w:r>
              <w:rPr>
                <w:rFonts w:ascii="Arial" w:cs="Arial" w:eastAsia="Arial" w:hAnsi="Arial"/>
                <w:sz w:val="18"/>
                <w:szCs w:val="18"/>
                <w:color w:val="auto"/>
              </w:rPr>
              <w:t>$</w:t>
            </w:r>
          </w:p>
        </w:tc>
        <w:tc>
          <w:tcPr>
            <w:tcW w:w="1780" w:type="dxa"/>
            <w:vAlign w:val="bottom"/>
            <w:tcBorders>
              <w:bottom w:val="single" w:sz="8" w:color="auto"/>
            </w:tcBorders>
            <w:shd w:val="clear" w:color="auto" w:fill="DCE2EF"/>
          </w:tcPr>
          <w:p>
            <w:pPr>
              <w:jc w:val="right"/>
              <w:ind w:right="30"/>
              <w:spacing w:after="0"/>
              <w:rPr>
                <w:sz w:val="20"/>
                <w:szCs w:val="20"/>
                <w:color w:val="auto"/>
              </w:rPr>
            </w:pPr>
            <w:r>
              <w:rPr>
                <w:rFonts w:ascii="Arial" w:cs="Arial" w:eastAsia="Arial" w:hAnsi="Arial"/>
                <w:sz w:val="18"/>
                <w:szCs w:val="18"/>
                <w:color w:val="auto"/>
              </w:rPr>
              <w:t>1,090.3</w:t>
            </w:r>
          </w:p>
        </w:tc>
        <w:tc>
          <w:tcPr>
            <w:tcW w:w="100" w:type="dxa"/>
            <w:vAlign w:val="bottom"/>
            <w:tcBorders>
              <w:bottom w:val="single" w:sz="8" w:color="DCE2EF"/>
            </w:tcBorders>
            <w:shd w:val="clear" w:color="auto" w:fill="DCE2EF"/>
          </w:tcPr>
          <w:p>
            <w:pPr>
              <w:spacing w:after="0"/>
              <w:rPr>
                <w:sz w:val="21"/>
                <w:szCs w:val="21"/>
                <w:color w:val="auto"/>
              </w:rPr>
            </w:pPr>
          </w:p>
        </w:tc>
        <w:tc>
          <w:tcPr>
            <w:tcW w:w="220" w:type="dxa"/>
            <w:vAlign w:val="bottom"/>
            <w:tcBorders>
              <w:bottom w:val="single" w:sz="8" w:color="auto"/>
            </w:tcBorders>
            <w:shd w:val="clear" w:color="auto" w:fill="DCE2EF"/>
          </w:tcPr>
          <w:p>
            <w:pPr>
              <w:jc w:val="right"/>
              <w:ind w:right="10"/>
              <w:spacing w:after="0"/>
              <w:rPr>
                <w:sz w:val="20"/>
                <w:szCs w:val="20"/>
                <w:color w:val="auto"/>
              </w:rPr>
            </w:pPr>
            <w:r>
              <w:rPr>
                <w:rFonts w:ascii="Arial" w:cs="Arial" w:eastAsia="Arial" w:hAnsi="Arial"/>
                <w:sz w:val="18"/>
                <w:szCs w:val="18"/>
                <w:color w:val="auto"/>
                <w:w w:val="99"/>
              </w:rPr>
              <w:t>$</w:t>
            </w:r>
          </w:p>
        </w:tc>
        <w:tc>
          <w:tcPr>
            <w:tcW w:w="1840" w:type="dxa"/>
            <w:vAlign w:val="bottom"/>
            <w:tcBorders>
              <w:bottom w:val="single" w:sz="8" w:color="auto"/>
            </w:tcBorders>
            <w:shd w:val="clear" w:color="auto" w:fill="DCE2EF"/>
          </w:tcPr>
          <w:p>
            <w:pPr>
              <w:jc w:val="right"/>
              <w:ind w:right="10"/>
              <w:spacing w:after="0"/>
              <w:rPr>
                <w:sz w:val="20"/>
                <w:szCs w:val="20"/>
                <w:color w:val="auto"/>
              </w:rPr>
            </w:pPr>
            <w:r>
              <w:rPr>
                <w:rFonts w:ascii="Arial" w:cs="Arial" w:eastAsia="Arial" w:hAnsi="Arial"/>
                <w:sz w:val="18"/>
                <w:szCs w:val="18"/>
                <w:color w:val="auto"/>
              </w:rPr>
              <w:t>1,161.3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4550410</wp:posOffset>
            </wp:positionH>
            <wp:positionV relativeFrom="paragraph">
              <wp:posOffset>8890</wp:posOffset>
            </wp:positionV>
            <wp:extent cx="2693035"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2693035" cy="8890"/>
                    </a:xfrm>
                    <a:prstGeom prst="rect">
                      <a:avLst/>
                    </a:prstGeom>
                    <a:noFill/>
                  </pic:spPr>
                </pic:pic>
              </a:graphicData>
            </a:graphic>
          </wp:anchor>
        </w:drawing>
      </w:r>
    </w:p>
    <w:p>
      <w:pPr>
        <w:ind w:left="180" w:hanging="172"/>
        <w:spacing w:after="0" w:line="222" w:lineRule="auto"/>
        <w:tabs>
          <w:tab w:leader="none" w:pos="180" w:val="left"/>
        </w:tabs>
        <w:numPr>
          <w:ilvl w:val="0"/>
          <w:numId w:val="9"/>
        </w:numPr>
        <w:rPr>
          <w:rFonts w:ascii="Arial" w:cs="Arial" w:eastAsia="Arial" w:hAnsi="Arial"/>
          <w:sz w:val="21"/>
          <w:szCs w:val="21"/>
          <w:color w:val="auto"/>
          <w:vertAlign w:val="superscript"/>
        </w:rPr>
      </w:pPr>
      <w:r>
        <w:rPr>
          <w:rFonts w:ascii="Arial" w:cs="Arial" w:eastAsia="Arial" w:hAnsi="Arial"/>
          <w:sz w:val="15"/>
          <w:szCs w:val="15"/>
          <w:color w:val="auto"/>
        </w:rPr>
        <w:t>Standby letters of credit amounted to $145.5 million at April 30, 2018.</w:t>
      </w:r>
    </w:p>
    <w:p>
      <w:pPr>
        <w:spacing w:after="0" w:line="136" w:lineRule="exact"/>
        <w:rPr>
          <w:rFonts w:ascii="Arial" w:cs="Arial" w:eastAsia="Arial" w:hAnsi="Arial"/>
          <w:sz w:val="21"/>
          <w:szCs w:val="21"/>
          <w:color w:val="auto"/>
          <w:vertAlign w:val="superscript"/>
        </w:rPr>
      </w:pPr>
    </w:p>
    <w:p>
      <w:pPr>
        <w:ind w:left="180" w:hanging="172"/>
        <w:spacing w:after="0"/>
        <w:tabs>
          <w:tab w:leader="none" w:pos="180" w:val="left"/>
        </w:tabs>
        <w:numPr>
          <w:ilvl w:val="0"/>
          <w:numId w:val="9"/>
        </w:numPr>
        <w:rPr>
          <w:rFonts w:ascii="Arial" w:cs="Arial" w:eastAsia="Arial" w:hAnsi="Arial"/>
          <w:sz w:val="21"/>
          <w:szCs w:val="21"/>
          <w:color w:val="auto"/>
          <w:vertAlign w:val="superscript"/>
        </w:rPr>
      </w:pPr>
      <w:r>
        <w:rPr>
          <w:rFonts w:ascii="Arial" w:cs="Arial" w:eastAsia="Arial" w:hAnsi="Arial"/>
          <w:sz w:val="15"/>
          <w:szCs w:val="15"/>
          <w:color w:val="auto"/>
        </w:rPr>
        <w:t>At April 30, 2018, we had borrowing capacity of $404.5 million, however covenant restrictions limited our actual borrowing capacity to $313.4 million.</w:t>
      </w: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522" w:right="239" w:bottom="1440" w:gutter="0" w:footer="0" w:header="0"/>
        </w:sectPr>
      </w:pPr>
    </w:p>
    <w:bookmarkStart w:id="18" w:name="page19"/>
    <w:bookmarkEnd w:id="18"/>
    <w:p>
      <w:pPr>
        <w:spacing w:after="0"/>
        <w:rPr>
          <w:sz w:val="20"/>
          <w:szCs w:val="20"/>
          <w:color w:val="auto"/>
        </w:rPr>
      </w:pPr>
      <w:r>
        <w:rPr>
          <w:rFonts w:ascii="Arial" w:cs="Arial" w:eastAsia="Arial" w:hAnsi="Arial"/>
          <w:sz w:val="18"/>
          <w:szCs w:val="18"/>
          <w:b w:val="1"/>
          <w:bCs w:val="1"/>
          <w:color w:val="0046AD"/>
        </w:rPr>
        <w:t>Term Loan Maturities</w:t>
      </w:r>
    </w:p>
    <w:p>
      <w:pPr>
        <w:spacing w:after="0" w:line="193" w:lineRule="exact"/>
        <w:rPr>
          <w:sz w:val="20"/>
          <w:szCs w:val="20"/>
          <w:color w:val="auto"/>
        </w:rPr>
      </w:pPr>
    </w:p>
    <w:p>
      <w:pPr>
        <w:jc w:val="both"/>
        <w:ind w:firstLine="648"/>
        <w:spacing w:after="0" w:line="262" w:lineRule="auto"/>
        <w:rPr>
          <w:sz w:val="20"/>
          <w:szCs w:val="20"/>
          <w:color w:val="auto"/>
        </w:rPr>
      </w:pPr>
      <w:r>
        <w:rPr>
          <w:rFonts w:ascii="Arial" w:cs="Arial" w:eastAsia="Arial" w:hAnsi="Arial"/>
          <w:sz w:val="18"/>
          <w:szCs w:val="18"/>
          <w:color w:val="auto"/>
        </w:rPr>
        <w:t>During the first quarter, we made $20.0 million of principal payments. As of April 30, 2018, the following principal payments are required under the term loan.</w:t>
      </w:r>
    </w:p>
    <w:p>
      <w:pPr>
        <w:spacing w:after="0" w:line="242"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6060" w:type="dxa"/>
            <w:vAlign w:val="bottom"/>
            <w:gridSpan w:val="3"/>
          </w:tcPr>
          <w:p>
            <w:pPr>
              <w:ind w:left="40"/>
              <w:spacing w:after="0"/>
              <w:rPr>
                <w:sz w:val="20"/>
                <w:szCs w:val="20"/>
                <w:color w:val="auto"/>
              </w:rPr>
            </w:pPr>
            <w:r>
              <w:rPr>
                <w:rFonts w:ascii="Arial" w:cs="Arial" w:eastAsia="Arial" w:hAnsi="Arial"/>
                <w:sz w:val="14"/>
                <w:szCs w:val="14"/>
                <w:i w:val="1"/>
                <w:iCs w:val="1"/>
                <w:color w:val="auto"/>
              </w:rPr>
              <w:t>(in millions)</w:t>
            </w:r>
          </w:p>
        </w:tc>
        <w:tc>
          <w:tcPr>
            <w:tcW w:w="280" w:type="dxa"/>
            <w:vAlign w:val="bottom"/>
          </w:tcPr>
          <w:p>
            <w:pPr>
              <w:spacing w:after="0"/>
              <w:rPr>
                <w:sz w:val="18"/>
                <w:szCs w:val="18"/>
                <w:color w:val="auto"/>
              </w:rPr>
            </w:pPr>
          </w:p>
        </w:tc>
        <w:tc>
          <w:tcPr>
            <w:tcW w:w="980" w:type="dxa"/>
            <w:vAlign w:val="bottom"/>
          </w:tcPr>
          <w:p>
            <w:pPr>
              <w:jc w:val="right"/>
              <w:ind w:right="350"/>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jc w:val="right"/>
              <w:ind w:right="33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jc w:val="right"/>
              <w:ind w:right="330"/>
              <w:spacing w:after="0"/>
              <w:rPr>
                <w:sz w:val="20"/>
                <w:szCs w:val="20"/>
                <w:color w:val="auto"/>
              </w:rPr>
            </w:pPr>
            <w:r>
              <w:rPr>
                <w:rFonts w:ascii="Arial" w:cs="Arial" w:eastAsia="Arial" w:hAnsi="Arial"/>
                <w:sz w:val="18"/>
                <w:szCs w:val="18"/>
                <w:b w:val="1"/>
                <w:bCs w:val="1"/>
                <w:color w:val="auto"/>
              </w:rPr>
              <w:t>2021</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jc w:val="right"/>
              <w:ind w:right="330"/>
              <w:spacing w:after="0"/>
              <w:rPr>
                <w:sz w:val="20"/>
                <w:szCs w:val="20"/>
                <w:color w:val="auto"/>
              </w:rPr>
            </w:pPr>
            <w:r>
              <w:rPr>
                <w:rFonts w:ascii="Arial" w:cs="Arial" w:eastAsia="Arial" w:hAnsi="Arial"/>
                <w:sz w:val="18"/>
                <w:szCs w:val="18"/>
                <w:b w:val="1"/>
                <w:bCs w:val="1"/>
                <w:color w:val="auto"/>
              </w:rPr>
              <w:t>2022</w:t>
            </w:r>
          </w:p>
        </w:tc>
      </w:tr>
      <w:tr>
        <w:trPr>
          <w:trHeight w:val="21"/>
        </w:trPr>
        <w:tc>
          <w:tcPr>
            <w:tcW w:w="40" w:type="dxa"/>
            <w:vAlign w:val="bottom"/>
            <w:tcBorders>
              <w:bottom w:val="single" w:sz="8" w:color="DCE2EF"/>
            </w:tcBorders>
          </w:tcPr>
          <w:p>
            <w:pPr>
              <w:spacing w:after="0" w:line="20" w:lineRule="exact"/>
              <w:rPr>
                <w:sz w:val="1"/>
                <w:szCs w:val="1"/>
                <w:color w:val="auto"/>
              </w:rPr>
            </w:pPr>
          </w:p>
        </w:tc>
        <w:tc>
          <w:tcPr>
            <w:tcW w:w="700" w:type="dxa"/>
            <w:vAlign w:val="bottom"/>
            <w:tcBorders>
              <w:top w:val="single" w:sz="8" w:color="auto"/>
              <w:bottom w:val="single" w:sz="8" w:color="DCE2EF"/>
            </w:tcBorders>
          </w:tcPr>
          <w:p>
            <w:pPr>
              <w:spacing w:after="0" w:line="20" w:lineRule="exact"/>
              <w:rPr>
                <w:sz w:val="1"/>
                <w:szCs w:val="1"/>
                <w:color w:val="auto"/>
              </w:rPr>
            </w:pPr>
          </w:p>
        </w:tc>
        <w:tc>
          <w:tcPr>
            <w:tcW w:w="5320" w:type="dxa"/>
            <w:vAlign w:val="bottom"/>
            <w:tcBorders>
              <w:bottom w:val="single" w:sz="8" w:color="DCE2E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DCE2E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DCE2E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DCE2E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r>
        <w:trPr>
          <w:trHeight w:val="250"/>
        </w:trPr>
        <w:tc>
          <w:tcPr>
            <w:tcW w:w="6060" w:type="dxa"/>
            <w:vAlign w:val="bottom"/>
            <w:gridSpan w:val="3"/>
            <w:shd w:val="clear" w:color="auto" w:fill="DCE2EF"/>
          </w:tcPr>
          <w:p>
            <w:pPr>
              <w:ind w:left="40"/>
              <w:spacing w:after="0"/>
              <w:rPr>
                <w:sz w:val="20"/>
                <w:szCs w:val="20"/>
                <w:color w:val="auto"/>
              </w:rPr>
            </w:pPr>
            <w:r>
              <w:rPr>
                <w:rFonts w:ascii="Arial" w:cs="Arial" w:eastAsia="Arial" w:hAnsi="Arial"/>
                <w:sz w:val="18"/>
                <w:szCs w:val="18"/>
                <w:color w:val="auto"/>
              </w:rPr>
              <w:t>Debt maturities</w:t>
            </w:r>
          </w:p>
        </w:tc>
        <w:tc>
          <w:tcPr>
            <w:tcW w:w="280" w:type="dxa"/>
            <w:vAlign w:val="bottom"/>
            <w:shd w:val="clear" w:color="auto" w:fill="DCE2E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DCE2EF"/>
          </w:tcPr>
          <w:p>
            <w:pPr>
              <w:jc w:val="right"/>
              <w:ind w:right="30"/>
              <w:spacing w:after="0"/>
              <w:rPr>
                <w:sz w:val="20"/>
                <w:szCs w:val="20"/>
                <w:color w:val="auto"/>
              </w:rPr>
            </w:pPr>
            <w:r>
              <w:rPr>
                <w:rFonts w:ascii="Arial" w:cs="Arial" w:eastAsia="Arial" w:hAnsi="Arial"/>
                <w:sz w:val="18"/>
                <w:szCs w:val="18"/>
                <w:color w:val="auto"/>
              </w:rPr>
              <w:t>40.0</w:t>
            </w:r>
          </w:p>
        </w:tc>
        <w:tc>
          <w:tcPr>
            <w:tcW w:w="100" w:type="dxa"/>
            <w:vAlign w:val="bottom"/>
            <w:shd w:val="clear" w:color="auto" w:fill="DCE2EF"/>
          </w:tcPr>
          <w:p>
            <w:pPr>
              <w:spacing w:after="0"/>
              <w:rPr>
                <w:sz w:val="21"/>
                <w:szCs w:val="21"/>
                <w:color w:val="auto"/>
              </w:rPr>
            </w:pPr>
          </w:p>
        </w:tc>
        <w:tc>
          <w:tcPr>
            <w:tcW w:w="280" w:type="dxa"/>
            <w:vAlign w:val="bottom"/>
            <w:shd w:val="clear" w:color="auto" w:fill="DCE2E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DCE2EF"/>
          </w:tcPr>
          <w:p>
            <w:pPr>
              <w:jc w:val="right"/>
              <w:ind w:right="10"/>
              <w:spacing w:after="0"/>
              <w:rPr>
                <w:sz w:val="20"/>
                <w:szCs w:val="20"/>
                <w:color w:val="auto"/>
              </w:rPr>
            </w:pPr>
            <w:r>
              <w:rPr>
                <w:rFonts w:ascii="Arial" w:cs="Arial" w:eastAsia="Arial" w:hAnsi="Arial"/>
                <w:sz w:val="18"/>
                <w:szCs w:val="18"/>
                <w:color w:val="auto"/>
              </w:rPr>
              <w:t>60.0</w:t>
            </w:r>
          </w:p>
        </w:tc>
        <w:tc>
          <w:tcPr>
            <w:tcW w:w="100" w:type="dxa"/>
            <w:vAlign w:val="bottom"/>
            <w:shd w:val="clear" w:color="auto" w:fill="DCE2EF"/>
          </w:tcPr>
          <w:p>
            <w:pPr>
              <w:spacing w:after="0"/>
              <w:rPr>
                <w:sz w:val="21"/>
                <w:szCs w:val="21"/>
                <w:color w:val="auto"/>
              </w:rPr>
            </w:pPr>
          </w:p>
        </w:tc>
        <w:tc>
          <w:tcPr>
            <w:tcW w:w="280" w:type="dxa"/>
            <w:vAlign w:val="bottom"/>
            <w:shd w:val="clear" w:color="auto" w:fill="DCE2EF"/>
          </w:tcPr>
          <w:p>
            <w:pPr>
              <w:jc w:val="right"/>
              <w:ind w:right="50"/>
              <w:spacing w:after="0"/>
              <w:rPr>
                <w:sz w:val="20"/>
                <w:szCs w:val="20"/>
                <w:color w:val="auto"/>
              </w:rPr>
            </w:pPr>
            <w:r>
              <w:rPr>
                <w:rFonts w:ascii="Arial" w:cs="Arial" w:eastAsia="Arial" w:hAnsi="Arial"/>
                <w:sz w:val="18"/>
                <w:szCs w:val="18"/>
                <w:color w:val="auto"/>
              </w:rPr>
              <w:t>$</w:t>
            </w:r>
          </w:p>
        </w:tc>
        <w:tc>
          <w:tcPr>
            <w:tcW w:w="980" w:type="dxa"/>
            <w:vAlign w:val="bottom"/>
            <w:shd w:val="clear" w:color="auto" w:fill="DCE2EF"/>
          </w:tcPr>
          <w:p>
            <w:pPr>
              <w:jc w:val="right"/>
              <w:ind w:right="10"/>
              <w:spacing w:after="0"/>
              <w:rPr>
                <w:sz w:val="20"/>
                <w:szCs w:val="20"/>
                <w:color w:val="auto"/>
              </w:rPr>
            </w:pPr>
            <w:r>
              <w:rPr>
                <w:rFonts w:ascii="Arial" w:cs="Arial" w:eastAsia="Arial" w:hAnsi="Arial"/>
                <w:sz w:val="18"/>
                <w:szCs w:val="18"/>
                <w:color w:val="auto"/>
              </w:rPr>
              <w:t>120.0</w:t>
            </w:r>
          </w:p>
        </w:tc>
        <w:tc>
          <w:tcPr>
            <w:tcW w:w="120" w:type="dxa"/>
            <w:vAlign w:val="bottom"/>
            <w:shd w:val="clear" w:color="auto" w:fill="DCE2EF"/>
          </w:tcPr>
          <w:p>
            <w:pPr>
              <w:spacing w:after="0"/>
              <w:rPr>
                <w:sz w:val="21"/>
                <w:szCs w:val="21"/>
                <w:color w:val="auto"/>
              </w:rPr>
            </w:pPr>
          </w:p>
        </w:tc>
        <w:tc>
          <w:tcPr>
            <w:tcW w:w="260" w:type="dxa"/>
            <w:vAlign w:val="bottom"/>
            <w:shd w:val="clear" w:color="auto" w:fill="DCE2EF"/>
          </w:tcPr>
          <w:p>
            <w:pPr>
              <w:jc w:val="right"/>
              <w:ind w:right="50"/>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DCE2EF"/>
          </w:tcPr>
          <w:p>
            <w:pPr>
              <w:jc w:val="right"/>
              <w:ind w:right="10"/>
              <w:spacing w:after="0"/>
              <w:rPr>
                <w:sz w:val="20"/>
                <w:szCs w:val="20"/>
                <w:color w:val="auto"/>
              </w:rPr>
            </w:pPr>
            <w:r>
              <w:rPr>
                <w:rFonts w:ascii="Arial" w:cs="Arial" w:eastAsia="Arial" w:hAnsi="Arial"/>
                <w:sz w:val="18"/>
                <w:szCs w:val="18"/>
                <w:color w:val="auto"/>
              </w:rPr>
              <w:t>560.0</w:t>
            </w:r>
          </w:p>
        </w:tc>
      </w:tr>
    </w:tbl>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0046AD"/>
        </w:rPr>
        <w:t>Interest Rate Swaps</w:t>
      </w:r>
    </w:p>
    <w:p>
      <w:pPr>
        <w:spacing w:after="0" w:line="193"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8"/>
          <w:szCs w:val="18"/>
          <w:color w:val="auto"/>
        </w:rPr>
        <w:t>We enter into interest rate swaps to manage the interest rate risk associated with our floating-rate, LIBOR-based borrowings under our Credit Facility. Under these arrangements, we typically pay a fixed interest rate in exchange for LIBOR-based variable interest throughout the life of the agreement. We initially report the derivative’s mark-to-market gain or loss as a component of AOCI and subsequently reclassify the gain or loss into earnings when the hedged transactions occur and affect earnings. Interest payables and receivables under the swap agreements are accrued and recorded as adjustments to interest expense. All of our interest rate swaps were designated and accounted for as cash flow hedges from inception. See Note 6, “Fair Value of Financial Instruments,” regarding the valuation of our interest rate swaps.</w:t>
      </w:r>
    </w:p>
    <w:p>
      <w:pPr>
        <w:spacing w:after="0" w:line="155"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color w:val="auto"/>
        </w:rPr>
        <w:t>During April 2018, we elected to terminate all of our interest rate swaps and received cash proceeds of $25.9 million from the swap counterparties upon termination. We classified the cash proceeds as an operating activity on our consolidated statements of cash flows. We subsequently entered into new forward-starting interest rate swaps, as summarized below.</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46"/>
        </w:trPr>
        <w:tc>
          <w:tcPr>
            <w:tcW w:w="28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rPr>
              <w:t>Notional Amounts</w:t>
            </w:r>
          </w:p>
        </w:tc>
        <w:tc>
          <w:tcPr>
            <w:tcW w:w="120" w:type="dxa"/>
            <w:vAlign w:val="bottom"/>
            <w:tcBorders>
              <w:bottom w:val="single" w:sz="8" w:color="DCE2EF"/>
            </w:tcBorders>
          </w:tcPr>
          <w:p>
            <w:pPr>
              <w:spacing w:after="0"/>
              <w:rPr>
                <w:sz w:val="21"/>
                <w:szCs w:val="21"/>
                <w:color w:val="auto"/>
              </w:rPr>
            </w:pPr>
          </w:p>
        </w:tc>
        <w:tc>
          <w:tcPr>
            <w:tcW w:w="27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rPr>
              <w:t>Fixed Interest Rates</w:t>
            </w:r>
          </w:p>
        </w:tc>
        <w:tc>
          <w:tcPr>
            <w:tcW w:w="100" w:type="dxa"/>
            <w:vAlign w:val="bottom"/>
            <w:tcBorders>
              <w:bottom w:val="single" w:sz="8" w:color="DCE2EF"/>
            </w:tcBorders>
          </w:tcPr>
          <w:p>
            <w:pPr>
              <w:spacing w:after="0"/>
              <w:rPr>
                <w:sz w:val="21"/>
                <w:szCs w:val="21"/>
                <w:color w:val="auto"/>
              </w:rPr>
            </w:pPr>
          </w:p>
        </w:tc>
        <w:tc>
          <w:tcPr>
            <w:tcW w:w="27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rPr>
              <w:t>Effective Dates</w:t>
            </w:r>
          </w:p>
        </w:tc>
        <w:tc>
          <w:tcPr>
            <w:tcW w:w="100" w:type="dxa"/>
            <w:vAlign w:val="bottom"/>
            <w:tcBorders>
              <w:bottom w:val="single" w:sz="8" w:color="DCE2EF"/>
            </w:tcBorders>
          </w:tcPr>
          <w:p>
            <w:pPr>
              <w:spacing w:after="0"/>
              <w:rPr>
                <w:sz w:val="21"/>
                <w:szCs w:val="21"/>
                <w:color w:val="auto"/>
              </w:rPr>
            </w:pPr>
          </w:p>
        </w:tc>
        <w:tc>
          <w:tcPr>
            <w:tcW w:w="27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Maturity Dates</w:t>
            </w:r>
          </w:p>
        </w:tc>
      </w:tr>
      <w:tr>
        <w:trPr>
          <w:trHeight w:val="257"/>
        </w:trPr>
        <w:tc>
          <w:tcPr>
            <w:tcW w:w="3000" w:type="dxa"/>
            <w:vAlign w:val="bottom"/>
            <w:gridSpan w:val="2"/>
            <w:shd w:val="clear" w:color="auto" w:fill="DCE2EF"/>
          </w:tcPr>
          <w:p>
            <w:pPr>
              <w:jc w:val="center"/>
              <w:ind w:right="140"/>
              <w:spacing w:after="0"/>
              <w:rPr>
                <w:sz w:val="20"/>
                <w:szCs w:val="20"/>
                <w:color w:val="auto"/>
              </w:rPr>
            </w:pPr>
            <w:r>
              <w:rPr>
                <w:rFonts w:ascii="Arial" w:cs="Arial" w:eastAsia="Arial" w:hAnsi="Arial"/>
                <w:sz w:val="18"/>
                <w:szCs w:val="18"/>
                <w:color w:val="auto"/>
                <w:w w:val="99"/>
              </w:rPr>
              <w:t>$ 90.0 million</w:t>
            </w:r>
          </w:p>
        </w:tc>
        <w:tc>
          <w:tcPr>
            <w:tcW w:w="2740" w:type="dxa"/>
            <w:vAlign w:val="bottom"/>
            <w:shd w:val="clear" w:color="auto" w:fill="DCE2EF"/>
          </w:tcPr>
          <w:p>
            <w:pPr>
              <w:jc w:val="center"/>
              <w:spacing w:after="0"/>
              <w:rPr>
                <w:sz w:val="20"/>
                <w:szCs w:val="20"/>
                <w:color w:val="auto"/>
              </w:rPr>
            </w:pPr>
            <w:r>
              <w:rPr>
                <w:rFonts w:ascii="Arial" w:cs="Arial" w:eastAsia="Arial" w:hAnsi="Arial"/>
                <w:sz w:val="18"/>
                <w:szCs w:val="18"/>
                <w:color w:val="auto"/>
              </w:rPr>
              <w:t>2.83%</w:t>
            </w:r>
          </w:p>
        </w:tc>
        <w:tc>
          <w:tcPr>
            <w:tcW w:w="100" w:type="dxa"/>
            <w:vAlign w:val="bottom"/>
            <w:shd w:val="clear" w:color="auto" w:fill="DCE2EF"/>
          </w:tcPr>
          <w:p>
            <w:pPr>
              <w:spacing w:after="0"/>
              <w:rPr>
                <w:sz w:val="22"/>
                <w:szCs w:val="22"/>
                <w:color w:val="auto"/>
              </w:rPr>
            </w:pPr>
          </w:p>
        </w:tc>
        <w:tc>
          <w:tcPr>
            <w:tcW w:w="2840" w:type="dxa"/>
            <w:vAlign w:val="bottom"/>
            <w:gridSpan w:val="2"/>
            <w:shd w:val="clear" w:color="auto" w:fill="DCE2EF"/>
          </w:tcPr>
          <w:p>
            <w:pPr>
              <w:jc w:val="center"/>
              <w:ind w:right="120"/>
              <w:spacing w:after="0"/>
              <w:rPr>
                <w:sz w:val="20"/>
                <w:szCs w:val="20"/>
                <w:color w:val="auto"/>
              </w:rPr>
            </w:pPr>
            <w:r>
              <w:rPr>
                <w:rFonts w:ascii="Arial" w:cs="Arial" w:eastAsia="Arial" w:hAnsi="Arial"/>
                <w:sz w:val="18"/>
                <w:szCs w:val="18"/>
                <w:color w:val="auto"/>
                <w:w w:val="99"/>
              </w:rPr>
              <w:t>November 1, 2018</w:t>
            </w:r>
          </w:p>
        </w:tc>
        <w:tc>
          <w:tcPr>
            <w:tcW w:w="2720" w:type="dxa"/>
            <w:vAlign w:val="bottom"/>
            <w:shd w:val="clear" w:color="auto" w:fill="DCE2EF"/>
          </w:tcPr>
          <w:p>
            <w:pPr>
              <w:jc w:val="center"/>
              <w:spacing w:after="0"/>
              <w:rPr>
                <w:sz w:val="20"/>
                <w:szCs w:val="20"/>
                <w:color w:val="auto"/>
              </w:rPr>
            </w:pPr>
            <w:r>
              <w:rPr>
                <w:rFonts w:ascii="Arial" w:cs="Arial" w:eastAsia="Arial" w:hAnsi="Arial"/>
                <w:sz w:val="18"/>
                <w:szCs w:val="18"/>
                <w:color w:val="auto"/>
              </w:rPr>
              <w:t>April 30, 2021</w:t>
            </w:r>
          </w:p>
        </w:tc>
      </w:tr>
      <w:tr>
        <w:trPr>
          <w:trHeight w:val="263"/>
        </w:trPr>
        <w:tc>
          <w:tcPr>
            <w:tcW w:w="3000" w:type="dxa"/>
            <w:vAlign w:val="bottom"/>
            <w:gridSpan w:val="2"/>
          </w:tcPr>
          <w:p>
            <w:pPr>
              <w:jc w:val="center"/>
              <w:ind w:right="140"/>
              <w:spacing w:after="0"/>
              <w:rPr>
                <w:sz w:val="20"/>
                <w:szCs w:val="20"/>
                <w:color w:val="auto"/>
              </w:rPr>
            </w:pPr>
            <w:r>
              <w:rPr>
                <w:rFonts w:ascii="Arial" w:cs="Arial" w:eastAsia="Arial" w:hAnsi="Arial"/>
                <w:sz w:val="18"/>
                <w:szCs w:val="18"/>
                <w:color w:val="auto"/>
                <w:w w:val="99"/>
              </w:rPr>
              <w:t>$ 90.0 million</w:t>
            </w:r>
          </w:p>
        </w:tc>
        <w:tc>
          <w:tcPr>
            <w:tcW w:w="2740" w:type="dxa"/>
            <w:vAlign w:val="bottom"/>
          </w:tcPr>
          <w:p>
            <w:pPr>
              <w:jc w:val="center"/>
              <w:spacing w:after="0"/>
              <w:rPr>
                <w:sz w:val="20"/>
                <w:szCs w:val="20"/>
                <w:color w:val="auto"/>
              </w:rPr>
            </w:pPr>
            <w:r>
              <w:rPr>
                <w:rFonts w:ascii="Arial" w:cs="Arial" w:eastAsia="Arial" w:hAnsi="Arial"/>
                <w:sz w:val="18"/>
                <w:szCs w:val="18"/>
                <w:color w:val="auto"/>
              </w:rPr>
              <w:t>2.84%</w:t>
            </w:r>
          </w:p>
        </w:tc>
        <w:tc>
          <w:tcPr>
            <w:tcW w:w="100" w:type="dxa"/>
            <w:vAlign w:val="bottom"/>
          </w:tcPr>
          <w:p>
            <w:pPr>
              <w:spacing w:after="0"/>
              <w:rPr>
                <w:sz w:val="22"/>
                <w:szCs w:val="22"/>
                <w:color w:val="auto"/>
              </w:rPr>
            </w:pPr>
          </w:p>
        </w:tc>
        <w:tc>
          <w:tcPr>
            <w:tcW w:w="2840" w:type="dxa"/>
            <w:vAlign w:val="bottom"/>
            <w:gridSpan w:val="2"/>
          </w:tcPr>
          <w:p>
            <w:pPr>
              <w:jc w:val="center"/>
              <w:ind w:right="120"/>
              <w:spacing w:after="0"/>
              <w:rPr>
                <w:sz w:val="20"/>
                <w:szCs w:val="20"/>
                <w:color w:val="auto"/>
              </w:rPr>
            </w:pPr>
            <w:r>
              <w:rPr>
                <w:rFonts w:ascii="Arial" w:cs="Arial" w:eastAsia="Arial" w:hAnsi="Arial"/>
                <w:sz w:val="18"/>
                <w:szCs w:val="18"/>
                <w:color w:val="auto"/>
                <w:w w:val="99"/>
              </w:rPr>
              <w:t>November 1, 2018</w:t>
            </w:r>
          </w:p>
        </w:tc>
        <w:tc>
          <w:tcPr>
            <w:tcW w:w="2720" w:type="dxa"/>
            <w:vAlign w:val="bottom"/>
          </w:tcPr>
          <w:p>
            <w:pPr>
              <w:jc w:val="center"/>
              <w:spacing w:after="0"/>
              <w:rPr>
                <w:sz w:val="20"/>
                <w:szCs w:val="20"/>
                <w:color w:val="auto"/>
              </w:rPr>
            </w:pPr>
            <w:r>
              <w:rPr>
                <w:rFonts w:ascii="Arial" w:cs="Arial" w:eastAsia="Arial" w:hAnsi="Arial"/>
                <w:sz w:val="18"/>
                <w:szCs w:val="18"/>
                <w:color w:val="auto"/>
              </w:rPr>
              <w:t>October 31, 2021</w:t>
            </w:r>
          </w:p>
        </w:tc>
      </w:tr>
      <w:tr>
        <w:trPr>
          <w:trHeight w:val="277"/>
        </w:trPr>
        <w:tc>
          <w:tcPr>
            <w:tcW w:w="3000" w:type="dxa"/>
            <w:vAlign w:val="bottom"/>
            <w:gridSpan w:val="2"/>
            <w:shd w:val="clear" w:color="auto" w:fill="DCE2EF"/>
          </w:tcPr>
          <w:p>
            <w:pPr>
              <w:jc w:val="center"/>
              <w:ind w:right="120"/>
              <w:spacing w:after="0"/>
              <w:rPr>
                <w:sz w:val="20"/>
                <w:szCs w:val="20"/>
                <w:color w:val="auto"/>
              </w:rPr>
            </w:pPr>
            <w:r>
              <w:rPr>
                <w:rFonts w:ascii="Arial" w:cs="Arial" w:eastAsia="Arial" w:hAnsi="Arial"/>
                <w:sz w:val="18"/>
                <w:szCs w:val="18"/>
                <w:color w:val="auto"/>
                <w:w w:val="99"/>
              </w:rPr>
              <w:t>$ 130.0 million</w:t>
            </w:r>
          </w:p>
        </w:tc>
        <w:tc>
          <w:tcPr>
            <w:tcW w:w="2740" w:type="dxa"/>
            <w:vAlign w:val="bottom"/>
            <w:shd w:val="clear" w:color="auto" w:fill="DCE2EF"/>
          </w:tcPr>
          <w:p>
            <w:pPr>
              <w:jc w:val="center"/>
              <w:spacing w:after="0"/>
              <w:rPr>
                <w:sz w:val="20"/>
                <w:szCs w:val="20"/>
                <w:color w:val="auto"/>
              </w:rPr>
            </w:pPr>
            <w:r>
              <w:rPr>
                <w:rFonts w:ascii="Arial" w:cs="Arial" w:eastAsia="Arial" w:hAnsi="Arial"/>
                <w:sz w:val="18"/>
                <w:szCs w:val="18"/>
                <w:color w:val="auto"/>
              </w:rPr>
              <w:t>2.86%</w:t>
            </w:r>
          </w:p>
        </w:tc>
        <w:tc>
          <w:tcPr>
            <w:tcW w:w="100" w:type="dxa"/>
            <w:vAlign w:val="bottom"/>
            <w:shd w:val="clear" w:color="auto" w:fill="DCE2EF"/>
          </w:tcPr>
          <w:p>
            <w:pPr>
              <w:spacing w:after="0"/>
              <w:rPr>
                <w:sz w:val="24"/>
                <w:szCs w:val="24"/>
                <w:color w:val="auto"/>
              </w:rPr>
            </w:pPr>
          </w:p>
        </w:tc>
        <w:tc>
          <w:tcPr>
            <w:tcW w:w="2840" w:type="dxa"/>
            <w:vAlign w:val="bottom"/>
            <w:gridSpan w:val="2"/>
            <w:shd w:val="clear" w:color="auto" w:fill="DCE2EF"/>
          </w:tcPr>
          <w:p>
            <w:pPr>
              <w:jc w:val="center"/>
              <w:ind w:right="120"/>
              <w:spacing w:after="0"/>
              <w:rPr>
                <w:sz w:val="20"/>
                <w:szCs w:val="20"/>
                <w:color w:val="auto"/>
              </w:rPr>
            </w:pPr>
            <w:r>
              <w:rPr>
                <w:rFonts w:ascii="Arial" w:cs="Arial" w:eastAsia="Arial" w:hAnsi="Arial"/>
                <w:sz w:val="18"/>
                <w:szCs w:val="18"/>
                <w:color w:val="auto"/>
                <w:w w:val="99"/>
              </w:rPr>
              <w:t>November 1, 2018</w:t>
            </w:r>
          </w:p>
        </w:tc>
        <w:tc>
          <w:tcPr>
            <w:tcW w:w="2720" w:type="dxa"/>
            <w:vAlign w:val="bottom"/>
            <w:shd w:val="clear" w:color="auto" w:fill="DCE2EF"/>
          </w:tcPr>
          <w:p>
            <w:pPr>
              <w:jc w:val="center"/>
              <w:spacing w:after="0"/>
              <w:rPr>
                <w:sz w:val="20"/>
                <w:szCs w:val="20"/>
                <w:color w:val="auto"/>
              </w:rPr>
            </w:pPr>
            <w:r>
              <w:rPr>
                <w:rFonts w:ascii="Arial" w:cs="Arial" w:eastAsia="Arial" w:hAnsi="Arial"/>
                <w:sz w:val="18"/>
                <w:szCs w:val="18"/>
                <w:color w:val="auto"/>
              </w:rPr>
              <w:t>April 30, 2022</w:t>
            </w:r>
          </w:p>
        </w:tc>
      </w:tr>
      <w:tr>
        <w:trPr>
          <w:trHeight w:val="257"/>
        </w:trPr>
        <w:tc>
          <w:tcPr>
            <w:tcW w:w="3000" w:type="dxa"/>
            <w:vAlign w:val="bottom"/>
            <w:gridSpan w:val="2"/>
          </w:tcPr>
          <w:p>
            <w:pPr>
              <w:jc w:val="center"/>
              <w:ind w:right="120"/>
              <w:spacing w:after="0"/>
              <w:rPr>
                <w:sz w:val="20"/>
                <w:szCs w:val="20"/>
                <w:color w:val="auto"/>
              </w:rPr>
            </w:pPr>
            <w:r>
              <w:rPr>
                <w:rFonts w:ascii="Arial" w:cs="Arial" w:eastAsia="Arial" w:hAnsi="Arial"/>
                <w:sz w:val="18"/>
                <w:szCs w:val="18"/>
                <w:color w:val="auto"/>
                <w:w w:val="99"/>
              </w:rPr>
              <w:t>$ 130.0 million</w:t>
            </w:r>
          </w:p>
        </w:tc>
        <w:tc>
          <w:tcPr>
            <w:tcW w:w="2740" w:type="dxa"/>
            <w:vAlign w:val="bottom"/>
          </w:tcPr>
          <w:p>
            <w:pPr>
              <w:jc w:val="center"/>
              <w:spacing w:after="0"/>
              <w:rPr>
                <w:sz w:val="20"/>
                <w:szCs w:val="20"/>
                <w:color w:val="auto"/>
              </w:rPr>
            </w:pPr>
            <w:r>
              <w:rPr>
                <w:rFonts w:ascii="Arial" w:cs="Arial" w:eastAsia="Arial" w:hAnsi="Arial"/>
                <w:sz w:val="18"/>
                <w:szCs w:val="18"/>
                <w:color w:val="auto"/>
              </w:rPr>
              <w:t>2.84%</w:t>
            </w:r>
          </w:p>
        </w:tc>
        <w:tc>
          <w:tcPr>
            <w:tcW w:w="100" w:type="dxa"/>
            <w:vAlign w:val="bottom"/>
          </w:tcPr>
          <w:p>
            <w:pPr>
              <w:spacing w:after="0"/>
              <w:rPr>
                <w:sz w:val="22"/>
                <w:szCs w:val="22"/>
                <w:color w:val="auto"/>
              </w:rPr>
            </w:pPr>
          </w:p>
        </w:tc>
        <w:tc>
          <w:tcPr>
            <w:tcW w:w="2840" w:type="dxa"/>
            <w:vAlign w:val="bottom"/>
            <w:gridSpan w:val="2"/>
          </w:tcPr>
          <w:p>
            <w:pPr>
              <w:jc w:val="center"/>
              <w:ind w:right="120"/>
              <w:spacing w:after="0"/>
              <w:rPr>
                <w:sz w:val="20"/>
                <w:szCs w:val="20"/>
                <w:color w:val="auto"/>
              </w:rPr>
            </w:pPr>
            <w:r>
              <w:rPr>
                <w:rFonts w:ascii="Arial" w:cs="Arial" w:eastAsia="Arial" w:hAnsi="Arial"/>
                <w:sz w:val="18"/>
                <w:szCs w:val="18"/>
                <w:color w:val="auto"/>
                <w:w w:val="99"/>
              </w:rPr>
              <w:t>November 1, 2018</w:t>
            </w:r>
          </w:p>
        </w:tc>
        <w:tc>
          <w:tcPr>
            <w:tcW w:w="2720" w:type="dxa"/>
            <w:vAlign w:val="bottom"/>
          </w:tcPr>
          <w:p>
            <w:pPr>
              <w:jc w:val="center"/>
              <w:spacing w:after="0"/>
              <w:rPr>
                <w:sz w:val="20"/>
                <w:szCs w:val="20"/>
                <w:color w:val="auto"/>
              </w:rPr>
            </w:pPr>
            <w:r>
              <w:rPr>
                <w:rFonts w:ascii="Arial" w:cs="Arial" w:eastAsia="Arial" w:hAnsi="Arial"/>
                <w:sz w:val="18"/>
                <w:szCs w:val="18"/>
                <w:color w:val="auto"/>
                <w:w w:val="99"/>
              </w:rPr>
              <w:t>September 1, 2022</w:t>
            </w:r>
          </w:p>
        </w:tc>
      </w:tr>
    </w:tbl>
    <w:p>
      <w:pPr>
        <w:spacing w:after="0" w:line="175"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At April 30, 2018, the realized gain recorded in AOCI was $ 18.6 million, net of taxes of $7.4 million, which will be amortized to interest expense as interest payments are made over the term of our Credit Facility. At October 31, 2017, amounts recorded in AOCI were $1.7 million, net of taxes of $1.2 million. Additionally, at April 30, 2018, the amount expected to be reclassified from AOCI to earnings during the next twelve months was $3.8 million, net of taxes of $1.5 million.</w:t>
      </w:r>
    </w:p>
    <w:p>
      <w:pPr>
        <w:spacing w:after="0" w:line="2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522" w:right="239" w:bottom="1440" w:gutter="0" w:footer="0" w:header="0"/>
        </w:sectPr>
      </w:pPr>
    </w:p>
    <w:bookmarkStart w:id="19" w:name="page20"/>
    <w:bookmarkEnd w:id="19"/>
    <w:p>
      <w:pPr>
        <w:spacing w:after="0"/>
        <w:rPr>
          <w:sz w:val="20"/>
          <w:szCs w:val="20"/>
          <w:color w:val="auto"/>
        </w:rPr>
      </w:pPr>
      <w:r>
        <w:rPr>
          <w:rFonts w:ascii="Arial" w:cs="Arial" w:eastAsia="Arial" w:hAnsi="Arial"/>
          <w:sz w:val="18"/>
          <w:szCs w:val="18"/>
          <w:b w:val="1"/>
          <w:bCs w:val="1"/>
          <w:color w:val="0046AD"/>
        </w:rPr>
        <w:t>10. COMMITMENTS AND CONTINGENCIES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106045</wp:posOffset>
            </wp:positionV>
            <wp:extent cx="724662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0046AD"/>
        </w:rPr>
        <w:t>Letters of Credit and Surety Bonds</w:t>
      </w:r>
    </w:p>
    <w:p>
      <w:pPr>
        <w:spacing w:after="0" w:line="193" w:lineRule="exact"/>
        <w:rPr>
          <w:sz w:val="20"/>
          <w:szCs w:val="20"/>
          <w:color w:val="auto"/>
        </w:rPr>
      </w:pPr>
    </w:p>
    <w:p>
      <w:pPr>
        <w:jc w:val="both"/>
        <w:ind w:firstLine="648"/>
        <w:spacing w:after="0" w:line="262" w:lineRule="auto"/>
        <w:rPr>
          <w:sz w:val="20"/>
          <w:szCs w:val="20"/>
          <w:color w:val="auto"/>
        </w:rPr>
      </w:pPr>
      <w:r>
        <w:rPr>
          <w:rFonts w:ascii="Arial" w:cs="Arial" w:eastAsia="Arial" w:hAnsi="Arial"/>
          <w:sz w:val="18"/>
          <w:szCs w:val="18"/>
          <w:color w:val="auto"/>
        </w:rPr>
        <w:t>We use letters of credit and surety bonds to secure certain commitments related to insurance programs and for other purposes. As of April 30, 2018, these letters of credit and surety bonds totaled $145.5 million and $465.7 million, respectively.</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0046AD"/>
        </w:rPr>
        <w:t>Guarantees</w:t>
      </w:r>
    </w:p>
    <w:p>
      <w:pPr>
        <w:spacing w:after="0" w:line="193"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In some instances, we offer clients guaranteed energy savings under certain energy savings contracts. At April 30, 2018, total guarantees were $179.4 million and extend through 2038. We accrue for the estimated cost of guarantees when it is probable that a liability has been incurred and the amount can be reasonably estimated. Historically, we have not incurred any material losses in connection with these guarantees.</w:t>
      </w:r>
    </w:p>
    <w:p>
      <w:pPr>
        <w:spacing w:after="0" w:line="150"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In connection with an unconsolidated joint venture in which one of our subsidiaries has a 33% ownership interest, that subsidiary and the other joint venture partners have each jointly and severally guaranteed the obligations of the joint venture to perform under certain contracts extending through 2019. Annual revenues relating to the underlying contracts are approximately $35 million. Should the joint venture be unable to perform under these contracts, the joint venture partners would be jointly and severally liable for any losses incurred by the client due to the failure to perform.</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color w:val="0046AD"/>
        </w:rPr>
        <w:t>Sales Tax Audits</w:t>
      </w:r>
    </w:p>
    <w:p>
      <w:pPr>
        <w:spacing w:after="0" w:line="193"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8"/>
          <w:szCs w:val="18"/>
          <w:color w:val="auto"/>
        </w:rPr>
        <w:t>We collect sales tax from clients and remit those collections to the applicable states. When clients fail to pay their invoices, including the amount of any sales tax that we paid on their behalf, in some cases we are entitled to seek a refund of that amount of sales tax from the applicable state. Sales tax laws and regulations enacted by the various states are subject to interpretation, and our compliance with such laws is routinely subject to audit and review by such states. Audit risk is concentrated in several states, and these states are conducting ongoing audits. The outcomes of ongoing and any future audits and changes in the states’ interpretation of the sales tax laws and regulations could materially adversely impact our results of operations.</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0046AD"/>
        </w:rPr>
        <w:t>Legal Matters</w:t>
      </w:r>
    </w:p>
    <w:p>
      <w:pPr>
        <w:spacing w:after="0" w:line="193"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color w:val="auto"/>
        </w:rPr>
        <w:t>We are a party to a number of lawsuits, claims, and proceedings incident to the operation of our business, including those pertaining to labor and employment, contracts, personal injury, and other matters, some of which allege substantial monetary damages. Some of these actions may be brought as class actions on behalf of a class or purported class of employees.</w:t>
      </w:r>
    </w:p>
    <w:p>
      <w:pPr>
        <w:spacing w:after="0" w:line="148"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color w:val="auto"/>
        </w:rPr>
        <w:t xml:space="preserve">At April 30, 2018, the total amount accrued for all probable litigation losses where a reasonable estimate of the loss could be made was $8.4 million, including $3.1 million accrued during the three months ended April 30, 2018. This $8.4 million also includes an accrual of $3.8 million in connection with the </w:t>
      </w:r>
      <w:r>
        <w:rPr>
          <w:rFonts w:ascii="Arial" w:cs="Arial" w:eastAsia="Arial" w:hAnsi="Arial"/>
          <w:sz w:val="18"/>
          <w:szCs w:val="18"/>
          <w:i w:val="1"/>
          <w:iCs w:val="1"/>
          <w:color w:val="auto"/>
        </w:rPr>
        <w:t>Hussein</w:t>
      </w:r>
      <w:r>
        <w:rPr>
          <w:rFonts w:ascii="Arial" w:cs="Arial" w:eastAsia="Arial" w:hAnsi="Arial"/>
          <w:sz w:val="18"/>
          <w:szCs w:val="18"/>
          <w:color w:val="auto"/>
        </w:rPr>
        <w:t xml:space="preserve"> case discussed below.</w:t>
      </w:r>
    </w:p>
    <w:p>
      <w:pPr>
        <w:spacing w:after="0" w:line="148"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Litigation outcomes are difficult to predict and the estimation of probable losses requires the analysis of multiple possible outcomes that often depend on judgments about potential actions by third parties. If one or more matters are resolved in a particular period in an amount in excess of, or in a manner different than, what we anticipated, this could have a material adverse effect on our financial position, results of operations, or cash flows.</w:t>
      </w:r>
    </w:p>
    <w:p>
      <w:pPr>
        <w:spacing w:after="0" w:line="150"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We do not accrue for contingent losses that, in our judgment, are considered to be reasonably possible but not probable. The estimation of reasonably possible losses also requires the analysis of multiple possible outcomes that often depend on judgments about potential actions by third parties. Our management currently estimates the range of loss for all reasonably possible losses for which a reasonable estimate of the loss can be made is between zero and $5 million. Factors underlying this estimated range of loss may change from time to time, and actual results may vary significantly from this estimate.</w:t>
      </w:r>
    </w:p>
    <w:p>
      <w:pPr>
        <w:spacing w:after="0" w:line="152"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color w:val="auto"/>
        </w:rPr>
        <w:t>In some cases, although a loss is probable or reasonably possible, we cannot reasonably estimate the maximum potential losses for probable matters or the range of losses for reasonably possible matters. Therefore, our accrual for probable losses and our estimated range of loss for reasonably possible losses do not represent our maximum possible exposure.</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522" w:right="239" w:bottom="1440" w:gutter="0" w:footer="0" w:header="0"/>
        </w:sectPr>
      </w:pPr>
    </w:p>
    <w:bookmarkStart w:id="20" w:name="page21"/>
    <w:bookmarkEnd w:id="20"/>
    <w:p>
      <w:pPr>
        <w:jc w:val="both"/>
        <w:ind w:firstLine="648"/>
        <w:spacing w:after="0" w:line="262" w:lineRule="auto"/>
        <w:rPr>
          <w:sz w:val="20"/>
          <w:szCs w:val="20"/>
          <w:color w:val="auto"/>
        </w:rPr>
      </w:pPr>
      <w:r>
        <w:rPr>
          <w:rFonts w:ascii="Arial" w:cs="Arial" w:eastAsia="Arial" w:hAnsi="Arial"/>
          <w:sz w:val="18"/>
          <w:szCs w:val="18"/>
          <w:color w:val="auto"/>
        </w:rPr>
        <w:t>While the results of these lawsuits, claims, and proceedings cannot be predicted with any certainty, our management believes that the final outcome of these matters will not have a material adverse effect on our financial position, results of operations, or cash flows.</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0046AD"/>
        </w:rPr>
        <w:t>Certain Legal Proceedings</w:t>
      </w:r>
    </w:p>
    <w:p>
      <w:pPr>
        <w:spacing w:after="0" w:line="247"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Certain lawsuits to which we are a party are discussed below. In determining whether to include any particular lawsuit or other proceeding, we consider both quantitative and qualitative factors. These factors include, but are not limited to: the amount of damages and the nature of any other relief sought in the proceeding; if such damages and other relief are specified, our view of the merits of the claims; whether the action is or purports to be a class action, and our view of the likelihood that a class will be certified by the court; the jurisdiction in which the proceeding is pending; and the potential impact of the proceeding on our reputation.</w:t>
      </w:r>
    </w:p>
    <w:p>
      <w:pPr>
        <w:spacing w:after="0" w:line="188" w:lineRule="exact"/>
        <w:rPr>
          <w:sz w:val="20"/>
          <w:szCs w:val="20"/>
          <w:color w:val="auto"/>
        </w:rPr>
      </w:pPr>
    </w:p>
    <w:p>
      <w:pPr>
        <w:ind w:left="660" w:right="20"/>
        <w:spacing w:after="0" w:line="282" w:lineRule="auto"/>
        <w:rPr>
          <w:sz w:val="20"/>
          <w:szCs w:val="20"/>
          <w:color w:val="auto"/>
        </w:rPr>
      </w:pPr>
      <w:r>
        <w:rPr>
          <w:rFonts w:ascii="Arial" w:cs="Arial" w:eastAsia="Arial" w:hAnsi="Arial"/>
          <w:sz w:val="18"/>
          <w:szCs w:val="18"/>
          <w:i w:val="1"/>
          <w:iCs w:val="1"/>
          <w:color w:val="auto"/>
        </w:rPr>
        <w:t>The Consolidated Cases of Bucio and Martinez v. ABM Janitorial Services filed on April 7, 2006, in the Superior Court of California, County of San Francisco (the “Bucio case”)</w:t>
      </w:r>
    </w:p>
    <w:p>
      <w:pPr>
        <w:spacing w:after="0" w:line="162"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 xml:space="preserve">The </w:t>
      </w:r>
      <w:r>
        <w:rPr>
          <w:rFonts w:ascii="Arial" w:cs="Arial" w:eastAsia="Arial" w:hAnsi="Arial"/>
          <w:sz w:val="18"/>
          <w:szCs w:val="18"/>
          <w:i w:val="1"/>
          <w:iCs w:val="1"/>
          <w:color w:val="auto"/>
        </w:rPr>
        <w:t>Bucio</w:t>
      </w:r>
      <w:r>
        <w:rPr>
          <w:rFonts w:ascii="Arial" w:cs="Arial" w:eastAsia="Arial" w:hAnsi="Arial"/>
          <w:sz w:val="18"/>
          <w:szCs w:val="18"/>
          <w:color w:val="auto"/>
        </w:rPr>
        <w:t xml:space="preserve"> case is a class action pending in San Francisco Superior Court that alleges we failed to provide legally required meal periods and make additional premium payments for such meal periods, pay split shift premiums when owed, and reimburse janitors for travel expenses. On April 19, 2011, the trial court held a hearing on plaintiffs’ motion to certify the class. At the conclusion of that hearing, the trial court denied plaintiffs’ motion to certify the class. On May 11, 2011, the plaintiffs filed a motion to reconsider, which was denied. The plaintiffs appealed the class certification issues. The trial court stayed the underlying lawsuit pending the decision in the appeal. The Court of Appeal of the State of California, First Appellate District (the “Court of Appeal”), heard oral arguments on November 7, 2017. On December 11, 2017, the Court of Appeal reversed the trial court’s order denying class certification and remanded the matter for certification of a meal period, travel expense reimbursement, and split shift class. The case was remitted to the trial court for further proceedings on class certification, discovery, dispositive motions, and trial.</w:t>
      </w:r>
    </w:p>
    <w:p>
      <w:pPr>
        <w:spacing w:after="0" w:line="189" w:lineRule="exact"/>
        <w:rPr>
          <w:sz w:val="20"/>
          <w:szCs w:val="20"/>
          <w:color w:val="auto"/>
        </w:rPr>
      </w:pPr>
    </w:p>
    <w:p>
      <w:pPr>
        <w:ind w:left="660"/>
        <w:spacing w:after="0" w:line="282" w:lineRule="auto"/>
        <w:rPr>
          <w:sz w:val="20"/>
          <w:szCs w:val="20"/>
          <w:color w:val="auto"/>
        </w:rPr>
      </w:pPr>
      <w:r>
        <w:rPr>
          <w:rFonts w:ascii="Arial" w:cs="Arial" w:eastAsia="Arial" w:hAnsi="Arial"/>
          <w:sz w:val="18"/>
          <w:szCs w:val="18"/>
          <w:i w:val="1"/>
          <w:iCs w:val="1"/>
          <w:color w:val="auto"/>
        </w:rPr>
        <w:t>Hussein and Hirsi v. Air Serv Corporation filed on January 20, 2016, pending in the United States District Court for the Western District of Washington at Seattle (the “Hussein case”) and</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Isse et al. v. Air Serv Corporation filed on February 7, 2017 in the Superior Court of Washington for King County (the “Isse” case)</w:t>
      </w:r>
    </w:p>
    <w:p>
      <w:pPr>
        <w:spacing w:after="0" w:line="225"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 xml:space="preserve">The </w:t>
      </w:r>
      <w:r>
        <w:rPr>
          <w:rFonts w:ascii="Arial" w:cs="Arial" w:eastAsia="Arial" w:hAnsi="Arial"/>
          <w:sz w:val="18"/>
          <w:szCs w:val="18"/>
          <w:i w:val="1"/>
          <w:iCs w:val="1"/>
          <w:color w:val="auto"/>
        </w:rPr>
        <w:t>Hussein</w:t>
      </w:r>
      <w:r>
        <w:rPr>
          <w:rFonts w:ascii="Arial" w:cs="Arial" w:eastAsia="Arial" w:hAnsi="Arial"/>
          <w:sz w:val="18"/>
          <w:szCs w:val="18"/>
          <w:color w:val="auto"/>
        </w:rPr>
        <w:t xml:space="preserve"> case was a certified class action involving a class of certain hourly Air Serv employees at Seattle-Tacoma International Airport in SeaTac, Washington. The plaintiffs alleged that Air Serv violated a minimum wage requirement in an ordinance applicable to certain employers in the local city of SeaTac (the “Ordinance”). Plaintiffs sought retroactive wages, double damages, interest, and attorneys’ fees. This matter was removed to federal court. In a separate lawsuit brought by Filo Foods, LLC, Alaska Airlines, and several other employers at SeaTac airport, the King County Superior Court issued a decision that invalidated the Ordinance as it applied to workers at SeaTac airport. Subsequently, the Washington Supreme Court reversed the Superior Court’s decision. On February 7, 2017, the </w:t>
      </w:r>
      <w:r>
        <w:rPr>
          <w:rFonts w:ascii="Arial" w:cs="Arial" w:eastAsia="Arial" w:hAnsi="Arial"/>
          <w:sz w:val="18"/>
          <w:szCs w:val="18"/>
          <w:i w:val="1"/>
          <w:iCs w:val="1"/>
          <w:color w:val="auto"/>
        </w:rPr>
        <w:t>Isse</w:t>
      </w:r>
      <w:r>
        <w:rPr>
          <w:rFonts w:ascii="Arial" w:cs="Arial" w:eastAsia="Arial" w:hAnsi="Arial"/>
          <w:sz w:val="18"/>
          <w:szCs w:val="18"/>
          <w:color w:val="auto"/>
        </w:rPr>
        <w:t xml:space="preserve"> case was filed against Air Serv on behalf of 60 individual plaintiffs (who would otherwise be members of the </w:t>
      </w:r>
      <w:r>
        <w:rPr>
          <w:rFonts w:ascii="Arial" w:cs="Arial" w:eastAsia="Arial" w:hAnsi="Arial"/>
          <w:sz w:val="18"/>
          <w:szCs w:val="18"/>
          <w:i w:val="1"/>
          <w:iCs w:val="1"/>
          <w:color w:val="auto"/>
        </w:rPr>
        <w:t>Hussein</w:t>
      </w:r>
      <w:r>
        <w:rPr>
          <w:rFonts w:ascii="Arial" w:cs="Arial" w:eastAsia="Arial" w:hAnsi="Arial"/>
          <w:sz w:val="18"/>
          <w:szCs w:val="18"/>
          <w:color w:val="auto"/>
        </w:rPr>
        <w:t xml:space="preserve"> class), who alleged failure to comply with both the minimum wage provision and the sick and safe time provision of the Ordinance. The </w:t>
      </w:r>
      <w:r>
        <w:rPr>
          <w:rFonts w:ascii="Arial" w:cs="Arial" w:eastAsia="Arial" w:hAnsi="Arial"/>
          <w:sz w:val="18"/>
          <w:szCs w:val="18"/>
          <w:i w:val="1"/>
          <w:iCs w:val="1"/>
          <w:color w:val="auto"/>
        </w:rPr>
        <w:t>Isse</w:t>
      </w:r>
      <w:r>
        <w:rPr>
          <w:rFonts w:ascii="Arial" w:cs="Arial" w:eastAsia="Arial" w:hAnsi="Arial"/>
          <w:sz w:val="18"/>
          <w:szCs w:val="18"/>
          <w:color w:val="auto"/>
        </w:rPr>
        <w:t xml:space="preserve"> plaintiffs sought retroactive wages and sick benefits, double damages for wages and sick benefits, interest, and attorneys’ fees. The </w:t>
      </w:r>
      <w:r>
        <w:rPr>
          <w:rFonts w:ascii="Arial" w:cs="Arial" w:eastAsia="Arial" w:hAnsi="Arial"/>
          <w:sz w:val="18"/>
          <w:szCs w:val="18"/>
          <w:i w:val="1"/>
          <w:iCs w:val="1"/>
          <w:color w:val="auto"/>
        </w:rPr>
        <w:t>Isse</w:t>
      </w:r>
      <w:r>
        <w:rPr>
          <w:rFonts w:ascii="Arial" w:cs="Arial" w:eastAsia="Arial" w:hAnsi="Arial"/>
          <w:sz w:val="18"/>
          <w:szCs w:val="18"/>
          <w:color w:val="auto"/>
        </w:rPr>
        <w:t xml:space="preserve"> case later expanded to approximately 220 individual plaintiffs.</w:t>
      </w:r>
    </w:p>
    <w:p>
      <w:pPr>
        <w:spacing w:after="0" w:line="186"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 xml:space="preserve">In mediations on November 2 and 3, 2017, and without admitting liability in either matter, we agreed to settle the </w:t>
      </w:r>
      <w:r>
        <w:rPr>
          <w:rFonts w:ascii="Arial" w:cs="Arial" w:eastAsia="Arial" w:hAnsi="Arial"/>
          <w:sz w:val="18"/>
          <w:szCs w:val="18"/>
          <w:i w:val="1"/>
          <w:iCs w:val="1"/>
          <w:color w:val="auto"/>
        </w:rPr>
        <w:t>Hussein</w:t>
      </w:r>
      <w:r>
        <w:rPr>
          <w:rFonts w:ascii="Arial" w:cs="Arial" w:eastAsia="Arial" w:hAnsi="Arial"/>
          <w:sz w:val="18"/>
          <w:szCs w:val="18"/>
          <w:color w:val="auto"/>
        </w:rPr>
        <w:t xml:space="preserve"> and </w:t>
      </w:r>
      <w:r>
        <w:rPr>
          <w:rFonts w:ascii="Arial" w:cs="Arial" w:eastAsia="Arial" w:hAnsi="Arial"/>
          <w:sz w:val="18"/>
          <w:szCs w:val="18"/>
          <w:i w:val="1"/>
          <w:iCs w:val="1"/>
          <w:color w:val="auto"/>
        </w:rPr>
        <w:t>Isse</w:t>
      </w:r>
      <w:r>
        <w:rPr>
          <w:rFonts w:ascii="Arial" w:cs="Arial" w:eastAsia="Arial" w:hAnsi="Arial"/>
          <w:sz w:val="18"/>
          <w:szCs w:val="18"/>
          <w:color w:val="auto"/>
        </w:rPr>
        <w:t xml:space="preserve"> cases for a combined total of $ 8.3 million, inclusive of damages, interest, attorneys’ fees, and employer payroll taxes. Eligible employees will be able to participate in either the </w:t>
      </w:r>
      <w:r>
        <w:rPr>
          <w:rFonts w:ascii="Arial" w:cs="Arial" w:eastAsia="Arial" w:hAnsi="Arial"/>
          <w:sz w:val="18"/>
          <w:szCs w:val="18"/>
          <w:i w:val="1"/>
          <w:iCs w:val="1"/>
          <w:color w:val="auto"/>
        </w:rPr>
        <w:t>Hussein</w:t>
      </w:r>
      <w:r>
        <w:rPr>
          <w:rFonts w:ascii="Arial" w:cs="Arial" w:eastAsia="Arial" w:hAnsi="Arial"/>
          <w:sz w:val="18"/>
          <w:szCs w:val="18"/>
          <w:color w:val="auto"/>
        </w:rPr>
        <w:t xml:space="preserve"> or </w:t>
      </w:r>
      <w:r>
        <w:rPr>
          <w:rFonts w:ascii="Arial" w:cs="Arial" w:eastAsia="Arial" w:hAnsi="Arial"/>
          <w:sz w:val="18"/>
          <w:szCs w:val="18"/>
          <w:i w:val="1"/>
          <w:iCs w:val="1"/>
          <w:color w:val="auto"/>
        </w:rPr>
        <w:t>Isse</w:t>
      </w:r>
      <w:r>
        <w:rPr>
          <w:rFonts w:ascii="Arial" w:cs="Arial" w:eastAsia="Arial" w:hAnsi="Arial"/>
          <w:sz w:val="18"/>
          <w:szCs w:val="18"/>
          <w:color w:val="auto"/>
        </w:rPr>
        <w:t xml:space="preserve"> settlements, but cannot recover in both settlements. The settlements in both cases require court approval because of the nature of the claims being released. On December 8, 2017, the Superior Court of Washington for King County approved the settlement agreement for the 220 </w:t>
      </w:r>
      <w:r>
        <w:rPr>
          <w:rFonts w:ascii="Arial" w:cs="Arial" w:eastAsia="Arial" w:hAnsi="Arial"/>
          <w:sz w:val="18"/>
          <w:szCs w:val="18"/>
          <w:i w:val="1"/>
          <w:iCs w:val="1"/>
          <w:color w:val="auto"/>
        </w:rPr>
        <w:t>Isse</w:t>
      </w:r>
      <w:r>
        <w:rPr>
          <w:rFonts w:ascii="Arial" w:cs="Arial" w:eastAsia="Arial" w:hAnsi="Arial"/>
          <w:sz w:val="18"/>
          <w:szCs w:val="18"/>
          <w:color w:val="auto"/>
        </w:rPr>
        <w:t xml:space="preserve"> plaintiffs, and we subsequently made a settlement payment of $4.5 million to the </w:t>
      </w:r>
      <w:r>
        <w:rPr>
          <w:rFonts w:ascii="Arial" w:cs="Arial" w:eastAsia="Arial" w:hAnsi="Arial"/>
          <w:sz w:val="18"/>
          <w:szCs w:val="18"/>
          <w:i w:val="1"/>
          <w:iCs w:val="1"/>
          <w:color w:val="auto"/>
        </w:rPr>
        <w:t>Isse</w:t>
      </w:r>
      <w:r>
        <w:rPr>
          <w:rFonts w:ascii="Arial" w:cs="Arial" w:eastAsia="Arial" w:hAnsi="Arial"/>
          <w:sz w:val="18"/>
          <w:szCs w:val="18"/>
          <w:color w:val="auto"/>
        </w:rPr>
        <w:t xml:space="preserve"> plaintiffs in January 2018. The </w:t>
      </w:r>
      <w:r>
        <w:rPr>
          <w:rFonts w:ascii="Arial" w:cs="Arial" w:eastAsia="Arial" w:hAnsi="Arial"/>
          <w:sz w:val="18"/>
          <w:szCs w:val="18"/>
          <w:i w:val="1"/>
          <w:iCs w:val="1"/>
          <w:color w:val="auto"/>
        </w:rPr>
        <w:t>Hussein</w:t>
      </w:r>
      <w:r>
        <w:rPr>
          <w:rFonts w:ascii="Arial" w:cs="Arial" w:eastAsia="Arial" w:hAnsi="Arial"/>
          <w:sz w:val="18"/>
          <w:szCs w:val="18"/>
          <w:color w:val="auto"/>
        </w:rPr>
        <w:t xml:space="preserve"> settlement documents have been presented to the district court for approval.</w:t>
      </w: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544" w:right="239" w:bottom="1440" w:gutter="0" w:footer="0" w:header="0"/>
        </w:sectPr>
      </w:pPr>
    </w:p>
    <w:bookmarkStart w:id="21" w:name="page22"/>
    <w:bookmarkEnd w:id="21"/>
    <w:p>
      <w:pPr>
        <w:ind w:left="660"/>
        <w:spacing w:after="0" w:line="282" w:lineRule="auto"/>
        <w:rPr>
          <w:sz w:val="20"/>
          <w:szCs w:val="20"/>
          <w:color w:val="auto"/>
        </w:rPr>
      </w:pPr>
      <w:r>
        <w:rPr>
          <w:rFonts w:ascii="Arial" w:cs="Arial" w:eastAsia="Arial" w:hAnsi="Arial"/>
          <w:sz w:val="18"/>
          <w:szCs w:val="18"/>
          <w:i w:val="1"/>
          <w:iCs w:val="1"/>
          <w:color w:val="auto"/>
        </w:rPr>
        <w:t>Castro and Marmolejo v. ABM Industries, Inc., et al., filed on October 24, 2014, pending in the United States District Court for the Northern District of California (the “Castro” case)</w:t>
      </w:r>
    </w:p>
    <w:p>
      <w:pPr>
        <w:spacing w:after="0" w:line="180"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18"/>
          <w:szCs w:val="18"/>
          <w:color w:val="auto"/>
        </w:rPr>
        <w:t>On October 24, 2014, Plaintiff Marley Castro filed a class action lawsuit alleging that ABM did not reimburse janitorial employees in California for using their personal cell phones for work-related purposes, in violation of California Labor Code section 2802. On January 23, 2015, Plaintiff Lucia Marmolejo was added to the case as a named plaintiff. On October 27, 2017, plaintiffs moved for class certification seeking to represent a class of all employees who were, are, or will be employed by ABM in the State of California with the Employee Master Job Description Code “Cleaner” (hereafter referred to as “Cleaner Employees”) beginning from October 24, 2010. ABM filed its opposition to class certification on November 27, 2017. On January 26, 2018, the district court granted plaintiffs’ motion for class certification. The court rejected plaintiffs’ proposed class, instead certifying three classes that the court formulated on its own: (1) all employees who were, are, or will be employed by ABM in the State of California as Cleaner Employees who used a personal cell phone to punch in and out of the EPAY system and who (a) worked at an ABM facility that did not provide a biometric clock and (b) were not offered an ABM-provided cell phone during the period beginning on January 1, 2012, through the date of notice to the Class Members that a class has been certified in this action; (2) all employees who were, are, or will be employed by ABM in the State of California as Cleaner Employees who used a personal cell phone to report unusual or suspicious circumstances to supervisors and were not offered (a) an ABM-provided cell phone or (b) a two-way radio during the period beginning four years prior to the filing of the original complaint, October 24, 2014, through the date of notice to the Class Members that a class has been certified in this action; and (3) all employees who were, are, or will be employed by ABM in the State of California as Cleaner Employees who used a personal cell phone to respond to communications from supervisors and were not offered (a) an ABM-provided cell phone or (b) a two-way radio during the period beginning four years prior to the filing of the original complaint, October 24, 2014, through the date of notice to the Class Members that a class has been certified in this action. On February 9, 2018, ABM filed a petition for permission to appeal the district court’s order granting class certification with the United States Court of Appeals for the Ninth Circuit, which was denied on April 30, 2018. On March 20, 2018, ABM moved to compel arbitration of the claims of certain absent class members pursuant to the terms of three collective bargaining agreements. In response to that motion, the district court on May 14, 2018 modified the class definition to exclude all claims arising after the operative date(s) of the applicable collective bargaining agreements (which is June 1, 2016 for one agreement and May 1, 2016 for the other two agreements), but otherwise denied the motion.</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b w:val="1"/>
          <w:bCs w:val="1"/>
          <w:color w:val="0046AD"/>
        </w:rPr>
        <w:t>11. INCOME TAXES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106045</wp:posOffset>
            </wp:positionV>
            <wp:extent cx="723773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37730" cy="8890"/>
                    </a:xfrm>
                    <a:prstGeom prst="rect">
                      <a:avLst/>
                    </a:prstGeom>
                    <a:noFill/>
                  </pic:spPr>
                </pic:pic>
              </a:graphicData>
            </a:graphic>
          </wp:anchor>
        </w:drawing>
      </w:r>
    </w:p>
    <w:p>
      <w:pPr>
        <w:spacing w:after="0" w:line="200" w:lineRule="exact"/>
        <w:rPr>
          <w:sz w:val="20"/>
          <w:szCs w:val="20"/>
          <w:color w:val="auto"/>
        </w:rPr>
      </w:pPr>
    </w:p>
    <w:p>
      <w:pPr>
        <w:spacing w:after="0" w:line="243"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8"/>
          <w:szCs w:val="18"/>
          <w:color w:val="auto"/>
        </w:rPr>
        <w:t>The Tax Cuts and Jobs Act (the “Tax Act”), which was enacted on December 22, 2017, represents the most significant overhaul of the U.S. tax code in more than 30 years. Among other provisions, the Tax Act provides for a reduction of the federal corporate income tax rate from 35% to 21% and a “transition tax” to be levied on the deemed repatriation of indefinitely reinvested earnings of international subsidiaries. Since we have an October 31 fiscal year-end, the lower corporate income tax rate will be phased in, resulting in a U.S. statutory federal rate of 23.3% for fiscal 2018 and 21% for subsequent fiscal years. Other provisions under the Tax Act will not be effective for us until fiscal 2019, including limitations on deductibility of interest and executive compensation as well as a new minimum tax on Global Intangible Low-Taxed Income (“GILTI”).</w:t>
      </w:r>
    </w:p>
    <w:p>
      <w:pPr>
        <w:spacing w:after="0" w:line="153"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8"/>
          <w:szCs w:val="18"/>
          <w:color w:val="auto"/>
        </w:rPr>
        <w:t>Due to the complexities of implementing the provisions of the Tax Act, the staff of the U.S. Securities and Exchange Commission issued Staff Accounting Bulletin 118 (“SAB 118”), which provides guidance on accounting for tax effects of the Tax Act and permits a measurement period not to exceed one year from the enactment date for companies to complete the required analyses and accounting. As permitted under SAB 118, some elements of the tax adjustments recorded in the first quarter of 2018 due to the enactment of the Tax Act, including the remeasurement of deferred tax assets and liabilities and the transition tax, are based on reasonable estimates and are considered provisional.</w:t>
      </w:r>
    </w:p>
    <w:p>
      <w:pPr>
        <w:spacing w:after="0" w:line="155"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8"/>
          <w:szCs w:val="18"/>
          <w:color w:val="auto"/>
        </w:rPr>
        <w:t>During the three months ended January 31, 2018 we remeasured certain deferred tax assets and liabilities based on the new rates at which they are expected to reverse in the future and recorded a net discrete tax benefit of $28.7 million. In addition, we recorded an expense of $7.0 million for the one-time transition tax on the deemed repatriation of indefinitely reinvested earnings of our international subsidiaries. We plan to reinvest our foreign earnings to fund future non-U.S. growth and expansion, and we do not anticipate remitting such earnings to the United States. While U.S. federal tax expense has been recognized as a result of the Tax Act, no deferred tax liabilities with respect to state income taxes or foreign withholding taxes have been recognized.</w:t>
      </w: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364" w:right="239" w:bottom="1440" w:gutter="0" w:footer="0" w:header="0"/>
        </w:sectPr>
      </w:pPr>
    </w:p>
    <w:bookmarkStart w:id="22" w:name="page23"/>
    <w:bookmarkEnd w:id="22"/>
    <w:p>
      <w:pPr>
        <w:jc w:val="both"/>
        <w:ind w:firstLine="648"/>
        <w:spacing w:after="0" w:line="251" w:lineRule="auto"/>
        <w:rPr>
          <w:sz w:val="20"/>
          <w:szCs w:val="20"/>
          <w:color w:val="auto"/>
        </w:rPr>
      </w:pPr>
      <w:r>
        <w:rPr>
          <w:rFonts w:ascii="Arial" w:cs="Arial" w:eastAsia="Arial" w:hAnsi="Arial"/>
          <w:sz w:val="18"/>
          <w:szCs w:val="18"/>
          <w:color w:val="auto"/>
        </w:rPr>
        <w:t>We continue to analyze certain aspects of the Tax Act and refine our calculation of the impact on our deferred tax balances, which could potentially affect the measurement of these balances. The provisional amount recorded is based on our estimate of the expected reversals of certain tax assets and liabilities, which may be revised in future quarters during the one-year measurement period as additional information becomes available. The final impact related to the one-time transition tax may differ from our current estimate due to the complexity of calculating and supporting U.S. tax attributes involved in foreign tax credit calculations, such as accumulated foreign earnings and profits, foreign tax paid, and other tax components. Changes to our estimates over the one-year measurement period could be material due to, among other things: changes in interpretations of the Tax Act; future legislative action to address questions that arise from the Tax Act; changes in accounting standards for income taxes or related interpretations in response to the Tax Act; or any updates or changes to estimates we have utilized to calculate the provisional amounts. We did not record any changes to the provisional amounts during the three months ended April 30, 2018.</w:t>
      </w:r>
    </w:p>
    <w:p>
      <w:pPr>
        <w:spacing w:after="0" w:line="158"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Beginning in fiscal year 2019, provisions under GILTI could result in incremental U.S. federal tax on our foreign subsidiaries’ income in excess of an allowed return on certain tangible property. The Financial Accounting Standards Board has determined that filers have a policy choice to account for this tax on either a period basis or a deferred tax basis. We are still evaluating the impacts of GILTI on our business model and have not yet made any accounting adjustments or policy decisions regarding this new source of incremental U.S. taxable income.</w:t>
      </w:r>
    </w:p>
    <w:p>
      <w:pPr>
        <w:spacing w:after="0" w:line="150"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8"/>
          <w:szCs w:val="18"/>
          <w:color w:val="auto"/>
        </w:rPr>
        <w:t>Our quarterly provision for income taxes from continuing operations is calculated using an estimated annual effective income tax rate, which is adjusted for discrete items that occur during the reporting period. Our income taxes for the three months ended April 30, 2018 were favorably impacted by the reduction of the federal corporate income tax rate as a result of the Tax Act and by a discrete tax benefit of $2.0 million related to tax deductions on energy efficient government buildings, partially offset by a $1.5 million reduction in certain tax credits, including the prior year Work Opportunity Tax Credits (“WOTC”) for new hires. Our income taxes for the six months ended April 30, 2018 were favorably impacted by a net discrete tax benefit of $21.7 million related to the enactment of the Tax Act, $ 2.3 million related to tax deductions on energy efficient government buildings, and $1.5 million of excess tax benefits related to the vesting of share-based compensation awards. These benefits were partially offset by a $1.5 million reduction in certain tax credits, including the prior year WOTC for new hires.</w:t>
      </w:r>
    </w:p>
    <w:p>
      <w:pPr>
        <w:spacing w:after="0" w:line="152" w:lineRule="exact"/>
        <w:rPr>
          <w:sz w:val="20"/>
          <w:szCs w:val="20"/>
          <w:color w:val="auto"/>
        </w:rPr>
      </w:pPr>
    </w:p>
    <w:p>
      <w:pPr>
        <w:jc w:val="both"/>
        <w:ind w:firstLine="648"/>
        <w:spacing w:after="0" w:line="262" w:lineRule="auto"/>
        <w:rPr>
          <w:sz w:val="20"/>
          <w:szCs w:val="20"/>
          <w:color w:val="auto"/>
        </w:rPr>
      </w:pPr>
      <w:r>
        <w:rPr>
          <w:rFonts w:ascii="Arial" w:cs="Arial" w:eastAsia="Arial" w:hAnsi="Arial"/>
          <w:sz w:val="18"/>
          <w:szCs w:val="18"/>
          <w:color w:val="auto"/>
        </w:rPr>
        <w:t>Our income taxes for the three and six months ended April 30, 2017 were favorably impacted by $2.1 million of excess tax benefits related to the vesting of share-based compensation awards and the 2017 WOTC for new hires.</w:t>
      </w: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544" w:right="239" w:bottom="1440" w:gutter="0" w:footer="0" w:header="0"/>
        </w:sectPr>
      </w:pPr>
    </w:p>
    <w:bookmarkStart w:id="23" w:name="page24"/>
    <w:bookmarkEnd w:id="23"/>
    <w:p>
      <w:pPr>
        <w:spacing w:after="0"/>
        <w:rPr>
          <w:sz w:val="20"/>
          <w:szCs w:val="20"/>
          <w:color w:val="auto"/>
        </w:rPr>
      </w:pPr>
      <w:r>
        <w:rPr>
          <w:rFonts w:ascii="Arial" w:cs="Arial" w:eastAsia="Arial" w:hAnsi="Arial"/>
          <w:sz w:val="18"/>
          <w:szCs w:val="18"/>
          <w:b w:val="1"/>
          <w:bCs w:val="1"/>
          <w:color w:val="0046AD"/>
        </w:rPr>
        <w:t>12. SEGMENT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106045</wp:posOffset>
            </wp:positionV>
            <wp:extent cx="723773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37730" cy="8890"/>
                    </a:xfrm>
                    <a:prstGeom prst="rect">
                      <a:avLst/>
                    </a:prstGeom>
                    <a:noFill/>
                  </pic:spPr>
                </pic:pic>
              </a:graphicData>
            </a:graphic>
          </wp:anchor>
        </w:drawing>
      </w:r>
    </w:p>
    <w:p>
      <w:pPr>
        <w:spacing w:after="0" w:line="200" w:lineRule="exact"/>
        <w:rPr>
          <w:sz w:val="20"/>
          <w:szCs w:val="20"/>
          <w:color w:val="auto"/>
        </w:rPr>
      </w:pPr>
    </w:p>
    <w:p>
      <w:pPr>
        <w:spacing w:after="0" w:line="243"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Effective November 1, 2017, we reorganized our reportable segments to reflect the integration of GCA into our industry group model. Our reportable segments consist of Business &amp; Industry (“B&amp;I”), Aviation, Technology &amp; Manufacturing (“T&amp;M”), Education, Technical Solutions, and Healthcare, as further described below. Refer to Note 2, “Basis of Presentation and Significant Accounting Policies,” for information related to our former Government Services business.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113030</wp:posOffset>
            </wp:positionV>
            <wp:extent cx="7246620" cy="288163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46620" cy="2881630"/>
                    </a:xfrm>
                    <a:prstGeom prst="rect">
                      <a:avLst/>
                    </a:prstGeom>
                    <a:noFill/>
                  </pic:spPr>
                </pic:pic>
              </a:graphicData>
            </a:graphic>
          </wp:anchor>
        </w:drawing>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0046AD"/>
        </w:rPr>
        <w:t>REPORTABLE SEGMENTS AND DESCRIPTIONS</w:t>
      </w:r>
    </w:p>
    <w:p>
      <w:pPr>
        <w:spacing w:after="0" w:line="32"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3220" w:type="dxa"/>
            <w:vAlign w:val="bottom"/>
            <w:tcBorders>
              <w:top w:val="single" w:sz="8" w:color="auto"/>
              <w:right w:val="single" w:sz="8" w:color="auto"/>
            </w:tcBorders>
          </w:tcPr>
          <w:p>
            <w:pPr>
              <w:spacing w:after="0"/>
              <w:rPr>
                <w:sz w:val="20"/>
                <w:szCs w:val="20"/>
                <w:color w:val="auto"/>
              </w:rPr>
            </w:pPr>
          </w:p>
        </w:tc>
        <w:tc>
          <w:tcPr>
            <w:tcW w:w="820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B&amp;I, our largest reportable segment, encompasses janitorial, facilities engineering, and parking</w:t>
            </w:r>
          </w:p>
        </w:tc>
        <w:tc>
          <w:tcPr>
            <w:tcW w:w="0" w:type="dxa"/>
            <w:vAlign w:val="bottom"/>
          </w:tcPr>
          <w:p>
            <w:pPr>
              <w:spacing w:after="0"/>
              <w:rPr>
                <w:sz w:val="1"/>
                <w:szCs w:val="1"/>
                <w:color w:val="auto"/>
              </w:rPr>
            </w:pPr>
          </w:p>
        </w:tc>
      </w:tr>
      <w:tr>
        <w:trPr>
          <w:trHeight w:val="203"/>
        </w:trPr>
        <w:tc>
          <w:tcPr>
            <w:tcW w:w="32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6"/>
              </w:rPr>
              <w:t>B&amp;I</w:t>
            </w:r>
          </w:p>
        </w:tc>
        <w:tc>
          <w:tcPr>
            <w:tcW w:w="8200" w:type="dxa"/>
            <w:vAlign w:val="bottom"/>
          </w:tcPr>
          <w:p>
            <w:pPr>
              <w:ind w:left="20"/>
              <w:spacing w:after="0" w:line="202" w:lineRule="exact"/>
              <w:rPr>
                <w:sz w:val="20"/>
                <w:szCs w:val="20"/>
                <w:color w:val="auto"/>
              </w:rPr>
            </w:pPr>
            <w:r>
              <w:rPr>
                <w:rFonts w:ascii="Arial" w:cs="Arial" w:eastAsia="Arial" w:hAnsi="Arial"/>
                <w:sz w:val="18"/>
                <w:szCs w:val="18"/>
                <w:color w:val="auto"/>
              </w:rPr>
              <w:t>services for commercial real estate properties and sports and entertainment venues. B&amp;I also</w:t>
            </w:r>
          </w:p>
        </w:tc>
        <w:tc>
          <w:tcPr>
            <w:tcW w:w="0" w:type="dxa"/>
            <w:vAlign w:val="bottom"/>
          </w:tcPr>
          <w:p>
            <w:pPr>
              <w:spacing w:after="0"/>
              <w:rPr>
                <w:sz w:val="1"/>
                <w:szCs w:val="1"/>
                <w:color w:val="auto"/>
              </w:rPr>
            </w:pPr>
          </w:p>
        </w:tc>
      </w:tr>
      <w:tr>
        <w:trPr>
          <w:trHeight w:val="109"/>
        </w:trPr>
        <w:tc>
          <w:tcPr>
            <w:tcW w:w="3220" w:type="dxa"/>
            <w:vAlign w:val="bottom"/>
            <w:tcBorders>
              <w:right w:val="single" w:sz="8" w:color="auto"/>
            </w:tcBorders>
            <w:vMerge w:val="continue"/>
          </w:tcPr>
          <w:p>
            <w:pPr>
              <w:spacing w:after="0"/>
              <w:rPr>
                <w:sz w:val="9"/>
                <w:szCs w:val="9"/>
                <w:color w:val="auto"/>
              </w:rPr>
            </w:pPr>
          </w:p>
        </w:tc>
        <w:tc>
          <w:tcPr>
            <w:tcW w:w="8200" w:type="dxa"/>
            <w:vAlign w:val="bottom"/>
            <w:vMerge w:val="restart"/>
          </w:tcPr>
          <w:p>
            <w:pPr>
              <w:ind w:left="20"/>
              <w:spacing w:after="0" w:line="202" w:lineRule="exact"/>
              <w:rPr>
                <w:sz w:val="20"/>
                <w:szCs w:val="20"/>
                <w:color w:val="auto"/>
              </w:rPr>
            </w:pPr>
            <w:r>
              <w:rPr>
                <w:rFonts w:ascii="Arial" w:cs="Arial" w:eastAsia="Arial" w:hAnsi="Arial"/>
                <w:sz w:val="18"/>
                <w:szCs w:val="18"/>
                <w:color w:val="auto"/>
              </w:rPr>
              <w:t>provides  vehicle  maintenance  and  other  services  to  rental  car  providers  (“Vehicle  Services</w:t>
            </w:r>
          </w:p>
        </w:tc>
        <w:tc>
          <w:tcPr>
            <w:tcW w:w="0" w:type="dxa"/>
            <w:vAlign w:val="bottom"/>
          </w:tcPr>
          <w:p>
            <w:pPr>
              <w:spacing w:after="0"/>
              <w:rPr>
                <w:sz w:val="1"/>
                <w:szCs w:val="1"/>
                <w:color w:val="auto"/>
              </w:rPr>
            </w:pPr>
          </w:p>
        </w:tc>
      </w:tr>
      <w:tr>
        <w:trPr>
          <w:trHeight w:val="94"/>
        </w:trPr>
        <w:tc>
          <w:tcPr>
            <w:tcW w:w="3220" w:type="dxa"/>
            <w:vAlign w:val="bottom"/>
            <w:tcBorders>
              <w:right w:val="single" w:sz="8" w:color="auto"/>
            </w:tcBorders>
          </w:tcPr>
          <w:p>
            <w:pPr>
              <w:spacing w:after="0"/>
              <w:rPr>
                <w:sz w:val="8"/>
                <w:szCs w:val="8"/>
                <w:color w:val="auto"/>
              </w:rPr>
            </w:pPr>
          </w:p>
        </w:tc>
        <w:tc>
          <w:tcPr>
            <w:tcW w:w="820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24"/>
        </w:trPr>
        <w:tc>
          <w:tcPr>
            <w:tcW w:w="3220" w:type="dxa"/>
            <w:vAlign w:val="bottom"/>
            <w:tcBorders>
              <w:bottom w:val="single" w:sz="8" w:color="auto"/>
              <w:right w:val="single" w:sz="8" w:color="auto"/>
            </w:tcBorders>
          </w:tcPr>
          <w:p>
            <w:pPr>
              <w:spacing w:after="0"/>
              <w:rPr>
                <w:sz w:val="19"/>
                <w:szCs w:val="19"/>
                <w:color w:val="auto"/>
              </w:rPr>
            </w:pPr>
          </w:p>
        </w:tc>
        <w:tc>
          <w:tcPr>
            <w:tcW w:w="82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Contracts”).</w:t>
            </w:r>
          </w:p>
        </w:tc>
        <w:tc>
          <w:tcPr>
            <w:tcW w:w="0" w:type="dxa"/>
            <w:vAlign w:val="bottom"/>
          </w:tcPr>
          <w:p>
            <w:pPr>
              <w:spacing w:after="0"/>
              <w:rPr>
                <w:sz w:val="1"/>
                <w:szCs w:val="1"/>
                <w:color w:val="auto"/>
              </w:rPr>
            </w:pPr>
          </w:p>
        </w:tc>
      </w:tr>
      <w:tr>
        <w:trPr>
          <w:trHeight w:val="229"/>
        </w:trPr>
        <w:tc>
          <w:tcPr>
            <w:tcW w:w="32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9"/>
              </w:rPr>
              <w:t>Aviation</w:t>
            </w:r>
          </w:p>
        </w:tc>
        <w:tc>
          <w:tcPr>
            <w:tcW w:w="8200" w:type="dxa"/>
            <w:vAlign w:val="bottom"/>
          </w:tcPr>
          <w:p>
            <w:pPr>
              <w:ind w:left="20"/>
              <w:spacing w:after="0"/>
              <w:rPr>
                <w:sz w:val="20"/>
                <w:szCs w:val="20"/>
                <w:color w:val="auto"/>
              </w:rPr>
            </w:pPr>
            <w:r>
              <w:rPr>
                <w:rFonts w:ascii="Arial" w:cs="Arial" w:eastAsia="Arial" w:hAnsi="Arial"/>
                <w:sz w:val="18"/>
                <w:szCs w:val="18"/>
                <w:color w:val="auto"/>
              </w:rPr>
              <w:t>Aviation supports airlines and airports with services ranging from parking and janitorial to passenger</w:t>
            </w:r>
          </w:p>
        </w:tc>
        <w:tc>
          <w:tcPr>
            <w:tcW w:w="0" w:type="dxa"/>
            <w:vAlign w:val="bottom"/>
          </w:tcPr>
          <w:p>
            <w:pPr>
              <w:spacing w:after="0"/>
              <w:rPr>
                <w:sz w:val="1"/>
                <w:szCs w:val="1"/>
                <w:color w:val="auto"/>
              </w:rPr>
            </w:pPr>
          </w:p>
        </w:tc>
      </w:tr>
      <w:tr>
        <w:trPr>
          <w:trHeight w:val="109"/>
        </w:trPr>
        <w:tc>
          <w:tcPr>
            <w:tcW w:w="3220" w:type="dxa"/>
            <w:vAlign w:val="bottom"/>
            <w:tcBorders>
              <w:right w:val="single" w:sz="8" w:color="auto"/>
            </w:tcBorders>
            <w:vMerge w:val="continue"/>
          </w:tcPr>
          <w:p>
            <w:pPr>
              <w:spacing w:after="0"/>
              <w:rPr>
                <w:sz w:val="9"/>
                <w:szCs w:val="9"/>
                <w:color w:val="auto"/>
              </w:rPr>
            </w:pPr>
          </w:p>
        </w:tc>
        <w:tc>
          <w:tcPr>
            <w:tcW w:w="8200" w:type="dxa"/>
            <w:vAlign w:val="bottom"/>
            <w:vMerge w:val="restart"/>
          </w:tcPr>
          <w:p>
            <w:pPr>
              <w:ind w:left="20"/>
              <w:spacing w:after="0"/>
              <w:rPr>
                <w:sz w:val="20"/>
                <w:szCs w:val="20"/>
                <w:color w:val="auto"/>
              </w:rPr>
            </w:pPr>
            <w:r>
              <w:rPr>
                <w:rFonts w:ascii="Arial" w:cs="Arial" w:eastAsia="Arial" w:hAnsi="Arial"/>
                <w:sz w:val="18"/>
                <w:szCs w:val="18"/>
                <w:color w:val="auto"/>
              </w:rPr>
              <w:t>assistance, catering logistics, air cabin maintenance, and transportation.</w:t>
            </w:r>
          </w:p>
        </w:tc>
        <w:tc>
          <w:tcPr>
            <w:tcW w:w="0" w:type="dxa"/>
            <w:vAlign w:val="bottom"/>
          </w:tcPr>
          <w:p>
            <w:pPr>
              <w:spacing w:after="0"/>
              <w:rPr>
                <w:sz w:val="1"/>
                <w:szCs w:val="1"/>
                <w:color w:val="auto"/>
              </w:rPr>
            </w:pPr>
          </w:p>
        </w:tc>
      </w:tr>
      <w:tr>
        <w:trPr>
          <w:trHeight w:val="115"/>
        </w:trPr>
        <w:tc>
          <w:tcPr>
            <w:tcW w:w="3220" w:type="dxa"/>
            <w:vAlign w:val="bottom"/>
            <w:tcBorders>
              <w:bottom w:val="single" w:sz="8" w:color="auto"/>
              <w:right w:val="single" w:sz="8" w:color="auto"/>
            </w:tcBorders>
          </w:tcPr>
          <w:p>
            <w:pPr>
              <w:spacing w:after="0"/>
              <w:rPr>
                <w:sz w:val="10"/>
                <w:szCs w:val="10"/>
                <w:color w:val="auto"/>
              </w:rPr>
            </w:pPr>
          </w:p>
        </w:tc>
        <w:tc>
          <w:tcPr>
            <w:tcW w:w="8200" w:type="dxa"/>
            <w:vAlign w:val="bottom"/>
            <w:tcBorders>
              <w:bottom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29"/>
        </w:trPr>
        <w:tc>
          <w:tcPr>
            <w:tcW w:w="3220" w:type="dxa"/>
            <w:vAlign w:val="bottom"/>
            <w:tcBorders>
              <w:right w:val="single" w:sz="8" w:color="auto"/>
            </w:tcBorders>
          </w:tcPr>
          <w:p>
            <w:pPr>
              <w:spacing w:after="0"/>
              <w:rPr>
                <w:sz w:val="19"/>
                <w:szCs w:val="19"/>
                <w:color w:val="auto"/>
              </w:rPr>
            </w:pPr>
          </w:p>
        </w:tc>
        <w:tc>
          <w:tcPr>
            <w:tcW w:w="8200" w:type="dxa"/>
            <w:vAlign w:val="bottom"/>
          </w:tcPr>
          <w:p>
            <w:pPr>
              <w:ind w:left="20"/>
              <w:spacing w:after="0"/>
              <w:rPr>
                <w:sz w:val="20"/>
                <w:szCs w:val="20"/>
                <w:color w:val="auto"/>
              </w:rPr>
            </w:pPr>
            <w:r>
              <w:rPr>
                <w:rFonts w:ascii="Arial" w:cs="Arial" w:eastAsia="Arial" w:hAnsi="Arial"/>
                <w:sz w:val="18"/>
                <w:szCs w:val="18"/>
                <w:color w:val="auto"/>
              </w:rPr>
              <w:t>T&amp;M combines our legacy Industrial &amp; Manufacturing business, which was previously included in our</w:t>
            </w:r>
          </w:p>
        </w:tc>
        <w:tc>
          <w:tcPr>
            <w:tcW w:w="0" w:type="dxa"/>
            <w:vAlign w:val="bottom"/>
          </w:tcPr>
          <w:p>
            <w:pPr>
              <w:spacing w:after="0"/>
              <w:rPr>
                <w:sz w:val="1"/>
                <w:szCs w:val="1"/>
                <w:color w:val="auto"/>
              </w:rPr>
            </w:pPr>
          </w:p>
        </w:tc>
      </w:tr>
      <w:tr>
        <w:trPr>
          <w:trHeight w:val="203"/>
        </w:trPr>
        <w:tc>
          <w:tcPr>
            <w:tcW w:w="32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9"/>
              </w:rPr>
              <w:t>T&amp;M</w:t>
            </w:r>
          </w:p>
        </w:tc>
        <w:tc>
          <w:tcPr>
            <w:tcW w:w="8200" w:type="dxa"/>
            <w:vAlign w:val="bottom"/>
          </w:tcPr>
          <w:p>
            <w:pPr>
              <w:ind w:left="20"/>
              <w:spacing w:after="0" w:line="202" w:lineRule="exact"/>
              <w:rPr>
                <w:sz w:val="20"/>
                <w:szCs w:val="20"/>
                <w:color w:val="auto"/>
              </w:rPr>
            </w:pPr>
            <w:r>
              <w:rPr>
                <w:rFonts w:ascii="Arial" w:cs="Arial" w:eastAsia="Arial" w:hAnsi="Arial"/>
                <w:sz w:val="18"/>
                <w:szCs w:val="18"/>
                <w:color w:val="auto"/>
              </w:rPr>
              <w:t>B&amp;I segment, with our legacy High Tech industry group, which was previously reported as part of our</w:t>
            </w:r>
          </w:p>
        </w:tc>
        <w:tc>
          <w:tcPr>
            <w:tcW w:w="0" w:type="dxa"/>
            <w:vAlign w:val="bottom"/>
          </w:tcPr>
          <w:p>
            <w:pPr>
              <w:spacing w:after="0"/>
              <w:rPr>
                <w:sz w:val="1"/>
                <w:szCs w:val="1"/>
                <w:color w:val="auto"/>
              </w:rPr>
            </w:pPr>
          </w:p>
        </w:tc>
      </w:tr>
      <w:tr>
        <w:trPr>
          <w:trHeight w:val="109"/>
        </w:trPr>
        <w:tc>
          <w:tcPr>
            <w:tcW w:w="3220" w:type="dxa"/>
            <w:vAlign w:val="bottom"/>
            <w:tcBorders>
              <w:right w:val="single" w:sz="8" w:color="auto"/>
            </w:tcBorders>
            <w:vMerge w:val="continue"/>
          </w:tcPr>
          <w:p>
            <w:pPr>
              <w:spacing w:after="0"/>
              <w:rPr>
                <w:sz w:val="9"/>
                <w:szCs w:val="9"/>
                <w:color w:val="auto"/>
              </w:rPr>
            </w:pPr>
          </w:p>
        </w:tc>
        <w:tc>
          <w:tcPr>
            <w:tcW w:w="8200" w:type="dxa"/>
            <w:vAlign w:val="bottom"/>
            <w:vMerge w:val="restart"/>
          </w:tcPr>
          <w:p>
            <w:pPr>
              <w:ind w:left="20"/>
              <w:spacing w:after="0" w:line="202" w:lineRule="exact"/>
              <w:rPr>
                <w:sz w:val="20"/>
                <w:szCs w:val="20"/>
                <w:color w:val="auto"/>
              </w:rPr>
            </w:pPr>
            <w:r>
              <w:rPr>
                <w:rFonts w:ascii="Arial" w:cs="Arial" w:eastAsia="Arial" w:hAnsi="Arial"/>
                <w:sz w:val="18"/>
                <w:szCs w:val="18"/>
                <w:color w:val="auto"/>
              </w:rPr>
              <w:t>legacy Emerging Industries Group. T&amp;M provides janitorial, facilities engineering, and parking</w:t>
            </w:r>
          </w:p>
        </w:tc>
        <w:tc>
          <w:tcPr>
            <w:tcW w:w="0" w:type="dxa"/>
            <w:vAlign w:val="bottom"/>
          </w:tcPr>
          <w:p>
            <w:pPr>
              <w:spacing w:after="0"/>
              <w:rPr>
                <w:sz w:val="1"/>
                <w:szCs w:val="1"/>
                <w:color w:val="auto"/>
              </w:rPr>
            </w:pPr>
          </w:p>
        </w:tc>
      </w:tr>
      <w:tr>
        <w:trPr>
          <w:trHeight w:val="94"/>
        </w:trPr>
        <w:tc>
          <w:tcPr>
            <w:tcW w:w="3220" w:type="dxa"/>
            <w:vAlign w:val="bottom"/>
            <w:tcBorders>
              <w:right w:val="single" w:sz="8" w:color="auto"/>
            </w:tcBorders>
          </w:tcPr>
          <w:p>
            <w:pPr>
              <w:spacing w:after="0"/>
              <w:rPr>
                <w:sz w:val="8"/>
                <w:szCs w:val="8"/>
                <w:color w:val="auto"/>
              </w:rPr>
            </w:pPr>
          </w:p>
        </w:tc>
        <w:tc>
          <w:tcPr>
            <w:tcW w:w="820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24"/>
        </w:trPr>
        <w:tc>
          <w:tcPr>
            <w:tcW w:w="3220" w:type="dxa"/>
            <w:vAlign w:val="bottom"/>
            <w:tcBorders>
              <w:bottom w:val="single" w:sz="8" w:color="auto"/>
              <w:right w:val="single" w:sz="8" w:color="auto"/>
            </w:tcBorders>
          </w:tcPr>
          <w:p>
            <w:pPr>
              <w:spacing w:after="0"/>
              <w:rPr>
                <w:sz w:val="19"/>
                <w:szCs w:val="19"/>
                <w:color w:val="auto"/>
              </w:rPr>
            </w:pPr>
          </w:p>
        </w:tc>
        <w:tc>
          <w:tcPr>
            <w:tcW w:w="82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services.</w:t>
            </w:r>
          </w:p>
        </w:tc>
        <w:tc>
          <w:tcPr>
            <w:tcW w:w="0" w:type="dxa"/>
            <w:vAlign w:val="bottom"/>
          </w:tcPr>
          <w:p>
            <w:pPr>
              <w:spacing w:after="0"/>
              <w:rPr>
                <w:sz w:val="1"/>
                <w:szCs w:val="1"/>
                <w:color w:val="auto"/>
              </w:rPr>
            </w:pPr>
          </w:p>
        </w:tc>
      </w:tr>
      <w:tr>
        <w:trPr>
          <w:trHeight w:val="229"/>
        </w:trPr>
        <w:tc>
          <w:tcPr>
            <w:tcW w:w="3220" w:type="dxa"/>
            <w:vAlign w:val="bottom"/>
            <w:tcBorders>
              <w:right w:val="single" w:sz="8" w:color="auto"/>
            </w:tcBorders>
          </w:tcPr>
          <w:p>
            <w:pPr>
              <w:spacing w:after="0"/>
              <w:rPr>
                <w:sz w:val="19"/>
                <w:szCs w:val="19"/>
                <w:color w:val="auto"/>
              </w:rPr>
            </w:pPr>
          </w:p>
        </w:tc>
        <w:tc>
          <w:tcPr>
            <w:tcW w:w="8200" w:type="dxa"/>
            <w:vAlign w:val="bottom"/>
          </w:tcPr>
          <w:p>
            <w:pPr>
              <w:ind w:left="20"/>
              <w:spacing w:after="0"/>
              <w:rPr>
                <w:sz w:val="20"/>
                <w:szCs w:val="20"/>
                <w:color w:val="auto"/>
              </w:rPr>
            </w:pPr>
            <w:r>
              <w:rPr>
                <w:rFonts w:ascii="Arial" w:cs="Arial" w:eastAsia="Arial" w:hAnsi="Arial"/>
                <w:sz w:val="18"/>
                <w:szCs w:val="18"/>
                <w:color w:val="auto"/>
              </w:rPr>
              <w:t>Education delivers janitorial, custodial, landscaping and grounds, facilities engineering, and parking</w:t>
            </w:r>
          </w:p>
        </w:tc>
        <w:tc>
          <w:tcPr>
            <w:tcW w:w="0" w:type="dxa"/>
            <w:vAlign w:val="bottom"/>
          </w:tcPr>
          <w:p>
            <w:pPr>
              <w:spacing w:after="0"/>
              <w:rPr>
                <w:sz w:val="1"/>
                <w:szCs w:val="1"/>
                <w:color w:val="auto"/>
              </w:rPr>
            </w:pPr>
          </w:p>
        </w:tc>
      </w:tr>
      <w:tr>
        <w:trPr>
          <w:trHeight w:val="203"/>
        </w:trPr>
        <w:tc>
          <w:tcPr>
            <w:tcW w:w="3220" w:type="dxa"/>
            <w:vAlign w:val="bottom"/>
            <w:tcBorders>
              <w:right w:val="single" w:sz="8" w:color="auto"/>
            </w:tcBorders>
          </w:tcPr>
          <w:p>
            <w:pPr>
              <w:jc w:val="center"/>
              <w:spacing w:after="0" w:line="202" w:lineRule="exact"/>
              <w:rPr>
                <w:sz w:val="20"/>
                <w:szCs w:val="20"/>
                <w:color w:val="auto"/>
              </w:rPr>
            </w:pPr>
            <w:r>
              <w:rPr>
                <w:rFonts w:ascii="Arial" w:cs="Arial" w:eastAsia="Arial" w:hAnsi="Arial"/>
                <w:sz w:val="18"/>
                <w:szCs w:val="18"/>
                <w:color w:val="auto"/>
                <w:w w:val="99"/>
              </w:rPr>
              <w:t>Education</w:t>
            </w:r>
          </w:p>
        </w:tc>
        <w:tc>
          <w:tcPr>
            <w:tcW w:w="8200" w:type="dxa"/>
            <w:vAlign w:val="bottom"/>
          </w:tcPr>
          <w:p>
            <w:pPr>
              <w:ind w:left="20"/>
              <w:spacing w:after="0" w:line="202" w:lineRule="exact"/>
              <w:rPr>
                <w:sz w:val="20"/>
                <w:szCs w:val="20"/>
                <w:color w:val="auto"/>
              </w:rPr>
            </w:pPr>
            <w:r>
              <w:rPr>
                <w:rFonts w:ascii="Arial" w:cs="Arial" w:eastAsia="Arial" w:hAnsi="Arial"/>
                <w:sz w:val="18"/>
                <w:szCs w:val="18"/>
                <w:color w:val="auto"/>
              </w:rPr>
              <w:t>services for public school districts, private schools, colleges, and universities. This business was</w:t>
            </w:r>
          </w:p>
        </w:tc>
        <w:tc>
          <w:tcPr>
            <w:tcW w:w="0" w:type="dxa"/>
            <w:vAlign w:val="bottom"/>
          </w:tcPr>
          <w:p>
            <w:pPr>
              <w:spacing w:after="0"/>
              <w:rPr>
                <w:sz w:val="1"/>
                <w:szCs w:val="1"/>
                <w:color w:val="auto"/>
              </w:rPr>
            </w:pPr>
          </w:p>
        </w:tc>
      </w:tr>
      <w:tr>
        <w:trPr>
          <w:trHeight w:val="224"/>
        </w:trPr>
        <w:tc>
          <w:tcPr>
            <w:tcW w:w="3220" w:type="dxa"/>
            <w:vAlign w:val="bottom"/>
            <w:tcBorders>
              <w:bottom w:val="single" w:sz="8" w:color="auto"/>
              <w:right w:val="single" w:sz="8" w:color="auto"/>
            </w:tcBorders>
          </w:tcPr>
          <w:p>
            <w:pPr>
              <w:spacing w:after="0"/>
              <w:rPr>
                <w:sz w:val="19"/>
                <w:szCs w:val="19"/>
                <w:color w:val="auto"/>
              </w:rPr>
            </w:pPr>
          </w:p>
        </w:tc>
        <w:tc>
          <w:tcPr>
            <w:tcW w:w="82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previously reported as part of our legacy Emerging Industries Group.</w:t>
            </w:r>
          </w:p>
        </w:tc>
        <w:tc>
          <w:tcPr>
            <w:tcW w:w="0" w:type="dxa"/>
            <w:vAlign w:val="bottom"/>
          </w:tcPr>
          <w:p>
            <w:pPr>
              <w:spacing w:after="0"/>
              <w:rPr>
                <w:sz w:val="1"/>
                <w:szCs w:val="1"/>
                <w:color w:val="auto"/>
              </w:rPr>
            </w:pPr>
          </w:p>
        </w:tc>
      </w:tr>
      <w:tr>
        <w:trPr>
          <w:trHeight w:val="229"/>
        </w:trPr>
        <w:tc>
          <w:tcPr>
            <w:tcW w:w="32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8"/>
              </w:rPr>
              <w:t>Technical Solutions</w:t>
            </w:r>
          </w:p>
        </w:tc>
        <w:tc>
          <w:tcPr>
            <w:tcW w:w="8200" w:type="dxa"/>
            <w:vAlign w:val="bottom"/>
          </w:tcPr>
          <w:p>
            <w:pPr>
              <w:ind w:left="20"/>
              <w:spacing w:after="0"/>
              <w:rPr>
                <w:sz w:val="20"/>
                <w:szCs w:val="20"/>
                <w:color w:val="auto"/>
              </w:rPr>
            </w:pPr>
            <w:r>
              <w:rPr>
                <w:rFonts w:ascii="Arial" w:cs="Arial" w:eastAsia="Arial" w:hAnsi="Arial"/>
                <w:sz w:val="18"/>
                <w:szCs w:val="18"/>
                <w:color w:val="auto"/>
              </w:rPr>
              <w:t>Technical Solutions specializes in mechanical and electrical services. These services can also be</w:t>
            </w:r>
          </w:p>
        </w:tc>
        <w:tc>
          <w:tcPr>
            <w:tcW w:w="0" w:type="dxa"/>
            <w:vAlign w:val="bottom"/>
          </w:tcPr>
          <w:p>
            <w:pPr>
              <w:spacing w:after="0"/>
              <w:rPr>
                <w:sz w:val="1"/>
                <w:szCs w:val="1"/>
                <w:color w:val="auto"/>
              </w:rPr>
            </w:pPr>
          </w:p>
        </w:tc>
      </w:tr>
      <w:tr>
        <w:trPr>
          <w:trHeight w:val="109"/>
        </w:trPr>
        <w:tc>
          <w:tcPr>
            <w:tcW w:w="3220" w:type="dxa"/>
            <w:vAlign w:val="bottom"/>
            <w:tcBorders>
              <w:right w:val="single" w:sz="8" w:color="auto"/>
            </w:tcBorders>
            <w:vMerge w:val="continue"/>
          </w:tcPr>
          <w:p>
            <w:pPr>
              <w:spacing w:after="0"/>
              <w:rPr>
                <w:sz w:val="9"/>
                <w:szCs w:val="9"/>
                <w:color w:val="auto"/>
              </w:rPr>
            </w:pPr>
          </w:p>
        </w:tc>
        <w:tc>
          <w:tcPr>
            <w:tcW w:w="8200" w:type="dxa"/>
            <w:vAlign w:val="bottom"/>
            <w:vMerge w:val="restart"/>
          </w:tcPr>
          <w:p>
            <w:pPr>
              <w:ind w:left="20"/>
              <w:spacing w:after="0"/>
              <w:rPr>
                <w:sz w:val="20"/>
                <w:szCs w:val="20"/>
                <w:color w:val="auto"/>
              </w:rPr>
            </w:pPr>
            <w:r>
              <w:rPr>
                <w:rFonts w:ascii="Arial" w:cs="Arial" w:eastAsia="Arial" w:hAnsi="Arial"/>
                <w:sz w:val="18"/>
                <w:szCs w:val="18"/>
                <w:color w:val="auto"/>
              </w:rPr>
              <w:t>leveraged for cross-selling across all of our industry groups, both domestically and internationally.</w:t>
            </w:r>
          </w:p>
        </w:tc>
        <w:tc>
          <w:tcPr>
            <w:tcW w:w="0" w:type="dxa"/>
            <w:vAlign w:val="bottom"/>
          </w:tcPr>
          <w:p>
            <w:pPr>
              <w:spacing w:after="0"/>
              <w:rPr>
                <w:sz w:val="1"/>
                <w:szCs w:val="1"/>
                <w:color w:val="auto"/>
              </w:rPr>
            </w:pPr>
          </w:p>
        </w:tc>
      </w:tr>
      <w:tr>
        <w:trPr>
          <w:trHeight w:val="115"/>
        </w:trPr>
        <w:tc>
          <w:tcPr>
            <w:tcW w:w="3220" w:type="dxa"/>
            <w:vAlign w:val="bottom"/>
            <w:tcBorders>
              <w:bottom w:val="single" w:sz="8" w:color="auto"/>
              <w:right w:val="single" w:sz="8" w:color="auto"/>
            </w:tcBorders>
          </w:tcPr>
          <w:p>
            <w:pPr>
              <w:spacing w:after="0"/>
              <w:rPr>
                <w:sz w:val="10"/>
                <w:szCs w:val="10"/>
                <w:color w:val="auto"/>
              </w:rPr>
            </w:pPr>
          </w:p>
        </w:tc>
        <w:tc>
          <w:tcPr>
            <w:tcW w:w="8200" w:type="dxa"/>
            <w:vAlign w:val="bottom"/>
            <w:tcBorders>
              <w:bottom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29"/>
        </w:trPr>
        <w:tc>
          <w:tcPr>
            <w:tcW w:w="3220" w:type="dxa"/>
            <w:vAlign w:val="bottom"/>
            <w:tcBorders>
              <w:right w:val="single" w:sz="8" w:color="auto"/>
            </w:tcBorders>
          </w:tcPr>
          <w:p>
            <w:pPr>
              <w:spacing w:after="0"/>
              <w:rPr>
                <w:sz w:val="19"/>
                <w:szCs w:val="19"/>
                <w:color w:val="auto"/>
              </w:rPr>
            </w:pPr>
          </w:p>
        </w:tc>
        <w:tc>
          <w:tcPr>
            <w:tcW w:w="8200" w:type="dxa"/>
            <w:vAlign w:val="bottom"/>
          </w:tcPr>
          <w:p>
            <w:pPr>
              <w:ind w:left="20"/>
              <w:spacing w:after="0"/>
              <w:rPr>
                <w:sz w:val="20"/>
                <w:szCs w:val="20"/>
                <w:color w:val="auto"/>
              </w:rPr>
            </w:pPr>
            <w:r>
              <w:rPr>
                <w:rFonts w:ascii="Arial" w:cs="Arial" w:eastAsia="Arial" w:hAnsi="Arial"/>
                <w:sz w:val="18"/>
                <w:szCs w:val="18"/>
                <w:color w:val="auto"/>
              </w:rPr>
              <w:t>Healthcare offers janitorial, facilities management, clinical engineering, food and nutrition, laundry and</w:t>
            </w:r>
          </w:p>
        </w:tc>
        <w:tc>
          <w:tcPr>
            <w:tcW w:w="0" w:type="dxa"/>
            <w:vAlign w:val="bottom"/>
          </w:tcPr>
          <w:p>
            <w:pPr>
              <w:spacing w:after="0"/>
              <w:rPr>
                <w:sz w:val="1"/>
                <w:szCs w:val="1"/>
                <w:color w:val="auto"/>
              </w:rPr>
            </w:pPr>
          </w:p>
        </w:tc>
      </w:tr>
      <w:tr>
        <w:trPr>
          <w:trHeight w:val="203"/>
        </w:trPr>
        <w:tc>
          <w:tcPr>
            <w:tcW w:w="32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rPr>
              <w:t>Healthcare</w:t>
            </w:r>
          </w:p>
        </w:tc>
        <w:tc>
          <w:tcPr>
            <w:tcW w:w="8200" w:type="dxa"/>
            <w:vAlign w:val="bottom"/>
          </w:tcPr>
          <w:p>
            <w:pPr>
              <w:ind w:left="20"/>
              <w:spacing w:after="0" w:line="202" w:lineRule="exact"/>
              <w:rPr>
                <w:sz w:val="20"/>
                <w:szCs w:val="20"/>
                <w:color w:val="auto"/>
              </w:rPr>
            </w:pPr>
            <w:r>
              <w:rPr>
                <w:rFonts w:ascii="Arial" w:cs="Arial" w:eastAsia="Arial" w:hAnsi="Arial"/>
                <w:sz w:val="18"/>
                <w:szCs w:val="18"/>
                <w:color w:val="auto"/>
              </w:rPr>
              <w:t>linen, parking and guest services, and patient transportation services at traditional hospitals and non-</w:t>
            </w:r>
          </w:p>
        </w:tc>
        <w:tc>
          <w:tcPr>
            <w:tcW w:w="0" w:type="dxa"/>
            <w:vAlign w:val="bottom"/>
          </w:tcPr>
          <w:p>
            <w:pPr>
              <w:spacing w:after="0"/>
              <w:rPr>
                <w:sz w:val="1"/>
                <w:szCs w:val="1"/>
                <w:color w:val="auto"/>
              </w:rPr>
            </w:pPr>
          </w:p>
        </w:tc>
      </w:tr>
      <w:tr>
        <w:trPr>
          <w:trHeight w:val="109"/>
        </w:trPr>
        <w:tc>
          <w:tcPr>
            <w:tcW w:w="3220" w:type="dxa"/>
            <w:vAlign w:val="bottom"/>
            <w:tcBorders>
              <w:right w:val="single" w:sz="8" w:color="auto"/>
            </w:tcBorders>
            <w:vMerge w:val="continue"/>
          </w:tcPr>
          <w:p>
            <w:pPr>
              <w:spacing w:after="0"/>
              <w:rPr>
                <w:sz w:val="9"/>
                <w:szCs w:val="9"/>
                <w:color w:val="auto"/>
              </w:rPr>
            </w:pPr>
          </w:p>
        </w:tc>
        <w:tc>
          <w:tcPr>
            <w:tcW w:w="8200" w:type="dxa"/>
            <w:vAlign w:val="bottom"/>
            <w:vMerge w:val="restart"/>
          </w:tcPr>
          <w:p>
            <w:pPr>
              <w:ind w:left="20"/>
              <w:spacing w:after="0" w:line="202" w:lineRule="exact"/>
              <w:rPr>
                <w:sz w:val="20"/>
                <w:szCs w:val="20"/>
                <w:color w:val="auto"/>
              </w:rPr>
            </w:pPr>
            <w:r>
              <w:rPr>
                <w:rFonts w:ascii="Arial" w:cs="Arial" w:eastAsia="Arial" w:hAnsi="Arial"/>
                <w:sz w:val="18"/>
                <w:szCs w:val="18"/>
                <w:color w:val="auto"/>
              </w:rPr>
              <w:t>acute facilities. This business was previously reported as part of our legacy Emerging Industries</w:t>
            </w:r>
          </w:p>
        </w:tc>
        <w:tc>
          <w:tcPr>
            <w:tcW w:w="0" w:type="dxa"/>
            <w:vAlign w:val="bottom"/>
          </w:tcPr>
          <w:p>
            <w:pPr>
              <w:spacing w:after="0"/>
              <w:rPr>
                <w:sz w:val="1"/>
                <w:szCs w:val="1"/>
                <w:color w:val="auto"/>
              </w:rPr>
            </w:pPr>
          </w:p>
        </w:tc>
      </w:tr>
      <w:tr>
        <w:trPr>
          <w:trHeight w:val="94"/>
        </w:trPr>
        <w:tc>
          <w:tcPr>
            <w:tcW w:w="3220" w:type="dxa"/>
            <w:vAlign w:val="bottom"/>
            <w:tcBorders>
              <w:right w:val="single" w:sz="8" w:color="auto"/>
            </w:tcBorders>
          </w:tcPr>
          <w:p>
            <w:pPr>
              <w:spacing w:after="0"/>
              <w:rPr>
                <w:sz w:val="8"/>
                <w:szCs w:val="8"/>
                <w:color w:val="auto"/>
              </w:rPr>
            </w:pPr>
          </w:p>
        </w:tc>
        <w:tc>
          <w:tcPr>
            <w:tcW w:w="820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24"/>
        </w:trPr>
        <w:tc>
          <w:tcPr>
            <w:tcW w:w="3220" w:type="dxa"/>
            <w:vAlign w:val="bottom"/>
            <w:tcBorders>
              <w:bottom w:val="single" w:sz="8" w:color="auto"/>
              <w:right w:val="single" w:sz="8" w:color="auto"/>
            </w:tcBorders>
          </w:tcPr>
          <w:p>
            <w:pPr>
              <w:spacing w:after="0"/>
              <w:rPr>
                <w:sz w:val="19"/>
                <w:szCs w:val="19"/>
                <w:color w:val="auto"/>
              </w:rPr>
            </w:pPr>
          </w:p>
        </w:tc>
        <w:tc>
          <w:tcPr>
            <w:tcW w:w="82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Group.</w:t>
            </w:r>
          </w:p>
        </w:tc>
        <w:tc>
          <w:tcPr>
            <w:tcW w:w="0" w:type="dxa"/>
            <w:vAlign w:val="bottom"/>
          </w:tcPr>
          <w:p>
            <w:pPr>
              <w:spacing w:after="0"/>
              <w:rPr>
                <w:sz w:val="1"/>
                <w:szCs w:val="1"/>
                <w:color w:val="auto"/>
              </w:rPr>
            </w:pPr>
          </w:p>
        </w:tc>
      </w:tr>
      <w:tr>
        <w:trPr>
          <w:trHeight w:val="459"/>
        </w:trPr>
        <w:tc>
          <w:tcPr>
            <w:tcW w:w="3220" w:type="dxa"/>
            <w:vAlign w:val="bottom"/>
          </w:tcPr>
          <w:p>
            <w:pPr>
              <w:spacing w:after="0"/>
              <w:rPr>
                <w:sz w:val="24"/>
                <w:szCs w:val="24"/>
                <w:color w:val="auto"/>
              </w:rPr>
            </w:pPr>
          </w:p>
        </w:tc>
        <w:tc>
          <w:tcPr>
            <w:tcW w:w="8200" w:type="dxa"/>
            <w:vAlign w:val="bottom"/>
          </w:tcPr>
          <w:p>
            <w:pPr>
              <w:ind w:left="2400"/>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bl>
    <w:p>
      <w:pPr>
        <w:sectPr>
          <w:pgSz w:w="11900" w:h="16838" w:orient="portrait"/>
          <w:cols w:equalWidth="0" w:num="1">
            <w:col w:w="11420"/>
          </w:cols>
          <w:pgMar w:left="240" w:top="522" w:right="239" w:bottom="1440" w:gutter="0" w:footer="0" w:header="0"/>
        </w:sectPr>
      </w:pPr>
    </w:p>
    <w:bookmarkStart w:id="24" w:name="page25"/>
    <w:bookmarkEnd w:id="24"/>
    <w:p>
      <w:pPr>
        <w:spacing w:after="0"/>
        <w:rPr>
          <w:sz w:val="20"/>
          <w:szCs w:val="20"/>
          <w:color w:val="auto"/>
        </w:rPr>
      </w:pPr>
      <w:r>
        <w:rPr>
          <w:rFonts w:ascii="Arial" w:cs="Arial" w:eastAsia="Arial" w:hAnsi="Arial"/>
          <w:sz w:val="18"/>
          <w:szCs w:val="18"/>
          <w:b w:val="1"/>
          <w:bCs w:val="1"/>
          <w:i w:val="1"/>
          <w:iCs w:val="1"/>
          <w:color w:val="0046AD"/>
        </w:rPr>
        <w:t>Financial Information by Reportable Segment</w:t>
      </w:r>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44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940" w:type="dxa"/>
            <w:vAlign w:val="bottom"/>
            <w:gridSpan w:val="5"/>
          </w:tcPr>
          <w:p>
            <w:pPr>
              <w:ind w:left="160"/>
              <w:spacing w:after="0"/>
              <w:rPr>
                <w:sz w:val="20"/>
                <w:szCs w:val="20"/>
                <w:color w:val="auto"/>
              </w:rPr>
            </w:pPr>
            <w:r>
              <w:rPr>
                <w:rFonts w:ascii="Arial" w:cs="Arial" w:eastAsia="Arial" w:hAnsi="Arial"/>
                <w:sz w:val="16"/>
                <w:szCs w:val="16"/>
                <w:b w:val="1"/>
                <w:bCs w:val="1"/>
                <w:color w:val="auto"/>
              </w:rPr>
              <w:t>Three Months Ended April 30,</w:t>
            </w:r>
          </w:p>
        </w:tc>
        <w:tc>
          <w:tcPr>
            <w:tcW w:w="320" w:type="dxa"/>
            <w:vAlign w:val="bottom"/>
          </w:tcPr>
          <w:p>
            <w:pPr>
              <w:spacing w:after="0"/>
              <w:rPr>
                <w:sz w:val="19"/>
                <w:szCs w:val="19"/>
                <w:color w:val="auto"/>
              </w:rPr>
            </w:pPr>
          </w:p>
        </w:tc>
        <w:tc>
          <w:tcPr>
            <w:tcW w:w="2740" w:type="dxa"/>
            <w:vAlign w:val="bottom"/>
            <w:gridSpan w:val="4"/>
          </w:tcPr>
          <w:p>
            <w:pPr>
              <w:jc w:val="right"/>
              <w:ind w:right="379"/>
              <w:spacing w:after="0"/>
              <w:rPr>
                <w:sz w:val="20"/>
                <w:szCs w:val="20"/>
                <w:color w:val="auto"/>
              </w:rPr>
            </w:pPr>
            <w:r>
              <w:rPr>
                <w:rFonts w:ascii="Arial" w:cs="Arial" w:eastAsia="Arial" w:hAnsi="Arial"/>
                <w:sz w:val="16"/>
                <w:szCs w:val="16"/>
                <w:b w:val="1"/>
                <w:bCs w:val="1"/>
                <w:color w:val="auto"/>
              </w:rPr>
              <w:t>Six Months Ended April 30,</w:t>
            </w:r>
          </w:p>
        </w:tc>
        <w:tc>
          <w:tcPr>
            <w:tcW w:w="0" w:type="dxa"/>
            <w:vAlign w:val="bottom"/>
          </w:tcPr>
          <w:p>
            <w:pPr>
              <w:spacing w:after="0"/>
              <w:rPr>
                <w:sz w:val="1"/>
                <w:szCs w:val="1"/>
                <w:color w:val="auto"/>
              </w:rPr>
            </w:pPr>
          </w:p>
        </w:tc>
      </w:tr>
      <w:tr>
        <w:trPr>
          <w:trHeight w:val="230"/>
        </w:trPr>
        <w:tc>
          <w:tcPr>
            <w:tcW w:w="5160" w:type="dxa"/>
            <w:vAlign w:val="bottom"/>
            <w:gridSpan w:val="3"/>
          </w:tcPr>
          <w:p>
            <w:pPr>
              <w:ind w:left="40"/>
              <w:spacing w:after="0"/>
              <w:rPr>
                <w:sz w:val="20"/>
                <w:szCs w:val="20"/>
                <w:color w:val="auto"/>
              </w:rPr>
            </w:pPr>
            <w:r>
              <w:rPr>
                <w:rFonts w:ascii="Arial" w:cs="Arial" w:eastAsia="Arial" w:hAnsi="Arial"/>
                <w:sz w:val="14"/>
                <w:szCs w:val="14"/>
                <w:i w:val="1"/>
                <w:iCs w:val="1"/>
                <w:color w:val="auto"/>
              </w:rPr>
              <w:t>(in millions)</w:t>
            </w:r>
          </w:p>
        </w:tc>
        <w:tc>
          <w:tcPr>
            <w:tcW w:w="260" w:type="dxa"/>
            <w:vAlign w:val="bottom"/>
            <w:tcBorders>
              <w:top w:val="single" w:sz="8" w:color="auto"/>
            </w:tcBorders>
          </w:tcPr>
          <w:p>
            <w:pPr>
              <w:spacing w:after="0"/>
              <w:rPr>
                <w:sz w:val="19"/>
                <w:szCs w:val="19"/>
                <w:color w:val="auto"/>
              </w:rPr>
            </w:pPr>
          </w:p>
        </w:tc>
        <w:tc>
          <w:tcPr>
            <w:tcW w:w="1240" w:type="dxa"/>
            <w:vAlign w:val="bottom"/>
            <w:tcBorders>
              <w:top w:val="single" w:sz="8" w:color="auto"/>
            </w:tcBorders>
          </w:tcPr>
          <w:p>
            <w:pPr>
              <w:jc w:val="right"/>
              <w:ind w:right="479"/>
              <w:spacing w:after="0"/>
              <w:rPr>
                <w:sz w:val="20"/>
                <w:szCs w:val="20"/>
                <w:color w:val="auto"/>
              </w:rPr>
            </w:pPr>
            <w:r>
              <w:rPr>
                <w:rFonts w:ascii="Arial" w:cs="Arial" w:eastAsia="Arial" w:hAnsi="Arial"/>
                <w:sz w:val="16"/>
                <w:szCs w:val="16"/>
                <w:b w:val="1"/>
                <w:bCs w:val="1"/>
                <w:color w:val="auto"/>
              </w:rPr>
              <w:t>2018</w:t>
            </w:r>
          </w:p>
        </w:tc>
        <w:tc>
          <w:tcPr>
            <w:tcW w:w="120" w:type="dxa"/>
            <w:vAlign w:val="bottom"/>
            <w:tcBorders>
              <w:top w:val="single" w:sz="8" w:color="auto"/>
            </w:tcBorders>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1140" w:type="dxa"/>
            <w:vAlign w:val="bottom"/>
            <w:tcBorders>
              <w:top w:val="single" w:sz="8" w:color="auto"/>
            </w:tcBorders>
          </w:tcPr>
          <w:p>
            <w:pPr>
              <w:jc w:val="right"/>
              <w:ind w:right="479"/>
              <w:spacing w:after="0"/>
              <w:rPr>
                <w:sz w:val="20"/>
                <w:szCs w:val="20"/>
                <w:color w:val="auto"/>
              </w:rPr>
            </w:pPr>
            <w:r>
              <w:rPr>
                <w:rFonts w:ascii="Arial" w:cs="Arial" w:eastAsia="Arial" w:hAnsi="Arial"/>
                <w:sz w:val="16"/>
                <w:szCs w:val="16"/>
                <w:b w:val="1"/>
                <w:bCs w:val="1"/>
                <w:color w:val="auto"/>
              </w:rPr>
              <w:t>2017</w:t>
            </w:r>
          </w:p>
        </w:tc>
        <w:tc>
          <w:tcPr>
            <w:tcW w:w="100" w:type="dxa"/>
            <w:vAlign w:val="bottom"/>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1160" w:type="dxa"/>
            <w:vAlign w:val="bottom"/>
            <w:tcBorders>
              <w:top w:val="single" w:sz="8" w:color="auto"/>
            </w:tcBorders>
          </w:tcPr>
          <w:p>
            <w:pPr>
              <w:jc w:val="right"/>
              <w:ind w:right="479"/>
              <w:spacing w:after="0"/>
              <w:rPr>
                <w:sz w:val="20"/>
                <w:szCs w:val="20"/>
                <w:color w:val="auto"/>
              </w:rPr>
            </w:pPr>
            <w:r>
              <w:rPr>
                <w:rFonts w:ascii="Arial" w:cs="Arial" w:eastAsia="Arial" w:hAnsi="Arial"/>
                <w:sz w:val="16"/>
                <w:szCs w:val="16"/>
                <w:b w:val="1"/>
                <w:bCs w:val="1"/>
                <w:color w:val="auto"/>
              </w:rPr>
              <w:t>2018</w:t>
            </w:r>
          </w:p>
        </w:tc>
        <w:tc>
          <w:tcPr>
            <w:tcW w:w="100" w:type="dxa"/>
            <w:vAlign w:val="bottom"/>
            <w:tcBorders>
              <w:top w:val="single" w:sz="8" w:color="auto"/>
            </w:tcBorders>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1140" w:type="dxa"/>
            <w:vAlign w:val="bottom"/>
            <w:tcBorders>
              <w:top w:val="single" w:sz="8" w:color="auto"/>
            </w:tcBorders>
          </w:tcPr>
          <w:p>
            <w:pPr>
              <w:jc w:val="right"/>
              <w:ind w:right="479"/>
              <w:spacing w:after="0"/>
              <w:rPr>
                <w:sz w:val="20"/>
                <w:szCs w:val="20"/>
                <w:color w:val="auto"/>
              </w:rPr>
            </w:pPr>
            <w:r>
              <w:rPr>
                <w:rFonts w:ascii="Arial" w:cs="Arial" w:eastAsia="Arial" w:hAnsi="Arial"/>
                <w:sz w:val="16"/>
                <w:szCs w:val="16"/>
                <w:b w:val="1"/>
                <w:bCs w:val="1"/>
                <w:color w:val="auto"/>
              </w:rPr>
              <w:t>2017</w:t>
            </w:r>
          </w:p>
        </w:tc>
        <w:tc>
          <w:tcPr>
            <w:tcW w:w="0" w:type="dxa"/>
            <w:vAlign w:val="bottom"/>
          </w:tcPr>
          <w:p>
            <w:pPr>
              <w:spacing w:after="0"/>
              <w:rPr>
                <w:sz w:val="1"/>
                <w:szCs w:val="1"/>
                <w:color w:val="auto"/>
              </w:rPr>
            </w:pPr>
          </w:p>
        </w:tc>
      </w:tr>
      <w:tr>
        <w:trPr>
          <w:trHeight w:val="21"/>
        </w:trPr>
        <w:tc>
          <w:tcPr>
            <w:tcW w:w="40" w:type="dxa"/>
            <w:vAlign w:val="bottom"/>
            <w:tcBorders>
              <w:bottom w:val="single" w:sz="8" w:color="DCE2EF"/>
            </w:tcBorders>
          </w:tcPr>
          <w:p>
            <w:pPr>
              <w:spacing w:after="0" w:line="20" w:lineRule="exact"/>
              <w:rPr>
                <w:sz w:val="1"/>
                <w:szCs w:val="1"/>
                <w:color w:val="auto"/>
              </w:rPr>
            </w:pPr>
          </w:p>
        </w:tc>
        <w:tc>
          <w:tcPr>
            <w:tcW w:w="700" w:type="dxa"/>
            <w:vAlign w:val="bottom"/>
            <w:tcBorders>
              <w:top w:val="single" w:sz="8" w:color="auto"/>
              <w:bottom w:val="single" w:sz="8" w:color="DCE2EF"/>
            </w:tcBorders>
          </w:tcPr>
          <w:p>
            <w:pPr>
              <w:spacing w:after="0" w:line="20" w:lineRule="exact"/>
              <w:rPr>
                <w:sz w:val="1"/>
                <w:szCs w:val="1"/>
                <w:color w:val="auto"/>
              </w:rPr>
            </w:pPr>
          </w:p>
        </w:tc>
        <w:tc>
          <w:tcPr>
            <w:tcW w:w="4420" w:type="dxa"/>
            <w:vAlign w:val="bottom"/>
            <w:tcBorders>
              <w:bottom w:val="single" w:sz="8" w:color="DCE2E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DCE2E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DCE2E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DCE2E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64"/>
        </w:trPr>
        <w:tc>
          <w:tcPr>
            <w:tcW w:w="5160" w:type="dxa"/>
            <w:vAlign w:val="bottom"/>
            <w:gridSpan w:val="3"/>
            <w:shd w:val="clear" w:color="auto" w:fill="DCE2EF"/>
          </w:tcPr>
          <w:p>
            <w:pPr>
              <w:ind w:left="40"/>
              <w:spacing w:after="0"/>
              <w:rPr>
                <w:sz w:val="20"/>
                <w:szCs w:val="20"/>
                <w:color w:val="auto"/>
              </w:rPr>
            </w:pPr>
            <w:r>
              <w:rPr>
                <w:rFonts w:ascii="Arial" w:cs="Arial" w:eastAsia="Arial" w:hAnsi="Arial"/>
                <w:sz w:val="16"/>
                <w:szCs w:val="16"/>
                <w:b w:val="1"/>
                <w:bCs w:val="1"/>
                <w:color w:val="auto"/>
              </w:rPr>
              <w:t>Revenues</w:t>
            </w:r>
          </w:p>
        </w:tc>
        <w:tc>
          <w:tcPr>
            <w:tcW w:w="260" w:type="dxa"/>
            <w:vAlign w:val="bottom"/>
            <w:shd w:val="clear" w:color="auto" w:fill="DCE2EF"/>
          </w:tcPr>
          <w:p>
            <w:pPr>
              <w:spacing w:after="0"/>
              <w:rPr>
                <w:sz w:val="22"/>
                <w:szCs w:val="22"/>
                <w:color w:val="auto"/>
              </w:rPr>
            </w:pPr>
          </w:p>
        </w:tc>
        <w:tc>
          <w:tcPr>
            <w:tcW w:w="1240" w:type="dxa"/>
            <w:vAlign w:val="bottom"/>
            <w:shd w:val="clear" w:color="auto" w:fill="DCE2EF"/>
          </w:tcPr>
          <w:p>
            <w:pPr>
              <w:spacing w:after="0"/>
              <w:rPr>
                <w:sz w:val="22"/>
                <w:szCs w:val="22"/>
                <w:color w:val="auto"/>
              </w:rPr>
            </w:pPr>
          </w:p>
        </w:tc>
        <w:tc>
          <w:tcPr>
            <w:tcW w:w="120" w:type="dxa"/>
            <w:vAlign w:val="bottom"/>
            <w:shd w:val="clear" w:color="auto" w:fill="DCE2EF"/>
          </w:tcPr>
          <w:p>
            <w:pPr>
              <w:spacing w:after="0"/>
              <w:rPr>
                <w:sz w:val="22"/>
                <w:szCs w:val="22"/>
                <w:color w:val="auto"/>
              </w:rPr>
            </w:pPr>
          </w:p>
        </w:tc>
        <w:tc>
          <w:tcPr>
            <w:tcW w:w="340" w:type="dxa"/>
            <w:vAlign w:val="bottom"/>
            <w:shd w:val="clear" w:color="auto" w:fill="DCE2EF"/>
          </w:tcPr>
          <w:p>
            <w:pPr>
              <w:spacing w:after="0"/>
              <w:rPr>
                <w:sz w:val="22"/>
                <w:szCs w:val="22"/>
                <w:color w:val="auto"/>
              </w:rPr>
            </w:pPr>
          </w:p>
        </w:tc>
        <w:tc>
          <w:tcPr>
            <w:tcW w:w="1140" w:type="dxa"/>
            <w:vAlign w:val="bottom"/>
            <w:shd w:val="clear" w:color="auto" w:fill="DCE2EF"/>
          </w:tcPr>
          <w:p>
            <w:pPr>
              <w:spacing w:after="0"/>
              <w:rPr>
                <w:sz w:val="22"/>
                <w:szCs w:val="22"/>
                <w:color w:val="auto"/>
              </w:rPr>
            </w:pPr>
          </w:p>
        </w:tc>
        <w:tc>
          <w:tcPr>
            <w:tcW w:w="100" w:type="dxa"/>
            <w:vAlign w:val="bottom"/>
            <w:shd w:val="clear" w:color="auto" w:fill="DCE2EF"/>
          </w:tcPr>
          <w:p>
            <w:pPr>
              <w:spacing w:after="0"/>
              <w:rPr>
                <w:sz w:val="22"/>
                <w:szCs w:val="22"/>
                <w:color w:val="auto"/>
              </w:rPr>
            </w:pPr>
          </w:p>
        </w:tc>
        <w:tc>
          <w:tcPr>
            <w:tcW w:w="320" w:type="dxa"/>
            <w:vAlign w:val="bottom"/>
            <w:shd w:val="clear" w:color="auto" w:fill="DCE2EF"/>
          </w:tcPr>
          <w:p>
            <w:pPr>
              <w:spacing w:after="0"/>
              <w:rPr>
                <w:sz w:val="22"/>
                <w:szCs w:val="22"/>
                <w:color w:val="auto"/>
              </w:rPr>
            </w:pPr>
          </w:p>
        </w:tc>
        <w:tc>
          <w:tcPr>
            <w:tcW w:w="1160" w:type="dxa"/>
            <w:vAlign w:val="bottom"/>
            <w:shd w:val="clear" w:color="auto" w:fill="DCE2EF"/>
          </w:tcPr>
          <w:p>
            <w:pPr>
              <w:spacing w:after="0"/>
              <w:rPr>
                <w:sz w:val="22"/>
                <w:szCs w:val="22"/>
                <w:color w:val="auto"/>
              </w:rPr>
            </w:pPr>
          </w:p>
        </w:tc>
        <w:tc>
          <w:tcPr>
            <w:tcW w:w="100" w:type="dxa"/>
            <w:vAlign w:val="bottom"/>
            <w:shd w:val="clear" w:color="auto" w:fill="DCE2EF"/>
          </w:tcPr>
          <w:p>
            <w:pPr>
              <w:spacing w:after="0"/>
              <w:rPr>
                <w:sz w:val="22"/>
                <w:szCs w:val="22"/>
                <w:color w:val="auto"/>
              </w:rPr>
            </w:pPr>
          </w:p>
        </w:tc>
        <w:tc>
          <w:tcPr>
            <w:tcW w:w="340" w:type="dxa"/>
            <w:vAlign w:val="bottom"/>
            <w:shd w:val="clear" w:color="auto" w:fill="DCE2EF"/>
          </w:tcPr>
          <w:p>
            <w:pPr>
              <w:spacing w:after="0"/>
              <w:rPr>
                <w:sz w:val="22"/>
                <w:szCs w:val="22"/>
                <w:color w:val="auto"/>
              </w:rPr>
            </w:pPr>
          </w:p>
        </w:tc>
        <w:tc>
          <w:tcPr>
            <w:tcW w:w="1140" w:type="dxa"/>
            <w:vAlign w:val="bottom"/>
            <w:shd w:val="clear" w:color="auto" w:fill="DCE2EF"/>
          </w:tcPr>
          <w:p>
            <w:pPr>
              <w:spacing w:after="0"/>
              <w:rPr>
                <w:sz w:val="22"/>
                <w:szCs w:val="22"/>
                <w:color w:val="auto"/>
              </w:rPr>
            </w:pPr>
          </w:p>
        </w:tc>
        <w:tc>
          <w:tcPr>
            <w:tcW w:w="0" w:type="dxa"/>
            <w:vAlign w:val="bottom"/>
          </w:tcPr>
          <w:p>
            <w:pPr>
              <w:spacing w:after="0"/>
              <w:rPr>
                <w:sz w:val="1"/>
                <w:szCs w:val="1"/>
                <w:color w:val="auto"/>
              </w:rPr>
            </w:pPr>
          </w:p>
        </w:tc>
      </w:tr>
      <w:tr>
        <w:trPr>
          <w:trHeight w:val="260"/>
        </w:trPr>
        <w:tc>
          <w:tcPr>
            <w:tcW w:w="5160" w:type="dxa"/>
            <w:vAlign w:val="bottom"/>
            <w:gridSpan w:val="3"/>
          </w:tcPr>
          <w:p>
            <w:pPr>
              <w:ind w:left="40"/>
              <w:spacing w:after="0"/>
              <w:rPr>
                <w:sz w:val="20"/>
                <w:szCs w:val="20"/>
                <w:color w:val="auto"/>
              </w:rPr>
            </w:pPr>
            <w:r>
              <w:rPr>
                <w:rFonts w:ascii="Arial" w:cs="Arial" w:eastAsia="Arial" w:hAnsi="Arial"/>
                <w:sz w:val="16"/>
                <w:szCs w:val="16"/>
                <w:color w:val="auto"/>
              </w:rPr>
              <w:t>Business &amp; Industry</w:t>
            </w:r>
          </w:p>
        </w:tc>
        <w:tc>
          <w:tcPr>
            <w:tcW w:w="26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240" w:type="dxa"/>
            <w:vAlign w:val="bottom"/>
          </w:tcPr>
          <w:p>
            <w:pPr>
              <w:jc w:val="right"/>
              <w:ind w:right="39"/>
              <w:spacing w:after="0"/>
              <w:rPr>
                <w:sz w:val="20"/>
                <w:szCs w:val="20"/>
                <w:color w:val="auto"/>
              </w:rPr>
            </w:pPr>
            <w:r>
              <w:rPr>
                <w:rFonts w:ascii="Arial" w:cs="Arial" w:eastAsia="Arial" w:hAnsi="Arial"/>
                <w:sz w:val="16"/>
                <w:szCs w:val="16"/>
                <w:color w:val="auto"/>
              </w:rPr>
              <w:t>723.2</w:t>
            </w:r>
          </w:p>
        </w:tc>
        <w:tc>
          <w:tcPr>
            <w:tcW w:w="120" w:type="dxa"/>
            <w:vAlign w:val="bottom"/>
          </w:tcPr>
          <w:p>
            <w:pPr>
              <w:spacing w:after="0"/>
              <w:rPr>
                <w:sz w:val="22"/>
                <w:szCs w:val="22"/>
                <w:color w:val="auto"/>
              </w:rPr>
            </w:pPr>
          </w:p>
        </w:tc>
        <w:tc>
          <w:tcPr>
            <w:tcW w:w="34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637.5</w:t>
            </w:r>
          </w:p>
        </w:tc>
        <w:tc>
          <w:tcPr>
            <w:tcW w:w="100" w:type="dxa"/>
            <w:vAlign w:val="bottom"/>
          </w:tcPr>
          <w:p>
            <w:pPr>
              <w:spacing w:after="0"/>
              <w:rPr>
                <w:sz w:val="22"/>
                <w:szCs w:val="22"/>
                <w:color w:val="auto"/>
              </w:rPr>
            </w:pPr>
          </w:p>
        </w:tc>
        <w:tc>
          <w:tcPr>
            <w:tcW w:w="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160" w:type="dxa"/>
            <w:vAlign w:val="bottom"/>
          </w:tcPr>
          <w:p>
            <w:pPr>
              <w:jc w:val="right"/>
              <w:ind w:right="19"/>
              <w:spacing w:after="0"/>
              <w:rPr>
                <w:sz w:val="20"/>
                <w:szCs w:val="20"/>
                <w:color w:val="auto"/>
              </w:rPr>
            </w:pPr>
            <w:r>
              <w:rPr>
                <w:rFonts w:ascii="Arial" w:cs="Arial" w:eastAsia="Arial" w:hAnsi="Arial"/>
                <w:sz w:val="16"/>
                <w:szCs w:val="16"/>
                <w:color w:val="auto"/>
              </w:rPr>
              <w:t>1,445.3</w:t>
            </w:r>
          </w:p>
        </w:tc>
        <w:tc>
          <w:tcPr>
            <w:tcW w:w="100" w:type="dxa"/>
            <w:vAlign w:val="bottom"/>
          </w:tcPr>
          <w:p>
            <w:pPr>
              <w:spacing w:after="0"/>
              <w:rPr>
                <w:sz w:val="22"/>
                <w:szCs w:val="22"/>
                <w:color w:val="auto"/>
              </w:rPr>
            </w:pPr>
          </w:p>
        </w:tc>
        <w:tc>
          <w:tcPr>
            <w:tcW w:w="34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1,293.0</w:t>
            </w:r>
          </w:p>
        </w:tc>
        <w:tc>
          <w:tcPr>
            <w:tcW w:w="0" w:type="dxa"/>
            <w:vAlign w:val="bottom"/>
          </w:tcPr>
          <w:p>
            <w:pPr>
              <w:spacing w:after="0"/>
              <w:rPr>
                <w:sz w:val="1"/>
                <w:szCs w:val="1"/>
                <w:color w:val="auto"/>
              </w:rPr>
            </w:pPr>
          </w:p>
        </w:tc>
      </w:tr>
      <w:tr>
        <w:trPr>
          <w:trHeight w:val="280"/>
        </w:trPr>
        <w:tc>
          <w:tcPr>
            <w:tcW w:w="5160" w:type="dxa"/>
            <w:vAlign w:val="bottom"/>
            <w:gridSpan w:val="3"/>
            <w:shd w:val="clear" w:color="auto" w:fill="DCE2EF"/>
          </w:tcPr>
          <w:p>
            <w:pPr>
              <w:ind w:left="40"/>
              <w:spacing w:after="0"/>
              <w:rPr>
                <w:sz w:val="20"/>
                <w:szCs w:val="20"/>
                <w:color w:val="auto"/>
              </w:rPr>
            </w:pPr>
            <w:r>
              <w:rPr>
                <w:rFonts w:ascii="Arial" w:cs="Arial" w:eastAsia="Arial" w:hAnsi="Arial"/>
                <w:sz w:val="16"/>
                <w:szCs w:val="16"/>
                <w:color w:val="auto"/>
              </w:rPr>
              <w:t>Aviation</w:t>
            </w:r>
          </w:p>
        </w:tc>
        <w:tc>
          <w:tcPr>
            <w:tcW w:w="260" w:type="dxa"/>
            <w:vAlign w:val="bottom"/>
            <w:shd w:val="clear" w:color="auto" w:fill="DCE2EF"/>
          </w:tcPr>
          <w:p>
            <w:pPr>
              <w:spacing w:after="0"/>
              <w:rPr>
                <w:sz w:val="24"/>
                <w:szCs w:val="24"/>
                <w:color w:val="auto"/>
              </w:rPr>
            </w:pPr>
          </w:p>
        </w:tc>
        <w:tc>
          <w:tcPr>
            <w:tcW w:w="1240" w:type="dxa"/>
            <w:vAlign w:val="bottom"/>
            <w:shd w:val="clear" w:color="auto" w:fill="DCE2EF"/>
          </w:tcPr>
          <w:p>
            <w:pPr>
              <w:jc w:val="right"/>
              <w:ind w:right="39"/>
              <w:spacing w:after="0"/>
              <w:rPr>
                <w:sz w:val="20"/>
                <w:szCs w:val="20"/>
                <w:color w:val="auto"/>
              </w:rPr>
            </w:pPr>
            <w:r>
              <w:rPr>
                <w:rFonts w:ascii="Arial" w:cs="Arial" w:eastAsia="Arial" w:hAnsi="Arial"/>
                <w:sz w:val="16"/>
                <w:szCs w:val="16"/>
                <w:color w:val="auto"/>
              </w:rPr>
              <w:t>245.4</w:t>
            </w:r>
          </w:p>
        </w:tc>
        <w:tc>
          <w:tcPr>
            <w:tcW w:w="120" w:type="dxa"/>
            <w:vAlign w:val="bottom"/>
            <w:shd w:val="clear" w:color="auto" w:fill="DCE2EF"/>
          </w:tcPr>
          <w:p>
            <w:pPr>
              <w:spacing w:after="0"/>
              <w:rPr>
                <w:sz w:val="24"/>
                <w:szCs w:val="24"/>
                <w:color w:val="auto"/>
              </w:rPr>
            </w:pPr>
          </w:p>
        </w:tc>
        <w:tc>
          <w:tcPr>
            <w:tcW w:w="340" w:type="dxa"/>
            <w:vAlign w:val="bottom"/>
            <w:shd w:val="clear" w:color="auto" w:fill="DCE2EF"/>
          </w:tcPr>
          <w:p>
            <w:pPr>
              <w:spacing w:after="0"/>
              <w:rPr>
                <w:sz w:val="24"/>
                <w:szCs w:val="24"/>
                <w:color w:val="auto"/>
              </w:rPr>
            </w:pPr>
          </w:p>
        </w:tc>
        <w:tc>
          <w:tcPr>
            <w:tcW w:w="1140" w:type="dxa"/>
            <w:vAlign w:val="bottom"/>
            <w:shd w:val="clear" w:color="auto" w:fill="DCE2EF"/>
          </w:tcPr>
          <w:p>
            <w:pPr>
              <w:jc w:val="right"/>
              <w:ind w:right="19"/>
              <w:spacing w:after="0"/>
              <w:rPr>
                <w:sz w:val="20"/>
                <w:szCs w:val="20"/>
                <w:color w:val="auto"/>
              </w:rPr>
            </w:pPr>
            <w:r>
              <w:rPr>
                <w:rFonts w:ascii="Arial" w:cs="Arial" w:eastAsia="Arial" w:hAnsi="Arial"/>
                <w:sz w:val="16"/>
                <w:szCs w:val="16"/>
                <w:color w:val="auto"/>
              </w:rPr>
              <w:t>232.1</w:t>
            </w:r>
          </w:p>
        </w:tc>
        <w:tc>
          <w:tcPr>
            <w:tcW w:w="100" w:type="dxa"/>
            <w:vAlign w:val="bottom"/>
            <w:shd w:val="clear" w:color="auto" w:fill="DCE2EF"/>
          </w:tcPr>
          <w:p>
            <w:pPr>
              <w:spacing w:after="0"/>
              <w:rPr>
                <w:sz w:val="24"/>
                <w:szCs w:val="24"/>
                <w:color w:val="auto"/>
              </w:rPr>
            </w:pPr>
          </w:p>
        </w:tc>
        <w:tc>
          <w:tcPr>
            <w:tcW w:w="320" w:type="dxa"/>
            <w:vAlign w:val="bottom"/>
            <w:shd w:val="clear" w:color="auto" w:fill="DCE2EF"/>
          </w:tcPr>
          <w:p>
            <w:pPr>
              <w:spacing w:after="0"/>
              <w:rPr>
                <w:sz w:val="24"/>
                <w:szCs w:val="24"/>
                <w:color w:val="auto"/>
              </w:rPr>
            </w:pPr>
          </w:p>
        </w:tc>
        <w:tc>
          <w:tcPr>
            <w:tcW w:w="1160" w:type="dxa"/>
            <w:vAlign w:val="bottom"/>
            <w:shd w:val="clear" w:color="auto" w:fill="DCE2EF"/>
          </w:tcPr>
          <w:p>
            <w:pPr>
              <w:jc w:val="right"/>
              <w:ind w:right="19"/>
              <w:spacing w:after="0"/>
              <w:rPr>
                <w:sz w:val="20"/>
                <w:szCs w:val="20"/>
                <w:color w:val="auto"/>
              </w:rPr>
            </w:pPr>
            <w:r>
              <w:rPr>
                <w:rFonts w:ascii="Arial" w:cs="Arial" w:eastAsia="Arial" w:hAnsi="Arial"/>
                <w:sz w:val="16"/>
                <w:szCs w:val="16"/>
                <w:color w:val="auto"/>
              </w:rPr>
              <w:t>501.6</w:t>
            </w:r>
          </w:p>
        </w:tc>
        <w:tc>
          <w:tcPr>
            <w:tcW w:w="100" w:type="dxa"/>
            <w:vAlign w:val="bottom"/>
            <w:shd w:val="clear" w:color="auto" w:fill="DCE2EF"/>
          </w:tcPr>
          <w:p>
            <w:pPr>
              <w:spacing w:after="0"/>
              <w:rPr>
                <w:sz w:val="24"/>
                <w:szCs w:val="24"/>
                <w:color w:val="auto"/>
              </w:rPr>
            </w:pPr>
          </w:p>
        </w:tc>
        <w:tc>
          <w:tcPr>
            <w:tcW w:w="340" w:type="dxa"/>
            <w:vAlign w:val="bottom"/>
            <w:shd w:val="clear" w:color="auto" w:fill="DCE2EF"/>
          </w:tcPr>
          <w:p>
            <w:pPr>
              <w:spacing w:after="0"/>
              <w:rPr>
                <w:sz w:val="24"/>
                <w:szCs w:val="24"/>
                <w:color w:val="auto"/>
              </w:rPr>
            </w:pPr>
          </w:p>
        </w:tc>
        <w:tc>
          <w:tcPr>
            <w:tcW w:w="1140" w:type="dxa"/>
            <w:vAlign w:val="bottom"/>
            <w:shd w:val="clear" w:color="auto" w:fill="DCE2EF"/>
          </w:tcPr>
          <w:p>
            <w:pPr>
              <w:jc w:val="right"/>
              <w:ind w:right="19"/>
              <w:spacing w:after="0"/>
              <w:rPr>
                <w:sz w:val="20"/>
                <w:szCs w:val="20"/>
                <w:color w:val="auto"/>
              </w:rPr>
            </w:pPr>
            <w:r>
              <w:rPr>
                <w:rFonts w:ascii="Arial" w:cs="Arial" w:eastAsia="Arial" w:hAnsi="Arial"/>
                <w:sz w:val="16"/>
                <w:szCs w:val="16"/>
                <w:color w:val="auto"/>
              </w:rPr>
              <w:t>464.0</w:t>
            </w:r>
          </w:p>
        </w:tc>
        <w:tc>
          <w:tcPr>
            <w:tcW w:w="0" w:type="dxa"/>
            <w:vAlign w:val="bottom"/>
          </w:tcPr>
          <w:p>
            <w:pPr>
              <w:spacing w:after="0"/>
              <w:rPr>
                <w:sz w:val="1"/>
                <w:szCs w:val="1"/>
                <w:color w:val="auto"/>
              </w:rPr>
            </w:pPr>
          </w:p>
        </w:tc>
      </w:tr>
      <w:tr>
        <w:trPr>
          <w:trHeight w:val="260"/>
        </w:trPr>
        <w:tc>
          <w:tcPr>
            <w:tcW w:w="5160" w:type="dxa"/>
            <w:vAlign w:val="bottom"/>
            <w:gridSpan w:val="3"/>
          </w:tcPr>
          <w:p>
            <w:pPr>
              <w:ind w:left="40"/>
              <w:spacing w:after="0"/>
              <w:rPr>
                <w:sz w:val="20"/>
                <w:szCs w:val="20"/>
                <w:color w:val="auto"/>
              </w:rPr>
            </w:pPr>
            <w:r>
              <w:rPr>
                <w:rFonts w:ascii="Arial" w:cs="Arial" w:eastAsia="Arial" w:hAnsi="Arial"/>
                <w:sz w:val="16"/>
                <w:szCs w:val="16"/>
                <w:color w:val="auto"/>
              </w:rPr>
              <w:t>Technology &amp; Manufacturing</w:t>
            </w:r>
          </w:p>
        </w:tc>
        <w:tc>
          <w:tcPr>
            <w:tcW w:w="260" w:type="dxa"/>
            <w:vAlign w:val="bottom"/>
          </w:tcPr>
          <w:p>
            <w:pPr>
              <w:spacing w:after="0"/>
              <w:rPr>
                <w:sz w:val="22"/>
                <w:szCs w:val="22"/>
                <w:color w:val="auto"/>
              </w:rPr>
            </w:pPr>
          </w:p>
        </w:tc>
        <w:tc>
          <w:tcPr>
            <w:tcW w:w="1240" w:type="dxa"/>
            <w:vAlign w:val="bottom"/>
          </w:tcPr>
          <w:p>
            <w:pPr>
              <w:jc w:val="right"/>
              <w:ind w:right="39"/>
              <w:spacing w:after="0"/>
              <w:rPr>
                <w:sz w:val="20"/>
                <w:szCs w:val="20"/>
                <w:color w:val="auto"/>
              </w:rPr>
            </w:pPr>
            <w:r>
              <w:rPr>
                <w:rFonts w:ascii="Arial" w:cs="Arial" w:eastAsia="Arial" w:hAnsi="Arial"/>
                <w:sz w:val="16"/>
                <w:szCs w:val="16"/>
                <w:color w:val="auto"/>
              </w:rPr>
              <w:t>227.5</w:t>
            </w: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161.4</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60" w:type="dxa"/>
            <w:vAlign w:val="bottom"/>
          </w:tcPr>
          <w:p>
            <w:pPr>
              <w:jc w:val="right"/>
              <w:ind w:right="19"/>
              <w:spacing w:after="0"/>
              <w:rPr>
                <w:sz w:val="20"/>
                <w:szCs w:val="20"/>
                <w:color w:val="auto"/>
              </w:rPr>
            </w:pPr>
            <w:r>
              <w:rPr>
                <w:rFonts w:ascii="Arial" w:cs="Arial" w:eastAsia="Arial" w:hAnsi="Arial"/>
                <w:sz w:val="16"/>
                <w:szCs w:val="16"/>
                <w:color w:val="auto"/>
              </w:rPr>
              <w:t>459.5</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332.9</w:t>
            </w:r>
          </w:p>
        </w:tc>
        <w:tc>
          <w:tcPr>
            <w:tcW w:w="0" w:type="dxa"/>
            <w:vAlign w:val="bottom"/>
          </w:tcPr>
          <w:p>
            <w:pPr>
              <w:spacing w:after="0"/>
              <w:rPr>
                <w:sz w:val="1"/>
                <w:szCs w:val="1"/>
                <w:color w:val="auto"/>
              </w:rPr>
            </w:pPr>
          </w:p>
        </w:tc>
      </w:tr>
      <w:tr>
        <w:trPr>
          <w:trHeight w:val="280"/>
        </w:trPr>
        <w:tc>
          <w:tcPr>
            <w:tcW w:w="5160" w:type="dxa"/>
            <w:vAlign w:val="bottom"/>
            <w:gridSpan w:val="3"/>
            <w:shd w:val="clear" w:color="auto" w:fill="DCE2EF"/>
          </w:tcPr>
          <w:p>
            <w:pPr>
              <w:ind w:left="40"/>
              <w:spacing w:after="0"/>
              <w:rPr>
                <w:sz w:val="20"/>
                <w:szCs w:val="20"/>
                <w:color w:val="auto"/>
              </w:rPr>
            </w:pPr>
            <w:r>
              <w:rPr>
                <w:rFonts w:ascii="Arial" w:cs="Arial" w:eastAsia="Arial" w:hAnsi="Arial"/>
                <w:sz w:val="16"/>
                <w:szCs w:val="16"/>
                <w:color w:val="auto"/>
              </w:rPr>
              <w:t>Education</w:t>
            </w:r>
          </w:p>
        </w:tc>
        <w:tc>
          <w:tcPr>
            <w:tcW w:w="260" w:type="dxa"/>
            <w:vAlign w:val="bottom"/>
            <w:shd w:val="clear" w:color="auto" w:fill="DCE2EF"/>
          </w:tcPr>
          <w:p>
            <w:pPr>
              <w:spacing w:after="0"/>
              <w:rPr>
                <w:sz w:val="24"/>
                <w:szCs w:val="24"/>
                <w:color w:val="auto"/>
              </w:rPr>
            </w:pPr>
          </w:p>
        </w:tc>
        <w:tc>
          <w:tcPr>
            <w:tcW w:w="1240" w:type="dxa"/>
            <w:vAlign w:val="bottom"/>
            <w:shd w:val="clear" w:color="auto" w:fill="DCE2EF"/>
          </w:tcPr>
          <w:p>
            <w:pPr>
              <w:jc w:val="right"/>
              <w:ind w:right="39"/>
              <w:spacing w:after="0"/>
              <w:rPr>
                <w:sz w:val="20"/>
                <w:szCs w:val="20"/>
                <w:color w:val="auto"/>
              </w:rPr>
            </w:pPr>
            <w:r>
              <w:rPr>
                <w:rFonts w:ascii="Arial" w:cs="Arial" w:eastAsia="Arial" w:hAnsi="Arial"/>
                <w:sz w:val="16"/>
                <w:szCs w:val="16"/>
                <w:color w:val="auto"/>
              </w:rPr>
              <w:t>206.3</w:t>
            </w:r>
          </w:p>
        </w:tc>
        <w:tc>
          <w:tcPr>
            <w:tcW w:w="120" w:type="dxa"/>
            <w:vAlign w:val="bottom"/>
            <w:shd w:val="clear" w:color="auto" w:fill="DCE2EF"/>
          </w:tcPr>
          <w:p>
            <w:pPr>
              <w:spacing w:after="0"/>
              <w:rPr>
                <w:sz w:val="24"/>
                <w:szCs w:val="24"/>
                <w:color w:val="auto"/>
              </w:rPr>
            </w:pPr>
          </w:p>
        </w:tc>
        <w:tc>
          <w:tcPr>
            <w:tcW w:w="340" w:type="dxa"/>
            <w:vAlign w:val="bottom"/>
            <w:shd w:val="clear" w:color="auto" w:fill="DCE2EF"/>
          </w:tcPr>
          <w:p>
            <w:pPr>
              <w:spacing w:after="0"/>
              <w:rPr>
                <w:sz w:val="24"/>
                <w:szCs w:val="24"/>
                <w:color w:val="auto"/>
              </w:rPr>
            </w:pPr>
          </w:p>
        </w:tc>
        <w:tc>
          <w:tcPr>
            <w:tcW w:w="1140" w:type="dxa"/>
            <w:vAlign w:val="bottom"/>
            <w:shd w:val="clear" w:color="auto" w:fill="DCE2EF"/>
          </w:tcPr>
          <w:p>
            <w:pPr>
              <w:jc w:val="right"/>
              <w:ind w:right="19"/>
              <w:spacing w:after="0"/>
              <w:rPr>
                <w:sz w:val="20"/>
                <w:szCs w:val="20"/>
                <w:color w:val="auto"/>
              </w:rPr>
            </w:pPr>
            <w:r>
              <w:rPr>
                <w:rFonts w:ascii="Arial" w:cs="Arial" w:eastAsia="Arial" w:hAnsi="Arial"/>
                <w:sz w:val="16"/>
                <w:szCs w:val="16"/>
                <w:color w:val="auto"/>
              </w:rPr>
              <w:t>65.2</w:t>
            </w:r>
          </w:p>
        </w:tc>
        <w:tc>
          <w:tcPr>
            <w:tcW w:w="100" w:type="dxa"/>
            <w:vAlign w:val="bottom"/>
            <w:shd w:val="clear" w:color="auto" w:fill="DCE2EF"/>
          </w:tcPr>
          <w:p>
            <w:pPr>
              <w:spacing w:after="0"/>
              <w:rPr>
                <w:sz w:val="24"/>
                <w:szCs w:val="24"/>
                <w:color w:val="auto"/>
              </w:rPr>
            </w:pPr>
          </w:p>
        </w:tc>
        <w:tc>
          <w:tcPr>
            <w:tcW w:w="320" w:type="dxa"/>
            <w:vAlign w:val="bottom"/>
            <w:shd w:val="clear" w:color="auto" w:fill="DCE2EF"/>
          </w:tcPr>
          <w:p>
            <w:pPr>
              <w:spacing w:after="0"/>
              <w:rPr>
                <w:sz w:val="24"/>
                <w:szCs w:val="24"/>
                <w:color w:val="auto"/>
              </w:rPr>
            </w:pPr>
          </w:p>
        </w:tc>
        <w:tc>
          <w:tcPr>
            <w:tcW w:w="1160" w:type="dxa"/>
            <w:vAlign w:val="bottom"/>
            <w:shd w:val="clear" w:color="auto" w:fill="DCE2EF"/>
          </w:tcPr>
          <w:p>
            <w:pPr>
              <w:jc w:val="right"/>
              <w:ind w:right="19"/>
              <w:spacing w:after="0"/>
              <w:rPr>
                <w:sz w:val="20"/>
                <w:szCs w:val="20"/>
                <w:color w:val="auto"/>
              </w:rPr>
            </w:pPr>
            <w:r>
              <w:rPr>
                <w:rFonts w:ascii="Arial" w:cs="Arial" w:eastAsia="Arial" w:hAnsi="Arial"/>
                <w:sz w:val="16"/>
                <w:szCs w:val="16"/>
                <w:color w:val="auto"/>
              </w:rPr>
              <w:t>412.6</w:t>
            </w:r>
          </w:p>
        </w:tc>
        <w:tc>
          <w:tcPr>
            <w:tcW w:w="100" w:type="dxa"/>
            <w:vAlign w:val="bottom"/>
            <w:shd w:val="clear" w:color="auto" w:fill="DCE2EF"/>
          </w:tcPr>
          <w:p>
            <w:pPr>
              <w:spacing w:after="0"/>
              <w:rPr>
                <w:sz w:val="24"/>
                <w:szCs w:val="24"/>
                <w:color w:val="auto"/>
              </w:rPr>
            </w:pPr>
          </w:p>
        </w:tc>
        <w:tc>
          <w:tcPr>
            <w:tcW w:w="340" w:type="dxa"/>
            <w:vAlign w:val="bottom"/>
            <w:shd w:val="clear" w:color="auto" w:fill="DCE2EF"/>
          </w:tcPr>
          <w:p>
            <w:pPr>
              <w:spacing w:after="0"/>
              <w:rPr>
                <w:sz w:val="24"/>
                <w:szCs w:val="24"/>
                <w:color w:val="auto"/>
              </w:rPr>
            </w:pPr>
          </w:p>
        </w:tc>
        <w:tc>
          <w:tcPr>
            <w:tcW w:w="1140" w:type="dxa"/>
            <w:vAlign w:val="bottom"/>
            <w:shd w:val="clear" w:color="auto" w:fill="DCE2EF"/>
          </w:tcPr>
          <w:p>
            <w:pPr>
              <w:jc w:val="right"/>
              <w:ind w:right="19"/>
              <w:spacing w:after="0"/>
              <w:rPr>
                <w:sz w:val="20"/>
                <w:szCs w:val="20"/>
                <w:color w:val="auto"/>
              </w:rPr>
            </w:pPr>
            <w:r>
              <w:rPr>
                <w:rFonts w:ascii="Arial" w:cs="Arial" w:eastAsia="Arial" w:hAnsi="Arial"/>
                <w:sz w:val="16"/>
                <w:szCs w:val="16"/>
                <w:color w:val="auto"/>
              </w:rPr>
              <w:t>132.2</w:t>
            </w:r>
          </w:p>
        </w:tc>
        <w:tc>
          <w:tcPr>
            <w:tcW w:w="0" w:type="dxa"/>
            <w:vAlign w:val="bottom"/>
          </w:tcPr>
          <w:p>
            <w:pPr>
              <w:spacing w:after="0"/>
              <w:rPr>
                <w:sz w:val="1"/>
                <w:szCs w:val="1"/>
                <w:color w:val="auto"/>
              </w:rPr>
            </w:pPr>
          </w:p>
        </w:tc>
      </w:tr>
      <w:tr>
        <w:trPr>
          <w:trHeight w:val="260"/>
        </w:trPr>
        <w:tc>
          <w:tcPr>
            <w:tcW w:w="5160" w:type="dxa"/>
            <w:vAlign w:val="bottom"/>
            <w:gridSpan w:val="3"/>
          </w:tcPr>
          <w:p>
            <w:pPr>
              <w:ind w:left="40"/>
              <w:spacing w:after="0"/>
              <w:rPr>
                <w:sz w:val="20"/>
                <w:szCs w:val="20"/>
                <w:color w:val="auto"/>
              </w:rPr>
            </w:pPr>
            <w:r>
              <w:rPr>
                <w:rFonts w:ascii="Arial" w:cs="Arial" w:eastAsia="Arial" w:hAnsi="Arial"/>
                <w:sz w:val="16"/>
                <w:szCs w:val="16"/>
                <w:color w:val="auto"/>
              </w:rPr>
              <w:t>Technical Solutions</w:t>
            </w:r>
          </w:p>
        </w:tc>
        <w:tc>
          <w:tcPr>
            <w:tcW w:w="260" w:type="dxa"/>
            <w:vAlign w:val="bottom"/>
          </w:tcPr>
          <w:p>
            <w:pPr>
              <w:spacing w:after="0"/>
              <w:rPr>
                <w:sz w:val="22"/>
                <w:szCs w:val="22"/>
                <w:color w:val="auto"/>
              </w:rPr>
            </w:pPr>
          </w:p>
        </w:tc>
        <w:tc>
          <w:tcPr>
            <w:tcW w:w="1240" w:type="dxa"/>
            <w:vAlign w:val="bottom"/>
          </w:tcPr>
          <w:p>
            <w:pPr>
              <w:jc w:val="right"/>
              <w:ind w:right="39"/>
              <w:spacing w:after="0"/>
              <w:rPr>
                <w:sz w:val="20"/>
                <w:szCs w:val="20"/>
                <w:color w:val="auto"/>
              </w:rPr>
            </w:pPr>
            <w:r>
              <w:rPr>
                <w:rFonts w:ascii="Arial" w:cs="Arial" w:eastAsia="Arial" w:hAnsi="Arial"/>
                <w:sz w:val="16"/>
                <w:szCs w:val="16"/>
                <w:color w:val="auto"/>
              </w:rPr>
              <w:t>108.5</w:t>
            </w: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110.8</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60" w:type="dxa"/>
            <w:vAlign w:val="bottom"/>
          </w:tcPr>
          <w:p>
            <w:pPr>
              <w:jc w:val="right"/>
              <w:ind w:right="19"/>
              <w:spacing w:after="0"/>
              <w:rPr>
                <w:sz w:val="20"/>
                <w:szCs w:val="20"/>
                <w:color w:val="auto"/>
              </w:rPr>
            </w:pPr>
            <w:r>
              <w:rPr>
                <w:rFonts w:ascii="Arial" w:cs="Arial" w:eastAsia="Arial" w:hAnsi="Arial"/>
                <w:sz w:val="16"/>
                <w:szCs w:val="16"/>
                <w:color w:val="auto"/>
              </w:rPr>
              <w:t>212.5</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218.5</w:t>
            </w:r>
          </w:p>
        </w:tc>
        <w:tc>
          <w:tcPr>
            <w:tcW w:w="0" w:type="dxa"/>
            <w:vAlign w:val="bottom"/>
          </w:tcPr>
          <w:p>
            <w:pPr>
              <w:spacing w:after="0"/>
              <w:rPr>
                <w:sz w:val="1"/>
                <w:szCs w:val="1"/>
                <w:color w:val="auto"/>
              </w:rPr>
            </w:pPr>
          </w:p>
        </w:tc>
      </w:tr>
      <w:tr>
        <w:trPr>
          <w:trHeight w:val="280"/>
        </w:trPr>
        <w:tc>
          <w:tcPr>
            <w:tcW w:w="5160" w:type="dxa"/>
            <w:vAlign w:val="bottom"/>
            <w:gridSpan w:val="3"/>
            <w:shd w:val="clear" w:color="auto" w:fill="DCE2EF"/>
          </w:tcPr>
          <w:p>
            <w:pPr>
              <w:ind w:left="40"/>
              <w:spacing w:after="0"/>
              <w:rPr>
                <w:sz w:val="20"/>
                <w:szCs w:val="20"/>
                <w:color w:val="auto"/>
              </w:rPr>
            </w:pPr>
            <w:r>
              <w:rPr>
                <w:rFonts w:ascii="Arial" w:cs="Arial" w:eastAsia="Arial" w:hAnsi="Arial"/>
                <w:sz w:val="16"/>
                <w:szCs w:val="16"/>
                <w:color w:val="auto"/>
              </w:rPr>
              <w:t>Healthcare</w:t>
            </w:r>
          </w:p>
        </w:tc>
        <w:tc>
          <w:tcPr>
            <w:tcW w:w="260" w:type="dxa"/>
            <w:vAlign w:val="bottom"/>
            <w:shd w:val="clear" w:color="auto" w:fill="DCE2EF"/>
          </w:tcPr>
          <w:p>
            <w:pPr>
              <w:spacing w:after="0"/>
              <w:rPr>
                <w:sz w:val="24"/>
                <w:szCs w:val="24"/>
                <w:color w:val="auto"/>
              </w:rPr>
            </w:pPr>
          </w:p>
        </w:tc>
        <w:tc>
          <w:tcPr>
            <w:tcW w:w="1240" w:type="dxa"/>
            <w:vAlign w:val="bottom"/>
            <w:shd w:val="clear" w:color="auto" w:fill="DCE2EF"/>
          </w:tcPr>
          <w:p>
            <w:pPr>
              <w:jc w:val="right"/>
              <w:ind w:right="39"/>
              <w:spacing w:after="0"/>
              <w:rPr>
                <w:sz w:val="20"/>
                <w:szCs w:val="20"/>
                <w:color w:val="auto"/>
              </w:rPr>
            </w:pPr>
            <w:r>
              <w:rPr>
                <w:rFonts w:ascii="Arial" w:cs="Arial" w:eastAsia="Arial" w:hAnsi="Arial"/>
                <w:sz w:val="16"/>
                <w:szCs w:val="16"/>
                <w:color w:val="auto"/>
              </w:rPr>
              <w:t>69.9</w:t>
            </w:r>
          </w:p>
        </w:tc>
        <w:tc>
          <w:tcPr>
            <w:tcW w:w="120" w:type="dxa"/>
            <w:vAlign w:val="bottom"/>
            <w:shd w:val="clear" w:color="auto" w:fill="DCE2EF"/>
          </w:tcPr>
          <w:p>
            <w:pPr>
              <w:spacing w:after="0"/>
              <w:rPr>
                <w:sz w:val="24"/>
                <w:szCs w:val="24"/>
                <w:color w:val="auto"/>
              </w:rPr>
            </w:pPr>
          </w:p>
        </w:tc>
        <w:tc>
          <w:tcPr>
            <w:tcW w:w="340" w:type="dxa"/>
            <w:vAlign w:val="bottom"/>
            <w:shd w:val="clear" w:color="auto" w:fill="DCE2EF"/>
          </w:tcPr>
          <w:p>
            <w:pPr>
              <w:spacing w:after="0"/>
              <w:rPr>
                <w:sz w:val="24"/>
                <w:szCs w:val="24"/>
                <w:color w:val="auto"/>
              </w:rPr>
            </w:pPr>
          </w:p>
        </w:tc>
        <w:tc>
          <w:tcPr>
            <w:tcW w:w="1140" w:type="dxa"/>
            <w:vAlign w:val="bottom"/>
            <w:shd w:val="clear" w:color="auto" w:fill="DCE2EF"/>
          </w:tcPr>
          <w:p>
            <w:pPr>
              <w:jc w:val="right"/>
              <w:ind w:right="19"/>
              <w:spacing w:after="0"/>
              <w:rPr>
                <w:sz w:val="20"/>
                <w:szCs w:val="20"/>
                <w:color w:val="auto"/>
              </w:rPr>
            </w:pPr>
            <w:r>
              <w:rPr>
                <w:rFonts w:ascii="Arial" w:cs="Arial" w:eastAsia="Arial" w:hAnsi="Arial"/>
                <w:sz w:val="16"/>
                <w:szCs w:val="16"/>
                <w:color w:val="auto"/>
              </w:rPr>
              <w:t>60.6</w:t>
            </w:r>
          </w:p>
        </w:tc>
        <w:tc>
          <w:tcPr>
            <w:tcW w:w="100" w:type="dxa"/>
            <w:vAlign w:val="bottom"/>
            <w:shd w:val="clear" w:color="auto" w:fill="DCE2EF"/>
          </w:tcPr>
          <w:p>
            <w:pPr>
              <w:spacing w:after="0"/>
              <w:rPr>
                <w:sz w:val="24"/>
                <w:szCs w:val="24"/>
                <w:color w:val="auto"/>
              </w:rPr>
            </w:pPr>
          </w:p>
        </w:tc>
        <w:tc>
          <w:tcPr>
            <w:tcW w:w="320" w:type="dxa"/>
            <w:vAlign w:val="bottom"/>
            <w:shd w:val="clear" w:color="auto" w:fill="DCE2EF"/>
          </w:tcPr>
          <w:p>
            <w:pPr>
              <w:spacing w:after="0"/>
              <w:rPr>
                <w:sz w:val="24"/>
                <w:szCs w:val="24"/>
                <w:color w:val="auto"/>
              </w:rPr>
            </w:pPr>
          </w:p>
        </w:tc>
        <w:tc>
          <w:tcPr>
            <w:tcW w:w="1160" w:type="dxa"/>
            <w:vAlign w:val="bottom"/>
            <w:shd w:val="clear" w:color="auto" w:fill="DCE2EF"/>
          </w:tcPr>
          <w:p>
            <w:pPr>
              <w:jc w:val="right"/>
              <w:ind w:right="19"/>
              <w:spacing w:after="0"/>
              <w:rPr>
                <w:sz w:val="20"/>
                <w:szCs w:val="20"/>
                <w:color w:val="auto"/>
              </w:rPr>
            </w:pPr>
            <w:r>
              <w:rPr>
                <w:rFonts w:ascii="Arial" w:cs="Arial" w:eastAsia="Arial" w:hAnsi="Arial"/>
                <w:sz w:val="16"/>
                <w:szCs w:val="16"/>
                <w:color w:val="auto"/>
              </w:rPr>
              <w:t>137.6</w:t>
            </w:r>
          </w:p>
        </w:tc>
        <w:tc>
          <w:tcPr>
            <w:tcW w:w="100" w:type="dxa"/>
            <w:vAlign w:val="bottom"/>
            <w:shd w:val="clear" w:color="auto" w:fill="DCE2EF"/>
          </w:tcPr>
          <w:p>
            <w:pPr>
              <w:spacing w:after="0"/>
              <w:rPr>
                <w:sz w:val="24"/>
                <w:szCs w:val="24"/>
                <w:color w:val="auto"/>
              </w:rPr>
            </w:pPr>
          </w:p>
        </w:tc>
        <w:tc>
          <w:tcPr>
            <w:tcW w:w="340" w:type="dxa"/>
            <w:vAlign w:val="bottom"/>
            <w:shd w:val="clear" w:color="auto" w:fill="DCE2EF"/>
          </w:tcPr>
          <w:p>
            <w:pPr>
              <w:spacing w:after="0"/>
              <w:rPr>
                <w:sz w:val="24"/>
                <w:szCs w:val="24"/>
                <w:color w:val="auto"/>
              </w:rPr>
            </w:pPr>
          </w:p>
        </w:tc>
        <w:tc>
          <w:tcPr>
            <w:tcW w:w="1140" w:type="dxa"/>
            <w:vAlign w:val="bottom"/>
            <w:shd w:val="clear" w:color="auto" w:fill="DCE2EF"/>
          </w:tcPr>
          <w:p>
            <w:pPr>
              <w:jc w:val="right"/>
              <w:ind w:right="19"/>
              <w:spacing w:after="0"/>
              <w:rPr>
                <w:sz w:val="20"/>
                <w:szCs w:val="20"/>
                <w:color w:val="auto"/>
              </w:rPr>
            </w:pPr>
            <w:r>
              <w:rPr>
                <w:rFonts w:ascii="Arial" w:cs="Arial" w:eastAsia="Arial" w:hAnsi="Arial"/>
                <w:sz w:val="16"/>
                <w:szCs w:val="16"/>
                <w:color w:val="auto"/>
              </w:rPr>
              <w:t>122.3</w:t>
            </w:r>
          </w:p>
        </w:tc>
        <w:tc>
          <w:tcPr>
            <w:tcW w:w="0" w:type="dxa"/>
            <w:vAlign w:val="bottom"/>
          </w:tcPr>
          <w:p>
            <w:pPr>
              <w:spacing w:after="0"/>
              <w:rPr>
                <w:sz w:val="1"/>
                <w:szCs w:val="1"/>
                <w:color w:val="auto"/>
              </w:rPr>
            </w:pPr>
          </w:p>
        </w:tc>
      </w:tr>
      <w:tr>
        <w:trPr>
          <w:trHeight w:val="264"/>
        </w:trPr>
        <w:tc>
          <w:tcPr>
            <w:tcW w:w="5160" w:type="dxa"/>
            <w:vAlign w:val="bottom"/>
            <w:gridSpan w:val="3"/>
          </w:tcPr>
          <w:p>
            <w:pPr>
              <w:ind w:left="40"/>
              <w:spacing w:after="0"/>
              <w:rPr>
                <w:sz w:val="20"/>
                <w:szCs w:val="20"/>
                <w:color w:val="auto"/>
              </w:rPr>
            </w:pPr>
            <w:r>
              <w:rPr>
                <w:rFonts w:ascii="Arial" w:cs="Arial" w:eastAsia="Arial" w:hAnsi="Arial"/>
                <w:sz w:val="16"/>
                <w:szCs w:val="16"/>
                <w:color w:val="auto"/>
              </w:rPr>
              <w:t>Government Services</w:t>
            </w:r>
          </w:p>
        </w:tc>
        <w:tc>
          <w:tcPr>
            <w:tcW w:w="260" w:type="dxa"/>
            <w:vAlign w:val="bottom"/>
          </w:tcPr>
          <w:p>
            <w:pPr>
              <w:spacing w:after="0"/>
              <w:rPr>
                <w:sz w:val="22"/>
                <w:szCs w:val="22"/>
                <w:color w:val="auto"/>
              </w:rPr>
            </w:pPr>
          </w:p>
        </w:tc>
        <w:tc>
          <w:tcPr>
            <w:tcW w:w="136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22"/>
                <w:szCs w:val="22"/>
                <w:color w:val="auto"/>
              </w:rPr>
            </w:pP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42.9</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22"/>
                <w:szCs w:val="22"/>
                <w:color w:val="auto"/>
              </w:rPr>
            </w:pP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74.3</w:t>
            </w:r>
          </w:p>
        </w:tc>
        <w:tc>
          <w:tcPr>
            <w:tcW w:w="0" w:type="dxa"/>
            <w:vAlign w:val="bottom"/>
          </w:tcPr>
          <w:p>
            <w:pPr>
              <w:spacing w:after="0"/>
              <w:rPr>
                <w:sz w:val="1"/>
                <w:szCs w:val="1"/>
                <w:color w:val="auto"/>
              </w:rPr>
            </w:pPr>
          </w:p>
        </w:tc>
      </w:tr>
      <w:tr>
        <w:trPr>
          <w:trHeight w:val="237"/>
        </w:trPr>
        <w:tc>
          <w:tcPr>
            <w:tcW w:w="40" w:type="dxa"/>
            <w:vAlign w:val="bottom"/>
            <w:tcBorders>
              <w:top w:val="single" w:sz="8" w:color="DCE2EF"/>
              <w:bottom w:val="single" w:sz="8" w:color="DCE2EF"/>
            </w:tcBorders>
            <w:shd w:val="clear" w:color="auto" w:fill="DCE2EF"/>
          </w:tcPr>
          <w:p>
            <w:pPr>
              <w:spacing w:after="0"/>
              <w:rPr>
                <w:sz w:val="20"/>
                <w:szCs w:val="20"/>
                <w:color w:val="auto"/>
              </w:rPr>
            </w:pPr>
          </w:p>
        </w:tc>
        <w:tc>
          <w:tcPr>
            <w:tcW w:w="700" w:type="dxa"/>
            <w:vAlign w:val="bottom"/>
            <w:tcBorders>
              <w:top w:val="single" w:sz="8" w:color="DCE2EF"/>
              <w:bottom w:val="single" w:sz="8" w:color="DCE2EF"/>
            </w:tcBorders>
            <w:shd w:val="clear" w:color="auto" w:fill="DCE2EF"/>
          </w:tcPr>
          <w:p>
            <w:pPr>
              <w:spacing w:after="0"/>
              <w:rPr>
                <w:sz w:val="20"/>
                <w:szCs w:val="20"/>
                <w:color w:val="auto"/>
              </w:rPr>
            </w:pPr>
          </w:p>
        </w:tc>
        <w:tc>
          <w:tcPr>
            <w:tcW w:w="4420" w:type="dxa"/>
            <w:vAlign w:val="bottom"/>
            <w:tcBorders>
              <w:top w:val="single" w:sz="8" w:color="DCE2EF"/>
              <w:bottom w:val="single" w:sz="8" w:color="DCE2EF"/>
            </w:tcBorders>
            <w:shd w:val="clear" w:color="auto" w:fill="DCE2EF"/>
          </w:tcPr>
          <w:p>
            <w:pPr>
              <w:spacing w:after="0"/>
              <w:rPr>
                <w:sz w:val="20"/>
                <w:szCs w:val="20"/>
                <w:color w:val="auto"/>
              </w:rPr>
            </w:pPr>
          </w:p>
        </w:tc>
        <w:tc>
          <w:tcPr>
            <w:tcW w:w="260" w:type="dxa"/>
            <w:vAlign w:val="bottom"/>
            <w:tcBorders>
              <w:top w:val="single" w:sz="8" w:color="auto"/>
              <w:bottom w:val="single" w:sz="8" w:color="auto"/>
            </w:tcBorders>
            <w:shd w:val="clear" w:color="auto" w:fill="DCE2EF"/>
          </w:tcPr>
          <w:p>
            <w:pPr>
              <w:jc w:val="right"/>
              <w:ind w:right="59"/>
              <w:spacing w:after="0"/>
              <w:rPr>
                <w:sz w:val="20"/>
                <w:szCs w:val="20"/>
                <w:color w:val="auto"/>
              </w:rPr>
            </w:pPr>
            <w:r>
              <w:rPr>
                <w:rFonts w:ascii="Arial" w:cs="Arial" w:eastAsia="Arial" w:hAnsi="Arial"/>
                <w:sz w:val="16"/>
                <w:szCs w:val="16"/>
                <w:color w:val="auto"/>
              </w:rPr>
              <w:t>$</w:t>
            </w:r>
          </w:p>
        </w:tc>
        <w:tc>
          <w:tcPr>
            <w:tcW w:w="1240" w:type="dxa"/>
            <w:vAlign w:val="bottom"/>
            <w:tcBorders>
              <w:top w:val="single" w:sz="8" w:color="auto"/>
              <w:bottom w:val="single" w:sz="8" w:color="auto"/>
            </w:tcBorders>
            <w:shd w:val="clear" w:color="auto" w:fill="DCE2EF"/>
          </w:tcPr>
          <w:p>
            <w:pPr>
              <w:jc w:val="right"/>
              <w:ind w:right="39"/>
              <w:spacing w:after="0"/>
              <w:rPr>
                <w:sz w:val="20"/>
                <w:szCs w:val="20"/>
                <w:color w:val="auto"/>
              </w:rPr>
            </w:pPr>
            <w:r>
              <w:rPr>
                <w:rFonts w:ascii="Arial" w:cs="Arial" w:eastAsia="Arial" w:hAnsi="Arial"/>
                <w:sz w:val="16"/>
                <w:szCs w:val="16"/>
                <w:color w:val="auto"/>
              </w:rPr>
              <w:t>1,580.8</w:t>
            </w:r>
          </w:p>
        </w:tc>
        <w:tc>
          <w:tcPr>
            <w:tcW w:w="120" w:type="dxa"/>
            <w:vAlign w:val="bottom"/>
            <w:tcBorders>
              <w:top w:val="single" w:sz="8" w:color="DCE2EF"/>
              <w:bottom w:val="single" w:sz="8" w:color="DCE2EF"/>
            </w:tcBorders>
            <w:shd w:val="clear" w:color="auto" w:fill="DCE2EF"/>
          </w:tcPr>
          <w:p>
            <w:pPr>
              <w:spacing w:after="0"/>
              <w:rPr>
                <w:sz w:val="20"/>
                <w:szCs w:val="20"/>
                <w:color w:val="auto"/>
              </w:rPr>
            </w:pPr>
          </w:p>
        </w:tc>
        <w:tc>
          <w:tcPr>
            <w:tcW w:w="340" w:type="dxa"/>
            <w:vAlign w:val="bottom"/>
            <w:tcBorders>
              <w:top w:val="single" w:sz="8" w:color="auto"/>
              <w:bottom w:val="single" w:sz="8" w:color="auto"/>
            </w:tcBorders>
            <w:shd w:val="clear" w:color="auto" w:fill="DCE2EF"/>
          </w:tcPr>
          <w:p>
            <w:pPr>
              <w:jc w:val="right"/>
              <w:ind w:right="139"/>
              <w:spacing w:after="0"/>
              <w:rPr>
                <w:sz w:val="20"/>
                <w:szCs w:val="20"/>
                <w:color w:val="auto"/>
              </w:rPr>
            </w:pPr>
            <w:r>
              <w:rPr>
                <w:rFonts w:ascii="Arial" w:cs="Arial" w:eastAsia="Arial" w:hAnsi="Arial"/>
                <w:sz w:val="16"/>
                <w:szCs w:val="16"/>
                <w:color w:val="auto"/>
              </w:rPr>
              <w:t>$</w:t>
            </w:r>
          </w:p>
        </w:tc>
        <w:tc>
          <w:tcPr>
            <w:tcW w:w="1140" w:type="dxa"/>
            <w:vAlign w:val="bottom"/>
            <w:tcBorders>
              <w:top w:val="single" w:sz="8" w:color="auto"/>
              <w:bottom w:val="single" w:sz="8" w:color="auto"/>
            </w:tcBorders>
            <w:shd w:val="clear" w:color="auto" w:fill="DCE2EF"/>
          </w:tcPr>
          <w:p>
            <w:pPr>
              <w:jc w:val="right"/>
              <w:ind w:right="19"/>
              <w:spacing w:after="0"/>
              <w:rPr>
                <w:sz w:val="20"/>
                <w:szCs w:val="20"/>
                <w:color w:val="auto"/>
              </w:rPr>
            </w:pPr>
            <w:r>
              <w:rPr>
                <w:rFonts w:ascii="Arial" w:cs="Arial" w:eastAsia="Arial" w:hAnsi="Arial"/>
                <w:sz w:val="16"/>
                <w:szCs w:val="16"/>
                <w:color w:val="auto"/>
              </w:rPr>
              <w:t>1,310.5</w:t>
            </w:r>
          </w:p>
        </w:tc>
        <w:tc>
          <w:tcPr>
            <w:tcW w:w="100" w:type="dxa"/>
            <w:vAlign w:val="bottom"/>
            <w:tcBorders>
              <w:top w:val="single" w:sz="8" w:color="DCE2EF"/>
              <w:bottom w:val="single" w:sz="8" w:color="DCE2EF"/>
            </w:tcBorders>
            <w:shd w:val="clear" w:color="auto" w:fill="DCE2EF"/>
          </w:tcPr>
          <w:p>
            <w:pPr>
              <w:spacing w:after="0"/>
              <w:rPr>
                <w:sz w:val="20"/>
                <w:szCs w:val="20"/>
                <w:color w:val="auto"/>
              </w:rPr>
            </w:pPr>
          </w:p>
        </w:tc>
        <w:tc>
          <w:tcPr>
            <w:tcW w:w="320" w:type="dxa"/>
            <w:vAlign w:val="bottom"/>
            <w:tcBorders>
              <w:top w:val="single" w:sz="8" w:color="auto"/>
              <w:bottom w:val="single" w:sz="8" w:color="auto"/>
            </w:tcBorders>
            <w:shd w:val="clear" w:color="auto" w:fill="DCE2EF"/>
          </w:tcPr>
          <w:p>
            <w:pPr>
              <w:jc w:val="right"/>
              <w:ind w:right="119"/>
              <w:spacing w:after="0"/>
              <w:rPr>
                <w:sz w:val="20"/>
                <w:szCs w:val="20"/>
                <w:color w:val="auto"/>
              </w:rPr>
            </w:pPr>
            <w:r>
              <w:rPr>
                <w:rFonts w:ascii="Arial" w:cs="Arial" w:eastAsia="Arial" w:hAnsi="Arial"/>
                <w:sz w:val="16"/>
                <w:szCs w:val="16"/>
                <w:color w:val="auto"/>
              </w:rPr>
              <w:t>$</w:t>
            </w:r>
          </w:p>
        </w:tc>
        <w:tc>
          <w:tcPr>
            <w:tcW w:w="1160" w:type="dxa"/>
            <w:vAlign w:val="bottom"/>
            <w:tcBorders>
              <w:top w:val="single" w:sz="8" w:color="auto"/>
              <w:bottom w:val="single" w:sz="8" w:color="auto"/>
            </w:tcBorders>
            <w:shd w:val="clear" w:color="auto" w:fill="DCE2EF"/>
          </w:tcPr>
          <w:p>
            <w:pPr>
              <w:jc w:val="right"/>
              <w:ind w:right="19"/>
              <w:spacing w:after="0"/>
              <w:rPr>
                <w:sz w:val="20"/>
                <w:szCs w:val="20"/>
                <w:color w:val="auto"/>
              </w:rPr>
            </w:pPr>
            <w:r>
              <w:rPr>
                <w:rFonts w:ascii="Arial" w:cs="Arial" w:eastAsia="Arial" w:hAnsi="Arial"/>
                <w:sz w:val="16"/>
                <w:szCs w:val="16"/>
                <w:color w:val="auto"/>
              </w:rPr>
              <w:t>3,169.2</w:t>
            </w:r>
          </w:p>
        </w:tc>
        <w:tc>
          <w:tcPr>
            <w:tcW w:w="100" w:type="dxa"/>
            <w:vAlign w:val="bottom"/>
            <w:tcBorders>
              <w:top w:val="single" w:sz="8" w:color="DCE2EF"/>
              <w:bottom w:val="single" w:sz="8" w:color="DCE2EF"/>
            </w:tcBorders>
            <w:shd w:val="clear" w:color="auto" w:fill="DCE2EF"/>
          </w:tcPr>
          <w:p>
            <w:pPr>
              <w:spacing w:after="0"/>
              <w:rPr>
                <w:sz w:val="20"/>
                <w:szCs w:val="20"/>
                <w:color w:val="auto"/>
              </w:rPr>
            </w:pPr>
          </w:p>
        </w:tc>
        <w:tc>
          <w:tcPr>
            <w:tcW w:w="340" w:type="dxa"/>
            <w:vAlign w:val="bottom"/>
            <w:tcBorders>
              <w:top w:val="single" w:sz="8" w:color="auto"/>
              <w:bottom w:val="single" w:sz="8" w:color="auto"/>
            </w:tcBorders>
            <w:shd w:val="clear" w:color="auto" w:fill="DCE2EF"/>
          </w:tcPr>
          <w:p>
            <w:pPr>
              <w:jc w:val="right"/>
              <w:ind w:right="139"/>
              <w:spacing w:after="0"/>
              <w:rPr>
                <w:sz w:val="20"/>
                <w:szCs w:val="20"/>
                <w:color w:val="auto"/>
              </w:rPr>
            </w:pPr>
            <w:r>
              <w:rPr>
                <w:rFonts w:ascii="Arial" w:cs="Arial" w:eastAsia="Arial" w:hAnsi="Arial"/>
                <w:sz w:val="16"/>
                <w:szCs w:val="16"/>
                <w:color w:val="auto"/>
              </w:rPr>
              <w:t>$</w:t>
            </w:r>
          </w:p>
        </w:tc>
        <w:tc>
          <w:tcPr>
            <w:tcW w:w="1140" w:type="dxa"/>
            <w:vAlign w:val="bottom"/>
            <w:tcBorders>
              <w:top w:val="single" w:sz="8" w:color="auto"/>
              <w:bottom w:val="single" w:sz="8" w:color="auto"/>
            </w:tcBorders>
            <w:shd w:val="clear" w:color="auto" w:fill="DCE2EF"/>
          </w:tcPr>
          <w:p>
            <w:pPr>
              <w:jc w:val="right"/>
              <w:ind w:right="19"/>
              <w:spacing w:after="0"/>
              <w:rPr>
                <w:sz w:val="20"/>
                <w:szCs w:val="20"/>
                <w:color w:val="auto"/>
              </w:rPr>
            </w:pPr>
            <w:r>
              <w:rPr>
                <w:rFonts w:ascii="Arial" w:cs="Arial" w:eastAsia="Arial" w:hAnsi="Arial"/>
                <w:sz w:val="16"/>
                <w:szCs w:val="16"/>
                <w:color w:val="auto"/>
              </w:rPr>
              <w:t>2,637.2</w:t>
            </w:r>
          </w:p>
        </w:tc>
        <w:tc>
          <w:tcPr>
            <w:tcW w:w="0" w:type="dxa"/>
            <w:vAlign w:val="bottom"/>
          </w:tcPr>
          <w:p>
            <w:pPr>
              <w:spacing w:after="0"/>
              <w:rPr>
                <w:sz w:val="1"/>
                <w:szCs w:val="1"/>
                <w:color w:val="auto"/>
              </w:rPr>
            </w:pPr>
          </w:p>
        </w:tc>
      </w:tr>
      <w:tr>
        <w:trPr>
          <w:trHeight w:val="20"/>
        </w:trPr>
        <w:tc>
          <w:tcPr>
            <w:tcW w:w="5160" w:type="dxa"/>
            <w:vAlign w:val="bottom"/>
            <w:gridSpan w:val="3"/>
            <w:vMerge w:val="restart"/>
          </w:tcPr>
          <w:p>
            <w:pPr>
              <w:ind w:left="40"/>
              <w:spacing w:after="0"/>
              <w:rPr>
                <w:sz w:val="20"/>
                <w:szCs w:val="20"/>
                <w:color w:val="auto"/>
              </w:rPr>
            </w:pPr>
            <w:r>
              <w:rPr>
                <w:rFonts w:ascii="Arial" w:cs="Arial" w:eastAsia="Arial" w:hAnsi="Arial"/>
                <w:sz w:val="16"/>
                <w:szCs w:val="16"/>
                <w:b w:val="1"/>
                <w:bCs w:val="1"/>
                <w:color w:val="auto"/>
              </w:rPr>
              <w:t>Operating profit (loss)</w:t>
            </w:r>
          </w:p>
        </w:tc>
        <w:tc>
          <w:tcPr>
            <w:tcW w:w="2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7"/>
        </w:trPr>
        <w:tc>
          <w:tcPr>
            <w:tcW w:w="5160" w:type="dxa"/>
            <w:vAlign w:val="bottom"/>
            <w:gridSpan w:val="3"/>
            <w:vMerge w:val="continue"/>
          </w:tcPr>
          <w:p>
            <w:pPr>
              <w:spacing w:after="0"/>
              <w:rPr>
                <w:sz w:val="21"/>
                <w:szCs w:val="21"/>
                <w:color w:val="auto"/>
              </w:rPr>
            </w:pPr>
          </w:p>
        </w:tc>
        <w:tc>
          <w:tcPr>
            <w:tcW w:w="26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0"/>
        </w:trPr>
        <w:tc>
          <w:tcPr>
            <w:tcW w:w="5160" w:type="dxa"/>
            <w:vAlign w:val="bottom"/>
            <w:gridSpan w:val="3"/>
            <w:shd w:val="clear" w:color="auto" w:fill="DCE2EF"/>
          </w:tcPr>
          <w:p>
            <w:pPr>
              <w:ind w:left="40"/>
              <w:spacing w:after="0"/>
              <w:rPr>
                <w:sz w:val="20"/>
                <w:szCs w:val="20"/>
                <w:color w:val="auto"/>
              </w:rPr>
            </w:pPr>
            <w:r>
              <w:rPr>
                <w:rFonts w:ascii="Arial" w:cs="Arial" w:eastAsia="Arial" w:hAnsi="Arial"/>
                <w:sz w:val="16"/>
                <w:szCs w:val="16"/>
                <w:color w:val="auto"/>
              </w:rPr>
              <w:t>Business &amp; Industry</w:t>
            </w:r>
          </w:p>
        </w:tc>
        <w:tc>
          <w:tcPr>
            <w:tcW w:w="260" w:type="dxa"/>
            <w:vAlign w:val="bottom"/>
            <w:shd w:val="clear" w:color="auto" w:fill="DCE2EF"/>
          </w:tcPr>
          <w:p>
            <w:pPr>
              <w:jc w:val="right"/>
              <w:ind w:right="59"/>
              <w:spacing w:after="0"/>
              <w:rPr>
                <w:sz w:val="20"/>
                <w:szCs w:val="20"/>
                <w:color w:val="auto"/>
              </w:rPr>
            </w:pPr>
            <w:r>
              <w:rPr>
                <w:rFonts w:ascii="Arial" w:cs="Arial" w:eastAsia="Arial" w:hAnsi="Arial"/>
                <w:sz w:val="16"/>
                <w:szCs w:val="16"/>
                <w:color w:val="auto"/>
              </w:rPr>
              <w:t>$</w:t>
            </w:r>
          </w:p>
        </w:tc>
        <w:tc>
          <w:tcPr>
            <w:tcW w:w="1240" w:type="dxa"/>
            <w:vAlign w:val="bottom"/>
            <w:shd w:val="clear" w:color="auto" w:fill="DCE2EF"/>
          </w:tcPr>
          <w:p>
            <w:pPr>
              <w:jc w:val="right"/>
              <w:ind w:right="39"/>
              <w:spacing w:after="0"/>
              <w:rPr>
                <w:sz w:val="20"/>
                <w:szCs w:val="20"/>
                <w:color w:val="auto"/>
              </w:rPr>
            </w:pPr>
            <w:r>
              <w:rPr>
                <w:rFonts w:ascii="Arial" w:cs="Arial" w:eastAsia="Arial" w:hAnsi="Arial"/>
                <w:sz w:val="16"/>
                <w:szCs w:val="16"/>
                <w:color w:val="auto"/>
              </w:rPr>
              <w:t>43.5</w:t>
            </w:r>
          </w:p>
        </w:tc>
        <w:tc>
          <w:tcPr>
            <w:tcW w:w="120" w:type="dxa"/>
            <w:vAlign w:val="bottom"/>
            <w:shd w:val="clear" w:color="auto" w:fill="DCE2EF"/>
          </w:tcPr>
          <w:p>
            <w:pPr>
              <w:spacing w:after="0"/>
              <w:rPr>
                <w:sz w:val="24"/>
                <w:szCs w:val="24"/>
                <w:color w:val="auto"/>
              </w:rPr>
            </w:pPr>
          </w:p>
        </w:tc>
        <w:tc>
          <w:tcPr>
            <w:tcW w:w="340" w:type="dxa"/>
            <w:vAlign w:val="bottom"/>
            <w:shd w:val="clear" w:color="auto" w:fill="DCE2EF"/>
          </w:tcPr>
          <w:p>
            <w:pPr>
              <w:jc w:val="right"/>
              <w:ind w:right="139"/>
              <w:spacing w:after="0"/>
              <w:rPr>
                <w:sz w:val="20"/>
                <w:szCs w:val="20"/>
                <w:color w:val="auto"/>
              </w:rPr>
            </w:pPr>
            <w:r>
              <w:rPr>
                <w:rFonts w:ascii="Arial" w:cs="Arial" w:eastAsia="Arial" w:hAnsi="Arial"/>
                <w:sz w:val="16"/>
                <w:szCs w:val="16"/>
                <w:color w:val="auto"/>
              </w:rPr>
              <w:t>$</w:t>
            </w:r>
          </w:p>
        </w:tc>
        <w:tc>
          <w:tcPr>
            <w:tcW w:w="1140" w:type="dxa"/>
            <w:vAlign w:val="bottom"/>
            <w:shd w:val="clear" w:color="auto" w:fill="DCE2EF"/>
          </w:tcPr>
          <w:p>
            <w:pPr>
              <w:jc w:val="right"/>
              <w:ind w:right="19"/>
              <w:spacing w:after="0"/>
              <w:rPr>
                <w:sz w:val="20"/>
                <w:szCs w:val="20"/>
                <w:color w:val="auto"/>
              </w:rPr>
            </w:pPr>
            <w:r>
              <w:rPr>
                <w:rFonts w:ascii="Arial" w:cs="Arial" w:eastAsia="Arial" w:hAnsi="Arial"/>
                <w:sz w:val="16"/>
                <w:szCs w:val="16"/>
                <w:color w:val="auto"/>
              </w:rPr>
              <w:t>36.0</w:t>
            </w:r>
          </w:p>
        </w:tc>
        <w:tc>
          <w:tcPr>
            <w:tcW w:w="100" w:type="dxa"/>
            <w:vAlign w:val="bottom"/>
            <w:shd w:val="clear" w:color="auto" w:fill="DCE2EF"/>
          </w:tcPr>
          <w:p>
            <w:pPr>
              <w:spacing w:after="0"/>
              <w:rPr>
                <w:sz w:val="24"/>
                <w:szCs w:val="24"/>
                <w:color w:val="auto"/>
              </w:rPr>
            </w:pPr>
          </w:p>
        </w:tc>
        <w:tc>
          <w:tcPr>
            <w:tcW w:w="320" w:type="dxa"/>
            <w:vAlign w:val="bottom"/>
            <w:shd w:val="clear" w:color="auto" w:fill="DCE2EF"/>
          </w:tcPr>
          <w:p>
            <w:pPr>
              <w:jc w:val="right"/>
              <w:ind w:right="119"/>
              <w:spacing w:after="0"/>
              <w:rPr>
                <w:sz w:val="20"/>
                <w:szCs w:val="20"/>
                <w:color w:val="auto"/>
              </w:rPr>
            </w:pPr>
            <w:r>
              <w:rPr>
                <w:rFonts w:ascii="Arial" w:cs="Arial" w:eastAsia="Arial" w:hAnsi="Arial"/>
                <w:sz w:val="16"/>
                <w:szCs w:val="16"/>
                <w:color w:val="auto"/>
              </w:rPr>
              <w:t>$</w:t>
            </w:r>
          </w:p>
        </w:tc>
        <w:tc>
          <w:tcPr>
            <w:tcW w:w="1160" w:type="dxa"/>
            <w:vAlign w:val="bottom"/>
            <w:shd w:val="clear" w:color="auto" w:fill="DCE2EF"/>
          </w:tcPr>
          <w:p>
            <w:pPr>
              <w:jc w:val="right"/>
              <w:ind w:right="19"/>
              <w:spacing w:after="0"/>
              <w:rPr>
                <w:sz w:val="20"/>
                <w:szCs w:val="20"/>
                <w:color w:val="auto"/>
              </w:rPr>
            </w:pPr>
            <w:r>
              <w:rPr>
                <w:rFonts w:ascii="Arial" w:cs="Arial" w:eastAsia="Arial" w:hAnsi="Arial"/>
                <w:sz w:val="16"/>
                <w:szCs w:val="16"/>
                <w:color w:val="auto"/>
              </w:rPr>
              <w:t>72.0</w:t>
            </w:r>
          </w:p>
        </w:tc>
        <w:tc>
          <w:tcPr>
            <w:tcW w:w="100" w:type="dxa"/>
            <w:vAlign w:val="bottom"/>
            <w:shd w:val="clear" w:color="auto" w:fill="DCE2EF"/>
          </w:tcPr>
          <w:p>
            <w:pPr>
              <w:spacing w:after="0"/>
              <w:rPr>
                <w:sz w:val="24"/>
                <w:szCs w:val="24"/>
                <w:color w:val="auto"/>
              </w:rPr>
            </w:pPr>
          </w:p>
        </w:tc>
        <w:tc>
          <w:tcPr>
            <w:tcW w:w="340" w:type="dxa"/>
            <w:vAlign w:val="bottom"/>
            <w:shd w:val="clear" w:color="auto" w:fill="DCE2EF"/>
          </w:tcPr>
          <w:p>
            <w:pPr>
              <w:jc w:val="right"/>
              <w:ind w:right="139"/>
              <w:spacing w:after="0"/>
              <w:rPr>
                <w:sz w:val="20"/>
                <w:szCs w:val="20"/>
                <w:color w:val="auto"/>
              </w:rPr>
            </w:pPr>
            <w:r>
              <w:rPr>
                <w:rFonts w:ascii="Arial" w:cs="Arial" w:eastAsia="Arial" w:hAnsi="Arial"/>
                <w:sz w:val="16"/>
                <w:szCs w:val="16"/>
                <w:color w:val="auto"/>
              </w:rPr>
              <w:t>$</w:t>
            </w:r>
          </w:p>
        </w:tc>
        <w:tc>
          <w:tcPr>
            <w:tcW w:w="1140" w:type="dxa"/>
            <w:vAlign w:val="bottom"/>
            <w:shd w:val="clear" w:color="auto" w:fill="DCE2EF"/>
          </w:tcPr>
          <w:p>
            <w:pPr>
              <w:jc w:val="right"/>
              <w:ind w:right="19"/>
              <w:spacing w:after="0"/>
              <w:rPr>
                <w:sz w:val="20"/>
                <w:szCs w:val="20"/>
                <w:color w:val="auto"/>
              </w:rPr>
            </w:pPr>
            <w:r>
              <w:rPr>
                <w:rFonts w:ascii="Arial" w:cs="Arial" w:eastAsia="Arial" w:hAnsi="Arial"/>
                <w:sz w:val="16"/>
                <w:szCs w:val="16"/>
                <w:color w:val="auto"/>
              </w:rPr>
              <w:t>63.2</w:t>
            </w:r>
          </w:p>
        </w:tc>
        <w:tc>
          <w:tcPr>
            <w:tcW w:w="0" w:type="dxa"/>
            <w:vAlign w:val="bottom"/>
          </w:tcPr>
          <w:p>
            <w:pPr>
              <w:spacing w:after="0"/>
              <w:rPr>
                <w:sz w:val="1"/>
                <w:szCs w:val="1"/>
                <w:color w:val="auto"/>
              </w:rPr>
            </w:pPr>
          </w:p>
        </w:tc>
      </w:tr>
      <w:tr>
        <w:trPr>
          <w:trHeight w:val="260"/>
        </w:trPr>
        <w:tc>
          <w:tcPr>
            <w:tcW w:w="5160" w:type="dxa"/>
            <w:vAlign w:val="bottom"/>
            <w:gridSpan w:val="3"/>
          </w:tcPr>
          <w:p>
            <w:pPr>
              <w:ind w:left="40"/>
              <w:spacing w:after="0"/>
              <w:rPr>
                <w:sz w:val="20"/>
                <w:szCs w:val="20"/>
                <w:color w:val="auto"/>
              </w:rPr>
            </w:pPr>
            <w:r>
              <w:rPr>
                <w:rFonts w:ascii="Arial" w:cs="Arial" w:eastAsia="Arial" w:hAnsi="Arial"/>
                <w:sz w:val="16"/>
                <w:szCs w:val="16"/>
                <w:color w:val="auto"/>
              </w:rPr>
              <w:t>Aviation</w:t>
            </w:r>
          </w:p>
        </w:tc>
        <w:tc>
          <w:tcPr>
            <w:tcW w:w="260" w:type="dxa"/>
            <w:vAlign w:val="bottom"/>
          </w:tcPr>
          <w:p>
            <w:pPr>
              <w:spacing w:after="0"/>
              <w:rPr>
                <w:sz w:val="22"/>
                <w:szCs w:val="22"/>
                <w:color w:val="auto"/>
              </w:rPr>
            </w:pPr>
          </w:p>
        </w:tc>
        <w:tc>
          <w:tcPr>
            <w:tcW w:w="1240" w:type="dxa"/>
            <w:vAlign w:val="bottom"/>
          </w:tcPr>
          <w:p>
            <w:pPr>
              <w:jc w:val="right"/>
              <w:ind w:right="39"/>
              <w:spacing w:after="0"/>
              <w:rPr>
                <w:sz w:val="20"/>
                <w:szCs w:val="20"/>
                <w:color w:val="auto"/>
              </w:rPr>
            </w:pPr>
            <w:r>
              <w:rPr>
                <w:rFonts w:ascii="Arial" w:cs="Arial" w:eastAsia="Arial" w:hAnsi="Arial"/>
                <w:sz w:val="16"/>
                <w:szCs w:val="16"/>
                <w:color w:val="auto"/>
              </w:rPr>
              <w:t>5.1</w:t>
            </w: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6.8</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60" w:type="dxa"/>
            <w:vAlign w:val="bottom"/>
          </w:tcPr>
          <w:p>
            <w:pPr>
              <w:jc w:val="right"/>
              <w:ind w:right="19"/>
              <w:spacing w:after="0"/>
              <w:rPr>
                <w:sz w:val="20"/>
                <w:szCs w:val="20"/>
                <w:color w:val="auto"/>
              </w:rPr>
            </w:pPr>
            <w:r>
              <w:rPr>
                <w:rFonts w:ascii="Arial" w:cs="Arial" w:eastAsia="Arial" w:hAnsi="Arial"/>
                <w:sz w:val="16"/>
                <w:szCs w:val="16"/>
                <w:color w:val="auto"/>
              </w:rPr>
              <w:t>10.9</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11.4</w:t>
            </w:r>
          </w:p>
        </w:tc>
        <w:tc>
          <w:tcPr>
            <w:tcW w:w="0" w:type="dxa"/>
            <w:vAlign w:val="bottom"/>
          </w:tcPr>
          <w:p>
            <w:pPr>
              <w:spacing w:after="0"/>
              <w:rPr>
                <w:sz w:val="1"/>
                <w:szCs w:val="1"/>
                <w:color w:val="auto"/>
              </w:rPr>
            </w:pPr>
          </w:p>
        </w:tc>
      </w:tr>
      <w:tr>
        <w:trPr>
          <w:trHeight w:val="280"/>
        </w:trPr>
        <w:tc>
          <w:tcPr>
            <w:tcW w:w="5160" w:type="dxa"/>
            <w:vAlign w:val="bottom"/>
            <w:gridSpan w:val="3"/>
            <w:shd w:val="clear" w:color="auto" w:fill="DCE2EF"/>
          </w:tcPr>
          <w:p>
            <w:pPr>
              <w:ind w:left="40"/>
              <w:spacing w:after="0"/>
              <w:rPr>
                <w:sz w:val="20"/>
                <w:szCs w:val="20"/>
                <w:color w:val="auto"/>
              </w:rPr>
            </w:pPr>
            <w:r>
              <w:rPr>
                <w:rFonts w:ascii="Arial" w:cs="Arial" w:eastAsia="Arial" w:hAnsi="Arial"/>
                <w:sz w:val="16"/>
                <w:szCs w:val="16"/>
                <w:color w:val="auto"/>
              </w:rPr>
              <w:t>Technology &amp; Manufacturing</w:t>
            </w:r>
          </w:p>
        </w:tc>
        <w:tc>
          <w:tcPr>
            <w:tcW w:w="260" w:type="dxa"/>
            <w:vAlign w:val="bottom"/>
            <w:shd w:val="clear" w:color="auto" w:fill="DCE2EF"/>
          </w:tcPr>
          <w:p>
            <w:pPr>
              <w:spacing w:after="0"/>
              <w:rPr>
                <w:sz w:val="24"/>
                <w:szCs w:val="24"/>
                <w:color w:val="auto"/>
              </w:rPr>
            </w:pPr>
          </w:p>
        </w:tc>
        <w:tc>
          <w:tcPr>
            <w:tcW w:w="1240" w:type="dxa"/>
            <w:vAlign w:val="bottom"/>
            <w:shd w:val="clear" w:color="auto" w:fill="DCE2EF"/>
          </w:tcPr>
          <w:p>
            <w:pPr>
              <w:jc w:val="right"/>
              <w:ind w:right="39"/>
              <w:spacing w:after="0"/>
              <w:rPr>
                <w:sz w:val="20"/>
                <w:szCs w:val="20"/>
                <w:color w:val="auto"/>
              </w:rPr>
            </w:pPr>
            <w:r>
              <w:rPr>
                <w:rFonts w:ascii="Arial" w:cs="Arial" w:eastAsia="Arial" w:hAnsi="Arial"/>
                <w:sz w:val="16"/>
                <w:szCs w:val="16"/>
                <w:color w:val="auto"/>
              </w:rPr>
              <w:t>16.0</w:t>
            </w:r>
          </w:p>
        </w:tc>
        <w:tc>
          <w:tcPr>
            <w:tcW w:w="120" w:type="dxa"/>
            <w:vAlign w:val="bottom"/>
            <w:shd w:val="clear" w:color="auto" w:fill="DCE2EF"/>
          </w:tcPr>
          <w:p>
            <w:pPr>
              <w:spacing w:after="0"/>
              <w:rPr>
                <w:sz w:val="24"/>
                <w:szCs w:val="24"/>
                <w:color w:val="auto"/>
              </w:rPr>
            </w:pPr>
          </w:p>
        </w:tc>
        <w:tc>
          <w:tcPr>
            <w:tcW w:w="340" w:type="dxa"/>
            <w:vAlign w:val="bottom"/>
            <w:shd w:val="clear" w:color="auto" w:fill="DCE2EF"/>
          </w:tcPr>
          <w:p>
            <w:pPr>
              <w:spacing w:after="0"/>
              <w:rPr>
                <w:sz w:val="24"/>
                <w:szCs w:val="24"/>
                <w:color w:val="auto"/>
              </w:rPr>
            </w:pPr>
          </w:p>
        </w:tc>
        <w:tc>
          <w:tcPr>
            <w:tcW w:w="1140" w:type="dxa"/>
            <w:vAlign w:val="bottom"/>
            <w:shd w:val="clear" w:color="auto" w:fill="DCE2EF"/>
          </w:tcPr>
          <w:p>
            <w:pPr>
              <w:jc w:val="right"/>
              <w:ind w:right="19"/>
              <w:spacing w:after="0"/>
              <w:rPr>
                <w:sz w:val="20"/>
                <w:szCs w:val="20"/>
                <w:color w:val="auto"/>
              </w:rPr>
            </w:pPr>
            <w:r>
              <w:rPr>
                <w:rFonts w:ascii="Arial" w:cs="Arial" w:eastAsia="Arial" w:hAnsi="Arial"/>
                <w:sz w:val="16"/>
                <w:szCs w:val="16"/>
                <w:color w:val="auto"/>
              </w:rPr>
              <w:t>12.1</w:t>
            </w:r>
          </w:p>
        </w:tc>
        <w:tc>
          <w:tcPr>
            <w:tcW w:w="100" w:type="dxa"/>
            <w:vAlign w:val="bottom"/>
            <w:shd w:val="clear" w:color="auto" w:fill="DCE2EF"/>
          </w:tcPr>
          <w:p>
            <w:pPr>
              <w:spacing w:after="0"/>
              <w:rPr>
                <w:sz w:val="24"/>
                <w:szCs w:val="24"/>
                <w:color w:val="auto"/>
              </w:rPr>
            </w:pPr>
          </w:p>
        </w:tc>
        <w:tc>
          <w:tcPr>
            <w:tcW w:w="320" w:type="dxa"/>
            <w:vAlign w:val="bottom"/>
            <w:shd w:val="clear" w:color="auto" w:fill="DCE2EF"/>
          </w:tcPr>
          <w:p>
            <w:pPr>
              <w:spacing w:after="0"/>
              <w:rPr>
                <w:sz w:val="24"/>
                <w:szCs w:val="24"/>
                <w:color w:val="auto"/>
              </w:rPr>
            </w:pPr>
          </w:p>
        </w:tc>
        <w:tc>
          <w:tcPr>
            <w:tcW w:w="1160" w:type="dxa"/>
            <w:vAlign w:val="bottom"/>
            <w:shd w:val="clear" w:color="auto" w:fill="DCE2EF"/>
          </w:tcPr>
          <w:p>
            <w:pPr>
              <w:jc w:val="right"/>
              <w:ind w:right="19"/>
              <w:spacing w:after="0"/>
              <w:rPr>
                <w:sz w:val="20"/>
                <w:szCs w:val="20"/>
                <w:color w:val="auto"/>
              </w:rPr>
            </w:pPr>
            <w:r>
              <w:rPr>
                <w:rFonts w:ascii="Arial" w:cs="Arial" w:eastAsia="Arial" w:hAnsi="Arial"/>
                <w:sz w:val="16"/>
                <w:szCs w:val="16"/>
                <w:color w:val="auto"/>
              </w:rPr>
              <w:t>32.9</w:t>
            </w:r>
          </w:p>
        </w:tc>
        <w:tc>
          <w:tcPr>
            <w:tcW w:w="100" w:type="dxa"/>
            <w:vAlign w:val="bottom"/>
            <w:shd w:val="clear" w:color="auto" w:fill="DCE2EF"/>
          </w:tcPr>
          <w:p>
            <w:pPr>
              <w:spacing w:after="0"/>
              <w:rPr>
                <w:sz w:val="24"/>
                <w:szCs w:val="24"/>
                <w:color w:val="auto"/>
              </w:rPr>
            </w:pPr>
          </w:p>
        </w:tc>
        <w:tc>
          <w:tcPr>
            <w:tcW w:w="340" w:type="dxa"/>
            <w:vAlign w:val="bottom"/>
            <w:shd w:val="clear" w:color="auto" w:fill="DCE2EF"/>
          </w:tcPr>
          <w:p>
            <w:pPr>
              <w:spacing w:after="0"/>
              <w:rPr>
                <w:sz w:val="24"/>
                <w:szCs w:val="24"/>
                <w:color w:val="auto"/>
              </w:rPr>
            </w:pPr>
          </w:p>
        </w:tc>
        <w:tc>
          <w:tcPr>
            <w:tcW w:w="1140" w:type="dxa"/>
            <w:vAlign w:val="bottom"/>
            <w:shd w:val="clear" w:color="auto" w:fill="DCE2EF"/>
          </w:tcPr>
          <w:p>
            <w:pPr>
              <w:jc w:val="right"/>
              <w:ind w:right="19"/>
              <w:spacing w:after="0"/>
              <w:rPr>
                <w:sz w:val="20"/>
                <w:szCs w:val="20"/>
                <w:color w:val="auto"/>
              </w:rPr>
            </w:pPr>
            <w:r>
              <w:rPr>
                <w:rFonts w:ascii="Arial" w:cs="Arial" w:eastAsia="Arial" w:hAnsi="Arial"/>
                <w:sz w:val="16"/>
                <w:szCs w:val="16"/>
                <w:color w:val="auto"/>
              </w:rPr>
              <w:t>24.8</w:t>
            </w:r>
          </w:p>
        </w:tc>
        <w:tc>
          <w:tcPr>
            <w:tcW w:w="0" w:type="dxa"/>
            <w:vAlign w:val="bottom"/>
          </w:tcPr>
          <w:p>
            <w:pPr>
              <w:spacing w:after="0"/>
              <w:rPr>
                <w:sz w:val="1"/>
                <w:szCs w:val="1"/>
                <w:color w:val="auto"/>
              </w:rPr>
            </w:pPr>
          </w:p>
        </w:tc>
      </w:tr>
      <w:tr>
        <w:trPr>
          <w:trHeight w:val="260"/>
        </w:trPr>
        <w:tc>
          <w:tcPr>
            <w:tcW w:w="5160" w:type="dxa"/>
            <w:vAlign w:val="bottom"/>
            <w:gridSpan w:val="3"/>
          </w:tcPr>
          <w:p>
            <w:pPr>
              <w:ind w:left="40"/>
              <w:spacing w:after="0"/>
              <w:rPr>
                <w:sz w:val="20"/>
                <w:szCs w:val="20"/>
                <w:color w:val="auto"/>
              </w:rPr>
            </w:pPr>
            <w:r>
              <w:rPr>
                <w:rFonts w:ascii="Arial" w:cs="Arial" w:eastAsia="Arial" w:hAnsi="Arial"/>
                <w:sz w:val="16"/>
                <w:szCs w:val="16"/>
                <w:color w:val="auto"/>
              </w:rPr>
              <w:t>Education</w:t>
            </w:r>
          </w:p>
        </w:tc>
        <w:tc>
          <w:tcPr>
            <w:tcW w:w="260" w:type="dxa"/>
            <w:vAlign w:val="bottom"/>
          </w:tcPr>
          <w:p>
            <w:pPr>
              <w:spacing w:after="0"/>
              <w:rPr>
                <w:sz w:val="22"/>
                <w:szCs w:val="22"/>
                <w:color w:val="auto"/>
              </w:rPr>
            </w:pPr>
          </w:p>
        </w:tc>
        <w:tc>
          <w:tcPr>
            <w:tcW w:w="1240" w:type="dxa"/>
            <w:vAlign w:val="bottom"/>
          </w:tcPr>
          <w:p>
            <w:pPr>
              <w:jc w:val="right"/>
              <w:ind w:right="39"/>
              <w:spacing w:after="0"/>
              <w:rPr>
                <w:sz w:val="20"/>
                <w:szCs w:val="20"/>
                <w:color w:val="auto"/>
              </w:rPr>
            </w:pPr>
            <w:r>
              <w:rPr>
                <w:rFonts w:ascii="Arial" w:cs="Arial" w:eastAsia="Arial" w:hAnsi="Arial"/>
                <w:sz w:val="16"/>
                <w:szCs w:val="16"/>
                <w:color w:val="auto"/>
              </w:rPr>
              <w:t>10.6</w:t>
            </w: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3.6</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60" w:type="dxa"/>
            <w:vAlign w:val="bottom"/>
          </w:tcPr>
          <w:p>
            <w:pPr>
              <w:jc w:val="right"/>
              <w:ind w:right="19"/>
              <w:spacing w:after="0"/>
              <w:rPr>
                <w:sz w:val="20"/>
                <w:szCs w:val="20"/>
                <w:color w:val="auto"/>
              </w:rPr>
            </w:pPr>
            <w:r>
              <w:rPr>
                <w:rFonts w:ascii="Arial" w:cs="Arial" w:eastAsia="Arial" w:hAnsi="Arial"/>
                <w:sz w:val="16"/>
                <w:szCs w:val="16"/>
                <w:color w:val="auto"/>
              </w:rPr>
              <w:t>19.8</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7.2</w:t>
            </w:r>
          </w:p>
        </w:tc>
        <w:tc>
          <w:tcPr>
            <w:tcW w:w="0" w:type="dxa"/>
            <w:vAlign w:val="bottom"/>
          </w:tcPr>
          <w:p>
            <w:pPr>
              <w:spacing w:after="0"/>
              <w:rPr>
                <w:sz w:val="1"/>
                <w:szCs w:val="1"/>
                <w:color w:val="auto"/>
              </w:rPr>
            </w:pPr>
          </w:p>
        </w:tc>
      </w:tr>
      <w:tr>
        <w:trPr>
          <w:trHeight w:val="280"/>
        </w:trPr>
        <w:tc>
          <w:tcPr>
            <w:tcW w:w="5160" w:type="dxa"/>
            <w:vAlign w:val="bottom"/>
            <w:gridSpan w:val="3"/>
            <w:shd w:val="clear" w:color="auto" w:fill="DCE2EF"/>
          </w:tcPr>
          <w:p>
            <w:pPr>
              <w:ind w:left="40"/>
              <w:spacing w:after="0"/>
              <w:rPr>
                <w:sz w:val="20"/>
                <w:szCs w:val="20"/>
                <w:color w:val="auto"/>
              </w:rPr>
            </w:pPr>
            <w:r>
              <w:rPr>
                <w:rFonts w:ascii="Arial" w:cs="Arial" w:eastAsia="Arial" w:hAnsi="Arial"/>
                <w:sz w:val="16"/>
                <w:szCs w:val="16"/>
                <w:color w:val="auto"/>
              </w:rPr>
              <w:t>Technical Solutions</w:t>
            </w:r>
          </w:p>
        </w:tc>
        <w:tc>
          <w:tcPr>
            <w:tcW w:w="260" w:type="dxa"/>
            <w:vAlign w:val="bottom"/>
            <w:shd w:val="clear" w:color="auto" w:fill="DCE2EF"/>
          </w:tcPr>
          <w:p>
            <w:pPr>
              <w:spacing w:after="0"/>
              <w:rPr>
                <w:sz w:val="24"/>
                <w:szCs w:val="24"/>
                <w:color w:val="auto"/>
              </w:rPr>
            </w:pPr>
          </w:p>
        </w:tc>
        <w:tc>
          <w:tcPr>
            <w:tcW w:w="1240" w:type="dxa"/>
            <w:vAlign w:val="bottom"/>
            <w:shd w:val="clear" w:color="auto" w:fill="DCE2EF"/>
          </w:tcPr>
          <w:p>
            <w:pPr>
              <w:jc w:val="right"/>
              <w:ind w:right="39"/>
              <w:spacing w:after="0"/>
              <w:rPr>
                <w:sz w:val="20"/>
                <w:szCs w:val="20"/>
                <w:color w:val="auto"/>
              </w:rPr>
            </w:pPr>
            <w:r>
              <w:rPr>
                <w:rFonts w:ascii="Arial" w:cs="Arial" w:eastAsia="Arial" w:hAnsi="Arial"/>
                <w:sz w:val="16"/>
                <w:szCs w:val="16"/>
                <w:color w:val="auto"/>
              </w:rPr>
              <w:t>7.5</w:t>
            </w:r>
          </w:p>
        </w:tc>
        <w:tc>
          <w:tcPr>
            <w:tcW w:w="120" w:type="dxa"/>
            <w:vAlign w:val="bottom"/>
            <w:shd w:val="clear" w:color="auto" w:fill="DCE2EF"/>
          </w:tcPr>
          <w:p>
            <w:pPr>
              <w:spacing w:after="0"/>
              <w:rPr>
                <w:sz w:val="24"/>
                <w:szCs w:val="24"/>
                <w:color w:val="auto"/>
              </w:rPr>
            </w:pPr>
          </w:p>
        </w:tc>
        <w:tc>
          <w:tcPr>
            <w:tcW w:w="340" w:type="dxa"/>
            <w:vAlign w:val="bottom"/>
            <w:shd w:val="clear" w:color="auto" w:fill="DCE2EF"/>
          </w:tcPr>
          <w:p>
            <w:pPr>
              <w:spacing w:after="0"/>
              <w:rPr>
                <w:sz w:val="24"/>
                <w:szCs w:val="24"/>
                <w:color w:val="auto"/>
              </w:rPr>
            </w:pPr>
          </w:p>
        </w:tc>
        <w:tc>
          <w:tcPr>
            <w:tcW w:w="1140" w:type="dxa"/>
            <w:vAlign w:val="bottom"/>
            <w:shd w:val="clear" w:color="auto" w:fill="DCE2EF"/>
          </w:tcPr>
          <w:p>
            <w:pPr>
              <w:jc w:val="right"/>
              <w:ind w:right="19"/>
              <w:spacing w:after="0"/>
              <w:rPr>
                <w:sz w:val="20"/>
                <w:szCs w:val="20"/>
                <w:color w:val="auto"/>
              </w:rPr>
            </w:pPr>
            <w:r>
              <w:rPr>
                <w:rFonts w:ascii="Arial" w:cs="Arial" w:eastAsia="Arial" w:hAnsi="Arial"/>
                <w:sz w:val="16"/>
                <w:szCs w:val="16"/>
                <w:color w:val="auto"/>
              </w:rPr>
              <w:t>10.2</w:t>
            </w:r>
          </w:p>
        </w:tc>
        <w:tc>
          <w:tcPr>
            <w:tcW w:w="100" w:type="dxa"/>
            <w:vAlign w:val="bottom"/>
            <w:shd w:val="clear" w:color="auto" w:fill="DCE2EF"/>
          </w:tcPr>
          <w:p>
            <w:pPr>
              <w:spacing w:after="0"/>
              <w:rPr>
                <w:sz w:val="24"/>
                <w:szCs w:val="24"/>
                <w:color w:val="auto"/>
              </w:rPr>
            </w:pPr>
          </w:p>
        </w:tc>
        <w:tc>
          <w:tcPr>
            <w:tcW w:w="320" w:type="dxa"/>
            <w:vAlign w:val="bottom"/>
            <w:shd w:val="clear" w:color="auto" w:fill="DCE2EF"/>
          </w:tcPr>
          <w:p>
            <w:pPr>
              <w:spacing w:after="0"/>
              <w:rPr>
                <w:sz w:val="24"/>
                <w:szCs w:val="24"/>
                <w:color w:val="auto"/>
              </w:rPr>
            </w:pPr>
          </w:p>
        </w:tc>
        <w:tc>
          <w:tcPr>
            <w:tcW w:w="1160" w:type="dxa"/>
            <w:vAlign w:val="bottom"/>
            <w:shd w:val="clear" w:color="auto" w:fill="DCE2EF"/>
          </w:tcPr>
          <w:p>
            <w:pPr>
              <w:jc w:val="right"/>
              <w:ind w:right="19"/>
              <w:spacing w:after="0"/>
              <w:rPr>
                <w:sz w:val="20"/>
                <w:szCs w:val="20"/>
                <w:color w:val="auto"/>
              </w:rPr>
            </w:pPr>
            <w:r>
              <w:rPr>
                <w:rFonts w:ascii="Arial" w:cs="Arial" w:eastAsia="Arial" w:hAnsi="Arial"/>
                <w:sz w:val="16"/>
                <w:szCs w:val="16"/>
                <w:color w:val="auto"/>
              </w:rPr>
              <w:t>13.0</w:t>
            </w:r>
          </w:p>
        </w:tc>
        <w:tc>
          <w:tcPr>
            <w:tcW w:w="100" w:type="dxa"/>
            <w:vAlign w:val="bottom"/>
            <w:shd w:val="clear" w:color="auto" w:fill="DCE2EF"/>
          </w:tcPr>
          <w:p>
            <w:pPr>
              <w:spacing w:after="0"/>
              <w:rPr>
                <w:sz w:val="24"/>
                <w:szCs w:val="24"/>
                <w:color w:val="auto"/>
              </w:rPr>
            </w:pPr>
          </w:p>
        </w:tc>
        <w:tc>
          <w:tcPr>
            <w:tcW w:w="340" w:type="dxa"/>
            <w:vAlign w:val="bottom"/>
            <w:shd w:val="clear" w:color="auto" w:fill="DCE2EF"/>
          </w:tcPr>
          <w:p>
            <w:pPr>
              <w:spacing w:after="0"/>
              <w:rPr>
                <w:sz w:val="24"/>
                <w:szCs w:val="24"/>
                <w:color w:val="auto"/>
              </w:rPr>
            </w:pPr>
          </w:p>
        </w:tc>
        <w:tc>
          <w:tcPr>
            <w:tcW w:w="1140" w:type="dxa"/>
            <w:vAlign w:val="bottom"/>
            <w:shd w:val="clear" w:color="auto" w:fill="DCE2EF"/>
          </w:tcPr>
          <w:p>
            <w:pPr>
              <w:jc w:val="right"/>
              <w:ind w:right="19"/>
              <w:spacing w:after="0"/>
              <w:rPr>
                <w:sz w:val="20"/>
                <w:szCs w:val="20"/>
                <w:color w:val="auto"/>
              </w:rPr>
            </w:pPr>
            <w:r>
              <w:rPr>
                <w:rFonts w:ascii="Arial" w:cs="Arial" w:eastAsia="Arial" w:hAnsi="Arial"/>
                <w:sz w:val="16"/>
                <w:szCs w:val="16"/>
                <w:color w:val="auto"/>
              </w:rPr>
              <w:t>18.1</w:t>
            </w:r>
          </w:p>
        </w:tc>
        <w:tc>
          <w:tcPr>
            <w:tcW w:w="0" w:type="dxa"/>
            <w:vAlign w:val="bottom"/>
          </w:tcPr>
          <w:p>
            <w:pPr>
              <w:spacing w:after="0"/>
              <w:rPr>
                <w:sz w:val="1"/>
                <w:szCs w:val="1"/>
                <w:color w:val="auto"/>
              </w:rPr>
            </w:pPr>
          </w:p>
        </w:tc>
      </w:tr>
      <w:tr>
        <w:trPr>
          <w:trHeight w:val="260"/>
        </w:trPr>
        <w:tc>
          <w:tcPr>
            <w:tcW w:w="5160" w:type="dxa"/>
            <w:vAlign w:val="bottom"/>
            <w:gridSpan w:val="3"/>
          </w:tcPr>
          <w:p>
            <w:pPr>
              <w:ind w:left="40"/>
              <w:spacing w:after="0"/>
              <w:rPr>
                <w:sz w:val="20"/>
                <w:szCs w:val="20"/>
                <w:color w:val="auto"/>
              </w:rPr>
            </w:pPr>
            <w:r>
              <w:rPr>
                <w:rFonts w:ascii="Arial" w:cs="Arial" w:eastAsia="Arial" w:hAnsi="Arial"/>
                <w:sz w:val="16"/>
                <w:szCs w:val="16"/>
                <w:color w:val="auto"/>
              </w:rPr>
              <w:t>Healthcare</w:t>
            </w:r>
          </w:p>
        </w:tc>
        <w:tc>
          <w:tcPr>
            <w:tcW w:w="260" w:type="dxa"/>
            <w:vAlign w:val="bottom"/>
          </w:tcPr>
          <w:p>
            <w:pPr>
              <w:spacing w:after="0"/>
              <w:rPr>
                <w:sz w:val="22"/>
                <w:szCs w:val="22"/>
                <w:color w:val="auto"/>
              </w:rPr>
            </w:pPr>
          </w:p>
        </w:tc>
        <w:tc>
          <w:tcPr>
            <w:tcW w:w="1240" w:type="dxa"/>
            <w:vAlign w:val="bottom"/>
          </w:tcPr>
          <w:p>
            <w:pPr>
              <w:jc w:val="right"/>
              <w:ind w:right="39"/>
              <w:spacing w:after="0"/>
              <w:rPr>
                <w:sz w:val="20"/>
                <w:szCs w:val="20"/>
                <w:color w:val="auto"/>
              </w:rPr>
            </w:pPr>
            <w:r>
              <w:rPr>
                <w:rFonts w:ascii="Arial" w:cs="Arial" w:eastAsia="Arial" w:hAnsi="Arial"/>
                <w:sz w:val="16"/>
                <w:szCs w:val="16"/>
                <w:color w:val="auto"/>
              </w:rPr>
              <w:t>2.7</w:t>
            </w: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2.4</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60" w:type="dxa"/>
            <w:vAlign w:val="bottom"/>
          </w:tcPr>
          <w:p>
            <w:pPr>
              <w:jc w:val="right"/>
              <w:ind w:right="19"/>
              <w:spacing w:after="0"/>
              <w:rPr>
                <w:sz w:val="20"/>
                <w:szCs w:val="20"/>
                <w:color w:val="auto"/>
              </w:rPr>
            </w:pPr>
            <w:r>
              <w:rPr>
                <w:rFonts w:ascii="Arial" w:cs="Arial" w:eastAsia="Arial" w:hAnsi="Arial"/>
                <w:sz w:val="16"/>
                <w:szCs w:val="16"/>
                <w:color w:val="auto"/>
              </w:rPr>
              <w:t>5.4</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4.9</w:t>
            </w:r>
          </w:p>
        </w:tc>
        <w:tc>
          <w:tcPr>
            <w:tcW w:w="0" w:type="dxa"/>
            <w:vAlign w:val="bottom"/>
          </w:tcPr>
          <w:p>
            <w:pPr>
              <w:spacing w:after="0"/>
              <w:rPr>
                <w:sz w:val="1"/>
                <w:szCs w:val="1"/>
                <w:color w:val="auto"/>
              </w:rPr>
            </w:pPr>
          </w:p>
        </w:tc>
      </w:tr>
      <w:tr>
        <w:trPr>
          <w:trHeight w:val="280"/>
        </w:trPr>
        <w:tc>
          <w:tcPr>
            <w:tcW w:w="5160" w:type="dxa"/>
            <w:vAlign w:val="bottom"/>
            <w:gridSpan w:val="3"/>
            <w:shd w:val="clear" w:color="auto" w:fill="DCE2EF"/>
          </w:tcPr>
          <w:p>
            <w:pPr>
              <w:ind w:left="40"/>
              <w:spacing w:after="0"/>
              <w:rPr>
                <w:sz w:val="20"/>
                <w:szCs w:val="20"/>
                <w:color w:val="auto"/>
              </w:rPr>
            </w:pPr>
            <w:r>
              <w:rPr>
                <w:rFonts w:ascii="Arial" w:cs="Arial" w:eastAsia="Arial" w:hAnsi="Arial"/>
                <w:sz w:val="16"/>
                <w:szCs w:val="16"/>
                <w:color w:val="auto"/>
              </w:rPr>
              <w:t>Government Services</w:t>
            </w:r>
          </w:p>
        </w:tc>
        <w:tc>
          <w:tcPr>
            <w:tcW w:w="260" w:type="dxa"/>
            <w:vAlign w:val="bottom"/>
            <w:shd w:val="clear" w:color="auto" w:fill="DCE2EF"/>
          </w:tcPr>
          <w:p>
            <w:pPr>
              <w:spacing w:after="0"/>
              <w:rPr>
                <w:sz w:val="24"/>
                <w:szCs w:val="24"/>
                <w:color w:val="auto"/>
              </w:rPr>
            </w:pPr>
          </w:p>
        </w:tc>
        <w:tc>
          <w:tcPr>
            <w:tcW w:w="1360" w:type="dxa"/>
            <w:vAlign w:val="bottom"/>
            <w:gridSpan w:val="2"/>
            <w:shd w:val="clear" w:color="auto" w:fill="DCE2EF"/>
          </w:tcPr>
          <w:p>
            <w:pPr>
              <w:jc w:val="right"/>
              <w:ind w:right="240"/>
              <w:spacing w:after="0"/>
              <w:rPr>
                <w:sz w:val="20"/>
                <w:szCs w:val="20"/>
                <w:color w:val="auto"/>
              </w:rPr>
            </w:pPr>
            <w:r>
              <w:rPr>
                <w:rFonts w:ascii="Arial" w:cs="Arial" w:eastAsia="Arial" w:hAnsi="Arial"/>
                <w:sz w:val="16"/>
                <w:szCs w:val="16"/>
                <w:color w:val="auto"/>
              </w:rPr>
              <w:t>—</w:t>
            </w:r>
          </w:p>
        </w:tc>
        <w:tc>
          <w:tcPr>
            <w:tcW w:w="340" w:type="dxa"/>
            <w:vAlign w:val="bottom"/>
            <w:shd w:val="clear" w:color="auto" w:fill="DCE2EF"/>
          </w:tcPr>
          <w:p>
            <w:pPr>
              <w:spacing w:after="0"/>
              <w:rPr>
                <w:sz w:val="24"/>
                <w:szCs w:val="24"/>
                <w:color w:val="auto"/>
              </w:rPr>
            </w:pPr>
          </w:p>
        </w:tc>
        <w:tc>
          <w:tcPr>
            <w:tcW w:w="1140" w:type="dxa"/>
            <w:vAlign w:val="bottom"/>
            <w:shd w:val="clear" w:color="auto" w:fill="DCE2EF"/>
          </w:tcPr>
          <w:p>
            <w:pPr>
              <w:jc w:val="right"/>
              <w:ind w:right="19"/>
              <w:spacing w:after="0"/>
              <w:rPr>
                <w:sz w:val="20"/>
                <w:szCs w:val="20"/>
                <w:color w:val="auto"/>
              </w:rPr>
            </w:pPr>
            <w:r>
              <w:rPr>
                <w:rFonts w:ascii="Arial" w:cs="Arial" w:eastAsia="Arial" w:hAnsi="Arial"/>
                <w:sz w:val="16"/>
                <w:szCs w:val="16"/>
                <w:color w:val="auto"/>
              </w:rPr>
              <w:t>18.2</w:t>
            </w:r>
          </w:p>
        </w:tc>
        <w:tc>
          <w:tcPr>
            <w:tcW w:w="100" w:type="dxa"/>
            <w:vAlign w:val="bottom"/>
            <w:shd w:val="clear" w:color="auto" w:fill="DCE2EF"/>
          </w:tcPr>
          <w:p>
            <w:pPr>
              <w:spacing w:after="0"/>
              <w:rPr>
                <w:sz w:val="24"/>
                <w:szCs w:val="24"/>
                <w:color w:val="auto"/>
              </w:rPr>
            </w:pPr>
          </w:p>
        </w:tc>
        <w:tc>
          <w:tcPr>
            <w:tcW w:w="320" w:type="dxa"/>
            <w:vAlign w:val="bottom"/>
            <w:shd w:val="clear" w:color="auto" w:fill="DCE2EF"/>
          </w:tcPr>
          <w:p>
            <w:pPr>
              <w:spacing w:after="0"/>
              <w:rPr>
                <w:sz w:val="24"/>
                <w:szCs w:val="24"/>
                <w:color w:val="auto"/>
              </w:rPr>
            </w:pPr>
          </w:p>
        </w:tc>
        <w:tc>
          <w:tcPr>
            <w:tcW w:w="1160" w:type="dxa"/>
            <w:vAlign w:val="bottom"/>
            <w:shd w:val="clear" w:color="auto" w:fill="DCE2EF"/>
          </w:tcPr>
          <w:p>
            <w:pPr>
              <w:jc w:val="right"/>
              <w:spacing w:after="0"/>
              <w:rPr>
                <w:sz w:val="20"/>
                <w:szCs w:val="20"/>
                <w:color w:val="auto"/>
              </w:rPr>
            </w:pPr>
            <w:r>
              <w:rPr>
                <w:rFonts w:ascii="Arial" w:cs="Arial" w:eastAsia="Arial" w:hAnsi="Arial"/>
                <w:sz w:val="16"/>
                <w:szCs w:val="16"/>
                <w:color w:val="auto"/>
              </w:rPr>
              <w:t>(0.8)</w:t>
            </w:r>
          </w:p>
        </w:tc>
        <w:tc>
          <w:tcPr>
            <w:tcW w:w="100" w:type="dxa"/>
            <w:vAlign w:val="bottom"/>
            <w:shd w:val="clear" w:color="auto" w:fill="DCE2EF"/>
          </w:tcPr>
          <w:p>
            <w:pPr>
              <w:spacing w:after="0"/>
              <w:rPr>
                <w:sz w:val="24"/>
                <w:szCs w:val="24"/>
                <w:color w:val="auto"/>
              </w:rPr>
            </w:pPr>
          </w:p>
        </w:tc>
        <w:tc>
          <w:tcPr>
            <w:tcW w:w="340" w:type="dxa"/>
            <w:vAlign w:val="bottom"/>
            <w:shd w:val="clear" w:color="auto" w:fill="DCE2EF"/>
          </w:tcPr>
          <w:p>
            <w:pPr>
              <w:spacing w:after="0"/>
              <w:rPr>
                <w:sz w:val="24"/>
                <w:szCs w:val="24"/>
                <w:color w:val="auto"/>
              </w:rPr>
            </w:pPr>
          </w:p>
        </w:tc>
        <w:tc>
          <w:tcPr>
            <w:tcW w:w="1140" w:type="dxa"/>
            <w:vAlign w:val="bottom"/>
            <w:shd w:val="clear" w:color="auto" w:fill="DCE2EF"/>
          </w:tcPr>
          <w:p>
            <w:pPr>
              <w:jc w:val="right"/>
              <w:ind w:right="19"/>
              <w:spacing w:after="0"/>
              <w:rPr>
                <w:sz w:val="20"/>
                <w:szCs w:val="20"/>
                <w:color w:val="auto"/>
              </w:rPr>
            </w:pPr>
            <w:r>
              <w:rPr>
                <w:rFonts w:ascii="Arial" w:cs="Arial" w:eastAsia="Arial" w:hAnsi="Arial"/>
                <w:sz w:val="16"/>
                <w:szCs w:val="16"/>
                <w:color w:val="auto"/>
              </w:rPr>
              <w:t>20.0</w:t>
            </w:r>
          </w:p>
        </w:tc>
        <w:tc>
          <w:tcPr>
            <w:tcW w:w="0" w:type="dxa"/>
            <w:vAlign w:val="bottom"/>
          </w:tcPr>
          <w:p>
            <w:pPr>
              <w:spacing w:after="0"/>
              <w:rPr>
                <w:sz w:val="1"/>
                <w:szCs w:val="1"/>
                <w:color w:val="auto"/>
              </w:rPr>
            </w:pPr>
          </w:p>
        </w:tc>
      </w:tr>
      <w:tr>
        <w:trPr>
          <w:trHeight w:val="260"/>
        </w:trPr>
        <w:tc>
          <w:tcPr>
            <w:tcW w:w="5160" w:type="dxa"/>
            <w:vAlign w:val="bottom"/>
            <w:gridSpan w:val="3"/>
          </w:tcPr>
          <w:p>
            <w:pPr>
              <w:ind w:left="40"/>
              <w:spacing w:after="0"/>
              <w:rPr>
                <w:sz w:val="20"/>
                <w:szCs w:val="20"/>
                <w:color w:val="auto"/>
              </w:rPr>
            </w:pPr>
            <w:r>
              <w:rPr>
                <w:rFonts w:ascii="Arial" w:cs="Arial" w:eastAsia="Arial" w:hAnsi="Arial"/>
                <w:sz w:val="16"/>
                <w:szCs w:val="16"/>
                <w:color w:val="auto"/>
              </w:rPr>
              <w:t>Corporate</w:t>
            </w:r>
          </w:p>
        </w:tc>
        <w:tc>
          <w:tcPr>
            <w:tcW w:w="260" w:type="dxa"/>
            <w:vAlign w:val="bottom"/>
          </w:tcPr>
          <w:p>
            <w:pPr>
              <w:spacing w:after="0"/>
              <w:rPr>
                <w:sz w:val="22"/>
                <w:szCs w:val="22"/>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(37.1)</w:t>
            </w: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(36.4)</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(84.5)</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(71.0)</w:t>
            </w:r>
          </w:p>
        </w:tc>
        <w:tc>
          <w:tcPr>
            <w:tcW w:w="0" w:type="dxa"/>
            <w:vAlign w:val="bottom"/>
          </w:tcPr>
          <w:p>
            <w:pPr>
              <w:spacing w:after="0"/>
              <w:rPr>
                <w:sz w:val="1"/>
                <w:szCs w:val="1"/>
                <w:color w:val="auto"/>
              </w:rPr>
            </w:pPr>
          </w:p>
        </w:tc>
      </w:tr>
      <w:tr>
        <w:trPr>
          <w:trHeight w:val="228"/>
        </w:trPr>
        <w:tc>
          <w:tcPr>
            <w:tcW w:w="5160" w:type="dxa"/>
            <w:vAlign w:val="bottom"/>
            <w:gridSpan w:val="3"/>
            <w:shd w:val="clear" w:color="auto" w:fill="DCE2EF"/>
          </w:tcPr>
          <w:p>
            <w:pPr>
              <w:ind w:left="40"/>
              <w:spacing w:after="0"/>
              <w:rPr>
                <w:sz w:val="20"/>
                <w:szCs w:val="20"/>
                <w:color w:val="auto"/>
              </w:rPr>
            </w:pPr>
            <w:r>
              <w:rPr>
                <w:rFonts w:ascii="Arial" w:cs="Arial" w:eastAsia="Arial" w:hAnsi="Arial"/>
                <w:sz w:val="16"/>
                <w:szCs w:val="16"/>
                <w:color w:val="auto"/>
              </w:rPr>
              <w:t>Adjustment for income from unconsolidated affiliates, net, included in</w:t>
            </w:r>
          </w:p>
        </w:tc>
        <w:tc>
          <w:tcPr>
            <w:tcW w:w="260" w:type="dxa"/>
            <w:vAlign w:val="bottom"/>
            <w:shd w:val="clear" w:color="auto" w:fill="DCE2EF"/>
          </w:tcPr>
          <w:p>
            <w:pPr>
              <w:spacing w:after="0"/>
              <w:rPr>
                <w:sz w:val="19"/>
                <w:szCs w:val="19"/>
                <w:color w:val="auto"/>
              </w:rPr>
            </w:pPr>
          </w:p>
        </w:tc>
        <w:tc>
          <w:tcPr>
            <w:tcW w:w="1240" w:type="dxa"/>
            <w:vAlign w:val="bottom"/>
            <w:shd w:val="clear" w:color="auto" w:fill="DCE2EF"/>
          </w:tcPr>
          <w:p>
            <w:pPr>
              <w:spacing w:after="0"/>
              <w:rPr>
                <w:sz w:val="19"/>
                <w:szCs w:val="19"/>
                <w:color w:val="auto"/>
              </w:rPr>
            </w:pPr>
          </w:p>
        </w:tc>
        <w:tc>
          <w:tcPr>
            <w:tcW w:w="120" w:type="dxa"/>
            <w:vAlign w:val="bottom"/>
            <w:shd w:val="clear" w:color="auto" w:fill="DCE2EF"/>
          </w:tcPr>
          <w:p>
            <w:pPr>
              <w:spacing w:after="0"/>
              <w:rPr>
                <w:sz w:val="19"/>
                <w:szCs w:val="19"/>
                <w:color w:val="auto"/>
              </w:rPr>
            </w:pPr>
          </w:p>
        </w:tc>
        <w:tc>
          <w:tcPr>
            <w:tcW w:w="340" w:type="dxa"/>
            <w:vAlign w:val="bottom"/>
            <w:shd w:val="clear" w:color="auto" w:fill="DCE2EF"/>
          </w:tcPr>
          <w:p>
            <w:pPr>
              <w:spacing w:after="0"/>
              <w:rPr>
                <w:sz w:val="19"/>
                <w:szCs w:val="19"/>
                <w:color w:val="auto"/>
              </w:rPr>
            </w:pPr>
          </w:p>
        </w:tc>
        <w:tc>
          <w:tcPr>
            <w:tcW w:w="1140" w:type="dxa"/>
            <w:vAlign w:val="bottom"/>
            <w:shd w:val="clear" w:color="auto" w:fill="DCE2EF"/>
          </w:tcPr>
          <w:p>
            <w:pPr>
              <w:spacing w:after="0"/>
              <w:rPr>
                <w:sz w:val="19"/>
                <w:szCs w:val="19"/>
                <w:color w:val="auto"/>
              </w:rPr>
            </w:pPr>
          </w:p>
        </w:tc>
        <w:tc>
          <w:tcPr>
            <w:tcW w:w="100" w:type="dxa"/>
            <w:vAlign w:val="bottom"/>
            <w:shd w:val="clear" w:color="auto" w:fill="DCE2EF"/>
          </w:tcPr>
          <w:p>
            <w:pPr>
              <w:spacing w:after="0"/>
              <w:rPr>
                <w:sz w:val="19"/>
                <w:szCs w:val="19"/>
                <w:color w:val="auto"/>
              </w:rPr>
            </w:pPr>
          </w:p>
        </w:tc>
        <w:tc>
          <w:tcPr>
            <w:tcW w:w="320" w:type="dxa"/>
            <w:vAlign w:val="bottom"/>
            <w:shd w:val="clear" w:color="auto" w:fill="DCE2EF"/>
          </w:tcPr>
          <w:p>
            <w:pPr>
              <w:spacing w:after="0"/>
              <w:rPr>
                <w:sz w:val="19"/>
                <w:szCs w:val="19"/>
                <w:color w:val="auto"/>
              </w:rPr>
            </w:pPr>
          </w:p>
        </w:tc>
        <w:tc>
          <w:tcPr>
            <w:tcW w:w="1160" w:type="dxa"/>
            <w:vAlign w:val="bottom"/>
            <w:shd w:val="clear" w:color="auto" w:fill="DCE2EF"/>
          </w:tcPr>
          <w:p>
            <w:pPr>
              <w:spacing w:after="0"/>
              <w:rPr>
                <w:sz w:val="19"/>
                <w:szCs w:val="19"/>
                <w:color w:val="auto"/>
              </w:rPr>
            </w:pPr>
          </w:p>
        </w:tc>
        <w:tc>
          <w:tcPr>
            <w:tcW w:w="100" w:type="dxa"/>
            <w:vAlign w:val="bottom"/>
            <w:shd w:val="clear" w:color="auto" w:fill="DCE2EF"/>
          </w:tcPr>
          <w:p>
            <w:pPr>
              <w:spacing w:after="0"/>
              <w:rPr>
                <w:sz w:val="19"/>
                <w:szCs w:val="19"/>
                <w:color w:val="auto"/>
              </w:rPr>
            </w:pPr>
          </w:p>
        </w:tc>
        <w:tc>
          <w:tcPr>
            <w:tcW w:w="340" w:type="dxa"/>
            <w:vAlign w:val="bottom"/>
            <w:shd w:val="clear" w:color="auto" w:fill="DCE2EF"/>
          </w:tcPr>
          <w:p>
            <w:pPr>
              <w:spacing w:after="0"/>
              <w:rPr>
                <w:sz w:val="19"/>
                <w:szCs w:val="19"/>
                <w:color w:val="auto"/>
              </w:rPr>
            </w:pPr>
          </w:p>
        </w:tc>
        <w:tc>
          <w:tcPr>
            <w:tcW w:w="1140" w:type="dxa"/>
            <w:vAlign w:val="bottom"/>
            <w:shd w:val="clear" w:color="auto" w:fill="DCE2EF"/>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40" w:type="dxa"/>
            <w:vAlign w:val="bottom"/>
            <w:shd w:val="clear" w:color="auto" w:fill="DCE2EF"/>
          </w:tcPr>
          <w:p>
            <w:pPr>
              <w:spacing w:after="0"/>
              <w:rPr>
                <w:sz w:val="18"/>
                <w:szCs w:val="18"/>
                <w:color w:val="auto"/>
              </w:rPr>
            </w:pPr>
          </w:p>
        </w:tc>
        <w:tc>
          <w:tcPr>
            <w:tcW w:w="5120" w:type="dxa"/>
            <w:vAlign w:val="bottom"/>
            <w:gridSpan w:val="2"/>
            <w:shd w:val="clear" w:color="auto" w:fill="DCE2EF"/>
          </w:tcPr>
          <w:p>
            <w:pPr>
              <w:ind w:left="160"/>
              <w:spacing w:after="0"/>
              <w:rPr>
                <w:sz w:val="20"/>
                <w:szCs w:val="20"/>
                <w:color w:val="auto"/>
              </w:rPr>
            </w:pPr>
            <w:r>
              <w:rPr>
                <w:rFonts w:ascii="Arial" w:cs="Arial" w:eastAsia="Arial" w:hAnsi="Arial"/>
                <w:sz w:val="16"/>
                <w:szCs w:val="16"/>
                <w:color w:val="auto"/>
              </w:rPr>
              <w:t>Aviation and Government Services</w:t>
            </w:r>
          </w:p>
        </w:tc>
        <w:tc>
          <w:tcPr>
            <w:tcW w:w="260" w:type="dxa"/>
            <w:vAlign w:val="bottom"/>
            <w:shd w:val="clear" w:color="auto" w:fill="DCE2EF"/>
          </w:tcPr>
          <w:p>
            <w:pPr>
              <w:spacing w:after="0"/>
              <w:rPr>
                <w:sz w:val="18"/>
                <w:szCs w:val="18"/>
                <w:color w:val="auto"/>
              </w:rPr>
            </w:pPr>
          </w:p>
        </w:tc>
        <w:tc>
          <w:tcPr>
            <w:tcW w:w="1240" w:type="dxa"/>
            <w:vAlign w:val="bottom"/>
            <w:shd w:val="clear" w:color="auto" w:fill="DCE2EF"/>
          </w:tcPr>
          <w:p>
            <w:pPr>
              <w:jc w:val="right"/>
              <w:spacing w:after="0"/>
              <w:rPr>
                <w:sz w:val="20"/>
                <w:szCs w:val="20"/>
                <w:color w:val="auto"/>
              </w:rPr>
            </w:pPr>
            <w:r>
              <w:rPr>
                <w:rFonts w:ascii="Arial" w:cs="Arial" w:eastAsia="Arial" w:hAnsi="Arial"/>
                <w:sz w:val="16"/>
                <w:szCs w:val="16"/>
                <w:color w:val="auto"/>
              </w:rPr>
              <w:t>(1.0)</w:t>
            </w:r>
          </w:p>
        </w:tc>
        <w:tc>
          <w:tcPr>
            <w:tcW w:w="120" w:type="dxa"/>
            <w:vAlign w:val="bottom"/>
            <w:shd w:val="clear" w:color="auto" w:fill="DCE2EF"/>
          </w:tcPr>
          <w:p>
            <w:pPr>
              <w:spacing w:after="0"/>
              <w:rPr>
                <w:sz w:val="18"/>
                <w:szCs w:val="18"/>
                <w:color w:val="auto"/>
              </w:rPr>
            </w:pPr>
          </w:p>
        </w:tc>
        <w:tc>
          <w:tcPr>
            <w:tcW w:w="340" w:type="dxa"/>
            <w:vAlign w:val="bottom"/>
            <w:shd w:val="clear" w:color="auto" w:fill="DCE2EF"/>
          </w:tcPr>
          <w:p>
            <w:pPr>
              <w:spacing w:after="0"/>
              <w:rPr>
                <w:sz w:val="18"/>
                <w:szCs w:val="18"/>
                <w:color w:val="auto"/>
              </w:rPr>
            </w:pPr>
          </w:p>
        </w:tc>
        <w:tc>
          <w:tcPr>
            <w:tcW w:w="1140" w:type="dxa"/>
            <w:vAlign w:val="bottom"/>
            <w:shd w:val="clear" w:color="auto" w:fill="DCE2EF"/>
          </w:tcPr>
          <w:p>
            <w:pPr>
              <w:jc w:val="right"/>
              <w:spacing w:after="0"/>
              <w:rPr>
                <w:sz w:val="20"/>
                <w:szCs w:val="20"/>
                <w:color w:val="auto"/>
              </w:rPr>
            </w:pPr>
            <w:r>
              <w:rPr>
                <w:rFonts w:ascii="Arial" w:cs="Arial" w:eastAsia="Arial" w:hAnsi="Arial"/>
                <w:sz w:val="16"/>
                <w:szCs w:val="16"/>
                <w:color w:val="auto"/>
              </w:rPr>
              <w:t>(1.1)</w:t>
            </w:r>
          </w:p>
        </w:tc>
        <w:tc>
          <w:tcPr>
            <w:tcW w:w="100" w:type="dxa"/>
            <w:vAlign w:val="bottom"/>
            <w:shd w:val="clear" w:color="auto" w:fill="DCE2EF"/>
          </w:tcPr>
          <w:p>
            <w:pPr>
              <w:spacing w:after="0"/>
              <w:rPr>
                <w:sz w:val="18"/>
                <w:szCs w:val="18"/>
                <w:color w:val="auto"/>
              </w:rPr>
            </w:pPr>
          </w:p>
        </w:tc>
        <w:tc>
          <w:tcPr>
            <w:tcW w:w="320" w:type="dxa"/>
            <w:vAlign w:val="bottom"/>
            <w:shd w:val="clear" w:color="auto" w:fill="DCE2EF"/>
          </w:tcPr>
          <w:p>
            <w:pPr>
              <w:spacing w:after="0"/>
              <w:rPr>
                <w:sz w:val="18"/>
                <w:szCs w:val="18"/>
                <w:color w:val="auto"/>
              </w:rPr>
            </w:pPr>
          </w:p>
        </w:tc>
        <w:tc>
          <w:tcPr>
            <w:tcW w:w="1160" w:type="dxa"/>
            <w:vAlign w:val="bottom"/>
            <w:shd w:val="clear" w:color="auto" w:fill="DCE2EF"/>
          </w:tcPr>
          <w:p>
            <w:pPr>
              <w:jc w:val="right"/>
              <w:spacing w:after="0"/>
              <w:rPr>
                <w:sz w:val="20"/>
                <w:szCs w:val="20"/>
                <w:color w:val="auto"/>
              </w:rPr>
            </w:pPr>
            <w:r>
              <w:rPr>
                <w:rFonts w:ascii="Arial" w:cs="Arial" w:eastAsia="Arial" w:hAnsi="Arial"/>
                <w:sz w:val="16"/>
                <w:szCs w:val="16"/>
                <w:color w:val="auto"/>
              </w:rPr>
              <w:t>(1.6)</w:t>
            </w:r>
          </w:p>
        </w:tc>
        <w:tc>
          <w:tcPr>
            <w:tcW w:w="100" w:type="dxa"/>
            <w:vAlign w:val="bottom"/>
            <w:shd w:val="clear" w:color="auto" w:fill="DCE2EF"/>
          </w:tcPr>
          <w:p>
            <w:pPr>
              <w:spacing w:after="0"/>
              <w:rPr>
                <w:sz w:val="18"/>
                <w:szCs w:val="18"/>
                <w:color w:val="auto"/>
              </w:rPr>
            </w:pPr>
          </w:p>
        </w:tc>
        <w:tc>
          <w:tcPr>
            <w:tcW w:w="340" w:type="dxa"/>
            <w:vAlign w:val="bottom"/>
            <w:shd w:val="clear" w:color="auto" w:fill="DCE2EF"/>
          </w:tcPr>
          <w:p>
            <w:pPr>
              <w:spacing w:after="0"/>
              <w:rPr>
                <w:sz w:val="18"/>
                <w:szCs w:val="18"/>
                <w:color w:val="auto"/>
              </w:rPr>
            </w:pPr>
          </w:p>
        </w:tc>
        <w:tc>
          <w:tcPr>
            <w:tcW w:w="1140" w:type="dxa"/>
            <w:vAlign w:val="bottom"/>
            <w:shd w:val="clear" w:color="auto" w:fill="DCE2EF"/>
          </w:tcPr>
          <w:p>
            <w:pPr>
              <w:jc w:val="right"/>
              <w:spacing w:after="0"/>
              <w:rPr>
                <w:sz w:val="20"/>
                <w:szCs w:val="20"/>
                <w:color w:val="auto"/>
              </w:rPr>
            </w:pPr>
            <w:r>
              <w:rPr>
                <w:rFonts w:ascii="Arial" w:cs="Arial" w:eastAsia="Arial" w:hAnsi="Arial"/>
                <w:sz w:val="16"/>
                <w:szCs w:val="16"/>
                <w:color w:val="auto"/>
              </w:rPr>
              <w:t>(2.4)</w:t>
            </w:r>
          </w:p>
        </w:tc>
        <w:tc>
          <w:tcPr>
            <w:tcW w:w="0" w:type="dxa"/>
            <w:vAlign w:val="bottom"/>
          </w:tcPr>
          <w:p>
            <w:pPr>
              <w:spacing w:after="0"/>
              <w:rPr>
                <w:sz w:val="1"/>
                <w:szCs w:val="1"/>
                <w:color w:val="auto"/>
              </w:rPr>
            </w:pPr>
          </w:p>
        </w:tc>
      </w:tr>
      <w:tr>
        <w:trPr>
          <w:trHeight w:val="218"/>
        </w:trPr>
        <w:tc>
          <w:tcPr>
            <w:tcW w:w="5160" w:type="dxa"/>
            <w:vAlign w:val="bottom"/>
            <w:gridSpan w:val="3"/>
          </w:tcPr>
          <w:p>
            <w:pPr>
              <w:ind w:left="40"/>
              <w:spacing w:after="0"/>
              <w:rPr>
                <w:sz w:val="20"/>
                <w:szCs w:val="20"/>
                <w:color w:val="auto"/>
              </w:rPr>
            </w:pPr>
            <w:r>
              <w:rPr>
                <w:rFonts w:ascii="Arial" w:cs="Arial" w:eastAsia="Arial" w:hAnsi="Arial"/>
                <w:sz w:val="16"/>
                <w:szCs w:val="16"/>
                <w:color w:val="auto"/>
              </w:rPr>
              <w:t>Adjustment for tax deductions for energy efficient government</w:t>
            </w:r>
          </w:p>
        </w:tc>
        <w:tc>
          <w:tcPr>
            <w:tcW w:w="2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40" w:type="dxa"/>
            <w:vAlign w:val="bottom"/>
            <w:tcBorders>
              <w:bottom w:val="single" w:sz="8" w:color="DCE2EF"/>
            </w:tcBorders>
          </w:tcPr>
          <w:p>
            <w:pPr>
              <w:spacing w:after="0"/>
              <w:rPr>
                <w:sz w:val="18"/>
                <w:szCs w:val="18"/>
                <w:color w:val="auto"/>
              </w:rPr>
            </w:pPr>
          </w:p>
        </w:tc>
        <w:tc>
          <w:tcPr>
            <w:tcW w:w="5120" w:type="dxa"/>
            <w:vAlign w:val="bottom"/>
            <w:tcBorders>
              <w:bottom w:val="single" w:sz="8" w:color="DCE2EF"/>
            </w:tcBorders>
            <w:gridSpan w:val="2"/>
          </w:tcPr>
          <w:p>
            <w:pPr>
              <w:ind w:left="160"/>
              <w:spacing w:after="0"/>
              <w:rPr>
                <w:sz w:val="20"/>
                <w:szCs w:val="20"/>
                <w:color w:val="auto"/>
              </w:rPr>
            </w:pPr>
            <w:r>
              <w:rPr>
                <w:rFonts w:ascii="Arial" w:cs="Arial" w:eastAsia="Arial" w:hAnsi="Arial"/>
                <w:sz w:val="16"/>
                <w:szCs w:val="16"/>
                <w:color w:val="auto"/>
              </w:rPr>
              <w:t>buildings, included in Technical Solutions</w:t>
            </w:r>
          </w:p>
        </w:tc>
        <w:tc>
          <w:tcPr>
            <w:tcW w:w="26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w:t>
            </w:r>
          </w:p>
        </w:tc>
        <w:tc>
          <w:tcPr>
            <w:tcW w:w="120" w:type="dxa"/>
            <w:vAlign w:val="bottom"/>
            <w:tcBorders>
              <w:bottom w:val="single" w:sz="8" w:color="DCE2E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(0.8)</w:t>
            </w:r>
          </w:p>
        </w:tc>
        <w:tc>
          <w:tcPr>
            <w:tcW w:w="100" w:type="dxa"/>
            <w:vAlign w:val="bottom"/>
            <w:tcBorders>
              <w:bottom w:val="single" w:sz="8" w:color="DCE2E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w:t>
            </w:r>
          </w:p>
        </w:tc>
        <w:tc>
          <w:tcPr>
            <w:tcW w:w="100" w:type="dxa"/>
            <w:vAlign w:val="bottom"/>
            <w:tcBorders>
              <w:bottom w:val="single" w:sz="8" w:color="DCE2E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w:t>
            </w:r>
          </w:p>
        </w:tc>
        <w:tc>
          <w:tcPr>
            <w:tcW w:w="0" w:type="dxa"/>
            <w:vAlign w:val="bottom"/>
          </w:tcPr>
          <w:p>
            <w:pPr>
              <w:spacing w:after="0"/>
              <w:rPr>
                <w:sz w:val="1"/>
                <w:szCs w:val="1"/>
                <w:color w:val="auto"/>
              </w:rPr>
            </w:pPr>
          </w:p>
        </w:tc>
      </w:tr>
      <w:tr>
        <w:trPr>
          <w:trHeight w:val="250"/>
        </w:trPr>
        <w:tc>
          <w:tcPr>
            <w:tcW w:w="40" w:type="dxa"/>
            <w:vAlign w:val="bottom"/>
            <w:shd w:val="clear" w:color="auto" w:fill="DCE2EF"/>
          </w:tcPr>
          <w:p>
            <w:pPr>
              <w:spacing w:after="0"/>
              <w:rPr>
                <w:sz w:val="21"/>
                <w:szCs w:val="21"/>
                <w:color w:val="auto"/>
              </w:rPr>
            </w:pPr>
          </w:p>
        </w:tc>
        <w:tc>
          <w:tcPr>
            <w:tcW w:w="700" w:type="dxa"/>
            <w:vAlign w:val="bottom"/>
            <w:shd w:val="clear" w:color="auto" w:fill="DCE2EF"/>
          </w:tcPr>
          <w:p>
            <w:pPr>
              <w:spacing w:after="0"/>
              <w:rPr>
                <w:sz w:val="21"/>
                <w:szCs w:val="21"/>
                <w:color w:val="auto"/>
              </w:rPr>
            </w:pPr>
          </w:p>
        </w:tc>
        <w:tc>
          <w:tcPr>
            <w:tcW w:w="4420" w:type="dxa"/>
            <w:vAlign w:val="bottom"/>
            <w:shd w:val="clear" w:color="auto" w:fill="DCE2EF"/>
          </w:tcPr>
          <w:p>
            <w:pPr>
              <w:spacing w:after="0"/>
              <w:rPr>
                <w:sz w:val="21"/>
                <w:szCs w:val="21"/>
                <w:color w:val="auto"/>
              </w:rPr>
            </w:pPr>
          </w:p>
        </w:tc>
        <w:tc>
          <w:tcPr>
            <w:tcW w:w="260" w:type="dxa"/>
            <w:vAlign w:val="bottom"/>
            <w:tcBorders>
              <w:bottom w:val="single" w:sz="8" w:color="auto"/>
            </w:tcBorders>
            <w:shd w:val="clear" w:color="auto" w:fill="DCE2EF"/>
          </w:tcPr>
          <w:p>
            <w:pPr>
              <w:spacing w:after="0"/>
              <w:rPr>
                <w:sz w:val="21"/>
                <w:szCs w:val="21"/>
                <w:color w:val="auto"/>
              </w:rPr>
            </w:pPr>
          </w:p>
        </w:tc>
        <w:tc>
          <w:tcPr>
            <w:tcW w:w="1240" w:type="dxa"/>
            <w:vAlign w:val="bottom"/>
            <w:tcBorders>
              <w:bottom w:val="single" w:sz="8" w:color="auto"/>
            </w:tcBorders>
            <w:shd w:val="clear" w:color="auto" w:fill="DCE2EF"/>
          </w:tcPr>
          <w:p>
            <w:pPr>
              <w:jc w:val="right"/>
              <w:ind w:right="39"/>
              <w:spacing w:after="0"/>
              <w:rPr>
                <w:sz w:val="20"/>
                <w:szCs w:val="20"/>
                <w:color w:val="auto"/>
              </w:rPr>
            </w:pPr>
            <w:r>
              <w:rPr>
                <w:rFonts w:ascii="Arial" w:cs="Arial" w:eastAsia="Arial" w:hAnsi="Arial"/>
                <w:sz w:val="16"/>
                <w:szCs w:val="16"/>
                <w:color w:val="auto"/>
              </w:rPr>
              <w:t>45.3</w:t>
            </w:r>
          </w:p>
        </w:tc>
        <w:tc>
          <w:tcPr>
            <w:tcW w:w="120" w:type="dxa"/>
            <w:vAlign w:val="bottom"/>
            <w:shd w:val="clear" w:color="auto" w:fill="DCE2EF"/>
          </w:tcPr>
          <w:p>
            <w:pPr>
              <w:spacing w:after="0"/>
              <w:rPr>
                <w:sz w:val="21"/>
                <w:szCs w:val="21"/>
                <w:color w:val="auto"/>
              </w:rPr>
            </w:pPr>
          </w:p>
        </w:tc>
        <w:tc>
          <w:tcPr>
            <w:tcW w:w="340" w:type="dxa"/>
            <w:vAlign w:val="bottom"/>
            <w:tcBorders>
              <w:bottom w:val="single" w:sz="8" w:color="auto"/>
            </w:tcBorders>
            <w:shd w:val="clear" w:color="auto" w:fill="DCE2EF"/>
          </w:tcPr>
          <w:p>
            <w:pPr>
              <w:spacing w:after="0"/>
              <w:rPr>
                <w:sz w:val="21"/>
                <w:szCs w:val="21"/>
                <w:color w:val="auto"/>
              </w:rPr>
            </w:pPr>
          </w:p>
        </w:tc>
        <w:tc>
          <w:tcPr>
            <w:tcW w:w="1140" w:type="dxa"/>
            <w:vAlign w:val="bottom"/>
            <w:tcBorders>
              <w:bottom w:val="single" w:sz="8" w:color="auto"/>
            </w:tcBorders>
            <w:shd w:val="clear" w:color="auto" w:fill="DCE2EF"/>
          </w:tcPr>
          <w:p>
            <w:pPr>
              <w:jc w:val="right"/>
              <w:ind w:right="19"/>
              <w:spacing w:after="0"/>
              <w:rPr>
                <w:sz w:val="20"/>
                <w:szCs w:val="20"/>
                <w:color w:val="auto"/>
              </w:rPr>
            </w:pPr>
            <w:r>
              <w:rPr>
                <w:rFonts w:ascii="Arial" w:cs="Arial" w:eastAsia="Arial" w:hAnsi="Arial"/>
                <w:sz w:val="16"/>
                <w:szCs w:val="16"/>
                <w:color w:val="auto"/>
              </w:rPr>
              <w:t>51.0</w:t>
            </w:r>
          </w:p>
        </w:tc>
        <w:tc>
          <w:tcPr>
            <w:tcW w:w="100" w:type="dxa"/>
            <w:vAlign w:val="bottom"/>
            <w:shd w:val="clear" w:color="auto" w:fill="DCE2EF"/>
          </w:tcPr>
          <w:p>
            <w:pPr>
              <w:spacing w:after="0"/>
              <w:rPr>
                <w:sz w:val="21"/>
                <w:szCs w:val="21"/>
                <w:color w:val="auto"/>
              </w:rPr>
            </w:pPr>
          </w:p>
        </w:tc>
        <w:tc>
          <w:tcPr>
            <w:tcW w:w="320" w:type="dxa"/>
            <w:vAlign w:val="bottom"/>
            <w:tcBorders>
              <w:bottom w:val="single" w:sz="8" w:color="auto"/>
            </w:tcBorders>
            <w:shd w:val="clear" w:color="auto" w:fill="DCE2EF"/>
          </w:tcPr>
          <w:p>
            <w:pPr>
              <w:spacing w:after="0"/>
              <w:rPr>
                <w:sz w:val="21"/>
                <w:szCs w:val="21"/>
                <w:color w:val="auto"/>
              </w:rPr>
            </w:pPr>
          </w:p>
        </w:tc>
        <w:tc>
          <w:tcPr>
            <w:tcW w:w="1160" w:type="dxa"/>
            <w:vAlign w:val="bottom"/>
            <w:tcBorders>
              <w:bottom w:val="single" w:sz="8" w:color="auto"/>
            </w:tcBorders>
            <w:shd w:val="clear" w:color="auto" w:fill="DCE2EF"/>
          </w:tcPr>
          <w:p>
            <w:pPr>
              <w:jc w:val="right"/>
              <w:ind w:right="19"/>
              <w:spacing w:after="0"/>
              <w:rPr>
                <w:sz w:val="20"/>
                <w:szCs w:val="20"/>
                <w:color w:val="auto"/>
              </w:rPr>
            </w:pPr>
            <w:r>
              <w:rPr>
                <w:rFonts w:ascii="Arial" w:cs="Arial" w:eastAsia="Arial" w:hAnsi="Arial"/>
                <w:sz w:val="16"/>
                <w:szCs w:val="16"/>
                <w:color w:val="auto"/>
              </w:rPr>
              <w:t>64.8</w:t>
            </w:r>
          </w:p>
        </w:tc>
        <w:tc>
          <w:tcPr>
            <w:tcW w:w="100" w:type="dxa"/>
            <w:vAlign w:val="bottom"/>
            <w:shd w:val="clear" w:color="auto" w:fill="DCE2EF"/>
          </w:tcPr>
          <w:p>
            <w:pPr>
              <w:spacing w:after="0"/>
              <w:rPr>
                <w:sz w:val="21"/>
                <w:szCs w:val="21"/>
                <w:color w:val="auto"/>
              </w:rPr>
            </w:pPr>
          </w:p>
        </w:tc>
        <w:tc>
          <w:tcPr>
            <w:tcW w:w="340" w:type="dxa"/>
            <w:vAlign w:val="bottom"/>
            <w:tcBorders>
              <w:bottom w:val="single" w:sz="8" w:color="auto"/>
            </w:tcBorders>
            <w:shd w:val="clear" w:color="auto" w:fill="DCE2EF"/>
          </w:tcPr>
          <w:p>
            <w:pPr>
              <w:spacing w:after="0"/>
              <w:rPr>
                <w:sz w:val="21"/>
                <w:szCs w:val="21"/>
                <w:color w:val="auto"/>
              </w:rPr>
            </w:pPr>
          </w:p>
        </w:tc>
        <w:tc>
          <w:tcPr>
            <w:tcW w:w="1140" w:type="dxa"/>
            <w:vAlign w:val="bottom"/>
            <w:tcBorders>
              <w:bottom w:val="single" w:sz="8" w:color="auto"/>
            </w:tcBorders>
            <w:shd w:val="clear" w:color="auto" w:fill="DCE2EF"/>
          </w:tcPr>
          <w:p>
            <w:pPr>
              <w:jc w:val="right"/>
              <w:ind w:right="19"/>
              <w:spacing w:after="0"/>
              <w:rPr>
                <w:sz w:val="20"/>
                <w:szCs w:val="20"/>
                <w:color w:val="auto"/>
              </w:rPr>
            </w:pPr>
            <w:r>
              <w:rPr>
                <w:rFonts w:ascii="Arial" w:cs="Arial" w:eastAsia="Arial" w:hAnsi="Arial"/>
                <w:sz w:val="16"/>
                <w:szCs w:val="16"/>
                <w:color w:val="auto"/>
              </w:rPr>
              <w:t>74.8</w:t>
            </w:r>
          </w:p>
        </w:tc>
        <w:tc>
          <w:tcPr>
            <w:tcW w:w="0" w:type="dxa"/>
            <w:vAlign w:val="bottom"/>
          </w:tcPr>
          <w:p>
            <w:pPr>
              <w:spacing w:after="0"/>
              <w:rPr>
                <w:sz w:val="1"/>
                <w:szCs w:val="1"/>
                <w:color w:val="auto"/>
              </w:rPr>
            </w:pPr>
          </w:p>
        </w:tc>
      </w:tr>
      <w:tr>
        <w:trPr>
          <w:trHeight w:val="247"/>
        </w:trPr>
        <w:tc>
          <w:tcPr>
            <w:tcW w:w="5160" w:type="dxa"/>
            <w:vAlign w:val="bottom"/>
            <w:gridSpan w:val="3"/>
          </w:tcPr>
          <w:p>
            <w:pPr>
              <w:ind w:left="40"/>
              <w:spacing w:after="0"/>
              <w:rPr>
                <w:sz w:val="20"/>
                <w:szCs w:val="20"/>
                <w:color w:val="auto"/>
              </w:rPr>
            </w:pPr>
            <w:r>
              <w:rPr>
                <w:rFonts w:ascii="Arial" w:cs="Arial" w:eastAsia="Arial" w:hAnsi="Arial"/>
                <w:sz w:val="16"/>
                <w:szCs w:val="16"/>
                <w:color w:val="auto"/>
              </w:rPr>
              <w:t>Income from unconsolidated affiliates, net</w:t>
            </w:r>
          </w:p>
        </w:tc>
        <w:tc>
          <w:tcPr>
            <w:tcW w:w="260" w:type="dxa"/>
            <w:vAlign w:val="bottom"/>
          </w:tcPr>
          <w:p>
            <w:pPr>
              <w:spacing w:after="0"/>
              <w:rPr>
                <w:sz w:val="21"/>
                <w:szCs w:val="21"/>
                <w:color w:val="auto"/>
              </w:rPr>
            </w:pPr>
          </w:p>
        </w:tc>
        <w:tc>
          <w:tcPr>
            <w:tcW w:w="1240" w:type="dxa"/>
            <w:vAlign w:val="bottom"/>
          </w:tcPr>
          <w:p>
            <w:pPr>
              <w:jc w:val="right"/>
              <w:ind w:right="39"/>
              <w:spacing w:after="0"/>
              <w:rPr>
                <w:sz w:val="20"/>
                <w:szCs w:val="20"/>
                <w:color w:val="auto"/>
              </w:rPr>
            </w:pPr>
            <w:r>
              <w:rPr>
                <w:rFonts w:ascii="Arial" w:cs="Arial" w:eastAsia="Arial" w:hAnsi="Arial"/>
                <w:sz w:val="16"/>
                <w:szCs w:val="16"/>
                <w:color w:val="auto"/>
              </w:rPr>
              <w:t>1.0</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0.9</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60" w:type="dxa"/>
            <w:vAlign w:val="bottom"/>
          </w:tcPr>
          <w:p>
            <w:pPr>
              <w:jc w:val="right"/>
              <w:ind w:right="19"/>
              <w:spacing w:after="0"/>
              <w:rPr>
                <w:sz w:val="20"/>
                <w:szCs w:val="20"/>
                <w:color w:val="auto"/>
              </w:rPr>
            </w:pPr>
            <w:r>
              <w:rPr>
                <w:rFonts w:ascii="Arial" w:cs="Arial" w:eastAsia="Arial" w:hAnsi="Arial"/>
                <w:sz w:val="16"/>
                <w:szCs w:val="16"/>
                <w:color w:val="auto"/>
              </w:rPr>
              <w:t>1.6</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2.3</w:t>
            </w:r>
          </w:p>
        </w:tc>
        <w:tc>
          <w:tcPr>
            <w:tcW w:w="0" w:type="dxa"/>
            <w:vAlign w:val="bottom"/>
          </w:tcPr>
          <w:p>
            <w:pPr>
              <w:spacing w:after="0"/>
              <w:rPr>
                <w:sz w:val="1"/>
                <w:szCs w:val="1"/>
                <w:color w:val="auto"/>
              </w:rPr>
            </w:pPr>
          </w:p>
        </w:tc>
      </w:tr>
      <w:tr>
        <w:trPr>
          <w:trHeight w:val="280"/>
        </w:trPr>
        <w:tc>
          <w:tcPr>
            <w:tcW w:w="5160" w:type="dxa"/>
            <w:vAlign w:val="bottom"/>
            <w:gridSpan w:val="3"/>
            <w:shd w:val="clear" w:color="auto" w:fill="DCE2EF"/>
          </w:tcPr>
          <w:p>
            <w:pPr>
              <w:ind w:left="40"/>
              <w:spacing w:after="0"/>
              <w:rPr>
                <w:sz w:val="20"/>
                <w:szCs w:val="20"/>
                <w:color w:val="auto"/>
              </w:rPr>
            </w:pPr>
            <w:r>
              <w:rPr>
                <w:rFonts w:ascii="Arial" w:cs="Arial" w:eastAsia="Arial" w:hAnsi="Arial"/>
                <w:sz w:val="16"/>
                <w:szCs w:val="16"/>
                <w:color w:val="auto"/>
              </w:rPr>
              <w:t>Interest expense</w:t>
            </w:r>
          </w:p>
        </w:tc>
        <w:tc>
          <w:tcPr>
            <w:tcW w:w="260" w:type="dxa"/>
            <w:vAlign w:val="bottom"/>
            <w:tcBorders>
              <w:bottom w:val="single" w:sz="8" w:color="auto"/>
            </w:tcBorders>
            <w:shd w:val="clear" w:color="auto" w:fill="DCE2EF"/>
          </w:tcPr>
          <w:p>
            <w:pPr>
              <w:spacing w:after="0"/>
              <w:rPr>
                <w:sz w:val="24"/>
                <w:szCs w:val="24"/>
                <w:color w:val="auto"/>
              </w:rPr>
            </w:pPr>
          </w:p>
        </w:tc>
        <w:tc>
          <w:tcPr>
            <w:tcW w:w="1240" w:type="dxa"/>
            <w:vAlign w:val="bottom"/>
            <w:tcBorders>
              <w:bottom w:val="single" w:sz="8" w:color="auto"/>
            </w:tcBorders>
            <w:shd w:val="clear" w:color="auto" w:fill="DCE2EF"/>
          </w:tcPr>
          <w:p>
            <w:pPr>
              <w:jc w:val="right"/>
              <w:spacing w:after="0"/>
              <w:rPr>
                <w:sz w:val="20"/>
                <w:szCs w:val="20"/>
                <w:color w:val="auto"/>
              </w:rPr>
            </w:pPr>
            <w:r>
              <w:rPr>
                <w:rFonts w:ascii="Arial" w:cs="Arial" w:eastAsia="Arial" w:hAnsi="Arial"/>
                <w:sz w:val="16"/>
                <w:szCs w:val="16"/>
                <w:color w:val="auto"/>
              </w:rPr>
              <w:t>(13.8)</w:t>
            </w:r>
          </w:p>
        </w:tc>
        <w:tc>
          <w:tcPr>
            <w:tcW w:w="120" w:type="dxa"/>
            <w:vAlign w:val="bottom"/>
            <w:shd w:val="clear" w:color="auto" w:fill="DCE2EF"/>
          </w:tcPr>
          <w:p>
            <w:pPr>
              <w:spacing w:after="0"/>
              <w:rPr>
                <w:sz w:val="24"/>
                <w:szCs w:val="24"/>
                <w:color w:val="auto"/>
              </w:rPr>
            </w:pPr>
          </w:p>
        </w:tc>
        <w:tc>
          <w:tcPr>
            <w:tcW w:w="340" w:type="dxa"/>
            <w:vAlign w:val="bottom"/>
            <w:tcBorders>
              <w:bottom w:val="single" w:sz="8" w:color="auto"/>
            </w:tcBorders>
            <w:shd w:val="clear" w:color="auto" w:fill="DCE2EF"/>
          </w:tcPr>
          <w:p>
            <w:pPr>
              <w:spacing w:after="0"/>
              <w:rPr>
                <w:sz w:val="24"/>
                <w:szCs w:val="24"/>
                <w:color w:val="auto"/>
              </w:rPr>
            </w:pPr>
          </w:p>
        </w:tc>
        <w:tc>
          <w:tcPr>
            <w:tcW w:w="1140" w:type="dxa"/>
            <w:vAlign w:val="bottom"/>
            <w:tcBorders>
              <w:bottom w:val="single" w:sz="8" w:color="auto"/>
            </w:tcBorders>
            <w:shd w:val="clear" w:color="auto" w:fill="DCE2EF"/>
          </w:tcPr>
          <w:p>
            <w:pPr>
              <w:jc w:val="right"/>
              <w:spacing w:after="0"/>
              <w:rPr>
                <w:sz w:val="20"/>
                <w:szCs w:val="20"/>
                <w:color w:val="auto"/>
              </w:rPr>
            </w:pPr>
            <w:r>
              <w:rPr>
                <w:rFonts w:ascii="Arial" w:cs="Arial" w:eastAsia="Arial" w:hAnsi="Arial"/>
                <w:sz w:val="16"/>
                <w:szCs w:val="16"/>
                <w:color w:val="auto"/>
              </w:rPr>
              <w:t>(3.0)</w:t>
            </w:r>
          </w:p>
        </w:tc>
        <w:tc>
          <w:tcPr>
            <w:tcW w:w="100" w:type="dxa"/>
            <w:vAlign w:val="bottom"/>
            <w:shd w:val="clear" w:color="auto" w:fill="DCE2EF"/>
          </w:tcPr>
          <w:p>
            <w:pPr>
              <w:spacing w:after="0"/>
              <w:rPr>
                <w:sz w:val="24"/>
                <w:szCs w:val="24"/>
                <w:color w:val="auto"/>
              </w:rPr>
            </w:pPr>
          </w:p>
        </w:tc>
        <w:tc>
          <w:tcPr>
            <w:tcW w:w="320" w:type="dxa"/>
            <w:vAlign w:val="bottom"/>
            <w:tcBorders>
              <w:bottom w:val="single" w:sz="8" w:color="auto"/>
            </w:tcBorders>
            <w:shd w:val="clear" w:color="auto" w:fill="DCE2EF"/>
          </w:tcPr>
          <w:p>
            <w:pPr>
              <w:spacing w:after="0"/>
              <w:rPr>
                <w:sz w:val="24"/>
                <w:szCs w:val="24"/>
                <w:color w:val="auto"/>
              </w:rPr>
            </w:pPr>
          </w:p>
        </w:tc>
        <w:tc>
          <w:tcPr>
            <w:tcW w:w="1160" w:type="dxa"/>
            <w:vAlign w:val="bottom"/>
            <w:tcBorders>
              <w:bottom w:val="single" w:sz="8" w:color="auto"/>
            </w:tcBorders>
            <w:shd w:val="clear" w:color="auto" w:fill="DCE2EF"/>
          </w:tcPr>
          <w:p>
            <w:pPr>
              <w:jc w:val="right"/>
              <w:spacing w:after="0"/>
              <w:rPr>
                <w:sz w:val="20"/>
                <w:szCs w:val="20"/>
                <w:color w:val="auto"/>
              </w:rPr>
            </w:pPr>
            <w:r>
              <w:rPr>
                <w:rFonts w:ascii="Arial" w:cs="Arial" w:eastAsia="Arial" w:hAnsi="Arial"/>
                <w:sz w:val="16"/>
                <w:szCs w:val="16"/>
                <w:color w:val="auto"/>
              </w:rPr>
              <w:t>(28.1)</w:t>
            </w:r>
          </w:p>
        </w:tc>
        <w:tc>
          <w:tcPr>
            <w:tcW w:w="100" w:type="dxa"/>
            <w:vAlign w:val="bottom"/>
            <w:shd w:val="clear" w:color="auto" w:fill="DCE2EF"/>
          </w:tcPr>
          <w:p>
            <w:pPr>
              <w:spacing w:after="0"/>
              <w:rPr>
                <w:sz w:val="24"/>
                <w:szCs w:val="24"/>
                <w:color w:val="auto"/>
              </w:rPr>
            </w:pPr>
          </w:p>
        </w:tc>
        <w:tc>
          <w:tcPr>
            <w:tcW w:w="340" w:type="dxa"/>
            <w:vAlign w:val="bottom"/>
            <w:tcBorders>
              <w:bottom w:val="single" w:sz="8" w:color="auto"/>
            </w:tcBorders>
            <w:shd w:val="clear" w:color="auto" w:fill="DCE2EF"/>
          </w:tcPr>
          <w:p>
            <w:pPr>
              <w:spacing w:after="0"/>
              <w:rPr>
                <w:sz w:val="24"/>
                <w:szCs w:val="24"/>
                <w:color w:val="auto"/>
              </w:rPr>
            </w:pPr>
          </w:p>
        </w:tc>
        <w:tc>
          <w:tcPr>
            <w:tcW w:w="1140" w:type="dxa"/>
            <w:vAlign w:val="bottom"/>
            <w:tcBorders>
              <w:bottom w:val="single" w:sz="8" w:color="auto"/>
            </w:tcBorders>
            <w:shd w:val="clear" w:color="auto" w:fill="DCE2EF"/>
          </w:tcPr>
          <w:p>
            <w:pPr>
              <w:jc w:val="right"/>
              <w:spacing w:after="0"/>
              <w:rPr>
                <w:sz w:val="20"/>
                <w:szCs w:val="20"/>
                <w:color w:val="auto"/>
              </w:rPr>
            </w:pPr>
            <w:r>
              <w:rPr>
                <w:rFonts w:ascii="Arial" w:cs="Arial" w:eastAsia="Arial" w:hAnsi="Arial"/>
                <w:sz w:val="16"/>
                <w:szCs w:val="16"/>
                <w:color w:val="auto"/>
              </w:rPr>
              <w:t>(6.3)</w:t>
            </w:r>
          </w:p>
        </w:tc>
        <w:tc>
          <w:tcPr>
            <w:tcW w:w="0" w:type="dxa"/>
            <w:vAlign w:val="bottom"/>
          </w:tcPr>
          <w:p>
            <w:pPr>
              <w:spacing w:after="0"/>
              <w:rPr>
                <w:sz w:val="1"/>
                <w:szCs w:val="1"/>
                <w:color w:val="auto"/>
              </w:rPr>
            </w:pPr>
          </w:p>
        </w:tc>
      </w:tr>
      <w:tr>
        <w:trPr>
          <w:trHeight w:val="230"/>
        </w:trPr>
        <w:tc>
          <w:tcPr>
            <w:tcW w:w="5160" w:type="dxa"/>
            <w:vAlign w:val="bottom"/>
            <w:gridSpan w:val="3"/>
          </w:tcPr>
          <w:p>
            <w:pPr>
              <w:ind w:left="40"/>
              <w:spacing w:after="0"/>
              <w:rPr>
                <w:sz w:val="20"/>
                <w:szCs w:val="20"/>
                <w:color w:val="auto"/>
              </w:rPr>
            </w:pPr>
            <w:r>
              <w:rPr>
                <w:rFonts w:ascii="Arial" w:cs="Arial" w:eastAsia="Arial" w:hAnsi="Arial"/>
                <w:sz w:val="16"/>
                <w:szCs w:val="16"/>
                <w:color w:val="auto"/>
              </w:rPr>
              <w:t>Income from continuing operations before income taxes</w:t>
            </w:r>
          </w:p>
        </w:tc>
        <w:tc>
          <w:tcPr>
            <w:tcW w:w="2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32.5</w:t>
            </w:r>
          </w:p>
        </w:tc>
        <w:tc>
          <w:tcPr>
            <w:tcW w:w="120" w:type="dxa"/>
            <w:vAlign w:val="bottom"/>
          </w:tcPr>
          <w:p>
            <w:pPr>
              <w:spacing w:after="0"/>
              <w:rPr>
                <w:sz w:val="20"/>
                <w:szCs w:val="20"/>
                <w:color w:val="auto"/>
              </w:rPr>
            </w:pPr>
          </w:p>
        </w:tc>
        <w:tc>
          <w:tcPr>
            <w:tcW w:w="34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48.9</w:t>
            </w:r>
          </w:p>
        </w:tc>
        <w:tc>
          <w:tcPr>
            <w:tcW w:w="100" w:type="dxa"/>
            <w:vAlign w:val="bottom"/>
          </w:tcPr>
          <w:p>
            <w:pPr>
              <w:spacing w:after="0"/>
              <w:rPr>
                <w:sz w:val="20"/>
                <w:szCs w:val="20"/>
                <w:color w:val="auto"/>
              </w:rPr>
            </w:pPr>
          </w:p>
        </w:tc>
        <w:tc>
          <w:tcPr>
            <w:tcW w:w="32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c>
          <w:tcPr>
            <w:tcW w:w="11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38.2</w:t>
            </w:r>
          </w:p>
        </w:tc>
        <w:tc>
          <w:tcPr>
            <w:tcW w:w="100" w:type="dxa"/>
            <w:vAlign w:val="bottom"/>
          </w:tcPr>
          <w:p>
            <w:pPr>
              <w:spacing w:after="0"/>
              <w:rPr>
                <w:sz w:val="20"/>
                <w:szCs w:val="20"/>
                <w:color w:val="auto"/>
              </w:rPr>
            </w:pPr>
          </w:p>
        </w:tc>
        <w:tc>
          <w:tcPr>
            <w:tcW w:w="34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70.9</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4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8"/>
          <w:szCs w:val="18"/>
          <w:color w:val="auto"/>
        </w:rPr>
        <w:t>The accounting policies for our segments are the same as those disclosed within our significant accounting policies in Note 2, “Basis of Presentation and Significant Accounting Policies.” Our management evaluates the performance of each reportable segment based on its respective operating profit results, which include the allocation of certain centrally incurred costs. Corporate expenses not allocated to segments include certain CEO and other finance and human resource departmental expenses, certain information technology costs, share-based compensation, certain legal costs and settlements, restructuring and related costs, certain adjustments resulting from actuarial developments of self-insurance reserves, and direct acquisition costs.</w:t>
      </w: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522" w:right="239" w:bottom="1440" w:gutter="0" w:footer="0" w:header="0"/>
        </w:sectPr>
      </w:pPr>
    </w:p>
    <w:bookmarkStart w:id="25" w:name="page26"/>
    <w:bookmarkEnd w:id="25"/>
    <w:p>
      <w:pPr>
        <w:spacing w:after="0"/>
        <w:rPr>
          <w:sz w:val="20"/>
          <w:szCs w:val="20"/>
          <w:color w:val="auto"/>
        </w:rPr>
      </w:pPr>
      <w:r>
        <w:rPr>
          <w:rFonts w:ascii="Arial" w:cs="Arial" w:eastAsia="Arial" w:hAnsi="Arial"/>
          <w:sz w:val="18"/>
          <w:szCs w:val="18"/>
          <w:b w:val="1"/>
          <w:bCs w:val="1"/>
          <w:color w:val="0046AD"/>
        </w:rPr>
        <w:t>ITEM 2. MANAGEMENT’S DISCUSSION AND ANALYSIS OF FINANCIAL CONDITION AND RESULTS OF OPERATIONS.</w:t>
      </w:r>
    </w:p>
    <w:p>
      <w:pPr>
        <w:spacing w:after="0" w:line="139"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8"/>
          <w:szCs w:val="18"/>
          <w:color w:val="auto"/>
        </w:rPr>
        <w:t>The following Management’s Discussion and Analysis of Financial Condition and Results of Operations (“MD&amp;A”) is intended to facilitate an understanding of the results of operations and financial condition of ABM Industries Incorporated and its subsidiaries (collectively referred to as “ABM,” “we,” “us,” “our,” or the “Company”). This MD&amp;A is provided as a supplement to, and should be read in conjunction with, our unaudited consolidated financial statements and the accompanying notes (“Financial Statements”) and our Annual Report on Form 10-K for the year ended October 31, 2017 (“Annual Report”), which has been filed with the Securities and Exchange Commission (“SEC”). This MD&amp;A contains forward-looking statements about our business, operations, and industry that involve risks and uncertainties, such as statements regarding our plans, objectives, expectations, and intentions. Our future results and financial condition may be materially different from those we currently anticipate. See “Forward-Looking Statements” for more information.</w:t>
      </w:r>
    </w:p>
    <w:p>
      <w:pPr>
        <w:spacing w:after="0" w:line="152" w:lineRule="exact"/>
        <w:rPr>
          <w:sz w:val="20"/>
          <w:szCs w:val="20"/>
          <w:color w:val="auto"/>
        </w:rPr>
      </w:pPr>
    </w:p>
    <w:p>
      <w:pPr>
        <w:jc w:val="both"/>
        <w:ind w:right="20" w:firstLine="648"/>
        <w:spacing w:after="0" w:line="262" w:lineRule="auto"/>
        <w:rPr>
          <w:sz w:val="20"/>
          <w:szCs w:val="20"/>
          <w:color w:val="auto"/>
        </w:rPr>
      </w:pPr>
      <w:r>
        <w:rPr>
          <w:rFonts w:ascii="Arial" w:cs="Arial" w:eastAsia="Arial" w:hAnsi="Arial"/>
          <w:sz w:val="18"/>
          <w:szCs w:val="18"/>
          <w:color w:val="auto"/>
        </w:rPr>
        <w:t>Throughout the MD&amp;A, amounts and percentages may not recalculate due to rounding. Unless otherwise indicated, all information in the MD&amp;A and references to years are based on our fiscal year, which ends on October 31.</w:t>
      </w:r>
    </w:p>
    <w:p>
      <w:pPr>
        <w:spacing w:after="0" w:line="336"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0046AD"/>
        </w:rPr>
        <w:t>Business Overview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28575</wp:posOffset>
            </wp:positionV>
            <wp:extent cx="724662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78"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8"/>
          <w:szCs w:val="18"/>
          <w:color w:val="auto"/>
        </w:rPr>
        <w:t xml:space="preserve">ABM is a leading provider of integrated facility services, customized by industry, with a mission to </w:t>
      </w:r>
      <w:r>
        <w:rPr>
          <w:rFonts w:ascii="Arial" w:cs="Arial" w:eastAsia="Arial" w:hAnsi="Arial"/>
          <w:sz w:val="18"/>
          <w:szCs w:val="18"/>
          <w:b w:val="1"/>
          <w:bCs w:val="1"/>
          <w:color w:val="006EBF"/>
        </w:rPr>
        <w:t>make a difference, every person,</w:t>
      </w:r>
      <w:r>
        <w:rPr>
          <w:rFonts w:ascii="Arial" w:cs="Arial" w:eastAsia="Arial" w:hAnsi="Arial"/>
          <w:sz w:val="18"/>
          <w:szCs w:val="18"/>
          <w:color w:val="auto"/>
        </w:rPr>
        <w:t xml:space="preserve"> </w:t>
      </w:r>
      <w:r>
        <w:rPr>
          <w:rFonts w:ascii="Arial" w:cs="Arial" w:eastAsia="Arial" w:hAnsi="Arial"/>
          <w:sz w:val="18"/>
          <w:szCs w:val="18"/>
          <w:b w:val="1"/>
          <w:bCs w:val="1"/>
          <w:color w:val="006EBF"/>
        </w:rPr>
        <w:t>every day</w:t>
      </w:r>
      <w:r>
        <w:rPr>
          <w:rFonts w:ascii="Arial" w:cs="Arial" w:eastAsia="Arial" w:hAnsi="Arial"/>
          <w:sz w:val="18"/>
          <w:szCs w:val="18"/>
          <w:color w:val="000000"/>
        </w:rPr>
        <w:t>.</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FF9900"/>
        </w:rPr>
        <w:t xml:space="preserve">2020 </w:t>
      </w:r>
      <w:r>
        <w:rPr>
          <w:rFonts w:ascii="Arial" w:cs="Arial" w:eastAsia="Arial" w:hAnsi="Arial"/>
          <w:sz w:val="18"/>
          <w:szCs w:val="18"/>
          <w:b w:val="1"/>
          <w:bCs w:val="1"/>
          <w:color w:val="0070C0"/>
        </w:rPr>
        <w:t>Vision</w:t>
      </w:r>
    </w:p>
    <w:p>
      <w:pPr>
        <w:spacing w:after="0" w:line="171"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In September 2015, we announced a comprehensive transformation initiative (“</w:t>
      </w:r>
      <w:r>
        <w:rPr>
          <w:rFonts w:ascii="Arial" w:cs="Arial" w:eastAsia="Arial" w:hAnsi="Arial"/>
          <w:sz w:val="18"/>
          <w:szCs w:val="18"/>
          <w:b w:val="1"/>
          <w:bCs w:val="1"/>
          <w:color w:val="FF9900"/>
        </w:rPr>
        <w:t>2020</w:t>
      </w:r>
      <w:r>
        <w:rPr>
          <w:rFonts w:ascii="Arial" w:cs="Arial" w:eastAsia="Arial" w:hAnsi="Arial"/>
          <w:sz w:val="18"/>
          <w:szCs w:val="18"/>
          <w:color w:val="auto"/>
        </w:rPr>
        <w:t xml:space="preserve"> </w:t>
      </w:r>
      <w:r>
        <w:rPr>
          <w:rFonts w:ascii="Arial" w:cs="Arial" w:eastAsia="Arial" w:hAnsi="Arial"/>
          <w:sz w:val="18"/>
          <w:szCs w:val="18"/>
          <w:b w:val="1"/>
          <w:bCs w:val="1"/>
          <w:color w:val="0070C0"/>
        </w:rPr>
        <w:t>Vision</w:t>
      </w:r>
      <w:r>
        <w:rPr>
          <w:rFonts w:ascii="Arial" w:cs="Arial" w:eastAsia="Arial" w:hAnsi="Arial"/>
          <w:sz w:val="18"/>
          <w:szCs w:val="18"/>
          <w:color w:val="auto"/>
        </w:rPr>
        <w:t xml:space="preserve">”) intended to drive long-term profitable growth through an industry-based go-to-market approach. Our </w:t>
      </w:r>
      <w:r>
        <w:rPr>
          <w:rFonts w:ascii="Arial" w:cs="Arial" w:eastAsia="Arial" w:hAnsi="Arial"/>
          <w:sz w:val="18"/>
          <w:szCs w:val="18"/>
          <w:b w:val="1"/>
          <w:bCs w:val="1"/>
          <w:color w:val="FF9900"/>
        </w:rPr>
        <w:t>2020</w:t>
      </w:r>
      <w:r>
        <w:rPr>
          <w:rFonts w:ascii="Arial" w:cs="Arial" w:eastAsia="Arial" w:hAnsi="Arial"/>
          <w:sz w:val="18"/>
          <w:szCs w:val="18"/>
          <w:color w:val="auto"/>
        </w:rPr>
        <w:t xml:space="preserve"> </w:t>
      </w:r>
      <w:r>
        <w:rPr>
          <w:rFonts w:ascii="Arial" w:cs="Arial" w:eastAsia="Arial" w:hAnsi="Arial"/>
          <w:sz w:val="18"/>
          <w:szCs w:val="18"/>
          <w:b w:val="1"/>
          <w:bCs w:val="1"/>
          <w:color w:val="0070C0"/>
        </w:rPr>
        <w:t>Vision</w:t>
      </w:r>
      <w:r>
        <w:rPr>
          <w:rFonts w:ascii="Arial" w:cs="Arial" w:eastAsia="Arial" w:hAnsi="Arial"/>
          <w:sz w:val="18"/>
          <w:szCs w:val="18"/>
          <w:color w:val="auto"/>
        </w:rPr>
        <w:t xml:space="preserve"> involves three phases: During Phase 1, completed on November 1, 2016, we realigned our organization; in Phase 2, which is continuing today, we are focused on improvements to our operational framework to promote efficiencies and process enhancements; and in Phase 3, on the foundation of benefits realized from Phases 1 and 2, we anticipate accelerating growth with our industry-based, go-to-market service model.</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FF9900"/>
        </w:rPr>
        <w:t xml:space="preserve">2020 </w:t>
      </w:r>
      <w:r>
        <w:rPr>
          <w:rFonts w:ascii="Arial" w:cs="Arial" w:eastAsia="Arial" w:hAnsi="Arial"/>
          <w:sz w:val="18"/>
          <w:szCs w:val="18"/>
          <w:b w:val="1"/>
          <w:bCs w:val="1"/>
          <w:i w:val="1"/>
          <w:iCs w:val="1"/>
          <w:color w:val="0070C0"/>
        </w:rPr>
        <w:t>Vision</w:t>
      </w:r>
      <w:r>
        <w:rPr>
          <w:rFonts w:ascii="Arial" w:cs="Arial" w:eastAsia="Arial" w:hAnsi="Arial"/>
          <w:sz w:val="18"/>
          <w:szCs w:val="18"/>
          <w:b w:val="1"/>
          <w:bCs w:val="1"/>
          <w:i w:val="1"/>
          <w:iCs w:val="1"/>
          <w:color w:val="FF9900"/>
        </w:rPr>
        <w:t xml:space="preserve"> </w:t>
      </w:r>
      <w:r>
        <w:rPr>
          <w:rFonts w:ascii="Arial" w:cs="Arial" w:eastAsia="Arial" w:hAnsi="Arial"/>
          <w:sz w:val="18"/>
          <w:szCs w:val="18"/>
          <w:b w:val="1"/>
          <w:bCs w:val="1"/>
          <w:i w:val="1"/>
          <w:iCs w:val="1"/>
          <w:color w:val="0046AD"/>
        </w:rPr>
        <w:t>Developments in 2018</w:t>
      </w:r>
    </w:p>
    <w:p>
      <w:pPr>
        <w:spacing w:after="0" w:line="247"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8"/>
          <w:szCs w:val="18"/>
          <w:color w:val="auto"/>
        </w:rPr>
        <w:t>During the second half of 2018, we expect to continue focusing on certain aspects of our business practices to further build the foundation upon which we deliver leading industry-based facility services. We anticipate that we will continue to roll out enterprise-wide standard operating procedures (the “</w:t>
      </w:r>
      <w:r>
        <w:rPr>
          <w:rFonts w:ascii="Arial" w:cs="Arial" w:eastAsia="Arial" w:hAnsi="Arial"/>
          <w:sz w:val="18"/>
          <w:szCs w:val="18"/>
          <w:b w:val="1"/>
          <w:bCs w:val="1"/>
          <w:color w:val="0070C0"/>
        </w:rPr>
        <w:t>ABM</w:t>
      </w:r>
      <w:r>
        <w:rPr>
          <w:rFonts w:ascii="Arial" w:cs="Arial" w:eastAsia="Arial" w:hAnsi="Arial"/>
          <w:sz w:val="18"/>
          <w:szCs w:val="18"/>
          <w:color w:val="auto"/>
        </w:rPr>
        <w:t xml:space="preserve"> </w:t>
      </w:r>
      <w:r>
        <w:rPr>
          <w:rFonts w:ascii="Arial" w:cs="Arial" w:eastAsia="Arial" w:hAnsi="Arial"/>
          <w:sz w:val="18"/>
          <w:szCs w:val="18"/>
          <w:b w:val="1"/>
          <w:bCs w:val="1"/>
          <w:color w:val="FF9900"/>
        </w:rPr>
        <w:t>Way</w:t>
      </w:r>
      <w:r>
        <w:rPr>
          <w:rFonts w:ascii="Arial" w:cs="Arial" w:eastAsia="Arial" w:hAnsi="Arial"/>
          <w:sz w:val="18"/>
          <w:szCs w:val="18"/>
          <w:color w:val="auto"/>
        </w:rPr>
        <w:t xml:space="preserve">”) and improve the processes around our account planning, labor management, manager development, and safety initiatives. To achieve this, we are focusing on long term, profitable growth relating to both existing clients and targeted opportunities, and we have launched a “Tag Pricer” tool that will help us capture work orders more efficiently. In addition, we continue consolidating our procurement activities and investing in technology platforms to help drive and sustain </w:t>
      </w:r>
      <w:r>
        <w:rPr>
          <w:rFonts w:ascii="Arial" w:cs="Arial" w:eastAsia="Arial" w:hAnsi="Arial"/>
          <w:sz w:val="18"/>
          <w:szCs w:val="18"/>
          <w:b w:val="1"/>
          <w:bCs w:val="1"/>
          <w:color w:val="FF9900"/>
        </w:rPr>
        <w:t>2020</w:t>
      </w:r>
      <w:r>
        <w:rPr>
          <w:rFonts w:ascii="Arial" w:cs="Arial" w:eastAsia="Arial" w:hAnsi="Arial"/>
          <w:sz w:val="18"/>
          <w:szCs w:val="18"/>
          <w:color w:val="auto"/>
        </w:rPr>
        <w:t xml:space="preserve"> </w:t>
      </w:r>
      <w:r>
        <w:rPr>
          <w:rFonts w:ascii="Arial" w:cs="Arial" w:eastAsia="Arial" w:hAnsi="Arial"/>
          <w:sz w:val="18"/>
          <w:szCs w:val="18"/>
          <w:b w:val="1"/>
          <w:bCs w:val="1"/>
          <w:color w:val="0070C0"/>
        </w:rPr>
        <w:t>Vision</w:t>
      </w:r>
      <w:r>
        <w:rPr>
          <w:rFonts w:ascii="Arial" w:cs="Arial" w:eastAsia="Arial" w:hAnsi="Arial"/>
          <w:sz w:val="18"/>
          <w:szCs w:val="18"/>
          <w:color w:val="auto"/>
        </w:rPr>
        <w:t xml:space="preserve"> performance.</w:t>
      </w:r>
    </w:p>
    <w:p>
      <w:pPr>
        <w:spacing w:after="0" w:line="349"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0046AD"/>
        </w:rPr>
        <w:t>Developments and Trends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28575</wp:posOffset>
            </wp:positionV>
            <wp:extent cx="724662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0046AD"/>
        </w:rPr>
        <w:t>Economic Labor Outlook</w:t>
      </w:r>
    </w:p>
    <w:p>
      <w:pPr>
        <w:spacing w:after="0" w:line="193"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The U.S. economy continues to demonstrate positive underlying fundamentals, with expanding gross domestic product growth and improving employment conditions, which have led to historically low levels of both unemployment and underemployment across the country. These factors have contributed to the lower availability of qualified labor for our business and higher turnover in certain markets, as our employees have more job opportunities both inside and outside our industry. This in turn has caused, and may continue to cause, higher labor and related personnel costs.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0046AD"/>
        </w:rPr>
        <w:t>United States Tax Reform</w:t>
      </w:r>
    </w:p>
    <w:p>
      <w:pPr>
        <w:spacing w:after="0" w:line="193"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8"/>
          <w:szCs w:val="18"/>
          <w:color w:val="auto"/>
        </w:rPr>
        <w:t>The Tax Cuts and Jobs Act (the “Tax Act”), which was enacted on December 22, 2017, represents the most significant overhaul of the U.S. tax code in more than 30 years. Among other provisions, the Tax Act provides for a reduction of the federal corporate income tax rate from 35% to 21% and a “transition tax” to be levied on the deemed repatriation of indefinitely reinvested earnings of international subsidiaries. Since we have an October 31 fiscal year-end, the lower corporate income tax rate will be phased in, resulting in a U.S. statutory federal rate of 23.3% for fiscal 2018 and 21% for subsequent fiscal years. Other provisions under the Tax Act will not be effective for us until fiscal 2019, including limitations on deductibility of interest and executive compensation as well as a new minimum tax on</w:t>
      </w: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522" w:right="239" w:bottom="1440" w:gutter="0" w:footer="0" w:header="0"/>
        </w:sectPr>
      </w:pPr>
    </w:p>
    <w:bookmarkStart w:id="26" w:name="page27"/>
    <w:bookmarkEnd w:id="26"/>
    <w:p>
      <w:pPr>
        <w:jc w:val="both"/>
        <w:spacing w:after="0" w:line="256" w:lineRule="auto"/>
        <w:rPr>
          <w:sz w:val="20"/>
          <w:szCs w:val="20"/>
          <w:color w:val="auto"/>
        </w:rPr>
      </w:pPr>
      <w:r>
        <w:rPr>
          <w:rFonts w:ascii="Arial" w:cs="Arial" w:eastAsia="Arial" w:hAnsi="Arial"/>
          <w:sz w:val="18"/>
          <w:szCs w:val="18"/>
          <w:color w:val="auto"/>
        </w:rPr>
        <w:t>Global Intangible Low-Taxed Income (“GILTI”). As a result, in 2019 we expect our effective tax rate to increase from the 2018 rate. The estimated impact of the Tax Act, as summarized below for the six months ended April 30, 2018, is further described in Note 11, “Income Taxes,” in the Financial Statements.</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81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200" w:type="dxa"/>
            <w:vAlign w:val="bottom"/>
          </w:tcPr>
          <w:p>
            <w:pPr>
              <w:jc w:val="right"/>
              <w:ind w:right="370"/>
              <w:spacing w:after="0"/>
              <w:rPr>
                <w:sz w:val="20"/>
                <w:szCs w:val="20"/>
                <w:color w:val="auto"/>
              </w:rPr>
            </w:pPr>
            <w:r>
              <w:rPr>
                <w:rFonts w:ascii="Arial" w:cs="Arial" w:eastAsia="Arial" w:hAnsi="Arial"/>
                <w:sz w:val="18"/>
                <w:szCs w:val="18"/>
                <w:b w:val="1"/>
                <w:bCs w:val="1"/>
                <w:color w:val="auto"/>
              </w:rPr>
              <w:t>Six Months Ended</w:t>
            </w:r>
          </w:p>
        </w:tc>
      </w:tr>
      <w:tr>
        <w:trPr>
          <w:trHeight w:val="230"/>
        </w:trPr>
        <w:tc>
          <w:tcPr>
            <w:tcW w:w="8900" w:type="dxa"/>
            <w:vAlign w:val="bottom"/>
            <w:gridSpan w:val="3"/>
          </w:tcPr>
          <w:p>
            <w:pPr>
              <w:ind w:left="40"/>
              <w:spacing w:after="0"/>
              <w:rPr>
                <w:sz w:val="20"/>
                <w:szCs w:val="20"/>
                <w:color w:val="auto"/>
              </w:rPr>
            </w:pPr>
            <w:r>
              <w:rPr>
                <w:rFonts w:ascii="Arial" w:cs="Arial" w:eastAsia="Arial" w:hAnsi="Arial"/>
                <w:sz w:val="14"/>
                <w:szCs w:val="14"/>
                <w:i w:val="1"/>
                <w:iCs w:val="1"/>
                <w:color w:val="auto"/>
              </w:rPr>
              <w:t>(in millions)</w:t>
            </w:r>
          </w:p>
        </w:tc>
        <w:tc>
          <w:tcPr>
            <w:tcW w:w="300" w:type="dxa"/>
            <w:vAlign w:val="bottom"/>
          </w:tcPr>
          <w:p>
            <w:pPr>
              <w:spacing w:after="0"/>
              <w:rPr>
                <w:sz w:val="19"/>
                <w:szCs w:val="19"/>
                <w:color w:val="auto"/>
              </w:rPr>
            </w:pPr>
          </w:p>
        </w:tc>
        <w:tc>
          <w:tcPr>
            <w:tcW w:w="2200" w:type="dxa"/>
            <w:vAlign w:val="bottom"/>
          </w:tcPr>
          <w:p>
            <w:pPr>
              <w:jc w:val="right"/>
              <w:ind w:right="570"/>
              <w:spacing w:after="0"/>
              <w:rPr>
                <w:sz w:val="20"/>
                <w:szCs w:val="20"/>
                <w:color w:val="auto"/>
              </w:rPr>
            </w:pPr>
            <w:r>
              <w:rPr>
                <w:rFonts w:ascii="Arial" w:cs="Arial" w:eastAsia="Arial" w:hAnsi="Arial"/>
                <w:sz w:val="18"/>
                <w:szCs w:val="18"/>
                <w:b w:val="1"/>
                <w:bCs w:val="1"/>
                <w:color w:val="auto"/>
              </w:rPr>
              <w:t>April 30, 2018</w:t>
            </w:r>
          </w:p>
        </w:tc>
      </w:tr>
      <w:tr>
        <w:trPr>
          <w:trHeight w:val="21"/>
        </w:trPr>
        <w:tc>
          <w:tcPr>
            <w:tcW w:w="40" w:type="dxa"/>
            <w:vAlign w:val="bottom"/>
            <w:tcBorders>
              <w:bottom w:val="single" w:sz="8" w:color="DCE2EF"/>
            </w:tcBorders>
          </w:tcPr>
          <w:p>
            <w:pPr>
              <w:spacing w:after="0" w:line="20" w:lineRule="exact"/>
              <w:rPr>
                <w:sz w:val="1"/>
                <w:szCs w:val="1"/>
                <w:color w:val="auto"/>
              </w:rPr>
            </w:pPr>
          </w:p>
        </w:tc>
        <w:tc>
          <w:tcPr>
            <w:tcW w:w="700" w:type="dxa"/>
            <w:vAlign w:val="bottom"/>
            <w:tcBorders>
              <w:top w:val="single" w:sz="8" w:color="auto"/>
              <w:bottom w:val="single" w:sz="8" w:color="DCE2EF"/>
            </w:tcBorders>
          </w:tcPr>
          <w:p>
            <w:pPr>
              <w:spacing w:after="0" w:line="20" w:lineRule="exact"/>
              <w:rPr>
                <w:sz w:val="1"/>
                <w:szCs w:val="1"/>
                <w:color w:val="auto"/>
              </w:rPr>
            </w:pPr>
          </w:p>
        </w:tc>
        <w:tc>
          <w:tcPr>
            <w:tcW w:w="8160" w:type="dxa"/>
            <w:vAlign w:val="bottom"/>
            <w:tcBorders>
              <w:bottom w:val="single" w:sz="8" w:color="DCE2E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200" w:type="dxa"/>
            <w:vAlign w:val="bottom"/>
            <w:tcBorders>
              <w:bottom w:val="single" w:sz="8" w:color="auto"/>
            </w:tcBorders>
          </w:tcPr>
          <w:p>
            <w:pPr>
              <w:spacing w:after="0" w:line="20" w:lineRule="exact"/>
              <w:rPr>
                <w:sz w:val="1"/>
                <w:szCs w:val="1"/>
                <w:color w:val="auto"/>
              </w:rPr>
            </w:pPr>
          </w:p>
        </w:tc>
      </w:tr>
      <w:tr>
        <w:trPr>
          <w:trHeight w:val="250"/>
        </w:trPr>
        <w:tc>
          <w:tcPr>
            <w:tcW w:w="8900" w:type="dxa"/>
            <w:vAlign w:val="bottom"/>
            <w:gridSpan w:val="3"/>
            <w:shd w:val="clear" w:color="auto" w:fill="DCE2EF"/>
          </w:tcPr>
          <w:p>
            <w:pPr>
              <w:ind w:left="40"/>
              <w:spacing w:after="0"/>
              <w:rPr>
                <w:sz w:val="20"/>
                <w:szCs w:val="20"/>
                <w:color w:val="auto"/>
              </w:rPr>
            </w:pPr>
            <w:r>
              <w:rPr>
                <w:rFonts w:ascii="Arial" w:cs="Arial" w:eastAsia="Arial" w:hAnsi="Arial"/>
                <w:sz w:val="18"/>
                <w:szCs w:val="18"/>
                <w:color w:val="auto"/>
              </w:rPr>
              <w:t>Remeasurement of U.S. deferred tax assets and liabilities</w:t>
            </w:r>
          </w:p>
        </w:tc>
        <w:tc>
          <w:tcPr>
            <w:tcW w:w="300" w:type="dxa"/>
            <w:vAlign w:val="bottom"/>
            <w:shd w:val="clear" w:color="auto" w:fill="DCE2EF"/>
          </w:tcPr>
          <w:p>
            <w:pPr>
              <w:jc w:val="right"/>
              <w:ind w:right="90"/>
              <w:spacing w:after="0"/>
              <w:rPr>
                <w:sz w:val="20"/>
                <w:szCs w:val="20"/>
                <w:color w:val="auto"/>
              </w:rPr>
            </w:pPr>
            <w:r>
              <w:rPr>
                <w:rFonts w:ascii="Arial" w:cs="Arial" w:eastAsia="Arial" w:hAnsi="Arial"/>
                <w:sz w:val="18"/>
                <w:szCs w:val="18"/>
                <w:color w:val="auto"/>
                <w:w w:val="99"/>
              </w:rPr>
              <w:t>$</w:t>
            </w:r>
          </w:p>
        </w:tc>
        <w:tc>
          <w:tcPr>
            <w:tcW w:w="2200" w:type="dxa"/>
            <w:vAlign w:val="bottom"/>
            <w:shd w:val="clear" w:color="auto" w:fill="DCE2EF"/>
          </w:tcPr>
          <w:p>
            <w:pPr>
              <w:jc w:val="right"/>
              <w:ind w:right="10"/>
              <w:spacing w:after="0"/>
              <w:rPr>
                <w:sz w:val="20"/>
                <w:szCs w:val="20"/>
                <w:color w:val="auto"/>
              </w:rPr>
            </w:pPr>
            <w:r>
              <w:rPr>
                <w:rFonts w:ascii="Arial" w:cs="Arial" w:eastAsia="Arial" w:hAnsi="Arial"/>
                <w:sz w:val="18"/>
                <w:szCs w:val="18"/>
                <w:color w:val="auto"/>
              </w:rPr>
              <w:t>28.7</w:t>
            </w:r>
          </w:p>
        </w:tc>
      </w:tr>
      <w:tr>
        <w:trPr>
          <w:trHeight w:val="250"/>
        </w:trPr>
        <w:tc>
          <w:tcPr>
            <w:tcW w:w="8900" w:type="dxa"/>
            <w:vAlign w:val="bottom"/>
            <w:tcBorders>
              <w:bottom w:val="single" w:sz="8" w:color="DCE2EF"/>
            </w:tcBorders>
            <w:gridSpan w:val="3"/>
          </w:tcPr>
          <w:p>
            <w:pPr>
              <w:ind w:left="40"/>
              <w:spacing w:after="0"/>
              <w:rPr>
                <w:sz w:val="20"/>
                <w:szCs w:val="20"/>
                <w:color w:val="auto"/>
              </w:rPr>
            </w:pPr>
            <w:r>
              <w:rPr>
                <w:rFonts w:ascii="Arial" w:cs="Arial" w:eastAsia="Arial" w:hAnsi="Arial"/>
                <w:sz w:val="18"/>
                <w:szCs w:val="18"/>
                <w:color w:val="auto"/>
              </w:rPr>
              <w:t>Transition tax on non-U.S. subsidiaries’ earnings</w:t>
            </w:r>
          </w:p>
        </w:tc>
        <w:tc>
          <w:tcPr>
            <w:tcW w:w="300" w:type="dxa"/>
            <w:vAlign w:val="bottom"/>
            <w:tcBorders>
              <w:bottom w:val="single" w:sz="8" w:color="auto"/>
            </w:tcBorders>
          </w:tcPr>
          <w:p>
            <w:pPr>
              <w:spacing w:after="0"/>
              <w:rPr>
                <w:sz w:val="21"/>
                <w:szCs w:val="21"/>
                <w:color w:val="auto"/>
              </w:rPr>
            </w:pPr>
          </w:p>
        </w:tc>
        <w:tc>
          <w:tcPr>
            <w:tcW w:w="2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w:t>
            </w:r>
          </w:p>
        </w:tc>
      </w:tr>
      <w:tr>
        <w:trPr>
          <w:trHeight w:val="257"/>
        </w:trPr>
        <w:tc>
          <w:tcPr>
            <w:tcW w:w="8900" w:type="dxa"/>
            <w:vAlign w:val="bottom"/>
            <w:tcBorders>
              <w:bottom w:val="single" w:sz="8" w:color="DCE2EF"/>
            </w:tcBorders>
            <w:gridSpan w:val="3"/>
            <w:shd w:val="clear" w:color="auto" w:fill="DCE2EF"/>
          </w:tcPr>
          <w:p>
            <w:pPr>
              <w:ind w:left="40"/>
              <w:spacing w:after="0"/>
              <w:rPr>
                <w:sz w:val="20"/>
                <w:szCs w:val="20"/>
                <w:color w:val="auto"/>
              </w:rPr>
            </w:pPr>
            <w:r>
              <w:rPr>
                <w:rFonts w:ascii="Arial" w:cs="Arial" w:eastAsia="Arial" w:hAnsi="Arial"/>
                <w:sz w:val="18"/>
                <w:szCs w:val="18"/>
                <w:b w:val="1"/>
                <w:bCs w:val="1"/>
                <w:color w:val="auto"/>
              </w:rPr>
              <w:t>Total impact of the Tax Act on the benefit for income taxes</w:t>
            </w:r>
          </w:p>
        </w:tc>
        <w:tc>
          <w:tcPr>
            <w:tcW w:w="300" w:type="dxa"/>
            <w:vAlign w:val="bottom"/>
            <w:tcBorders>
              <w:bottom w:val="single" w:sz="8" w:color="auto"/>
            </w:tcBorders>
            <w:shd w:val="clear" w:color="auto" w:fill="DCE2EF"/>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2200" w:type="dxa"/>
            <w:vAlign w:val="bottom"/>
            <w:tcBorders>
              <w:bottom w:val="single" w:sz="8" w:color="auto"/>
            </w:tcBorders>
            <w:shd w:val="clear" w:color="auto" w:fill="DCE2EF"/>
          </w:tcPr>
          <w:p>
            <w:pPr>
              <w:jc w:val="right"/>
              <w:ind w:right="10"/>
              <w:spacing w:after="0"/>
              <w:rPr>
                <w:sz w:val="20"/>
                <w:szCs w:val="20"/>
                <w:color w:val="auto"/>
              </w:rPr>
            </w:pPr>
            <w:r>
              <w:rPr>
                <w:rFonts w:ascii="Arial" w:cs="Arial" w:eastAsia="Arial" w:hAnsi="Arial"/>
                <w:sz w:val="18"/>
                <w:szCs w:val="18"/>
                <w:b w:val="1"/>
                <w:bCs w:val="1"/>
                <w:color w:val="auto"/>
              </w:rPr>
              <w:t>21.7</w:t>
            </w:r>
          </w:p>
        </w:tc>
      </w:tr>
      <w:tr>
        <w:trPr>
          <w:trHeight w:val="20"/>
        </w:trPr>
        <w:tc>
          <w:tcPr>
            <w:tcW w:w="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1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200" w:type="dxa"/>
            <w:vAlign w:val="bottom"/>
            <w:tcBorders>
              <w:bottom w:val="single" w:sz="8" w:color="auto"/>
            </w:tcBorders>
          </w:tcPr>
          <w:p>
            <w:pPr>
              <w:spacing w:after="0" w:line="20" w:lineRule="exact"/>
              <w:rPr>
                <w:sz w:val="1"/>
                <w:szCs w:val="1"/>
                <w:color w:val="auto"/>
              </w:rPr>
            </w:pPr>
          </w:p>
        </w:tc>
      </w:tr>
    </w:tbl>
    <w:p>
      <w:pPr>
        <w:spacing w:after="0" w:line="161"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18"/>
          <w:szCs w:val="18"/>
          <w:color w:val="auto"/>
        </w:rPr>
        <w:t>Due to the complexities of implementing the provisions of the Tax Act, the staff of the U.S. Securities and Exchange Commission issued Staff Accounting Bulletin 118 (“SAB 118”), which provides guidance on accounting for tax effects of the Tax Act and permits a measurement period not to exceed one year from the enactment date for companies to complete the required analyses and accounting. We continue to analyze certain aspects of the Tax Act and refine our calculation of the impact on our deferred tax balances, which could potentially affect the measurement of these balances. The provisional amount recorded is based on our estimate of the expected reversals of certain tax assets and liabilities, which may be revised in future quarters during the one-year measurement period as additional information becomes available. The final impact related to the one-time transition tax may differ from our current estimate due to the complexity of calculating and supporting U.S. tax attributes involved in foreign tax credit calculations, such as accumulated foreign earnings and profits, foreign tax paid, and other tax components. Changes to our estimates over the one-year measurement period could be material due to, among other things: changes in interpretations of the Tax Act; future legislative action to address questions that arise from the Tax Act; changes in accounting standards for income taxes or related interpretations in response to the Tax Act; or any updates or changes to estimates we have utilized to calculate the provisional amounts. We did not record any changes to the provisional amounts during the three months ended April 30, 2018.</w:t>
      </w:r>
    </w:p>
    <w:p>
      <w:pPr>
        <w:spacing w:after="0" w:line="157"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Beginning in fiscal year 2019, provisions under GILTI could result in incremental U.S. federal tax on our foreign subsidiaries’ income in excess of an allowed return on certain tangible property. The Financial Accounting Standards Board has determined that filers have a policy choice to account for this tax on either a period basis or a deferred tax basis. We are still evaluating the impacts of GILTI on our business model and have not yet made any accounting adjustments or policy decisions regarding this new source of incremental U.S. taxable income.</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0046AD"/>
        </w:rPr>
        <w:t>GCA Services Group</w:t>
      </w:r>
    </w:p>
    <w:p>
      <w:pPr>
        <w:spacing w:after="0" w:line="193"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On September 1, 2017, we acquired GCA Services Group (“GCA”), a provider of integrated facility services to educational institutions and commercial facilities, for approximately $1.3 billion, consisting of $837.5 million in cash (revised during the second quarter of 2018 to reflect a post-closing purchase price adjustment related to a net working capital settlement) and approximately 9.4 million shares of ABM common stock with a fair value of $421.3 million at closing. Refer to Note 3, “Acquisitions,” in the Financial Statements for more information on this transaction.</w:t>
      </w:r>
    </w:p>
    <w:p>
      <w:pPr>
        <w:spacing w:after="0" w:line="152"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Our consolidated statements of comprehensive income (loss) and statements of cash flows include GCA’s results of operations in the three and six months ended April 30, 2018, but exclude GCA’s results of operations in the three and six months ended April 30, 2017, as that was prior to the acquisition date. During the three and six months ended April 30, 2018, we recognized total incremental revenues from GCA of $256.4 million and $508.0 million, respectively, as summarized below.</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7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40" w:type="dxa"/>
            <w:vAlign w:val="bottom"/>
            <w:gridSpan w:val="2"/>
          </w:tcPr>
          <w:p>
            <w:pPr>
              <w:jc w:val="center"/>
              <w:ind w:right="360"/>
              <w:spacing w:after="0"/>
              <w:rPr>
                <w:sz w:val="20"/>
                <w:szCs w:val="20"/>
                <w:color w:val="auto"/>
              </w:rPr>
            </w:pPr>
            <w:r>
              <w:rPr>
                <w:rFonts w:ascii="Arial" w:cs="Arial" w:eastAsia="Arial" w:hAnsi="Arial"/>
                <w:sz w:val="16"/>
                <w:szCs w:val="16"/>
                <w:b w:val="1"/>
                <w:bCs w:val="1"/>
                <w:color w:val="auto"/>
              </w:rPr>
              <w:t>Three Months Ended</w:t>
            </w:r>
          </w:p>
        </w:tc>
        <w:tc>
          <w:tcPr>
            <w:tcW w:w="300" w:type="dxa"/>
            <w:vAlign w:val="bottom"/>
          </w:tcPr>
          <w:p>
            <w:pPr>
              <w:spacing w:after="0"/>
              <w:rPr>
                <w:sz w:val="18"/>
                <w:szCs w:val="18"/>
                <w:color w:val="auto"/>
              </w:rPr>
            </w:pPr>
          </w:p>
        </w:tc>
        <w:tc>
          <w:tcPr>
            <w:tcW w:w="2060" w:type="dxa"/>
            <w:vAlign w:val="bottom"/>
          </w:tcPr>
          <w:p>
            <w:pPr>
              <w:jc w:val="right"/>
              <w:ind w:right="399"/>
              <w:spacing w:after="0"/>
              <w:rPr>
                <w:sz w:val="20"/>
                <w:szCs w:val="20"/>
                <w:color w:val="auto"/>
              </w:rPr>
            </w:pPr>
            <w:r>
              <w:rPr>
                <w:rFonts w:ascii="Arial" w:cs="Arial" w:eastAsia="Arial" w:hAnsi="Arial"/>
                <w:sz w:val="16"/>
                <w:szCs w:val="16"/>
                <w:b w:val="1"/>
                <w:bCs w:val="1"/>
                <w:color w:val="auto"/>
              </w:rPr>
              <w:t>Six Months Ended</w:t>
            </w:r>
          </w:p>
        </w:tc>
      </w:tr>
      <w:tr>
        <w:trPr>
          <w:trHeight w:val="249"/>
        </w:trPr>
        <w:tc>
          <w:tcPr>
            <w:tcW w:w="6440" w:type="dxa"/>
            <w:vAlign w:val="bottom"/>
            <w:gridSpan w:val="3"/>
          </w:tcPr>
          <w:p>
            <w:pPr>
              <w:ind w:left="40"/>
              <w:spacing w:after="0"/>
              <w:rPr>
                <w:sz w:val="20"/>
                <w:szCs w:val="20"/>
                <w:color w:val="auto"/>
              </w:rPr>
            </w:pPr>
            <w:r>
              <w:rPr>
                <w:rFonts w:ascii="Arial" w:cs="Arial" w:eastAsia="Arial" w:hAnsi="Arial"/>
                <w:sz w:val="14"/>
                <w:szCs w:val="14"/>
                <w:i w:val="1"/>
                <w:iCs w:val="1"/>
                <w:color w:val="auto"/>
              </w:rPr>
              <w:t>(in millions)</w:t>
            </w:r>
          </w:p>
        </w:tc>
        <w:tc>
          <w:tcPr>
            <w:tcW w:w="240" w:type="dxa"/>
            <w:vAlign w:val="bottom"/>
          </w:tcPr>
          <w:p>
            <w:pPr>
              <w:spacing w:after="0"/>
              <w:rPr>
                <w:sz w:val="21"/>
                <w:szCs w:val="21"/>
                <w:color w:val="auto"/>
              </w:rPr>
            </w:pPr>
          </w:p>
        </w:tc>
        <w:tc>
          <w:tcPr>
            <w:tcW w:w="2240" w:type="dxa"/>
            <w:vAlign w:val="bottom"/>
            <w:gridSpan w:val="2"/>
          </w:tcPr>
          <w:p>
            <w:pPr>
              <w:jc w:val="center"/>
              <w:ind w:right="360"/>
              <w:spacing w:after="0"/>
              <w:rPr>
                <w:sz w:val="20"/>
                <w:szCs w:val="20"/>
                <w:color w:val="auto"/>
              </w:rPr>
            </w:pPr>
            <w:r>
              <w:rPr>
                <w:rFonts w:ascii="Arial" w:cs="Arial" w:eastAsia="Arial" w:hAnsi="Arial"/>
                <w:sz w:val="16"/>
                <w:szCs w:val="16"/>
                <w:b w:val="1"/>
                <w:bCs w:val="1"/>
                <w:color w:val="auto"/>
              </w:rPr>
              <w:t>April 30, 2018</w:t>
            </w:r>
          </w:p>
        </w:tc>
        <w:tc>
          <w:tcPr>
            <w:tcW w:w="300" w:type="dxa"/>
            <w:vAlign w:val="bottom"/>
          </w:tcPr>
          <w:p>
            <w:pPr>
              <w:spacing w:after="0"/>
              <w:rPr>
                <w:sz w:val="21"/>
                <w:szCs w:val="21"/>
                <w:color w:val="auto"/>
              </w:rPr>
            </w:pPr>
          </w:p>
        </w:tc>
        <w:tc>
          <w:tcPr>
            <w:tcW w:w="2060" w:type="dxa"/>
            <w:vAlign w:val="bottom"/>
          </w:tcPr>
          <w:p>
            <w:pPr>
              <w:jc w:val="right"/>
              <w:ind w:right="579"/>
              <w:spacing w:after="0"/>
              <w:rPr>
                <w:sz w:val="20"/>
                <w:szCs w:val="20"/>
                <w:color w:val="auto"/>
              </w:rPr>
            </w:pPr>
            <w:r>
              <w:rPr>
                <w:rFonts w:ascii="Arial" w:cs="Arial" w:eastAsia="Arial" w:hAnsi="Arial"/>
                <w:sz w:val="16"/>
                <w:szCs w:val="16"/>
                <w:b w:val="1"/>
                <w:bCs w:val="1"/>
                <w:color w:val="auto"/>
              </w:rPr>
              <w:t>April 30, 2018</w:t>
            </w:r>
          </w:p>
        </w:tc>
      </w:tr>
      <w:tr>
        <w:trPr>
          <w:trHeight w:val="21"/>
        </w:trPr>
        <w:tc>
          <w:tcPr>
            <w:tcW w:w="40" w:type="dxa"/>
            <w:vAlign w:val="bottom"/>
            <w:tcBorders>
              <w:bottom w:val="single" w:sz="8" w:color="DCE2EF"/>
            </w:tcBorders>
          </w:tcPr>
          <w:p>
            <w:pPr>
              <w:spacing w:after="0" w:line="20" w:lineRule="exact"/>
              <w:rPr>
                <w:sz w:val="1"/>
                <w:szCs w:val="1"/>
                <w:color w:val="auto"/>
              </w:rPr>
            </w:pPr>
          </w:p>
        </w:tc>
        <w:tc>
          <w:tcPr>
            <w:tcW w:w="700" w:type="dxa"/>
            <w:vAlign w:val="bottom"/>
            <w:tcBorders>
              <w:top w:val="single" w:sz="8" w:color="auto"/>
              <w:bottom w:val="single" w:sz="8" w:color="DCE2EF"/>
            </w:tcBorders>
          </w:tcPr>
          <w:p>
            <w:pPr>
              <w:spacing w:after="0" w:line="20" w:lineRule="exact"/>
              <w:rPr>
                <w:sz w:val="1"/>
                <w:szCs w:val="1"/>
                <w:color w:val="auto"/>
              </w:rPr>
            </w:pPr>
          </w:p>
        </w:tc>
        <w:tc>
          <w:tcPr>
            <w:tcW w:w="5700" w:type="dxa"/>
            <w:vAlign w:val="bottom"/>
            <w:tcBorders>
              <w:bottom w:val="single" w:sz="8" w:color="DCE2E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DCE2E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060" w:type="dxa"/>
            <w:vAlign w:val="bottom"/>
            <w:tcBorders>
              <w:bottom w:val="single" w:sz="8" w:color="auto"/>
            </w:tcBorders>
          </w:tcPr>
          <w:p>
            <w:pPr>
              <w:spacing w:after="0" w:line="20" w:lineRule="exact"/>
              <w:rPr>
                <w:sz w:val="1"/>
                <w:szCs w:val="1"/>
                <w:color w:val="auto"/>
              </w:rPr>
            </w:pPr>
          </w:p>
        </w:tc>
      </w:tr>
      <w:tr>
        <w:trPr>
          <w:trHeight w:val="250"/>
        </w:trPr>
        <w:tc>
          <w:tcPr>
            <w:tcW w:w="6440" w:type="dxa"/>
            <w:vAlign w:val="bottom"/>
            <w:gridSpan w:val="3"/>
            <w:shd w:val="clear" w:color="auto" w:fill="DCE2EF"/>
          </w:tcPr>
          <w:p>
            <w:pPr>
              <w:ind w:left="40"/>
              <w:spacing w:after="0"/>
              <w:rPr>
                <w:sz w:val="20"/>
                <w:szCs w:val="20"/>
                <w:color w:val="auto"/>
              </w:rPr>
            </w:pPr>
            <w:r>
              <w:rPr>
                <w:rFonts w:ascii="Arial" w:cs="Arial" w:eastAsia="Arial" w:hAnsi="Arial"/>
                <w:sz w:val="16"/>
                <w:szCs w:val="16"/>
                <w:color w:val="auto"/>
              </w:rPr>
              <w:t>Education</w:t>
            </w:r>
          </w:p>
        </w:tc>
        <w:tc>
          <w:tcPr>
            <w:tcW w:w="240" w:type="dxa"/>
            <w:vAlign w:val="bottom"/>
            <w:shd w:val="clear" w:color="auto" w:fill="DCE2EF"/>
          </w:tcPr>
          <w:p>
            <w:pPr>
              <w:jc w:val="right"/>
              <w:ind w:right="39"/>
              <w:spacing w:after="0"/>
              <w:rPr>
                <w:sz w:val="20"/>
                <w:szCs w:val="20"/>
                <w:color w:val="auto"/>
              </w:rPr>
            </w:pPr>
            <w:r>
              <w:rPr>
                <w:rFonts w:ascii="Arial" w:cs="Arial" w:eastAsia="Arial" w:hAnsi="Arial"/>
                <w:sz w:val="16"/>
                <w:szCs w:val="16"/>
                <w:color w:val="auto"/>
              </w:rPr>
              <w:t>$</w:t>
            </w:r>
          </w:p>
        </w:tc>
        <w:tc>
          <w:tcPr>
            <w:tcW w:w="2140" w:type="dxa"/>
            <w:vAlign w:val="bottom"/>
            <w:shd w:val="clear" w:color="auto" w:fill="DCE2EF"/>
          </w:tcPr>
          <w:p>
            <w:pPr>
              <w:jc w:val="right"/>
              <w:ind w:right="39"/>
              <w:spacing w:after="0"/>
              <w:rPr>
                <w:sz w:val="20"/>
                <w:szCs w:val="20"/>
                <w:color w:val="auto"/>
              </w:rPr>
            </w:pPr>
            <w:r>
              <w:rPr>
                <w:rFonts w:ascii="Arial" w:cs="Arial" w:eastAsia="Arial" w:hAnsi="Arial"/>
                <w:sz w:val="16"/>
                <w:szCs w:val="16"/>
                <w:color w:val="auto"/>
              </w:rPr>
              <w:t>141.5</w:t>
            </w:r>
          </w:p>
        </w:tc>
        <w:tc>
          <w:tcPr>
            <w:tcW w:w="100" w:type="dxa"/>
            <w:vAlign w:val="bottom"/>
            <w:shd w:val="clear" w:color="auto" w:fill="DCE2EF"/>
          </w:tcPr>
          <w:p>
            <w:pPr>
              <w:spacing w:after="0"/>
              <w:rPr>
                <w:sz w:val="21"/>
                <w:szCs w:val="21"/>
                <w:color w:val="auto"/>
              </w:rPr>
            </w:pPr>
          </w:p>
        </w:tc>
        <w:tc>
          <w:tcPr>
            <w:tcW w:w="300" w:type="dxa"/>
            <w:vAlign w:val="bottom"/>
            <w:shd w:val="clear" w:color="auto" w:fill="DCE2EF"/>
          </w:tcPr>
          <w:p>
            <w:pPr>
              <w:jc w:val="right"/>
              <w:ind w:right="99"/>
              <w:spacing w:after="0"/>
              <w:rPr>
                <w:sz w:val="20"/>
                <w:szCs w:val="20"/>
                <w:color w:val="auto"/>
              </w:rPr>
            </w:pPr>
            <w:r>
              <w:rPr>
                <w:rFonts w:ascii="Arial" w:cs="Arial" w:eastAsia="Arial" w:hAnsi="Arial"/>
                <w:sz w:val="16"/>
                <w:szCs w:val="16"/>
                <w:color w:val="auto"/>
              </w:rPr>
              <w:t>$</w:t>
            </w:r>
          </w:p>
        </w:tc>
        <w:tc>
          <w:tcPr>
            <w:tcW w:w="2060" w:type="dxa"/>
            <w:vAlign w:val="bottom"/>
            <w:shd w:val="clear" w:color="auto" w:fill="DCE2EF"/>
          </w:tcPr>
          <w:p>
            <w:pPr>
              <w:jc w:val="right"/>
              <w:ind w:right="19"/>
              <w:spacing w:after="0"/>
              <w:rPr>
                <w:sz w:val="20"/>
                <w:szCs w:val="20"/>
                <w:color w:val="auto"/>
              </w:rPr>
            </w:pPr>
            <w:r>
              <w:rPr>
                <w:rFonts w:ascii="Arial" w:cs="Arial" w:eastAsia="Arial" w:hAnsi="Arial"/>
                <w:sz w:val="16"/>
                <w:szCs w:val="16"/>
                <w:color w:val="auto"/>
              </w:rPr>
              <w:t>281.9</w:t>
            </w:r>
          </w:p>
        </w:tc>
      </w:tr>
      <w:tr>
        <w:trPr>
          <w:trHeight w:val="260"/>
        </w:trPr>
        <w:tc>
          <w:tcPr>
            <w:tcW w:w="6440" w:type="dxa"/>
            <w:vAlign w:val="bottom"/>
            <w:gridSpan w:val="3"/>
          </w:tcPr>
          <w:p>
            <w:pPr>
              <w:ind w:left="40"/>
              <w:spacing w:after="0"/>
              <w:rPr>
                <w:sz w:val="20"/>
                <w:szCs w:val="20"/>
                <w:color w:val="auto"/>
              </w:rPr>
            </w:pPr>
            <w:r>
              <w:rPr>
                <w:rFonts w:ascii="Arial" w:cs="Arial" w:eastAsia="Arial" w:hAnsi="Arial"/>
                <w:sz w:val="16"/>
                <w:szCs w:val="16"/>
                <w:color w:val="auto"/>
              </w:rPr>
              <w:t>Technology &amp; Manufacturing</w:t>
            </w:r>
          </w:p>
        </w:tc>
        <w:tc>
          <w:tcPr>
            <w:tcW w:w="240" w:type="dxa"/>
            <w:vAlign w:val="bottom"/>
          </w:tcPr>
          <w:p>
            <w:pPr>
              <w:spacing w:after="0"/>
              <w:rPr>
                <w:sz w:val="22"/>
                <w:szCs w:val="22"/>
                <w:color w:val="auto"/>
              </w:rPr>
            </w:pPr>
          </w:p>
        </w:tc>
        <w:tc>
          <w:tcPr>
            <w:tcW w:w="2140" w:type="dxa"/>
            <w:vAlign w:val="bottom"/>
          </w:tcPr>
          <w:p>
            <w:pPr>
              <w:jc w:val="right"/>
              <w:ind w:right="39"/>
              <w:spacing w:after="0"/>
              <w:rPr>
                <w:sz w:val="20"/>
                <w:szCs w:val="20"/>
                <w:color w:val="auto"/>
              </w:rPr>
            </w:pPr>
            <w:r>
              <w:rPr>
                <w:rFonts w:ascii="Arial" w:cs="Arial" w:eastAsia="Arial" w:hAnsi="Arial"/>
                <w:sz w:val="16"/>
                <w:szCs w:val="16"/>
                <w:color w:val="auto"/>
              </w:rPr>
              <w:t>60.6</w:t>
            </w: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2060" w:type="dxa"/>
            <w:vAlign w:val="bottom"/>
          </w:tcPr>
          <w:p>
            <w:pPr>
              <w:jc w:val="right"/>
              <w:ind w:right="19"/>
              <w:spacing w:after="0"/>
              <w:rPr>
                <w:sz w:val="20"/>
                <w:szCs w:val="20"/>
                <w:color w:val="auto"/>
              </w:rPr>
            </w:pPr>
            <w:r>
              <w:rPr>
                <w:rFonts w:ascii="Arial" w:cs="Arial" w:eastAsia="Arial" w:hAnsi="Arial"/>
                <w:sz w:val="16"/>
                <w:szCs w:val="16"/>
                <w:color w:val="auto"/>
              </w:rPr>
              <w:t>119.2</w:t>
            </w:r>
          </w:p>
        </w:tc>
      </w:tr>
      <w:tr>
        <w:trPr>
          <w:trHeight w:val="280"/>
        </w:trPr>
        <w:tc>
          <w:tcPr>
            <w:tcW w:w="6440" w:type="dxa"/>
            <w:vAlign w:val="bottom"/>
            <w:gridSpan w:val="3"/>
            <w:shd w:val="clear" w:color="auto" w:fill="DCE2EF"/>
          </w:tcPr>
          <w:p>
            <w:pPr>
              <w:ind w:left="40"/>
              <w:spacing w:after="0"/>
              <w:rPr>
                <w:sz w:val="20"/>
                <w:szCs w:val="20"/>
                <w:color w:val="auto"/>
              </w:rPr>
            </w:pPr>
            <w:r>
              <w:rPr>
                <w:rFonts w:ascii="Arial" w:cs="Arial" w:eastAsia="Arial" w:hAnsi="Arial"/>
                <w:sz w:val="16"/>
                <w:szCs w:val="16"/>
                <w:color w:val="auto"/>
              </w:rPr>
              <w:t>Business &amp; Industry</w:t>
            </w:r>
          </w:p>
        </w:tc>
        <w:tc>
          <w:tcPr>
            <w:tcW w:w="240" w:type="dxa"/>
            <w:vAlign w:val="bottom"/>
            <w:shd w:val="clear" w:color="auto" w:fill="DCE2EF"/>
          </w:tcPr>
          <w:p>
            <w:pPr>
              <w:spacing w:after="0"/>
              <w:rPr>
                <w:sz w:val="24"/>
                <w:szCs w:val="24"/>
                <w:color w:val="auto"/>
              </w:rPr>
            </w:pPr>
          </w:p>
        </w:tc>
        <w:tc>
          <w:tcPr>
            <w:tcW w:w="2140" w:type="dxa"/>
            <w:vAlign w:val="bottom"/>
            <w:shd w:val="clear" w:color="auto" w:fill="DCE2EF"/>
          </w:tcPr>
          <w:p>
            <w:pPr>
              <w:jc w:val="right"/>
              <w:ind w:right="39"/>
              <w:spacing w:after="0"/>
              <w:rPr>
                <w:sz w:val="20"/>
                <w:szCs w:val="20"/>
                <w:color w:val="auto"/>
              </w:rPr>
            </w:pPr>
            <w:r>
              <w:rPr>
                <w:rFonts w:ascii="Arial" w:cs="Arial" w:eastAsia="Arial" w:hAnsi="Arial"/>
                <w:sz w:val="16"/>
                <w:szCs w:val="16"/>
                <w:color w:val="auto"/>
              </w:rPr>
              <w:t>42.5</w:t>
            </w:r>
          </w:p>
        </w:tc>
        <w:tc>
          <w:tcPr>
            <w:tcW w:w="100" w:type="dxa"/>
            <w:vAlign w:val="bottom"/>
            <w:shd w:val="clear" w:color="auto" w:fill="DCE2EF"/>
          </w:tcPr>
          <w:p>
            <w:pPr>
              <w:spacing w:after="0"/>
              <w:rPr>
                <w:sz w:val="24"/>
                <w:szCs w:val="24"/>
                <w:color w:val="auto"/>
              </w:rPr>
            </w:pPr>
          </w:p>
        </w:tc>
        <w:tc>
          <w:tcPr>
            <w:tcW w:w="300" w:type="dxa"/>
            <w:vAlign w:val="bottom"/>
            <w:shd w:val="clear" w:color="auto" w:fill="DCE2EF"/>
          </w:tcPr>
          <w:p>
            <w:pPr>
              <w:spacing w:after="0"/>
              <w:rPr>
                <w:sz w:val="24"/>
                <w:szCs w:val="24"/>
                <w:color w:val="auto"/>
              </w:rPr>
            </w:pPr>
          </w:p>
        </w:tc>
        <w:tc>
          <w:tcPr>
            <w:tcW w:w="2060" w:type="dxa"/>
            <w:vAlign w:val="bottom"/>
            <w:shd w:val="clear" w:color="auto" w:fill="DCE2EF"/>
          </w:tcPr>
          <w:p>
            <w:pPr>
              <w:jc w:val="right"/>
              <w:ind w:right="19"/>
              <w:spacing w:after="0"/>
              <w:rPr>
                <w:sz w:val="20"/>
                <w:szCs w:val="20"/>
                <w:color w:val="auto"/>
              </w:rPr>
            </w:pPr>
            <w:r>
              <w:rPr>
                <w:rFonts w:ascii="Arial" w:cs="Arial" w:eastAsia="Arial" w:hAnsi="Arial"/>
                <w:sz w:val="16"/>
                <w:szCs w:val="16"/>
                <w:color w:val="auto"/>
              </w:rPr>
              <w:t>83.2</w:t>
            </w:r>
          </w:p>
        </w:tc>
      </w:tr>
      <w:tr>
        <w:trPr>
          <w:trHeight w:val="260"/>
        </w:trPr>
        <w:tc>
          <w:tcPr>
            <w:tcW w:w="6440" w:type="dxa"/>
            <w:vAlign w:val="bottom"/>
            <w:gridSpan w:val="3"/>
          </w:tcPr>
          <w:p>
            <w:pPr>
              <w:ind w:left="40"/>
              <w:spacing w:after="0"/>
              <w:rPr>
                <w:sz w:val="20"/>
                <w:szCs w:val="20"/>
                <w:color w:val="auto"/>
              </w:rPr>
            </w:pPr>
            <w:r>
              <w:rPr>
                <w:rFonts w:ascii="Arial" w:cs="Arial" w:eastAsia="Arial" w:hAnsi="Arial"/>
                <w:sz w:val="16"/>
                <w:szCs w:val="16"/>
                <w:color w:val="auto"/>
              </w:rPr>
              <w:t>Healthcare</w:t>
            </w:r>
          </w:p>
        </w:tc>
        <w:tc>
          <w:tcPr>
            <w:tcW w:w="240" w:type="dxa"/>
            <w:vAlign w:val="bottom"/>
          </w:tcPr>
          <w:p>
            <w:pPr>
              <w:spacing w:after="0"/>
              <w:rPr>
                <w:sz w:val="22"/>
                <w:szCs w:val="22"/>
                <w:color w:val="auto"/>
              </w:rPr>
            </w:pPr>
          </w:p>
        </w:tc>
        <w:tc>
          <w:tcPr>
            <w:tcW w:w="2140" w:type="dxa"/>
            <w:vAlign w:val="bottom"/>
          </w:tcPr>
          <w:p>
            <w:pPr>
              <w:jc w:val="right"/>
              <w:ind w:right="39"/>
              <w:spacing w:after="0"/>
              <w:rPr>
                <w:sz w:val="20"/>
                <w:szCs w:val="20"/>
                <w:color w:val="auto"/>
              </w:rPr>
            </w:pPr>
            <w:r>
              <w:rPr>
                <w:rFonts w:ascii="Arial" w:cs="Arial" w:eastAsia="Arial" w:hAnsi="Arial"/>
                <w:sz w:val="16"/>
                <w:szCs w:val="16"/>
                <w:color w:val="auto"/>
              </w:rPr>
              <w:t>7.6</w:t>
            </w: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2060" w:type="dxa"/>
            <w:vAlign w:val="bottom"/>
          </w:tcPr>
          <w:p>
            <w:pPr>
              <w:jc w:val="right"/>
              <w:ind w:right="19"/>
              <w:spacing w:after="0"/>
              <w:rPr>
                <w:sz w:val="20"/>
                <w:szCs w:val="20"/>
                <w:color w:val="auto"/>
              </w:rPr>
            </w:pPr>
            <w:r>
              <w:rPr>
                <w:rFonts w:ascii="Arial" w:cs="Arial" w:eastAsia="Arial" w:hAnsi="Arial"/>
                <w:sz w:val="16"/>
                <w:szCs w:val="16"/>
                <w:color w:val="auto"/>
              </w:rPr>
              <w:t>15.1</w:t>
            </w:r>
          </w:p>
        </w:tc>
      </w:tr>
      <w:tr>
        <w:trPr>
          <w:trHeight w:val="273"/>
        </w:trPr>
        <w:tc>
          <w:tcPr>
            <w:tcW w:w="6440" w:type="dxa"/>
            <w:vAlign w:val="bottom"/>
            <w:gridSpan w:val="3"/>
            <w:shd w:val="clear" w:color="auto" w:fill="DCE2EF"/>
          </w:tcPr>
          <w:p>
            <w:pPr>
              <w:ind w:left="40"/>
              <w:spacing w:after="0"/>
              <w:rPr>
                <w:sz w:val="20"/>
                <w:szCs w:val="20"/>
                <w:color w:val="auto"/>
              </w:rPr>
            </w:pPr>
            <w:r>
              <w:rPr>
                <w:rFonts w:ascii="Arial" w:cs="Arial" w:eastAsia="Arial" w:hAnsi="Arial"/>
                <w:sz w:val="16"/>
                <w:szCs w:val="16"/>
                <w:color w:val="auto"/>
              </w:rPr>
              <w:t>Aviation</w:t>
            </w:r>
          </w:p>
        </w:tc>
        <w:tc>
          <w:tcPr>
            <w:tcW w:w="240" w:type="dxa"/>
            <w:vAlign w:val="bottom"/>
            <w:tcBorders>
              <w:bottom w:val="single" w:sz="8" w:color="auto"/>
            </w:tcBorders>
            <w:shd w:val="clear" w:color="auto" w:fill="DCE2EF"/>
          </w:tcPr>
          <w:p>
            <w:pPr>
              <w:spacing w:after="0"/>
              <w:rPr>
                <w:sz w:val="23"/>
                <w:szCs w:val="23"/>
                <w:color w:val="auto"/>
              </w:rPr>
            </w:pPr>
          </w:p>
        </w:tc>
        <w:tc>
          <w:tcPr>
            <w:tcW w:w="2140" w:type="dxa"/>
            <w:vAlign w:val="bottom"/>
            <w:tcBorders>
              <w:bottom w:val="single" w:sz="8" w:color="auto"/>
            </w:tcBorders>
            <w:shd w:val="clear" w:color="auto" w:fill="DCE2EF"/>
          </w:tcPr>
          <w:p>
            <w:pPr>
              <w:jc w:val="right"/>
              <w:ind w:right="39"/>
              <w:spacing w:after="0"/>
              <w:rPr>
                <w:sz w:val="20"/>
                <w:szCs w:val="20"/>
                <w:color w:val="auto"/>
              </w:rPr>
            </w:pPr>
            <w:r>
              <w:rPr>
                <w:rFonts w:ascii="Arial" w:cs="Arial" w:eastAsia="Arial" w:hAnsi="Arial"/>
                <w:sz w:val="16"/>
                <w:szCs w:val="16"/>
                <w:color w:val="auto"/>
              </w:rPr>
              <w:t>4.3</w:t>
            </w:r>
          </w:p>
        </w:tc>
        <w:tc>
          <w:tcPr>
            <w:tcW w:w="100" w:type="dxa"/>
            <w:vAlign w:val="bottom"/>
            <w:shd w:val="clear" w:color="auto" w:fill="DCE2EF"/>
          </w:tcPr>
          <w:p>
            <w:pPr>
              <w:spacing w:after="0"/>
              <w:rPr>
                <w:sz w:val="23"/>
                <w:szCs w:val="23"/>
                <w:color w:val="auto"/>
              </w:rPr>
            </w:pPr>
          </w:p>
        </w:tc>
        <w:tc>
          <w:tcPr>
            <w:tcW w:w="300" w:type="dxa"/>
            <w:vAlign w:val="bottom"/>
            <w:tcBorders>
              <w:bottom w:val="single" w:sz="8" w:color="auto"/>
            </w:tcBorders>
            <w:shd w:val="clear" w:color="auto" w:fill="DCE2EF"/>
          </w:tcPr>
          <w:p>
            <w:pPr>
              <w:spacing w:after="0"/>
              <w:rPr>
                <w:sz w:val="23"/>
                <w:szCs w:val="23"/>
                <w:color w:val="auto"/>
              </w:rPr>
            </w:pPr>
          </w:p>
        </w:tc>
        <w:tc>
          <w:tcPr>
            <w:tcW w:w="2060" w:type="dxa"/>
            <w:vAlign w:val="bottom"/>
            <w:tcBorders>
              <w:bottom w:val="single" w:sz="8" w:color="auto"/>
            </w:tcBorders>
            <w:shd w:val="clear" w:color="auto" w:fill="DCE2EF"/>
          </w:tcPr>
          <w:p>
            <w:pPr>
              <w:jc w:val="right"/>
              <w:ind w:right="19"/>
              <w:spacing w:after="0"/>
              <w:rPr>
                <w:sz w:val="20"/>
                <w:szCs w:val="20"/>
                <w:color w:val="auto"/>
              </w:rPr>
            </w:pPr>
            <w:r>
              <w:rPr>
                <w:rFonts w:ascii="Arial" w:cs="Arial" w:eastAsia="Arial" w:hAnsi="Arial"/>
                <w:sz w:val="16"/>
                <w:szCs w:val="16"/>
                <w:color w:val="auto"/>
              </w:rPr>
              <w:t>8.6</w:t>
            </w:r>
          </w:p>
        </w:tc>
      </w:tr>
      <w:tr>
        <w:trPr>
          <w:trHeight w:val="240"/>
        </w:trPr>
        <w:tc>
          <w:tcPr>
            <w:tcW w:w="6440" w:type="dxa"/>
            <w:vAlign w:val="bottom"/>
            <w:gridSpan w:val="3"/>
          </w:tcPr>
          <w:p>
            <w:pPr>
              <w:ind w:left="40"/>
              <w:spacing w:after="0"/>
              <w:rPr>
                <w:sz w:val="20"/>
                <w:szCs w:val="20"/>
                <w:color w:val="auto"/>
              </w:rPr>
            </w:pPr>
            <w:r>
              <w:rPr>
                <w:rFonts w:ascii="Arial" w:cs="Arial" w:eastAsia="Arial" w:hAnsi="Arial"/>
                <w:sz w:val="16"/>
                <w:szCs w:val="16"/>
                <w:b w:val="1"/>
                <w:bCs w:val="1"/>
                <w:color w:val="auto"/>
              </w:rPr>
              <w:t>Total</w:t>
            </w:r>
          </w:p>
        </w:tc>
        <w:tc>
          <w:tcPr>
            <w:tcW w:w="2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w:t>
            </w:r>
          </w:p>
        </w:tc>
        <w:tc>
          <w:tcPr>
            <w:tcW w:w="21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256.4</w:t>
            </w:r>
          </w:p>
        </w:tc>
        <w:tc>
          <w:tcPr>
            <w:tcW w:w="100" w:type="dxa"/>
            <w:vAlign w:val="bottom"/>
          </w:tcPr>
          <w:p>
            <w:pPr>
              <w:spacing w:after="0"/>
              <w:rPr>
                <w:sz w:val="20"/>
                <w:szCs w:val="20"/>
                <w:color w:val="auto"/>
              </w:rPr>
            </w:pPr>
          </w:p>
        </w:tc>
        <w:tc>
          <w:tcPr>
            <w:tcW w:w="30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b w:val="1"/>
                <w:bCs w:val="1"/>
                <w:color w:val="auto"/>
              </w:rPr>
              <w:t>$</w:t>
            </w:r>
          </w:p>
        </w:tc>
        <w:tc>
          <w:tcPr>
            <w:tcW w:w="20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508.0</w:t>
            </w:r>
          </w:p>
        </w:tc>
      </w:tr>
      <w:tr>
        <w:trPr>
          <w:trHeight w:val="20"/>
        </w:trPr>
        <w:tc>
          <w:tcPr>
            <w:tcW w:w="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57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060" w:type="dxa"/>
            <w:vAlign w:val="bottom"/>
            <w:tcBorders>
              <w:bottom w:val="single" w:sz="8" w:color="auto"/>
            </w:tcBorders>
          </w:tcPr>
          <w:p>
            <w:pPr>
              <w:spacing w:after="0" w:line="20" w:lineRule="exact"/>
              <w:rPr>
                <w:sz w:val="1"/>
                <w:szCs w:val="1"/>
                <w:color w:val="auto"/>
              </w:rPr>
            </w:pPr>
          </w:p>
        </w:tc>
      </w:tr>
    </w:tbl>
    <w:p>
      <w:pPr>
        <w:spacing w:after="0" w:line="24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544" w:right="239" w:bottom="1440" w:gutter="0" w:footer="0" w:header="0"/>
        </w:sectPr>
      </w:pPr>
    </w:p>
    <w:bookmarkStart w:id="27" w:name="page28"/>
    <w:bookmarkEnd w:id="27"/>
    <w:p>
      <w:pPr>
        <w:jc w:val="both"/>
        <w:ind w:firstLine="648"/>
        <w:spacing w:after="0" w:line="262" w:lineRule="auto"/>
        <w:rPr>
          <w:sz w:val="20"/>
          <w:szCs w:val="20"/>
          <w:color w:val="auto"/>
        </w:rPr>
      </w:pPr>
      <w:r>
        <w:rPr>
          <w:rFonts w:ascii="Arial" w:cs="Arial" w:eastAsia="Arial" w:hAnsi="Arial"/>
          <w:sz w:val="18"/>
          <w:szCs w:val="18"/>
          <w:color w:val="auto"/>
        </w:rPr>
        <w:t>Following this acquisition, we initiated a restructuring program to achieve cost synergies from our combined operations. We include these costs within corporate expenses. We do not expect to incur significant severance expenses related to GCA restructuring in the future.</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3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30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9"/>
              </w:rPr>
              <w:t>Three Months Ended</w:t>
            </w:r>
          </w:p>
        </w:tc>
        <w:tc>
          <w:tcPr>
            <w:tcW w:w="260" w:type="dxa"/>
            <w:vAlign w:val="bottom"/>
          </w:tcPr>
          <w:p>
            <w:pPr>
              <w:spacing w:after="0"/>
              <w:rPr>
                <w:sz w:val="20"/>
                <w:szCs w:val="20"/>
                <w:color w:val="auto"/>
              </w:rPr>
            </w:pPr>
          </w:p>
        </w:tc>
        <w:tc>
          <w:tcPr>
            <w:tcW w:w="224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9"/>
              </w:rPr>
              <w:t>Six Months Ended</w:t>
            </w:r>
          </w:p>
        </w:tc>
        <w:tc>
          <w:tcPr>
            <w:tcW w:w="420" w:type="dxa"/>
            <w:vAlign w:val="bottom"/>
          </w:tcPr>
          <w:p>
            <w:pPr>
              <w:spacing w:after="0"/>
              <w:rPr>
                <w:sz w:val="20"/>
                <w:szCs w:val="20"/>
                <w:color w:val="auto"/>
              </w:rPr>
            </w:pPr>
          </w:p>
        </w:tc>
        <w:tc>
          <w:tcPr>
            <w:tcW w:w="1980" w:type="dxa"/>
            <w:vAlign w:val="bottom"/>
          </w:tcPr>
          <w:p>
            <w:pPr>
              <w:spacing w:after="0"/>
              <w:rPr>
                <w:sz w:val="20"/>
                <w:szCs w:val="20"/>
                <w:color w:val="auto"/>
              </w:rPr>
            </w:pPr>
          </w:p>
        </w:tc>
      </w:tr>
      <w:tr>
        <w:trPr>
          <w:trHeight w:val="243"/>
        </w:trPr>
        <w:tc>
          <w:tcPr>
            <w:tcW w:w="3980" w:type="dxa"/>
            <w:vAlign w:val="bottom"/>
            <w:gridSpan w:val="3"/>
          </w:tcPr>
          <w:p>
            <w:pPr>
              <w:ind w:left="40"/>
              <w:spacing w:after="0"/>
              <w:rPr>
                <w:sz w:val="20"/>
                <w:szCs w:val="20"/>
                <w:color w:val="auto"/>
              </w:rPr>
            </w:pPr>
            <w:r>
              <w:rPr>
                <w:rFonts w:ascii="Arial" w:cs="Arial" w:eastAsia="Arial" w:hAnsi="Arial"/>
                <w:sz w:val="14"/>
                <w:szCs w:val="14"/>
                <w:i w:val="1"/>
                <w:iCs w:val="1"/>
                <w:color w:val="auto"/>
              </w:rPr>
              <w:t>(in millions)</w:t>
            </w:r>
          </w:p>
        </w:tc>
        <w:tc>
          <w:tcPr>
            <w:tcW w:w="220" w:type="dxa"/>
            <w:vAlign w:val="bottom"/>
          </w:tcPr>
          <w:p>
            <w:pPr>
              <w:spacing w:after="0"/>
              <w:rPr>
                <w:sz w:val="21"/>
                <w:szCs w:val="21"/>
                <w:color w:val="auto"/>
              </w:rPr>
            </w:pPr>
          </w:p>
        </w:tc>
        <w:tc>
          <w:tcPr>
            <w:tcW w:w="230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9"/>
              </w:rPr>
              <w:t>April 30, 2018</w:t>
            </w:r>
          </w:p>
        </w:tc>
        <w:tc>
          <w:tcPr>
            <w:tcW w:w="260" w:type="dxa"/>
            <w:vAlign w:val="bottom"/>
          </w:tcPr>
          <w:p>
            <w:pPr>
              <w:spacing w:after="0"/>
              <w:rPr>
                <w:sz w:val="21"/>
                <w:szCs w:val="21"/>
                <w:color w:val="auto"/>
              </w:rPr>
            </w:pPr>
          </w:p>
        </w:tc>
        <w:tc>
          <w:tcPr>
            <w:tcW w:w="224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9"/>
              </w:rPr>
              <w:t>April 30, 2018</w:t>
            </w:r>
          </w:p>
        </w:tc>
        <w:tc>
          <w:tcPr>
            <w:tcW w:w="420" w:type="dxa"/>
            <w:vAlign w:val="bottom"/>
          </w:tcPr>
          <w:p>
            <w:pPr>
              <w:spacing w:after="0"/>
              <w:rPr>
                <w:sz w:val="21"/>
                <w:szCs w:val="21"/>
                <w:color w:val="auto"/>
              </w:rPr>
            </w:pPr>
          </w:p>
        </w:tc>
        <w:tc>
          <w:tcPr>
            <w:tcW w:w="1980" w:type="dxa"/>
            <w:vAlign w:val="bottom"/>
          </w:tcPr>
          <w:p>
            <w:pPr>
              <w:jc w:val="right"/>
              <w:ind w:right="630"/>
              <w:spacing w:after="0"/>
              <w:rPr>
                <w:sz w:val="20"/>
                <w:szCs w:val="20"/>
                <w:color w:val="auto"/>
              </w:rPr>
            </w:pPr>
            <w:r>
              <w:rPr>
                <w:rFonts w:ascii="Arial" w:cs="Arial" w:eastAsia="Arial" w:hAnsi="Arial"/>
                <w:sz w:val="18"/>
                <w:szCs w:val="18"/>
                <w:b w:val="1"/>
                <w:bCs w:val="1"/>
                <w:color w:val="auto"/>
              </w:rPr>
              <w:t>Cumulative</w:t>
            </w:r>
          </w:p>
        </w:tc>
      </w:tr>
      <w:tr>
        <w:trPr>
          <w:trHeight w:val="21"/>
        </w:trPr>
        <w:tc>
          <w:tcPr>
            <w:tcW w:w="40" w:type="dxa"/>
            <w:vAlign w:val="bottom"/>
            <w:tcBorders>
              <w:bottom w:val="single" w:sz="8" w:color="DCE2EF"/>
            </w:tcBorders>
          </w:tcPr>
          <w:p>
            <w:pPr>
              <w:spacing w:after="0" w:line="20" w:lineRule="exact"/>
              <w:rPr>
                <w:sz w:val="1"/>
                <w:szCs w:val="1"/>
                <w:color w:val="auto"/>
              </w:rPr>
            </w:pPr>
          </w:p>
        </w:tc>
        <w:tc>
          <w:tcPr>
            <w:tcW w:w="700" w:type="dxa"/>
            <w:vAlign w:val="bottom"/>
            <w:tcBorders>
              <w:top w:val="single" w:sz="8" w:color="auto"/>
              <w:bottom w:val="single" w:sz="8" w:color="DCE2EF"/>
            </w:tcBorders>
          </w:tcPr>
          <w:p>
            <w:pPr>
              <w:spacing w:after="0" w:line="20" w:lineRule="exact"/>
              <w:rPr>
                <w:sz w:val="1"/>
                <w:szCs w:val="1"/>
                <w:color w:val="auto"/>
              </w:rPr>
            </w:pPr>
          </w:p>
        </w:tc>
        <w:tc>
          <w:tcPr>
            <w:tcW w:w="3240" w:type="dxa"/>
            <w:vAlign w:val="bottom"/>
            <w:tcBorders>
              <w:bottom w:val="single" w:sz="8" w:color="DCE2E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1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DCE2E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2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DCE2E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980" w:type="dxa"/>
            <w:vAlign w:val="bottom"/>
            <w:tcBorders>
              <w:bottom w:val="single" w:sz="8" w:color="auto"/>
            </w:tcBorders>
          </w:tcPr>
          <w:p>
            <w:pPr>
              <w:spacing w:after="0" w:line="20" w:lineRule="exact"/>
              <w:rPr>
                <w:sz w:val="1"/>
                <w:szCs w:val="1"/>
                <w:color w:val="auto"/>
              </w:rPr>
            </w:pPr>
          </w:p>
        </w:tc>
      </w:tr>
      <w:tr>
        <w:trPr>
          <w:trHeight w:val="250"/>
        </w:trPr>
        <w:tc>
          <w:tcPr>
            <w:tcW w:w="3980" w:type="dxa"/>
            <w:vAlign w:val="bottom"/>
            <w:gridSpan w:val="3"/>
            <w:shd w:val="clear" w:color="auto" w:fill="DCE2EF"/>
          </w:tcPr>
          <w:p>
            <w:pPr>
              <w:ind w:left="40"/>
              <w:spacing w:after="0"/>
              <w:rPr>
                <w:sz w:val="20"/>
                <w:szCs w:val="20"/>
                <w:color w:val="auto"/>
              </w:rPr>
            </w:pPr>
            <w:r>
              <w:rPr>
                <w:rFonts w:ascii="Arial" w:cs="Arial" w:eastAsia="Arial" w:hAnsi="Arial"/>
                <w:sz w:val="18"/>
                <w:szCs w:val="18"/>
                <w:color w:val="auto"/>
              </w:rPr>
              <w:t>Employee Severance</w:t>
            </w:r>
          </w:p>
        </w:tc>
        <w:tc>
          <w:tcPr>
            <w:tcW w:w="220" w:type="dxa"/>
            <w:vAlign w:val="bottom"/>
            <w:shd w:val="clear" w:color="auto" w:fill="DCE2EF"/>
          </w:tcPr>
          <w:p>
            <w:pPr>
              <w:jc w:val="right"/>
              <w:ind w:right="10"/>
              <w:spacing w:after="0"/>
              <w:rPr>
                <w:sz w:val="20"/>
                <w:szCs w:val="20"/>
                <w:color w:val="auto"/>
              </w:rPr>
            </w:pPr>
            <w:r>
              <w:rPr>
                <w:rFonts w:ascii="Arial" w:cs="Arial" w:eastAsia="Arial" w:hAnsi="Arial"/>
                <w:sz w:val="18"/>
                <w:szCs w:val="18"/>
                <w:color w:val="auto"/>
                <w:w w:val="99"/>
              </w:rPr>
              <w:t>$</w:t>
            </w:r>
          </w:p>
        </w:tc>
        <w:tc>
          <w:tcPr>
            <w:tcW w:w="2180" w:type="dxa"/>
            <w:vAlign w:val="bottom"/>
            <w:shd w:val="clear" w:color="auto" w:fill="DCE2EF"/>
          </w:tcPr>
          <w:p>
            <w:pPr>
              <w:jc w:val="right"/>
              <w:ind w:right="10"/>
              <w:spacing w:after="0"/>
              <w:rPr>
                <w:sz w:val="20"/>
                <w:szCs w:val="20"/>
                <w:color w:val="auto"/>
              </w:rPr>
            </w:pPr>
            <w:r>
              <w:rPr>
                <w:rFonts w:ascii="Arial" w:cs="Arial" w:eastAsia="Arial" w:hAnsi="Arial"/>
                <w:sz w:val="18"/>
                <w:szCs w:val="18"/>
                <w:color w:val="auto"/>
              </w:rPr>
              <w:t>0.7</w:t>
            </w:r>
          </w:p>
        </w:tc>
        <w:tc>
          <w:tcPr>
            <w:tcW w:w="120" w:type="dxa"/>
            <w:vAlign w:val="bottom"/>
            <w:shd w:val="clear" w:color="auto" w:fill="DCE2EF"/>
          </w:tcPr>
          <w:p>
            <w:pPr>
              <w:spacing w:after="0"/>
              <w:rPr>
                <w:sz w:val="21"/>
                <w:szCs w:val="21"/>
                <w:color w:val="auto"/>
              </w:rPr>
            </w:pPr>
          </w:p>
        </w:tc>
        <w:tc>
          <w:tcPr>
            <w:tcW w:w="260" w:type="dxa"/>
            <w:vAlign w:val="bottom"/>
            <w:shd w:val="clear" w:color="auto" w:fill="DCE2EF"/>
          </w:tcPr>
          <w:p>
            <w:pPr>
              <w:jc w:val="right"/>
              <w:ind w:right="50"/>
              <w:spacing w:after="0"/>
              <w:rPr>
                <w:sz w:val="20"/>
                <w:szCs w:val="20"/>
                <w:color w:val="auto"/>
              </w:rPr>
            </w:pPr>
            <w:r>
              <w:rPr>
                <w:rFonts w:ascii="Arial" w:cs="Arial" w:eastAsia="Arial" w:hAnsi="Arial"/>
                <w:sz w:val="18"/>
                <w:szCs w:val="18"/>
                <w:color w:val="auto"/>
                <w:w w:val="99"/>
              </w:rPr>
              <w:t>$</w:t>
            </w:r>
          </w:p>
        </w:tc>
        <w:tc>
          <w:tcPr>
            <w:tcW w:w="2140" w:type="dxa"/>
            <w:vAlign w:val="bottom"/>
            <w:shd w:val="clear" w:color="auto" w:fill="DCE2EF"/>
          </w:tcPr>
          <w:p>
            <w:pPr>
              <w:jc w:val="right"/>
              <w:ind w:right="30"/>
              <w:spacing w:after="0"/>
              <w:rPr>
                <w:sz w:val="20"/>
                <w:szCs w:val="20"/>
                <w:color w:val="auto"/>
              </w:rPr>
            </w:pPr>
            <w:r>
              <w:rPr>
                <w:rFonts w:ascii="Arial" w:cs="Arial" w:eastAsia="Arial" w:hAnsi="Arial"/>
                <w:sz w:val="18"/>
                <w:szCs w:val="18"/>
                <w:color w:val="auto"/>
              </w:rPr>
              <w:t>9.5</w:t>
            </w:r>
          </w:p>
        </w:tc>
        <w:tc>
          <w:tcPr>
            <w:tcW w:w="100" w:type="dxa"/>
            <w:vAlign w:val="bottom"/>
            <w:shd w:val="clear" w:color="auto" w:fill="DCE2EF"/>
          </w:tcPr>
          <w:p>
            <w:pPr>
              <w:spacing w:after="0"/>
              <w:rPr>
                <w:sz w:val="21"/>
                <w:szCs w:val="21"/>
                <w:color w:val="auto"/>
              </w:rPr>
            </w:pPr>
          </w:p>
        </w:tc>
        <w:tc>
          <w:tcPr>
            <w:tcW w:w="420" w:type="dxa"/>
            <w:vAlign w:val="bottom"/>
            <w:shd w:val="clear" w:color="auto" w:fill="DCE2EF"/>
          </w:tcPr>
          <w:p>
            <w:pPr>
              <w:jc w:val="right"/>
              <w:ind w:right="210"/>
              <w:spacing w:after="0"/>
              <w:rPr>
                <w:sz w:val="20"/>
                <w:szCs w:val="20"/>
                <w:color w:val="auto"/>
              </w:rPr>
            </w:pPr>
            <w:r>
              <w:rPr>
                <w:rFonts w:ascii="Arial" w:cs="Arial" w:eastAsia="Arial" w:hAnsi="Arial"/>
                <w:sz w:val="18"/>
                <w:szCs w:val="18"/>
                <w:color w:val="auto"/>
                <w:w w:val="99"/>
              </w:rPr>
              <w:t>$</w:t>
            </w:r>
          </w:p>
        </w:tc>
        <w:tc>
          <w:tcPr>
            <w:tcW w:w="1980" w:type="dxa"/>
            <w:vAlign w:val="bottom"/>
            <w:shd w:val="clear" w:color="auto" w:fill="DCE2EF"/>
          </w:tcPr>
          <w:p>
            <w:pPr>
              <w:jc w:val="right"/>
              <w:ind w:right="10"/>
              <w:spacing w:after="0"/>
              <w:rPr>
                <w:sz w:val="20"/>
                <w:szCs w:val="20"/>
                <w:color w:val="auto"/>
              </w:rPr>
            </w:pPr>
            <w:r>
              <w:rPr>
                <w:rFonts w:ascii="Arial" w:cs="Arial" w:eastAsia="Arial" w:hAnsi="Arial"/>
                <w:sz w:val="18"/>
                <w:szCs w:val="18"/>
                <w:color w:val="auto"/>
              </w:rPr>
              <w:t>11.2</w:t>
            </w:r>
          </w:p>
        </w:tc>
      </w:tr>
      <w:tr>
        <w:trPr>
          <w:trHeight w:val="263"/>
        </w:trPr>
        <w:tc>
          <w:tcPr>
            <w:tcW w:w="3980" w:type="dxa"/>
            <w:vAlign w:val="bottom"/>
            <w:gridSpan w:val="3"/>
          </w:tcPr>
          <w:p>
            <w:pPr>
              <w:ind w:left="40"/>
              <w:spacing w:after="0"/>
              <w:rPr>
                <w:sz w:val="20"/>
                <w:szCs w:val="20"/>
                <w:color w:val="auto"/>
              </w:rPr>
            </w:pPr>
            <w:r>
              <w:rPr>
                <w:rFonts w:ascii="Arial" w:cs="Arial" w:eastAsia="Arial" w:hAnsi="Arial"/>
                <w:sz w:val="18"/>
                <w:szCs w:val="18"/>
                <w:color w:val="auto"/>
              </w:rPr>
              <w:t>Other Project Fees</w:t>
            </w:r>
          </w:p>
        </w:tc>
        <w:tc>
          <w:tcPr>
            <w:tcW w:w="220" w:type="dxa"/>
            <w:vAlign w:val="bottom"/>
          </w:tcPr>
          <w:p>
            <w:pPr>
              <w:spacing w:after="0"/>
              <w:rPr>
                <w:sz w:val="22"/>
                <w:szCs w:val="22"/>
                <w:color w:val="auto"/>
              </w:rPr>
            </w:pPr>
          </w:p>
        </w:tc>
        <w:tc>
          <w:tcPr>
            <w:tcW w:w="2180" w:type="dxa"/>
            <w:vAlign w:val="bottom"/>
          </w:tcPr>
          <w:p>
            <w:pPr>
              <w:jc w:val="right"/>
              <w:ind w:right="10"/>
              <w:spacing w:after="0"/>
              <w:rPr>
                <w:sz w:val="20"/>
                <w:szCs w:val="20"/>
                <w:color w:val="auto"/>
              </w:rPr>
            </w:pPr>
            <w:r>
              <w:rPr>
                <w:rFonts w:ascii="Arial" w:cs="Arial" w:eastAsia="Arial" w:hAnsi="Arial"/>
                <w:sz w:val="18"/>
                <w:szCs w:val="18"/>
                <w:color w:val="auto"/>
              </w:rPr>
              <w:t>2.6</w:t>
            </w: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2140" w:type="dxa"/>
            <w:vAlign w:val="bottom"/>
          </w:tcPr>
          <w:p>
            <w:pPr>
              <w:jc w:val="right"/>
              <w:ind w:right="30"/>
              <w:spacing w:after="0"/>
              <w:rPr>
                <w:sz w:val="20"/>
                <w:szCs w:val="20"/>
                <w:color w:val="auto"/>
              </w:rPr>
            </w:pPr>
            <w:r>
              <w:rPr>
                <w:rFonts w:ascii="Arial" w:cs="Arial" w:eastAsia="Arial" w:hAnsi="Arial"/>
                <w:sz w:val="18"/>
                <w:szCs w:val="18"/>
                <w:color w:val="auto"/>
              </w:rPr>
              <w:t>3.5</w:t>
            </w:r>
          </w:p>
        </w:tc>
        <w:tc>
          <w:tcPr>
            <w:tcW w:w="1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980" w:type="dxa"/>
            <w:vAlign w:val="bottom"/>
          </w:tcPr>
          <w:p>
            <w:pPr>
              <w:jc w:val="right"/>
              <w:ind w:right="10"/>
              <w:spacing w:after="0"/>
              <w:rPr>
                <w:sz w:val="20"/>
                <w:szCs w:val="20"/>
                <w:color w:val="auto"/>
              </w:rPr>
            </w:pPr>
            <w:r>
              <w:rPr>
                <w:rFonts w:ascii="Arial" w:cs="Arial" w:eastAsia="Arial" w:hAnsi="Arial"/>
                <w:sz w:val="18"/>
                <w:szCs w:val="18"/>
                <w:color w:val="auto"/>
              </w:rPr>
              <w:t>3.5</w:t>
            </w:r>
          </w:p>
        </w:tc>
      </w:tr>
      <w:tr>
        <w:trPr>
          <w:trHeight w:val="270"/>
        </w:trPr>
        <w:tc>
          <w:tcPr>
            <w:tcW w:w="3980" w:type="dxa"/>
            <w:vAlign w:val="bottom"/>
            <w:gridSpan w:val="3"/>
            <w:shd w:val="clear" w:color="auto" w:fill="DCE2EF"/>
          </w:tcPr>
          <w:p>
            <w:pPr>
              <w:ind w:left="40"/>
              <w:spacing w:after="0"/>
              <w:rPr>
                <w:sz w:val="20"/>
                <w:szCs w:val="20"/>
                <w:color w:val="auto"/>
              </w:rPr>
            </w:pPr>
            <w:r>
              <w:rPr>
                <w:rFonts w:ascii="Arial" w:cs="Arial" w:eastAsia="Arial" w:hAnsi="Arial"/>
                <w:sz w:val="18"/>
                <w:szCs w:val="18"/>
                <w:color w:val="auto"/>
              </w:rPr>
              <w:t>External Support Fees</w:t>
            </w:r>
          </w:p>
        </w:tc>
        <w:tc>
          <w:tcPr>
            <w:tcW w:w="220" w:type="dxa"/>
            <w:vAlign w:val="bottom"/>
            <w:shd w:val="clear" w:color="auto" w:fill="DCE2EF"/>
          </w:tcPr>
          <w:p>
            <w:pPr>
              <w:spacing w:after="0"/>
              <w:rPr>
                <w:sz w:val="23"/>
                <w:szCs w:val="23"/>
                <w:color w:val="auto"/>
              </w:rPr>
            </w:pPr>
          </w:p>
        </w:tc>
        <w:tc>
          <w:tcPr>
            <w:tcW w:w="2300" w:type="dxa"/>
            <w:vAlign w:val="bottom"/>
            <w:gridSpan w:val="2"/>
            <w:shd w:val="clear" w:color="auto" w:fill="DCE2E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shd w:val="clear" w:color="auto" w:fill="DCE2EF"/>
          </w:tcPr>
          <w:p>
            <w:pPr>
              <w:spacing w:after="0"/>
              <w:rPr>
                <w:sz w:val="23"/>
                <w:szCs w:val="23"/>
                <w:color w:val="auto"/>
              </w:rPr>
            </w:pPr>
          </w:p>
        </w:tc>
        <w:tc>
          <w:tcPr>
            <w:tcW w:w="2140" w:type="dxa"/>
            <w:vAlign w:val="bottom"/>
            <w:shd w:val="clear" w:color="auto" w:fill="DCE2EF"/>
          </w:tcPr>
          <w:p>
            <w:pPr>
              <w:jc w:val="right"/>
              <w:ind w:right="30"/>
              <w:spacing w:after="0"/>
              <w:rPr>
                <w:sz w:val="20"/>
                <w:szCs w:val="20"/>
                <w:color w:val="auto"/>
              </w:rPr>
            </w:pPr>
            <w:r>
              <w:rPr>
                <w:rFonts w:ascii="Arial" w:cs="Arial" w:eastAsia="Arial" w:hAnsi="Arial"/>
                <w:sz w:val="18"/>
                <w:szCs w:val="18"/>
                <w:color w:val="auto"/>
              </w:rPr>
              <w:t>2.0</w:t>
            </w:r>
          </w:p>
        </w:tc>
        <w:tc>
          <w:tcPr>
            <w:tcW w:w="100" w:type="dxa"/>
            <w:vAlign w:val="bottom"/>
            <w:shd w:val="clear" w:color="auto" w:fill="DCE2EF"/>
          </w:tcPr>
          <w:p>
            <w:pPr>
              <w:spacing w:after="0"/>
              <w:rPr>
                <w:sz w:val="23"/>
                <w:szCs w:val="23"/>
                <w:color w:val="auto"/>
              </w:rPr>
            </w:pPr>
          </w:p>
        </w:tc>
        <w:tc>
          <w:tcPr>
            <w:tcW w:w="420" w:type="dxa"/>
            <w:vAlign w:val="bottom"/>
            <w:shd w:val="clear" w:color="auto" w:fill="DCE2EF"/>
          </w:tcPr>
          <w:p>
            <w:pPr>
              <w:spacing w:after="0"/>
              <w:rPr>
                <w:sz w:val="23"/>
                <w:szCs w:val="23"/>
                <w:color w:val="auto"/>
              </w:rPr>
            </w:pPr>
          </w:p>
        </w:tc>
        <w:tc>
          <w:tcPr>
            <w:tcW w:w="1980" w:type="dxa"/>
            <w:vAlign w:val="bottom"/>
            <w:shd w:val="clear" w:color="auto" w:fill="DCE2EF"/>
          </w:tcPr>
          <w:p>
            <w:pPr>
              <w:jc w:val="right"/>
              <w:ind w:right="10"/>
              <w:spacing w:after="0"/>
              <w:rPr>
                <w:sz w:val="20"/>
                <w:szCs w:val="20"/>
                <w:color w:val="auto"/>
              </w:rPr>
            </w:pPr>
            <w:r>
              <w:rPr>
                <w:rFonts w:ascii="Arial" w:cs="Arial" w:eastAsia="Arial" w:hAnsi="Arial"/>
                <w:sz w:val="18"/>
                <w:szCs w:val="18"/>
                <w:color w:val="auto"/>
              </w:rPr>
              <w:t>2.0</w:t>
            </w:r>
          </w:p>
        </w:tc>
      </w:tr>
      <w:tr>
        <w:trPr>
          <w:trHeight w:val="257"/>
        </w:trPr>
        <w:tc>
          <w:tcPr>
            <w:tcW w:w="3980" w:type="dxa"/>
            <w:vAlign w:val="bottom"/>
            <w:gridSpan w:val="3"/>
          </w:tcPr>
          <w:p>
            <w:pPr>
              <w:ind w:left="40"/>
              <w:spacing w:after="0"/>
              <w:rPr>
                <w:sz w:val="20"/>
                <w:szCs w:val="20"/>
                <w:color w:val="auto"/>
              </w:rPr>
            </w:pPr>
            <w:r>
              <w:rPr>
                <w:rFonts w:ascii="Arial" w:cs="Arial" w:eastAsia="Arial" w:hAnsi="Arial"/>
                <w:sz w:val="18"/>
                <w:szCs w:val="18"/>
                <w:b w:val="1"/>
                <w:bCs w:val="1"/>
                <w:color w:val="auto"/>
              </w:rPr>
              <w:t>Total</w:t>
            </w: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21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3.3</w:t>
            </w:r>
          </w:p>
        </w:tc>
        <w:tc>
          <w:tcPr>
            <w:tcW w:w="120" w:type="dxa"/>
            <w:vAlign w:val="bottom"/>
          </w:tcPr>
          <w:p>
            <w:pPr>
              <w:spacing w:after="0"/>
              <w:rPr>
                <w:sz w:val="22"/>
                <w:szCs w:val="22"/>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21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15.0</w:t>
            </w:r>
          </w:p>
        </w:tc>
        <w:tc>
          <w:tcPr>
            <w:tcW w:w="100" w:type="dxa"/>
            <w:vAlign w:val="bottom"/>
          </w:tcPr>
          <w:p>
            <w:pPr>
              <w:spacing w:after="0"/>
              <w:rPr>
                <w:sz w:val="22"/>
                <w:szCs w:val="22"/>
                <w:color w:val="auto"/>
              </w:rPr>
            </w:pPr>
          </w:p>
        </w:tc>
        <w:tc>
          <w:tcPr>
            <w:tcW w:w="42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w w:val="99"/>
              </w:rPr>
              <w:t>$</w:t>
            </w:r>
          </w:p>
        </w:tc>
        <w:tc>
          <w:tcPr>
            <w:tcW w:w="19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16.6</w:t>
            </w:r>
          </w:p>
        </w:tc>
      </w:tr>
      <w:tr>
        <w:trPr>
          <w:trHeight w:val="20"/>
        </w:trPr>
        <w:tc>
          <w:tcPr>
            <w:tcW w:w="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2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2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980" w:type="dxa"/>
            <w:vAlign w:val="bottom"/>
            <w:tcBorders>
              <w:bottom w:val="single" w:sz="8" w:color="auto"/>
            </w:tcBorders>
          </w:tcPr>
          <w:p>
            <w:pPr>
              <w:spacing w:after="0" w:line="20" w:lineRule="exact"/>
              <w:rPr>
                <w:sz w:val="1"/>
                <w:szCs w:val="1"/>
                <w:color w:val="auto"/>
              </w:rPr>
            </w:pPr>
          </w:p>
        </w:tc>
      </w:tr>
    </w:tbl>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0046AD"/>
        </w:rPr>
        <w:t>Segment Reporting</w:t>
      </w:r>
    </w:p>
    <w:p>
      <w:pPr>
        <w:spacing w:after="0" w:line="247"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color w:val="auto"/>
        </w:rPr>
        <w:t>Effective November 1, 2017, we reorganized our reportable segments to reflect the integration of GCA into our industry group model. Our reportable segments consist of Business &amp; Industry (“B&amp;I”), Aviation, Technology &amp; Manufacturing (“T&amp;M”), Education, Technical Solutions, and Healthcare, as further described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7246620" cy="480250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46620" cy="4802505"/>
                    </a:xfrm>
                    <a:prstGeom prst="rect">
                      <a:avLst/>
                    </a:prstGeom>
                    <a:noFill/>
                  </pic:spPr>
                </pic:pic>
              </a:graphicData>
            </a:graphic>
          </wp:anchor>
        </w:drawing>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0046AD"/>
        </w:rPr>
        <w:t>REPORTABLE SEGMENTS AND DESCRIPTIONS</w:t>
      </w:r>
    </w:p>
    <w:p>
      <w:pPr>
        <w:spacing w:after="0" w:line="355" w:lineRule="exact"/>
        <w:rPr>
          <w:sz w:val="20"/>
          <w:szCs w:val="20"/>
          <w:color w:val="auto"/>
        </w:rPr>
      </w:pPr>
    </w:p>
    <w:p>
      <w:pPr>
        <w:jc w:val="both"/>
        <w:ind w:left="3240" w:right="40"/>
        <w:spacing w:after="0" w:line="239" w:lineRule="auto"/>
        <w:rPr>
          <w:sz w:val="20"/>
          <w:szCs w:val="20"/>
          <w:color w:val="auto"/>
        </w:rPr>
      </w:pPr>
      <w:r>
        <w:rPr>
          <w:rFonts w:ascii="Arial" w:cs="Arial" w:eastAsia="Arial" w:hAnsi="Arial"/>
          <w:sz w:val="18"/>
          <w:szCs w:val="18"/>
          <w:color w:val="auto"/>
        </w:rPr>
        <w:t>B&amp;I, our largest reportable segment, encompasses janitorial, facilities engineering, and parking services for commercial real estate properties and sports and entertainment venues. B&amp;I also provides vehicle maintenance and other services to rental car providers (“Vehicle Services Contracts”).</w:t>
      </w:r>
    </w:p>
    <w:p>
      <w:pPr>
        <w:spacing w:after="0" w:line="200" w:lineRule="exact"/>
        <w:rPr>
          <w:sz w:val="20"/>
          <w:szCs w:val="20"/>
          <w:color w:val="auto"/>
        </w:rPr>
      </w:pPr>
    </w:p>
    <w:p>
      <w:pPr>
        <w:spacing w:after="0" w:line="380" w:lineRule="exact"/>
        <w:rPr>
          <w:sz w:val="20"/>
          <w:szCs w:val="20"/>
          <w:color w:val="auto"/>
        </w:rPr>
      </w:pPr>
    </w:p>
    <w:p>
      <w:pPr>
        <w:jc w:val="both"/>
        <w:ind w:left="3240" w:right="40"/>
        <w:spacing w:after="0" w:line="246" w:lineRule="auto"/>
        <w:rPr>
          <w:sz w:val="20"/>
          <w:szCs w:val="20"/>
          <w:color w:val="auto"/>
        </w:rPr>
      </w:pPr>
      <w:r>
        <w:rPr>
          <w:rFonts w:ascii="Arial" w:cs="Arial" w:eastAsia="Arial" w:hAnsi="Arial"/>
          <w:sz w:val="18"/>
          <w:szCs w:val="18"/>
          <w:color w:val="auto"/>
        </w:rPr>
        <w:t>Aviation supports airlines and airports with services ranging from parking and janitorial to passenger assistance, catering logistics, air cabin maintenance, and transportation.</w:t>
      </w:r>
    </w:p>
    <w:p>
      <w:pPr>
        <w:spacing w:after="0" w:line="200" w:lineRule="exact"/>
        <w:rPr>
          <w:sz w:val="20"/>
          <w:szCs w:val="20"/>
          <w:color w:val="auto"/>
        </w:rPr>
      </w:pPr>
    </w:p>
    <w:p>
      <w:pPr>
        <w:spacing w:after="0" w:line="308" w:lineRule="exact"/>
        <w:rPr>
          <w:sz w:val="20"/>
          <w:szCs w:val="20"/>
          <w:color w:val="auto"/>
        </w:rPr>
      </w:pPr>
    </w:p>
    <w:p>
      <w:pPr>
        <w:jc w:val="both"/>
        <w:ind w:left="3240" w:right="40"/>
        <w:spacing w:after="0" w:line="239" w:lineRule="auto"/>
        <w:rPr>
          <w:sz w:val="20"/>
          <w:szCs w:val="20"/>
          <w:color w:val="auto"/>
        </w:rPr>
      </w:pPr>
      <w:r>
        <w:rPr>
          <w:rFonts w:ascii="Arial" w:cs="Arial" w:eastAsia="Arial" w:hAnsi="Arial"/>
          <w:sz w:val="18"/>
          <w:szCs w:val="18"/>
          <w:color w:val="auto"/>
        </w:rPr>
        <w:t>T&amp;M combines our legacy Industrial &amp; Manufacturing business, which was previously included in our B&amp;I segment, with our legacy High Tech industry group, which was previously reported as part of our legacy Emerging Industries Group. T&amp;M provides janitorial, facilities engineering, and parking services.</w:t>
      </w:r>
    </w:p>
    <w:p>
      <w:pPr>
        <w:spacing w:after="0" w:line="200" w:lineRule="exact"/>
        <w:rPr>
          <w:sz w:val="20"/>
          <w:szCs w:val="20"/>
          <w:color w:val="auto"/>
        </w:rPr>
      </w:pPr>
    </w:p>
    <w:p>
      <w:pPr>
        <w:spacing w:after="0" w:line="231" w:lineRule="exact"/>
        <w:rPr>
          <w:sz w:val="20"/>
          <w:szCs w:val="20"/>
          <w:color w:val="auto"/>
        </w:rPr>
      </w:pPr>
    </w:p>
    <w:p>
      <w:pPr>
        <w:jc w:val="both"/>
        <w:ind w:left="3240" w:right="40"/>
        <w:spacing w:after="0"/>
        <w:rPr>
          <w:sz w:val="20"/>
          <w:szCs w:val="20"/>
          <w:color w:val="auto"/>
        </w:rPr>
      </w:pPr>
      <w:r>
        <w:rPr>
          <w:rFonts w:ascii="Arial" w:cs="Arial" w:eastAsia="Arial" w:hAnsi="Arial"/>
          <w:sz w:val="18"/>
          <w:szCs w:val="18"/>
          <w:color w:val="auto"/>
        </w:rPr>
        <w:t>Education delivers janitorial, custodial, landscaping and grounds, facilities engineering, and parking services for public school districts, private schools, colleges, and universities. This business was previously reported as part of our legacy Emerging Industries Group.</w:t>
      </w: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both"/>
        <w:ind w:left="3240" w:right="40"/>
        <w:spacing w:after="0" w:line="246" w:lineRule="auto"/>
        <w:rPr>
          <w:sz w:val="20"/>
          <w:szCs w:val="20"/>
          <w:color w:val="auto"/>
        </w:rPr>
      </w:pPr>
      <w:r>
        <w:rPr>
          <w:rFonts w:ascii="Arial" w:cs="Arial" w:eastAsia="Arial" w:hAnsi="Arial"/>
          <w:sz w:val="18"/>
          <w:szCs w:val="18"/>
          <w:color w:val="auto"/>
        </w:rPr>
        <w:t>Technical Solutions specializes in mechanical and electrical services. These services can also be leveraged for cross-selling across all of our industry groups, both domestically and internationally.</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both"/>
        <w:ind w:left="3240" w:right="40"/>
        <w:spacing w:after="0" w:line="239" w:lineRule="auto"/>
        <w:rPr>
          <w:sz w:val="20"/>
          <w:szCs w:val="20"/>
          <w:color w:val="auto"/>
        </w:rPr>
      </w:pPr>
      <w:r>
        <w:rPr>
          <w:rFonts w:ascii="Arial" w:cs="Arial" w:eastAsia="Arial" w:hAnsi="Arial"/>
          <w:sz w:val="18"/>
          <w:szCs w:val="18"/>
          <w:color w:val="auto"/>
        </w:rPr>
        <w:t>Healthcare offers janitorial, facilities management, clinical engineering, food and nutrition, laundry and linen, parking and guest services, and patient transportation services at traditional hospitals and non-acute facilities. This business was previously reported as part of our legacy Emerging Industries Group.</w:t>
      </w: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544" w:right="239" w:bottom="1440" w:gutter="0" w:footer="0" w:header="0"/>
        </w:sectPr>
      </w:pPr>
    </w:p>
    <w:bookmarkStart w:id="28" w:name="page29"/>
    <w:bookmarkEnd w:id="28"/>
    <w:p>
      <w:pPr>
        <w:spacing w:after="0"/>
        <w:rPr>
          <w:sz w:val="20"/>
          <w:szCs w:val="20"/>
          <w:color w:val="auto"/>
        </w:rPr>
      </w:pPr>
      <w:r>
        <w:rPr>
          <w:rFonts w:ascii="Arial" w:cs="Arial" w:eastAsia="Arial" w:hAnsi="Arial"/>
          <w:sz w:val="18"/>
          <w:szCs w:val="18"/>
          <w:b w:val="1"/>
          <w:bCs w:val="1"/>
          <w:i w:val="1"/>
          <w:iCs w:val="1"/>
          <w:color w:val="0046AD"/>
        </w:rPr>
        <w:t>Prior Year Reclassifications</w:t>
      </w:r>
    </w:p>
    <w:p>
      <w:pPr>
        <w:spacing w:after="0" w:line="247"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color w:val="auto"/>
        </w:rPr>
        <w:t>Effective with the reorganization of our reportable segments, we have revised our prior period segment information to conform with our fiscal 2018 presentation. These changes had no impact on our previously reported consolidated balance sheets, statements of comprehensive income (loss), or statements of cash flows.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0046AD"/>
        </w:rPr>
        <w:t>Government Services Business</w:t>
      </w:r>
    </w:p>
    <w:p>
      <w:pPr>
        <w:spacing w:after="0" w:line="247"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color w:val="auto"/>
        </w:rPr>
        <w:t>We sold our Government Services business on May 31, 2017. The reported results for this business are through the date of sale and future results could include run-off costs. As this business has been sold and is no longer part of our ongoing operations, we have excluded a discussion of its results for the periods in this report.</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0046AD"/>
        </w:rPr>
        <w:t>Insurance</w:t>
      </w:r>
    </w:p>
    <w:p>
      <w:pPr>
        <w:spacing w:after="0" w:line="193"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8"/>
          <w:szCs w:val="18"/>
          <w:color w:val="auto"/>
        </w:rPr>
        <w:t>During the three months ended January 31, 2018, we performed an actuarial review of the majority of our casualty insurance programs that considered changes in claim developments and claim payment activity for the period commencing May 1, 2017 and ending October 31, 2017 for all policy years in which open claims existed. The actuarial review indicated the claims reduction and safety initiatives we implemented have had a positive impact on our claims costs in the most recent years. Most notably, over the past two years there has been a decrease in claim frequency for workers’ compensation lost-time claims and general liability bodily injury claims. However, there have been unfavorable developments in ultimate losses beyond our estimates for general liability and workers’ compensation claims related to prior years.</w:t>
      </w:r>
    </w:p>
    <w:p>
      <w:pPr>
        <w:spacing w:after="0" w:line="155"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8"/>
          <w:szCs w:val="18"/>
          <w:color w:val="auto"/>
        </w:rPr>
        <w:t>Based on the results of the actuarial review and subsequent developments, at January 31, 2018 we increased our total reserves for known claims as well as our estimate of the loss amounts associated with incurred but not reported claims for prior periods by $2.0 million. As we continue to see a similar trend in adverse developments, at April 30, 2018 we increased our reserves by an additional $2.0 million. For the six months ended April 30, 2018, the total increase to our reserves for claims related to prior periods was $4.0 million. This adjustment was $6.0 million lower than the total adjustment related to prior year claims of $ 10.0 million during the six months ended April 30, 2017. During the third quarter of 2018, comprehensive actuarial evaluations are expected to be completed for our significant insurance programs using updated claims data, and these evaluations may lead to further adjustments to our insurance reserves.</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0046AD"/>
        </w:rPr>
        <w:t>Key Financial Highlights</w:t>
      </w:r>
    </w:p>
    <w:p>
      <w:pPr>
        <w:spacing w:after="0" w:line="139" w:lineRule="exact"/>
        <w:rPr>
          <w:sz w:val="20"/>
          <w:szCs w:val="20"/>
          <w:color w:val="auto"/>
        </w:rPr>
      </w:pPr>
    </w:p>
    <w:p>
      <w:pPr>
        <w:ind w:left="660" w:hanging="328"/>
        <w:spacing w:after="0" w:line="262" w:lineRule="auto"/>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Revenues increased by $270.3 million, or 20.6%, including $256.4 million of incremental revenues from the GCA acquisition, during the three months ended April 30, 2018, as compared to the three months ended April 30, 2017.</w:t>
      </w:r>
    </w:p>
    <w:p>
      <w:pPr>
        <w:spacing w:after="0" w:line="88" w:lineRule="exact"/>
        <w:rPr>
          <w:rFonts w:ascii="Arial" w:cs="Arial" w:eastAsia="Arial" w:hAnsi="Arial"/>
          <w:sz w:val="18"/>
          <w:szCs w:val="18"/>
          <w:color w:val="auto"/>
        </w:rPr>
      </w:pPr>
    </w:p>
    <w:p>
      <w:pPr>
        <w:jc w:val="both"/>
        <w:ind w:left="660" w:hanging="328"/>
        <w:spacing w:after="0" w:line="253" w:lineRule="auto"/>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Operating profit decreased by $5.7 million, or 11.2%, during the three months ended April 30, 2018, as compared to the three months ended April 30, 2017. The decrease in operating profit is primarily attributable to higher amortization expense and incremental selling, general and administrative expenses associated with the GCA acquisition, the absence of the impairment recovery recognized during the three months ended April 30, 2017, and an increase in wages and related personnel costs due to a tight labor market. This decrease was partially offset by higher operating profit in our Education and T&amp;M segments associated with the GCA acquisition.</w:t>
      </w:r>
    </w:p>
    <w:p>
      <w:pPr>
        <w:spacing w:after="0" w:line="97" w:lineRule="exact"/>
        <w:rPr>
          <w:rFonts w:ascii="Arial" w:cs="Arial" w:eastAsia="Arial" w:hAnsi="Arial"/>
          <w:sz w:val="18"/>
          <w:szCs w:val="18"/>
          <w:color w:val="auto"/>
        </w:rPr>
      </w:pPr>
    </w:p>
    <w:p>
      <w:pPr>
        <w:jc w:val="both"/>
        <w:ind w:left="660" w:hanging="328"/>
        <w:spacing w:after="0" w:line="256" w:lineRule="auto"/>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Interest expense increased by $10.8 million during the three months ended April 30, 2018, as compared to the three months ended April 30, 2017, primarily related to increased indebtedness incurred to fund the GCA acquisition and higher relative interest rates under our credit facility.</w:t>
      </w:r>
    </w:p>
    <w:p>
      <w:pPr>
        <w:spacing w:after="0" w:line="93" w:lineRule="exact"/>
        <w:rPr>
          <w:rFonts w:ascii="Arial" w:cs="Arial" w:eastAsia="Arial" w:hAnsi="Arial"/>
          <w:sz w:val="18"/>
          <w:szCs w:val="18"/>
          <w:color w:val="auto"/>
        </w:rPr>
      </w:pPr>
    </w:p>
    <w:p>
      <w:pPr>
        <w:ind w:left="660" w:hanging="328"/>
        <w:spacing w:after="0" w:line="262" w:lineRule="auto"/>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Our income taxes from continuing operations for the six months ended April 30, 2018 were favorably impacted by a net discrete tax benefit of $21.7 million related to the Tax Act.</w:t>
      </w:r>
    </w:p>
    <w:p>
      <w:pPr>
        <w:spacing w:after="0" w:line="88"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Net cash provided by operating activities was $133.3 million during the six months ended April 30, 2018.</w:t>
      </w:r>
    </w:p>
    <w:p>
      <w:pPr>
        <w:spacing w:after="0" w:line="117" w:lineRule="exact"/>
        <w:rPr>
          <w:rFonts w:ascii="Arial" w:cs="Arial" w:eastAsia="Arial" w:hAnsi="Arial"/>
          <w:sz w:val="18"/>
          <w:szCs w:val="18"/>
          <w:color w:val="auto"/>
        </w:rPr>
      </w:pPr>
    </w:p>
    <w:p>
      <w:pPr>
        <w:ind w:left="660" w:hanging="328"/>
        <w:spacing w:after="0" w:line="262" w:lineRule="auto"/>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Dividends of $23.0 million were paid to shareholders, and dividends totaling $0.350 per common share were declared during the six months ended April 30, 2018.</w:t>
      </w:r>
    </w:p>
    <w:p>
      <w:pPr>
        <w:spacing w:after="0" w:line="88" w:lineRule="exact"/>
        <w:rPr>
          <w:rFonts w:ascii="Arial" w:cs="Arial" w:eastAsia="Arial" w:hAnsi="Arial"/>
          <w:sz w:val="18"/>
          <w:szCs w:val="18"/>
          <w:color w:val="auto"/>
        </w:rPr>
      </w:pPr>
    </w:p>
    <w:p>
      <w:pPr>
        <w:ind w:left="660" w:right="20" w:hanging="328"/>
        <w:spacing w:after="0" w:line="262" w:lineRule="auto"/>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At April 30, 2018, total outstanding borrowings under our credit facility were $1.1 billion, and we had up to $404.5 million of borrowing capacity under our credit facility; however, covenant restrictions limited our actual borrowing capacity to $313.4 million.</w:t>
      </w: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360" w:right="239" w:bottom="1440" w:gutter="0" w:footer="0" w:header="0"/>
        </w:sectPr>
      </w:pPr>
    </w:p>
    <w:bookmarkStart w:id="29" w:name="page30"/>
    <w:bookmarkEnd w:id="29"/>
    <w:p>
      <w:pPr>
        <w:ind w:left="40"/>
        <w:spacing w:after="0"/>
        <w:rPr>
          <w:sz w:val="20"/>
          <w:szCs w:val="20"/>
          <w:color w:val="auto"/>
        </w:rPr>
      </w:pPr>
      <w:r>
        <w:rPr>
          <w:rFonts w:ascii="Arial" w:cs="Arial" w:eastAsia="Arial" w:hAnsi="Arial"/>
          <w:sz w:val="18"/>
          <w:szCs w:val="18"/>
          <w:b w:val="1"/>
          <w:bCs w:val="1"/>
          <w:color w:val="0046AD"/>
        </w:rPr>
        <w:t>Results of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28575</wp:posOffset>
            </wp:positionV>
            <wp:extent cx="724662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32" w:lineRule="exact"/>
        <w:rPr>
          <w:sz w:val="20"/>
          <w:szCs w:val="20"/>
          <w:color w:val="auto"/>
        </w:rPr>
      </w:pPr>
    </w:p>
    <w:p>
      <w:pPr>
        <w:ind w:right="3720"/>
        <w:spacing w:after="0" w:line="456" w:lineRule="auto"/>
        <w:rPr>
          <w:sz w:val="20"/>
          <w:szCs w:val="20"/>
          <w:color w:val="auto"/>
        </w:rPr>
      </w:pPr>
      <w:r>
        <w:rPr>
          <w:rFonts w:ascii="Arial" w:cs="Arial" w:eastAsia="Arial" w:hAnsi="Arial"/>
          <w:sz w:val="18"/>
          <w:szCs w:val="18"/>
          <w:b w:val="1"/>
          <w:bCs w:val="1"/>
          <w:i w:val="1"/>
          <w:iCs w:val="1"/>
          <w:color w:val="0046AD"/>
        </w:rPr>
        <w:t>Three Months Ended April 30, 2018 Compared with the Three Months Ended April 30, 2017 Consolidated</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44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180" w:type="dxa"/>
            <w:vAlign w:val="bottom"/>
            <w:gridSpan w:val="5"/>
          </w:tcPr>
          <w:p>
            <w:pPr>
              <w:ind w:left="240"/>
              <w:spacing w:after="0"/>
              <w:rPr>
                <w:sz w:val="20"/>
                <w:szCs w:val="20"/>
                <w:color w:val="auto"/>
              </w:rPr>
            </w:pPr>
            <w:r>
              <w:rPr>
                <w:rFonts w:ascii="Arial" w:cs="Arial" w:eastAsia="Arial" w:hAnsi="Arial"/>
                <w:sz w:val="16"/>
                <w:szCs w:val="16"/>
                <w:b w:val="1"/>
                <w:bCs w:val="1"/>
                <w:color w:val="auto"/>
              </w:rPr>
              <w:t>Three Months Ended April 30,</w:t>
            </w:r>
          </w:p>
        </w:tc>
        <w:tc>
          <w:tcPr>
            <w:tcW w:w="3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340" w:type="dxa"/>
            <w:vAlign w:val="bottom"/>
          </w:tcPr>
          <w:p>
            <w:pPr>
              <w:spacing w:after="0"/>
              <w:rPr>
                <w:sz w:val="19"/>
                <w:szCs w:val="19"/>
                <w:color w:val="auto"/>
              </w:rPr>
            </w:pPr>
          </w:p>
        </w:tc>
      </w:tr>
      <w:tr>
        <w:trPr>
          <w:trHeight w:val="230"/>
        </w:trPr>
        <w:tc>
          <w:tcPr>
            <w:tcW w:w="5300" w:type="dxa"/>
            <w:vAlign w:val="bottom"/>
            <w:gridSpan w:val="3"/>
          </w:tcPr>
          <w:p>
            <w:pPr>
              <w:ind w:left="40"/>
              <w:spacing w:after="0"/>
              <w:rPr>
                <w:sz w:val="20"/>
                <w:szCs w:val="20"/>
                <w:color w:val="auto"/>
              </w:rPr>
            </w:pPr>
            <w:r>
              <w:rPr>
                <w:rFonts w:ascii="Arial" w:cs="Arial" w:eastAsia="Arial" w:hAnsi="Arial"/>
                <w:sz w:val="14"/>
                <w:szCs w:val="14"/>
                <w:i w:val="1"/>
                <w:iCs w:val="1"/>
                <w:u w:val="single" w:color="auto"/>
                <w:color w:val="auto"/>
              </w:rPr>
              <w:t>(</w:t>
            </w:r>
            <w:r>
              <w:rPr>
                <w:rFonts w:ascii="Arial" w:cs="Arial" w:eastAsia="Arial" w:hAnsi="Arial"/>
                <w:sz w:val="14"/>
                <w:szCs w:val="14"/>
                <w:i w:val="1"/>
                <w:iCs w:val="1"/>
                <w:color w:val="auto"/>
              </w:rPr>
              <w:t>$ in millions)</w:t>
            </w:r>
          </w:p>
        </w:tc>
        <w:tc>
          <w:tcPr>
            <w:tcW w:w="340" w:type="dxa"/>
            <w:vAlign w:val="bottom"/>
            <w:tcBorders>
              <w:top w:val="single" w:sz="8" w:color="auto"/>
            </w:tcBorders>
          </w:tcPr>
          <w:p>
            <w:pPr>
              <w:spacing w:after="0"/>
              <w:rPr>
                <w:sz w:val="19"/>
                <w:szCs w:val="19"/>
                <w:color w:val="auto"/>
              </w:rPr>
            </w:pPr>
          </w:p>
        </w:tc>
        <w:tc>
          <w:tcPr>
            <w:tcW w:w="1300" w:type="dxa"/>
            <w:vAlign w:val="bottom"/>
            <w:tcBorders>
              <w:top w:val="single" w:sz="8" w:color="auto"/>
            </w:tcBorders>
          </w:tcPr>
          <w:p>
            <w:pPr>
              <w:jc w:val="right"/>
              <w:ind w:right="559"/>
              <w:spacing w:after="0"/>
              <w:rPr>
                <w:sz w:val="20"/>
                <w:szCs w:val="20"/>
                <w:color w:val="auto"/>
              </w:rPr>
            </w:pPr>
            <w:r>
              <w:rPr>
                <w:rFonts w:ascii="Arial" w:cs="Arial" w:eastAsia="Arial" w:hAnsi="Arial"/>
                <w:sz w:val="16"/>
                <w:szCs w:val="16"/>
                <w:b w:val="1"/>
                <w:bCs w:val="1"/>
                <w:color w:val="auto"/>
              </w:rPr>
              <w:t>2018</w:t>
            </w:r>
          </w:p>
        </w:tc>
        <w:tc>
          <w:tcPr>
            <w:tcW w:w="120" w:type="dxa"/>
            <w:vAlign w:val="bottom"/>
            <w:tcBorders>
              <w:top w:val="single" w:sz="8" w:color="auto"/>
            </w:tcBorders>
          </w:tcPr>
          <w:p>
            <w:pPr>
              <w:spacing w:after="0"/>
              <w:rPr>
                <w:sz w:val="19"/>
                <w:szCs w:val="19"/>
                <w:color w:val="auto"/>
              </w:rPr>
            </w:pPr>
          </w:p>
        </w:tc>
        <w:tc>
          <w:tcPr>
            <w:tcW w:w="380" w:type="dxa"/>
            <w:vAlign w:val="bottom"/>
            <w:tcBorders>
              <w:top w:val="single" w:sz="8" w:color="auto"/>
            </w:tcBorders>
          </w:tcPr>
          <w:p>
            <w:pPr>
              <w:spacing w:after="0"/>
              <w:rPr>
                <w:sz w:val="19"/>
                <w:szCs w:val="19"/>
                <w:color w:val="auto"/>
              </w:rPr>
            </w:pPr>
          </w:p>
        </w:tc>
        <w:tc>
          <w:tcPr>
            <w:tcW w:w="1260" w:type="dxa"/>
            <w:vAlign w:val="bottom"/>
            <w:tcBorders>
              <w:top w:val="single" w:sz="8" w:color="auto"/>
            </w:tcBorders>
          </w:tcPr>
          <w:p>
            <w:pPr>
              <w:jc w:val="right"/>
              <w:ind w:right="559"/>
              <w:spacing w:after="0"/>
              <w:rPr>
                <w:sz w:val="20"/>
                <w:szCs w:val="20"/>
                <w:color w:val="auto"/>
              </w:rPr>
            </w:pPr>
            <w:r>
              <w:rPr>
                <w:rFonts w:ascii="Arial" w:cs="Arial" w:eastAsia="Arial" w:hAnsi="Arial"/>
                <w:sz w:val="16"/>
                <w:szCs w:val="16"/>
                <w:b w:val="1"/>
                <w:bCs w:val="1"/>
                <w:color w:val="auto"/>
              </w:rPr>
              <w:t>2017</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280" w:type="dxa"/>
            <w:vAlign w:val="bottom"/>
            <w:gridSpan w:val="2"/>
          </w:tcPr>
          <w:p>
            <w:pPr>
              <w:ind w:left="200"/>
              <w:spacing w:after="0"/>
              <w:rPr>
                <w:sz w:val="20"/>
                <w:szCs w:val="20"/>
                <w:color w:val="auto"/>
              </w:rPr>
            </w:pPr>
            <w:r>
              <w:rPr>
                <w:rFonts w:ascii="Arial" w:cs="Arial" w:eastAsia="Arial" w:hAnsi="Arial"/>
                <w:sz w:val="16"/>
                <w:szCs w:val="16"/>
                <w:b w:val="1"/>
                <w:bCs w:val="1"/>
                <w:color w:val="auto"/>
              </w:rPr>
              <w:t>Increase / (Decrease)</w:t>
            </w:r>
          </w:p>
        </w:tc>
      </w:tr>
      <w:tr>
        <w:trPr>
          <w:trHeight w:val="21"/>
        </w:trPr>
        <w:tc>
          <w:tcPr>
            <w:tcW w:w="40" w:type="dxa"/>
            <w:vAlign w:val="bottom"/>
            <w:tcBorders>
              <w:bottom w:val="single" w:sz="8" w:color="DCE2EF"/>
            </w:tcBorders>
          </w:tcPr>
          <w:p>
            <w:pPr>
              <w:spacing w:after="0" w:line="20" w:lineRule="exact"/>
              <w:rPr>
                <w:sz w:val="1"/>
                <w:szCs w:val="1"/>
                <w:color w:val="auto"/>
              </w:rPr>
            </w:pPr>
          </w:p>
        </w:tc>
        <w:tc>
          <w:tcPr>
            <w:tcW w:w="820" w:type="dxa"/>
            <w:vAlign w:val="bottom"/>
            <w:tcBorders>
              <w:top w:val="single" w:sz="8" w:color="auto"/>
              <w:bottom w:val="single" w:sz="8" w:color="DCE2EF"/>
            </w:tcBorders>
          </w:tcPr>
          <w:p>
            <w:pPr>
              <w:spacing w:after="0" w:line="20" w:lineRule="exact"/>
              <w:rPr>
                <w:sz w:val="1"/>
                <w:szCs w:val="1"/>
                <w:color w:val="auto"/>
              </w:rPr>
            </w:pPr>
          </w:p>
        </w:tc>
        <w:tc>
          <w:tcPr>
            <w:tcW w:w="4440" w:type="dxa"/>
            <w:vAlign w:val="bottom"/>
            <w:tcBorders>
              <w:bottom w:val="single" w:sz="8" w:color="DCE2E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DCE2E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DCE2E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r>
        <w:trPr>
          <w:trHeight w:val="264"/>
        </w:trPr>
        <w:tc>
          <w:tcPr>
            <w:tcW w:w="5300" w:type="dxa"/>
            <w:vAlign w:val="bottom"/>
            <w:gridSpan w:val="3"/>
            <w:shd w:val="clear" w:color="auto" w:fill="DCE2EF"/>
          </w:tcPr>
          <w:p>
            <w:pPr>
              <w:ind w:left="40"/>
              <w:spacing w:after="0"/>
              <w:rPr>
                <w:sz w:val="20"/>
                <w:szCs w:val="20"/>
                <w:color w:val="auto"/>
              </w:rPr>
            </w:pPr>
            <w:r>
              <w:rPr>
                <w:rFonts w:ascii="Arial" w:cs="Arial" w:eastAsia="Arial" w:hAnsi="Arial"/>
                <w:sz w:val="16"/>
                <w:szCs w:val="16"/>
                <w:b w:val="1"/>
                <w:bCs w:val="1"/>
                <w:color w:val="auto"/>
              </w:rPr>
              <w:t>Revenues</w:t>
            </w:r>
          </w:p>
        </w:tc>
        <w:tc>
          <w:tcPr>
            <w:tcW w:w="340" w:type="dxa"/>
            <w:vAlign w:val="bottom"/>
            <w:shd w:val="clear" w:color="auto" w:fill="DCE2EF"/>
          </w:tcPr>
          <w:p>
            <w:pPr>
              <w:jc w:val="right"/>
              <w:ind w:right="139"/>
              <w:spacing w:after="0"/>
              <w:rPr>
                <w:sz w:val="20"/>
                <w:szCs w:val="20"/>
                <w:color w:val="auto"/>
              </w:rPr>
            </w:pPr>
            <w:r>
              <w:rPr>
                <w:rFonts w:ascii="Arial" w:cs="Arial" w:eastAsia="Arial" w:hAnsi="Arial"/>
                <w:sz w:val="16"/>
                <w:szCs w:val="16"/>
                <w:color w:val="auto"/>
              </w:rPr>
              <w:t>$</w:t>
            </w:r>
          </w:p>
        </w:tc>
        <w:tc>
          <w:tcPr>
            <w:tcW w:w="1300" w:type="dxa"/>
            <w:vAlign w:val="bottom"/>
            <w:shd w:val="clear" w:color="auto" w:fill="DCE2EF"/>
          </w:tcPr>
          <w:p>
            <w:pPr>
              <w:jc w:val="right"/>
              <w:ind w:right="79"/>
              <w:spacing w:after="0"/>
              <w:rPr>
                <w:sz w:val="20"/>
                <w:szCs w:val="20"/>
                <w:color w:val="auto"/>
              </w:rPr>
            </w:pPr>
            <w:r>
              <w:rPr>
                <w:rFonts w:ascii="Arial" w:cs="Arial" w:eastAsia="Arial" w:hAnsi="Arial"/>
                <w:sz w:val="16"/>
                <w:szCs w:val="16"/>
                <w:color w:val="auto"/>
              </w:rPr>
              <w:t>1,580.8</w:t>
            </w:r>
          </w:p>
        </w:tc>
        <w:tc>
          <w:tcPr>
            <w:tcW w:w="120" w:type="dxa"/>
            <w:vAlign w:val="bottom"/>
            <w:shd w:val="clear" w:color="auto" w:fill="DCE2EF"/>
          </w:tcPr>
          <w:p>
            <w:pPr>
              <w:spacing w:after="0"/>
              <w:rPr>
                <w:sz w:val="22"/>
                <w:szCs w:val="22"/>
                <w:color w:val="auto"/>
              </w:rPr>
            </w:pPr>
          </w:p>
        </w:tc>
        <w:tc>
          <w:tcPr>
            <w:tcW w:w="380" w:type="dxa"/>
            <w:vAlign w:val="bottom"/>
            <w:shd w:val="clear" w:color="auto" w:fill="DCE2EF"/>
          </w:tcPr>
          <w:p>
            <w:pPr>
              <w:jc w:val="right"/>
              <w:ind w:right="179"/>
              <w:spacing w:after="0"/>
              <w:rPr>
                <w:sz w:val="20"/>
                <w:szCs w:val="20"/>
                <w:color w:val="auto"/>
              </w:rPr>
            </w:pPr>
            <w:r>
              <w:rPr>
                <w:rFonts w:ascii="Arial" w:cs="Arial" w:eastAsia="Arial" w:hAnsi="Arial"/>
                <w:sz w:val="16"/>
                <w:szCs w:val="16"/>
                <w:color w:val="auto"/>
              </w:rPr>
              <w:t>$</w:t>
            </w:r>
          </w:p>
        </w:tc>
        <w:tc>
          <w:tcPr>
            <w:tcW w:w="1260" w:type="dxa"/>
            <w:vAlign w:val="bottom"/>
            <w:shd w:val="clear" w:color="auto" w:fill="DCE2EF"/>
          </w:tcPr>
          <w:p>
            <w:pPr>
              <w:jc w:val="right"/>
              <w:ind w:right="79"/>
              <w:spacing w:after="0"/>
              <w:rPr>
                <w:sz w:val="20"/>
                <w:szCs w:val="20"/>
                <w:color w:val="auto"/>
              </w:rPr>
            </w:pPr>
            <w:r>
              <w:rPr>
                <w:rFonts w:ascii="Arial" w:cs="Arial" w:eastAsia="Arial" w:hAnsi="Arial"/>
                <w:sz w:val="16"/>
                <w:szCs w:val="16"/>
                <w:color w:val="auto"/>
              </w:rPr>
              <w:t>1,310.5</w:t>
            </w:r>
          </w:p>
        </w:tc>
        <w:tc>
          <w:tcPr>
            <w:tcW w:w="120" w:type="dxa"/>
            <w:vAlign w:val="bottom"/>
            <w:shd w:val="clear" w:color="auto" w:fill="DCE2EF"/>
          </w:tcPr>
          <w:p>
            <w:pPr>
              <w:spacing w:after="0"/>
              <w:rPr>
                <w:sz w:val="22"/>
                <w:szCs w:val="22"/>
                <w:color w:val="auto"/>
              </w:rPr>
            </w:pPr>
          </w:p>
        </w:tc>
        <w:tc>
          <w:tcPr>
            <w:tcW w:w="300" w:type="dxa"/>
            <w:vAlign w:val="bottom"/>
            <w:shd w:val="clear" w:color="auto" w:fill="DCE2EF"/>
          </w:tcPr>
          <w:p>
            <w:pPr>
              <w:jc w:val="right"/>
              <w:ind w:right="99"/>
              <w:spacing w:after="0"/>
              <w:rPr>
                <w:sz w:val="20"/>
                <w:szCs w:val="20"/>
                <w:color w:val="auto"/>
              </w:rPr>
            </w:pPr>
            <w:r>
              <w:rPr>
                <w:rFonts w:ascii="Arial" w:cs="Arial" w:eastAsia="Arial" w:hAnsi="Arial"/>
                <w:sz w:val="16"/>
                <w:szCs w:val="16"/>
                <w:color w:val="auto"/>
              </w:rPr>
              <w:t>$</w:t>
            </w:r>
          </w:p>
        </w:tc>
        <w:tc>
          <w:tcPr>
            <w:tcW w:w="940" w:type="dxa"/>
            <w:vAlign w:val="bottom"/>
            <w:shd w:val="clear" w:color="auto" w:fill="DCE2EF"/>
          </w:tcPr>
          <w:p>
            <w:pPr>
              <w:jc w:val="right"/>
              <w:ind w:right="39"/>
              <w:spacing w:after="0"/>
              <w:rPr>
                <w:sz w:val="20"/>
                <w:szCs w:val="20"/>
                <w:color w:val="auto"/>
              </w:rPr>
            </w:pPr>
            <w:r>
              <w:rPr>
                <w:rFonts w:ascii="Arial" w:cs="Arial" w:eastAsia="Arial" w:hAnsi="Arial"/>
                <w:sz w:val="16"/>
                <w:szCs w:val="16"/>
                <w:color w:val="auto"/>
              </w:rPr>
              <w:t>270.3</w:t>
            </w:r>
          </w:p>
        </w:tc>
        <w:tc>
          <w:tcPr>
            <w:tcW w:w="1340" w:type="dxa"/>
            <w:vAlign w:val="bottom"/>
            <w:shd w:val="clear" w:color="auto" w:fill="DCE2EF"/>
          </w:tcPr>
          <w:p>
            <w:pPr>
              <w:jc w:val="center"/>
              <w:ind w:left="39"/>
              <w:spacing w:after="0"/>
              <w:rPr>
                <w:sz w:val="20"/>
                <w:szCs w:val="20"/>
                <w:color w:val="auto"/>
              </w:rPr>
            </w:pPr>
            <w:r>
              <w:rPr>
                <w:rFonts w:ascii="Arial" w:cs="Arial" w:eastAsia="Arial" w:hAnsi="Arial"/>
                <w:sz w:val="16"/>
                <w:szCs w:val="16"/>
                <w:color w:val="auto"/>
              </w:rPr>
              <w:t>20.6%</w:t>
            </w:r>
          </w:p>
        </w:tc>
      </w:tr>
      <w:tr>
        <w:trPr>
          <w:trHeight w:val="260"/>
        </w:trPr>
        <w:tc>
          <w:tcPr>
            <w:tcW w:w="5300" w:type="dxa"/>
            <w:vAlign w:val="bottom"/>
            <w:gridSpan w:val="3"/>
          </w:tcPr>
          <w:p>
            <w:pPr>
              <w:ind w:left="40"/>
              <w:spacing w:after="0"/>
              <w:rPr>
                <w:sz w:val="20"/>
                <w:szCs w:val="20"/>
                <w:color w:val="auto"/>
              </w:rPr>
            </w:pPr>
            <w:r>
              <w:rPr>
                <w:rFonts w:ascii="Arial" w:cs="Arial" w:eastAsia="Arial" w:hAnsi="Arial"/>
                <w:sz w:val="16"/>
                <w:szCs w:val="16"/>
                <w:color w:val="auto"/>
              </w:rPr>
              <w:t>Operating expenses</w:t>
            </w:r>
          </w:p>
        </w:tc>
        <w:tc>
          <w:tcPr>
            <w:tcW w:w="340" w:type="dxa"/>
            <w:vAlign w:val="bottom"/>
          </w:tcPr>
          <w:p>
            <w:pPr>
              <w:spacing w:after="0"/>
              <w:rPr>
                <w:sz w:val="22"/>
                <w:szCs w:val="22"/>
                <w:color w:val="auto"/>
              </w:rPr>
            </w:pPr>
          </w:p>
        </w:tc>
        <w:tc>
          <w:tcPr>
            <w:tcW w:w="1300" w:type="dxa"/>
            <w:vAlign w:val="bottom"/>
          </w:tcPr>
          <w:p>
            <w:pPr>
              <w:jc w:val="right"/>
              <w:ind w:right="79"/>
              <w:spacing w:after="0"/>
              <w:rPr>
                <w:sz w:val="20"/>
                <w:szCs w:val="20"/>
                <w:color w:val="auto"/>
              </w:rPr>
            </w:pPr>
            <w:r>
              <w:rPr>
                <w:rFonts w:ascii="Arial" w:cs="Arial" w:eastAsia="Arial" w:hAnsi="Arial"/>
                <w:sz w:val="16"/>
                <w:szCs w:val="16"/>
                <w:color w:val="auto"/>
              </w:rPr>
              <w:t>1,405.8</w:t>
            </w:r>
          </w:p>
        </w:tc>
        <w:tc>
          <w:tcPr>
            <w:tcW w:w="1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260" w:type="dxa"/>
            <w:vAlign w:val="bottom"/>
          </w:tcPr>
          <w:p>
            <w:pPr>
              <w:jc w:val="right"/>
              <w:ind w:right="79"/>
              <w:spacing w:after="0"/>
              <w:rPr>
                <w:sz w:val="20"/>
                <w:szCs w:val="20"/>
                <w:color w:val="auto"/>
              </w:rPr>
            </w:pPr>
            <w:r>
              <w:rPr>
                <w:rFonts w:ascii="Arial" w:cs="Arial" w:eastAsia="Arial" w:hAnsi="Arial"/>
                <w:sz w:val="16"/>
                <w:szCs w:val="16"/>
                <w:color w:val="auto"/>
              </w:rPr>
              <w:t>1,164.6</w:t>
            </w: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40" w:type="dxa"/>
            <w:vAlign w:val="bottom"/>
          </w:tcPr>
          <w:p>
            <w:pPr>
              <w:jc w:val="right"/>
              <w:ind w:right="39"/>
              <w:spacing w:after="0"/>
              <w:rPr>
                <w:sz w:val="20"/>
                <w:szCs w:val="20"/>
                <w:color w:val="auto"/>
              </w:rPr>
            </w:pPr>
            <w:r>
              <w:rPr>
                <w:rFonts w:ascii="Arial" w:cs="Arial" w:eastAsia="Arial" w:hAnsi="Arial"/>
                <w:sz w:val="16"/>
                <w:szCs w:val="16"/>
                <w:color w:val="auto"/>
              </w:rPr>
              <w:t>241.2</w:t>
            </w:r>
          </w:p>
        </w:tc>
        <w:tc>
          <w:tcPr>
            <w:tcW w:w="1340" w:type="dxa"/>
            <w:vAlign w:val="bottom"/>
          </w:tcPr>
          <w:p>
            <w:pPr>
              <w:jc w:val="center"/>
              <w:ind w:left="39"/>
              <w:spacing w:after="0"/>
              <w:rPr>
                <w:sz w:val="20"/>
                <w:szCs w:val="20"/>
                <w:color w:val="auto"/>
              </w:rPr>
            </w:pPr>
            <w:r>
              <w:rPr>
                <w:rFonts w:ascii="Arial" w:cs="Arial" w:eastAsia="Arial" w:hAnsi="Arial"/>
                <w:sz w:val="16"/>
                <w:szCs w:val="16"/>
                <w:color w:val="auto"/>
              </w:rPr>
              <w:t>20.7%</w:t>
            </w:r>
          </w:p>
        </w:tc>
      </w:tr>
      <w:tr>
        <w:trPr>
          <w:trHeight w:val="280"/>
        </w:trPr>
        <w:tc>
          <w:tcPr>
            <w:tcW w:w="40" w:type="dxa"/>
            <w:vAlign w:val="bottom"/>
            <w:shd w:val="clear" w:color="auto" w:fill="DCE2EF"/>
          </w:tcPr>
          <w:p>
            <w:pPr>
              <w:spacing w:after="0"/>
              <w:rPr>
                <w:sz w:val="24"/>
                <w:szCs w:val="24"/>
                <w:color w:val="auto"/>
              </w:rPr>
            </w:pPr>
          </w:p>
        </w:tc>
        <w:tc>
          <w:tcPr>
            <w:tcW w:w="5260" w:type="dxa"/>
            <w:vAlign w:val="bottom"/>
            <w:gridSpan w:val="2"/>
            <w:shd w:val="clear" w:color="auto" w:fill="DCE2EF"/>
          </w:tcPr>
          <w:p>
            <w:pPr>
              <w:ind w:left="140"/>
              <w:spacing w:after="0"/>
              <w:rPr>
                <w:sz w:val="20"/>
                <w:szCs w:val="20"/>
                <w:color w:val="auto"/>
              </w:rPr>
            </w:pPr>
            <w:r>
              <w:rPr>
                <w:rFonts w:ascii="Arial" w:cs="Arial" w:eastAsia="Arial" w:hAnsi="Arial"/>
                <w:sz w:val="14"/>
                <w:szCs w:val="14"/>
                <w:i w:val="1"/>
                <w:iCs w:val="1"/>
                <w:color w:val="auto"/>
              </w:rPr>
              <w:t>Gross margin</w:t>
            </w:r>
          </w:p>
        </w:tc>
        <w:tc>
          <w:tcPr>
            <w:tcW w:w="340" w:type="dxa"/>
            <w:vAlign w:val="bottom"/>
            <w:shd w:val="clear" w:color="auto" w:fill="DCE2EF"/>
          </w:tcPr>
          <w:p>
            <w:pPr>
              <w:spacing w:after="0"/>
              <w:rPr>
                <w:sz w:val="24"/>
                <w:szCs w:val="24"/>
                <w:color w:val="auto"/>
              </w:rPr>
            </w:pPr>
          </w:p>
        </w:tc>
        <w:tc>
          <w:tcPr>
            <w:tcW w:w="1300" w:type="dxa"/>
            <w:vAlign w:val="bottom"/>
            <w:shd w:val="clear" w:color="auto" w:fill="DCE2EF"/>
          </w:tcPr>
          <w:p>
            <w:pPr>
              <w:jc w:val="right"/>
              <w:spacing w:after="0"/>
              <w:rPr>
                <w:sz w:val="20"/>
                <w:szCs w:val="20"/>
                <w:color w:val="auto"/>
              </w:rPr>
            </w:pPr>
            <w:r>
              <w:rPr>
                <w:rFonts w:ascii="Arial" w:cs="Arial" w:eastAsia="Arial" w:hAnsi="Arial"/>
                <w:sz w:val="14"/>
                <w:szCs w:val="14"/>
                <w:i w:val="1"/>
                <w:iCs w:val="1"/>
                <w:color w:val="auto"/>
              </w:rPr>
              <w:t>11.1%</w:t>
            </w:r>
          </w:p>
        </w:tc>
        <w:tc>
          <w:tcPr>
            <w:tcW w:w="120" w:type="dxa"/>
            <w:vAlign w:val="bottom"/>
            <w:shd w:val="clear" w:color="auto" w:fill="DCE2EF"/>
          </w:tcPr>
          <w:p>
            <w:pPr>
              <w:spacing w:after="0"/>
              <w:rPr>
                <w:sz w:val="24"/>
                <w:szCs w:val="24"/>
                <w:color w:val="auto"/>
              </w:rPr>
            </w:pPr>
          </w:p>
        </w:tc>
        <w:tc>
          <w:tcPr>
            <w:tcW w:w="380" w:type="dxa"/>
            <w:vAlign w:val="bottom"/>
            <w:shd w:val="clear" w:color="auto" w:fill="DCE2EF"/>
          </w:tcPr>
          <w:p>
            <w:pPr>
              <w:spacing w:after="0"/>
              <w:rPr>
                <w:sz w:val="24"/>
                <w:szCs w:val="24"/>
                <w:color w:val="auto"/>
              </w:rPr>
            </w:pPr>
          </w:p>
        </w:tc>
        <w:tc>
          <w:tcPr>
            <w:tcW w:w="1260" w:type="dxa"/>
            <w:vAlign w:val="bottom"/>
            <w:shd w:val="clear" w:color="auto" w:fill="DCE2EF"/>
          </w:tcPr>
          <w:p>
            <w:pPr>
              <w:jc w:val="right"/>
              <w:spacing w:after="0"/>
              <w:rPr>
                <w:sz w:val="20"/>
                <w:szCs w:val="20"/>
                <w:color w:val="auto"/>
              </w:rPr>
            </w:pPr>
            <w:r>
              <w:rPr>
                <w:rFonts w:ascii="Arial" w:cs="Arial" w:eastAsia="Arial" w:hAnsi="Arial"/>
                <w:sz w:val="14"/>
                <w:szCs w:val="14"/>
                <w:i w:val="1"/>
                <w:iCs w:val="1"/>
                <w:color w:val="auto"/>
              </w:rPr>
              <w:t>11.1%</w:t>
            </w:r>
          </w:p>
        </w:tc>
        <w:tc>
          <w:tcPr>
            <w:tcW w:w="120" w:type="dxa"/>
            <w:vAlign w:val="bottom"/>
            <w:shd w:val="clear" w:color="auto" w:fill="DCE2EF"/>
          </w:tcPr>
          <w:p>
            <w:pPr>
              <w:spacing w:after="0"/>
              <w:rPr>
                <w:sz w:val="24"/>
                <w:szCs w:val="24"/>
                <w:color w:val="auto"/>
              </w:rPr>
            </w:pPr>
          </w:p>
        </w:tc>
        <w:tc>
          <w:tcPr>
            <w:tcW w:w="300" w:type="dxa"/>
            <w:vAlign w:val="bottom"/>
            <w:shd w:val="clear" w:color="auto" w:fill="DCE2EF"/>
          </w:tcPr>
          <w:p>
            <w:pPr>
              <w:spacing w:after="0"/>
              <w:rPr>
                <w:sz w:val="24"/>
                <w:szCs w:val="24"/>
                <w:color w:val="auto"/>
              </w:rPr>
            </w:pPr>
          </w:p>
        </w:tc>
        <w:tc>
          <w:tcPr>
            <w:tcW w:w="940" w:type="dxa"/>
            <w:vAlign w:val="bottom"/>
            <w:shd w:val="clear" w:color="auto" w:fill="DCE2EF"/>
          </w:tcPr>
          <w:p>
            <w:pPr>
              <w:jc w:val="right"/>
              <w:spacing w:after="0"/>
              <w:rPr>
                <w:sz w:val="20"/>
                <w:szCs w:val="20"/>
                <w:color w:val="auto"/>
              </w:rPr>
            </w:pPr>
            <w:r>
              <w:rPr>
                <w:rFonts w:ascii="Arial" w:cs="Arial" w:eastAsia="Arial" w:hAnsi="Arial"/>
                <w:sz w:val="14"/>
                <w:szCs w:val="14"/>
                <w:i w:val="1"/>
                <w:iCs w:val="1"/>
                <w:color w:val="auto"/>
              </w:rPr>
              <w:t>(6) bps</w:t>
            </w:r>
          </w:p>
        </w:tc>
        <w:tc>
          <w:tcPr>
            <w:tcW w:w="1340" w:type="dxa"/>
            <w:vAlign w:val="bottom"/>
            <w:shd w:val="clear" w:color="auto" w:fill="DCE2EF"/>
          </w:tcPr>
          <w:p>
            <w:pPr>
              <w:spacing w:after="0"/>
              <w:rPr>
                <w:sz w:val="24"/>
                <w:szCs w:val="24"/>
                <w:color w:val="auto"/>
              </w:rPr>
            </w:pPr>
          </w:p>
        </w:tc>
      </w:tr>
      <w:tr>
        <w:trPr>
          <w:trHeight w:val="260"/>
        </w:trPr>
        <w:tc>
          <w:tcPr>
            <w:tcW w:w="5300" w:type="dxa"/>
            <w:vAlign w:val="bottom"/>
            <w:gridSpan w:val="3"/>
          </w:tcPr>
          <w:p>
            <w:pPr>
              <w:ind w:left="40"/>
              <w:spacing w:after="0"/>
              <w:rPr>
                <w:sz w:val="20"/>
                <w:szCs w:val="20"/>
                <w:color w:val="auto"/>
              </w:rPr>
            </w:pPr>
            <w:r>
              <w:rPr>
                <w:rFonts w:ascii="Arial" w:cs="Arial" w:eastAsia="Arial" w:hAnsi="Arial"/>
                <w:sz w:val="16"/>
                <w:szCs w:val="16"/>
                <w:color w:val="auto"/>
              </w:rPr>
              <w:t>Selling, general and administrative expenses</w:t>
            </w:r>
          </w:p>
        </w:tc>
        <w:tc>
          <w:tcPr>
            <w:tcW w:w="340" w:type="dxa"/>
            <w:vAlign w:val="bottom"/>
          </w:tcPr>
          <w:p>
            <w:pPr>
              <w:spacing w:after="0"/>
              <w:rPr>
                <w:sz w:val="22"/>
                <w:szCs w:val="22"/>
                <w:color w:val="auto"/>
              </w:rPr>
            </w:pPr>
          </w:p>
        </w:tc>
        <w:tc>
          <w:tcPr>
            <w:tcW w:w="1300" w:type="dxa"/>
            <w:vAlign w:val="bottom"/>
          </w:tcPr>
          <w:p>
            <w:pPr>
              <w:jc w:val="right"/>
              <w:ind w:right="79"/>
              <w:spacing w:after="0"/>
              <w:rPr>
                <w:sz w:val="20"/>
                <w:szCs w:val="20"/>
                <w:color w:val="auto"/>
              </w:rPr>
            </w:pPr>
            <w:r>
              <w:rPr>
                <w:rFonts w:ascii="Arial" w:cs="Arial" w:eastAsia="Arial" w:hAnsi="Arial"/>
                <w:sz w:val="16"/>
                <w:szCs w:val="16"/>
                <w:color w:val="auto"/>
              </w:rPr>
              <w:t>107.8</w:t>
            </w:r>
          </w:p>
        </w:tc>
        <w:tc>
          <w:tcPr>
            <w:tcW w:w="1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260" w:type="dxa"/>
            <w:vAlign w:val="bottom"/>
          </w:tcPr>
          <w:p>
            <w:pPr>
              <w:jc w:val="right"/>
              <w:ind w:right="79"/>
              <w:spacing w:after="0"/>
              <w:rPr>
                <w:sz w:val="20"/>
                <w:szCs w:val="20"/>
                <w:color w:val="auto"/>
              </w:rPr>
            </w:pPr>
            <w:r>
              <w:rPr>
                <w:rFonts w:ascii="Arial" w:cs="Arial" w:eastAsia="Arial" w:hAnsi="Arial"/>
                <w:sz w:val="16"/>
                <w:szCs w:val="16"/>
                <w:color w:val="auto"/>
              </w:rPr>
              <w:t>100.7</w:t>
            </w: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40" w:type="dxa"/>
            <w:vAlign w:val="bottom"/>
          </w:tcPr>
          <w:p>
            <w:pPr>
              <w:jc w:val="right"/>
              <w:ind w:right="39"/>
              <w:spacing w:after="0"/>
              <w:rPr>
                <w:sz w:val="20"/>
                <w:szCs w:val="20"/>
                <w:color w:val="auto"/>
              </w:rPr>
            </w:pPr>
            <w:r>
              <w:rPr>
                <w:rFonts w:ascii="Arial" w:cs="Arial" w:eastAsia="Arial" w:hAnsi="Arial"/>
                <w:sz w:val="16"/>
                <w:szCs w:val="16"/>
                <w:color w:val="auto"/>
              </w:rPr>
              <w:t>7.1</w:t>
            </w:r>
          </w:p>
        </w:tc>
        <w:tc>
          <w:tcPr>
            <w:tcW w:w="1340" w:type="dxa"/>
            <w:vAlign w:val="bottom"/>
          </w:tcPr>
          <w:p>
            <w:pPr>
              <w:jc w:val="center"/>
              <w:ind w:left="39"/>
              <w:spacing w:after="0"/>
              <w:rPr>
                <w:sz w:val="20"/>
                <w:szCs w:val="20"/>
                <w:color w:val="auto"/>
              </w:rPr>
            </w:pPr>
            <w:r>
              <w:rPr>
                <w:rFonts w:ascii="Arial" w:cs="Arial" w:eastAsia="Arial" w:hAnsi="Arial"/>
                <w:sz w:val="16"/>
                <w:szCs w:val="16"/>
                <w:color w:val="auto"/>
              </w:rPr>
              <w:t>7.0%</w:t>
            </w:r>
          </w:p>
        </w:tc>
      </w:tr>
      <w:tr>
        <w:trPr>
          <w:trHeight w:val="280"/>
        </w:trPr>
        <w:tc>
          <w:tcPr>
            <w:tcW w:w="5300" w:type="dxa"/>
            <w:vAlign w:val="bottom"/>
            <w:gridSpan w:val="3"/>
            <w:shd w:val="clear" w:color="auto" w:fill="DCE2EF"/>
          </w:tcPr>
          <w:p>
            <w:pPr>
              <w:ind w:left="40"/>
              <w:spacing w:after="0"/>
              <w:rPr>
                <w:sz w:val="20"/>
                <w:szCs w:val="20"/>
                <w:color w:val="auto"/>
              </w:rPr>
            </w:pPr>
            <w:r>
              <w:rPr>
                <w:rFonts w:ascii="Arial" w:cs="Arial" w:eastAsia="Arial" w:hAnsi="Arial"/>
                <w:sz w:val="16"/>
                <w:szCs w:val="16"/>
                <w:color w:val="auto"/>
              </w:rPr>
              <w:t>Restructuring and related expenses</w:t>
            </w:r>
          </w:p>
        </w:tc>
        <w:tc>
          <w:tcPr>
            <w:tcW w:w="340" w:type="dxa"/>
            <w:vAlign w:val="bottom"/>
            <w:shd w:val="clear" w:color="auto" w:fill="DCE2EF"/>
          </w:tcPr>
          <w:p>
            <w:pPr>
              <w:spacing w:after="0"/>
              <w:rPr>
                <w:sz w:val="24"/>
                <w:szCs w:val="24"/>
                <w:color w:val="auto"/>
              </w:rPr>
            </w:pPr>
          </w:p>
        </w:tc>
        <w:tc>
          <w:tcPr>
            <w:tcW w:w="1300" w:type="dxa"/>
            <w:vAlign w:val="bottom"/>
            <w:shd w:val="clear" w:color="auto" w:fill="DCE2EF"/>
          </w:tcPr>
          <w:p>
            <w:pPr>
              <w:jc w:val="right"/>
              <w:ind w:right="79"/>
              <w:spacing w:after="0"/>
              <w:rPr>
                <w:sz w:val="20"/>
                <w:szCs w:val="20"/>
                <w:color w:val="auto"/>
              </w:rPr>
            </w:pPr>
            <w:r>
              <w:rPr>
                <w:rFonts w:ascii="Arial" w:cs="Arial" w:eastAsia="Arial" w:hAnsi="Arial"/>
                <w:sz w:val="16"/>
                <w:szCs w:val="16"/>
                <w:color w:val="auto"/>
              </w:rPr>
              <w:t>5.3</w:t>
            </w:r>
          </w:p>
        </w:tc>
        <w:tc>
          <w:tcPr>
            <w:tcW w:w="120" w:type="dxa"/>
            <w:vAlign w:val="bottom"/>
            <w:shd w:val="clear" w:color="auto" w:fill="DCE2EF"/>
          </w:tcPr>
          <w:p>
            <w:pPr>
              <w:spacing w:after="0"/>
              <w:rPr>
                <w:sz w:val="24"/>
                <w:szCs w:val="24"/>
                <w:color w:val="auto"/>
              </w:rPr>
            </w:pPr>
          </w:p>
        </w:tc>
        <w:tc>
          <w:tcPr>
            <w:tcW w:w="380" w:type="dxa"/>
            <w:vAlign w:val="bottom"/>
            <w:shd w:val="clear" w:color="auto" w:fill="DCE2EF"/>
          </w:tcPr>
          <w:p>
            <w:pPr>
              <w:spacing w:after="0"/>
              <w:rPr>
                <w:sz w:val="24"/>
                <w:szCs w:val="24"/>
                <w:color w:val="auto"/>
              </w:rPr>
            </w:pPr>
          </w:p>
        </w:tc>
        <w:tc>
          <w:tcPr>
            <w:tcW w:w="1260" w:type="dxa"/>
            <w:vAlign w:val="bottom"/>
            <w:shd w:val="clear" w:color="auto" w:fill="DCE2EF"/>
          </w:tcPr>
          <w:p>
            <w:pPr>
              <w:jc w:val="right"/>
              <w:ind w:right="79"/>
              <w:spacing w:after="0"/>
              <w:rPr>
                <w:sz w:val="20"/>
                <w:szCs w:val="20"/>
                <w:color w:val="auto"/>
              </w:rPr>
            </w:pPr>
            <w:r>
              <w:rPr>
                <w:rFonts w:ascii="Arial" w:cs="Arial" w:eastAsia="Arial" w:hAnsi="Arial"/>
                <w:sz w:val="16"/>
                <w:szCs w:val="16"/>
                <w:color w:val="auto"/>
              </w:rPr>
              <w:t>5.8</w:t>
            </w:r>
          </w:p>
        </w:tc>
        <w:tc>
          <w:tcPr>
            <w:tcW w:w="120" w:type="dxa"/>
            <w:vAlign w:val="bottom"/>
            <w:shd w:val="clear" w:color="auto" w:fill="DCE2EF"/>
          </w:tcPr>
          <w:p>
            <w:pPr>
              <w:spacing w:after="0"/>
              <w:rPr>
                <w:sz w:val="24"/>
                <w:szCs w:val="24"/>
                <w:color w:val="auto"/>
              </w:rPr>
            </w:pPr>
          </w:p>
        </w:tc>
        <w:tc>
          <w:tcPr>
            <w:tcW w:w="300" w:type="dxa"/>
            <w:vAlign w:val="bottom"/>
            <w:shd w:val="clear" w:color="auto" w:fill="DCE2EF"/>
          </w:tcPr>
          <w:p>
            <w:pPr>
              <w:spacing w:after="0"/>
              <w:rPr>
                <w:sz w:val="24"/>
                <w:szCs w:val="24"/>
                <w:color w:val="auto"/>
              </w:rPr>
            </w:pPr>
          </w:p>
        </w:tc>
        <w:tc>
          <w:tcPr>
            <w:tcW w:w="940" w:type="dxa"/>
            <w:vAlign w:val="bottom"/>
            <w:shd w:val="clear" w:color="auto" w:fill="DCE2EF"/>
          </w:tcPr>
          <w:p>
            <w:pPr>
              <w:jc w:val="right"/>
              <w:spacing w:after="0"/>
              <w:rPr>
                <w:sz w:val="20"/>
                <w:szCs w:val="20"/>
                <w:color w:val="auto"/>
              </w:rPr>
            </w:pPr>
            <w:r>
              <w:rPr>
                <w:rFonts w:ascii="Arial" w:cs="Arial" w:eastAsia="Arial" w:hAnsi="Arial"/>
                <w:sz w:val="16"/>
                <w:szCs w:val="16"/>
                <w:color w:val="auto"/>
              </w:rPr>
              <w:t>(0.5)</w:t>
            </w:r>
          </w:p>
        </w:tc>
        <w:tc>
          <w:tcPr>
            <w:tcW w:w="1340" w:type="dxa"/>
            <w:vAlign w:val="bottom"/>
            <w:shd w:val="clear" w:color="auto" w:fill="DCE2EF"/>
          </w:tcPr>
          <w:p>
            <w:pPr>
              <w:jc w:val="center"/>
              <w:ind w:left="19"/>
              <w:spacing w:after="0"/>
              <w:rPr>
                <w:sz w:val="20"/>
                <w:szCs w:val="20"/>
                <w:color w:val="auto"/>
              </w:rPr>
            </w:pPr>
            <w:r>
              <w:rPr>
                <w:rFonts w:ascii="Arial" w:cs="Arial" w:eastAsia="Arial" w:hAnsi="Arial"/>
                <w:sz w:val="16"/>
                <w:szCs w:val="16"/>
                <w:color w:val="auto"/>
              </w:rPr>
              <w:t>(8.4)%</w:t>
            </w:r>
          </w:p>
        </w:tc>
      </w:tr>
      <w:tr>
        <w:trPr>
          <w:trHeight w:val="260"/>
        </w:trPr>
        <w:tc>
          <w:tcPr>
            <w:tcW w:w="5300" w:type="dxa"/>
            <w:vAlign w:val="bottom"/>
            <w:gridSpan w:val="3"/>
          </w:tcPr>
          <w:p>
            <w:pPr>
              <w:ind w:left="40"/>
              <w:spacing w:after="0"/>
              <w:rPr>
                <w:sz w:val="20"/>
                <w:szCs w:val="20"/>
                <w:color w:val="auto"/>
              </w:rPr>
            </w:pPr>
            <w:r>
              <w:rPr>
                <w:rFonts w:ascii="Arial" w:cs="Arial" w:eastAsia="Arial" w:hAnsi="Arial"/>
                <w:sz w:val="16"/>
                <w:szCs w:val="16"/>
                <w:color w:val="auto"/>
              </w:rPr>
              <w:t>Amortization of intangible assets</w:t>
            </w:r>
          </w:p>
        </w:tc>
        <w:tc>
          <w:tcPr>
            <w:tcW w:w="340" w:type="dxa"/>
            <w:vAlign w:val="bottom"/>
          </w:tcPr>
          <w:p>
            <w:pPr>
              <w:spacing w:after="0"/>
              <w:rPr>
                <w:sz w:val="22"/>
                <w:szCs w:val="22"/>
                <w:color w:val="auto"/>
              </w:rPr>
            </w:pPr>
          </w:p>
        </w:tc>
        <w:tc>
          <w:tcPr>
            <w:tcW w:w="1300" w:type="dxa"/>
            <w:vAlign w:val="bottom"/>
          </w:tcPr>
          <w:p>
            <w:pPr>
              <w:jc w:val="right"/>
              <w:ind w:right="79"/>
              <w:spacing w:after="0"/>
              <w:rPr>
                <w:sz w:val="20"/>
                <w:szCs w:val="20"/>
                <w:color w:val="auto"/>
              </w:rPr>
            </w:pPr>
            <w:r>
              <w:rPr>
                <w:rFonts w:ascii="Arial" w:cs="Arial" w:eastAsia="Arial" w:hAnsi="Arial"/>
                <w:sz w:val="16"/>
                <w:szCs w:val="16"/>
                <w:color w:val="auto"/>
              </w:rPr>
              <w:t>16.7</w:t>
            </w:r>
          </w:p>
        </w:tc>
        <w:tc>
          <w:tcPr>
            <w:tcW w:w="1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260" w:type="dxa"/>
            <w:vAlign w:val="bottom"/>
          </w:tcPr>
          <w:p>
            <w:pPr>
              <w:jc w:val="right"/>
              <w:ind w:right="79"/>
              <w:spacing w:after="0"/>
              <w:rPr>
                <w:sz w:val="20"/>
                <w:szCs w:val="20"/>
                <w:color w:val="auto"/>
              </w:rPr>
            </w:pPr>
            <w:r>
              <w:rPr>
                <w:rFonts w:ascii="Arial" w:cs="Arial" w:eastAsia="Arial" w:hAnsi="Arial"/>
                <w:sz w:val="16"/>
                <w:szCs w:val="16"/>
                <w:color w:val="auto"/>
              </w:rPr>
              <w:t>5.8</w:t>
            </w: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40" w:type="dxa"/>
            <w:vAlign w:val="bottom"/>
          </w:tcPr>
          <w:p>
            <w:pPr>
              <w:jc w:val="right"/>
              <w:ind w:right="39"/>
              <w:spacing w:after="0"/>
              <w:rPr>
                <w:sz w:val="20"/>
                <w:szCs w:val="20"/>
                <w:color w:val="auto"/>
              </w:rPr>
            </w:pPr>
            <w:r>
              <w:rPr>
                <w:rFonts w:ascii="Arial" w:cs="Arial" w:eastAsia="Arial" w:hAnsi="Arial"/>
                <w:sz w:val="16"/>
                <w:szCs w:val="16"/>
                <w:color w:val="auto"/>
              </w:rPr>
              <w:t>10.9</w:t>
            </w:r>
          </w:p>
        </w:tc>
        <w:tc>
          <w:tcPr>
            <w:tcW w:w="1340" w:type="dxa"/>
            <w:vAlign w:val="bottom"/>
          </w:tcPr>
          <w:p>
            <w:pPr>
              <w:ind w:left="560"/>
              <w:spacing w:after="0"/>
              <w:rPr>
                <w:sz w:val="20"/>
                <w:szCs w:val="20"/>
                <w:color w:val="auto"/>
              </w:rPr>
            </w:pPr>
            <w:r>
              <w:rPr>
                <w:rFonts w:ascii="Arial" w:cs="Arial" w:eastAsia="Arial" w:hAnsi="Arial"/>
                <w:sz w:val="16"/>
                <w:szCs w:val="16"/>
                <w:color w:val="auto"/>
              </w:rPr>
              <w:t>NM*</w:t>
            </w:r>
          </w:p>
        </w:tc>
      </w:tr>
      <w:tr>
        <w:trPr>
          <w:trHeight w:val="280"/>
        </w:trPr>
        <w:tc>
          <w:tcPr>
            <w:tcW w:w="5300" w:type="dxa"/>
            <w:vAlign w:val="bottom"/>
            <w:gridSpan w:val="3"/>
            <w:shd w:val="clear" w:color="auto" w:fill="DCE2EF"/>
          </w:tcPr>
          <w:p>
            <w:pPr>
              <w:ind w:left="40"/>
              <w:spacing w:after="0"/>
              <w:rPr>
                <w:sz w:val="20"/>
                <w:szCs w:val="20"/>
                <w:color w:val="auto"/>
              </w:rPr>
            </w:pPr>
            <w:r>
              <w:rPr>
                <w:rFonts w:ascii="Arial" w:cs="Arial" w:eastAsia="Arial" w:hAnsi="Arial"/>
                <w:sz w:val="16"/>
                <w:szCs w:val="16"/>
                <w:color w:val="auto"/>
              </w:rPr>
              <w:t>Impairment recovery</w:t>
            </w:r>
          </w:p>
        </w:tc>
        <w:tc>
          <w:tcPr>
            <w:tcW w:w="340" w:type="dxa"/>
            <w:vAlign w:val="bottom"/>
            <w:shd w:val="clear" w:color="auto" w:fill="DCE2EF"/>
          </w:tcPr>
          <w:p>
            <w:pPr>
              <w:spacing w:after="0"/>
              <w:rPr>
                <w:sz w:val="24"/>
                <w:szCs w:val="24"/>
                <w:color w:val="auto"/>
              </w:rPr>
            </w:pPr>
          </w:p>
        </w:tc>
        <w:tc>
          <w:tcPr>
            <w:tcW w:w="1420" w:type="dxa"/>
            <w:vAlign w:val="bottom"/>
            <w:gridSpan w:val="2"/>
            <w:shd w:val="clear" w:color="auto" w:fill="DCE2EF"/>
          </w:tcPr>
          <w:p>
            <w:pPr>
              <w:jc w:val="right"/>
              <w:ind w:right="280"/>
              <w:spacing w:after="0"/>
              <w:rPr>
                <w:sz w:val="20"/>
                <w:szCs w:val="20"/>
                <w:color w:val="auto"/>
              </w:rPr>
            </w:pPr>
            <w:r>
              <w:rPr>
                <w:rFonts w:ascii="Arial" w:cs="Arial" w:eastAsia="Arial" w:hAnsi="Arial"/>
                <w:sz w:val="16"/>
                <w:szCs w:val="16"/>
                <w:color w:val="auto"/>
              </w:rPr>
              <w:t>—</w:t>
            </w:r>
          </w:p>
        </w:tc>
        <w:tc>
          <w:tcPr>
            <w:tcW w:w="380" w:type="dxa"/>
            <w:vAlign w:val="bottom"/>
            <w:shd w:val="clear" w:color="auto" w:fill="DCE2EF"/>
          </w:tcPr>
          <w:p>
            <w:pPr>
              <w:spacing w:after="0"/>
              <w:rPr>
                <w:sz w:val="24"/>
                <w:szCs w:val="24"/>
                <w:color w:val="auto"/>
              </w:rPr>
            </w:pPr>
          </w:p>
        </w:tc>
        <w:tc>
          <w:tcPr>
            <w:tcW w:w="1260" w:type="dxa"/>
            <w:vAlign w:val="bottom"/>
            <w:shd w:val="clear" w:color="auto" w:fill="DCE2EF"/>
          </w:tcPr>
          <w:p>
            <w:pPr>
              <w:jc w:val="right"/>
              <w:ind w:right="19"/>
              <w:spacing w:after="0"/>
              <w:rPr>
                <w:sz w:val="20"/>
                <w:szCs w:val="20"/>
                <w:color w:val="auto"/>
              </w:rPr>
            </w:pPr>
            <w:r>
              <w:rPr>
                <w:rFonts w:ascii="Arial" w:cs="Arial" w:eastAsia="Arial" w:hAnsi="Arial"/>
                <w:sz w:val="16"/>
                <w:szCs w:val="16"/>
                <w:color w:val="auto"/>
              </w:rPr>
              <w:t>(17.4)</w:t>
            </w:r>
          </w:p>
        </w:tc>
        <w:tc>
          <w:tcPr>
            <w:tcW w:w="120" w:type="dxa"/>
            <w:vAlign w:val="bottom"/>
            <w:shd w:val="clear" w:color="auto" w:fill="DCE2EF"/>
          </w:tcPr>
          <w:p>
            <w:pPr>
              <w:spacing w:after="0"/>
              <w:rPr>
                <w:sz w:val="24"/>
                <w:szCs w:val="24"/>
                <w:color w:val="auto"/>
              </w:rPr>
            </w:pPr>
          </w:p>
        </w:tc>
        <w:tc>
          <w:tcPr>
            <w:tcW w:w="300" w:type="dxa"/>
            <w:vAlign w:val="bottom"/>
            <w:shd w:val="clear" w:color="auto" w:fill="DCE2EF"/>
          </w:tcPr>
          <w:p>
            <w:pPr>
              <w:spacing w:after="0"/>
              <w:rPr>
                <w:sz w:val="24"/>
                <w:szCs w:val="24"/>
                <w:color w:val="auto"/>
              </w:rPr>
            </w:pPr>
          </w:p>
        </w:tc>
        <w:tc>
          <w:tcPr>
            <w:tcW w:w="940" w:type="dxa"/>
            <w:vAlign w:val="bottom"/>
            <w:shd w:val="clear" w:color="auto" w:fill="DCE2EF"/>
          </w:tcPr>
          <w:p>
            <w:pPr>
              <w:jc w:val="right"/>
              <w:ind w:right="39"/>
              <w:spacing w:after="0"/>
              <w:rPr>
                <w:sz w:val="20"/>
                <w:szCs w:val="20"/>
                <w:color w:val="auto"/>
              </w:rPr>
            </w:pPr>
            <w:r>
              <w:rPr>
                <w:rFonts w:ascii="Arial" w:cs="Arial" w:eastAsia="Arial" w:hAnsi="Arial"/>
                <w:sz w:val="16"/>
                <w:szCs w:val="16"/>
                <w:color w:val="auto"/>
              </w:rPr>
              <w:t>17.4</w:t>
            </w:r>
          </w:p>
        </w:tc>
        <w:tc>
          <w:tcPr>
            <w:tcW w:w="1340" w:type="dxa"/>
            <w:vAlign w:val="bottom"/>
            <w:shd w:val="clear" w:color="auto" w:fill="DCE2EF"/>
          </w:tcPr>
          <w:p>
            <w:pPr>
              <w:ind w:left="560"/>
              <w:spacing w:after="0"/>
              <w:rPr>
                <w:sz w:val="20"/>
                <w:szCs w:val="20"/>
                <w:color w:val="auto"/>
              </w:rPr>
            </w:pPr>
            <w:r>
              <w:rPr>
                <w:rFonts w:ascii="Arial" w:cs="Arial" w:eastAsia="Arial" w:hAnsi="Arial"/>
                <w:sz w:val="16"/>
                <w:szCs w:val="16"/>
                <w:color w:val="auto"/>
              </w:rPr>
              <w:t>NM*</w:t>
            </w:r>
          </w:p>
        </w:tc>
      </w:tr>
      <w:tr>
        <w:trPr>
          <w:trHeight w:val="240"/>
        </w:trPr>
        <w:tc>
          <w:tcPr>
            <w:tcW w:w="5300" w:type="dxa"/>
            <w:vAlign w:val="bottom"/>
            <w:gridSpan w:val="3"/>
          </w:tcPr>
          <w:p>
            <w:pPr>
              <w:ind w:left="40"/>
              <w:spacing w:after="0"/>
              <w:rPr>
                <w:sz w:val="20"/>
                <w:szCs w:val="20"/>
                <w:color w:val="auto"/>
              </w:rPr>
            </w:pPr>
            <w:r>
              <w:rPr>
                <w:rFonts w:ascii="Arial" w:cs="Arial" w:eastAsia="Arial" w:hAnsi="Arial"/>
                <w:sz w:val="16"/>
                <w:szCs w:val="16"/>
                <w:b w:val="1"/>
                <w:bCs w:val="1"/>
                <w:color w:val="auto"/>
              </w:rPr>
              <w:t>Operating profit</w:t>
            </w:r>
          </w:p>
        </w:tc>
        <w:tc>
          <w:tcPr>
            <w:tcW w:w="34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color w:val="auto"/>
              </w:rPr>
              <w:t>45.3</w:t>
            </w:r>
          </w:p>
        </w:tc>
        <w:tc>
          <w:tcPr>
            <w:tcW w:w="12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color w:val="auto"/>
              </w:rPr>
              <w:t>51.0</w:t>
            </w:r>
          </w:p>
        </w:tc>
        <w:tc>
          <w:tcPr>
            <w:tcW w:w="12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(5.7)</w:t>
            </w:r>
          </w:p>
        </w:tc>
        <w:tc>
          <w:tcPr>
            <w:tcW w:w="1340" w:type="dxa"/>
            <w:vAlign w:val="bottom"/>
          </w:tcPr>
          <w:p>
            <w:pPr>
              <w:jc w:val="center"/>
              <w:ind w:left="19"/>
              <w:spacing w:after="0"/>
              <w:rPr>
                <w:sz w:val="20"/>
                <w:szCs w:val="20"/>
                <w:color w:val="auto"/>
              </w:rPr>
            </w:pPr>
            <w:r>
              <w:rPr>
                <w:rFonts w:ascii="Arial" w:cs="Arial" w:eastAsia="Arial" w:hAnsi="Arial"/>
                <w:sz w:val="16"/>
                <w:szCs w:val="16"/>
                <w:color w:val="auto"/>
                <w:w w:val="99"/>
              </w:rPr>
              <w:t>(11.2)%</w:t>
            </w:r>
          </w:p>
        </w:tc>
      </w:tr>
      <w:tr>
        <w:trPr>
          <w:trHeight w:val="280"/>
        </w:trPr>
        <w:tc>
          <w:tcPr>
            <w:tcW w:w="5300" w:type="dxa"/>
            <w:vAlign w:val="bottom"/>
            <w:gridSpan w:val="3"/>
            <w:shd w:val="clear" w:color="auto" w:fill="DCE2EF"/>
          </w:tcPr>
          <w:p>
            <w:pPr>
              <w:ind w:left="40"/>
              <w:spacing w:after="0"/>
              <w:rPr>
                <w:sz w:val="20"/>
                <w:szCs w:val="20"/>
                <w:color w:val="auto"/>
              </w:rPr>
            </w:pPr>
            <w:r>
              <w:rPr>
                <w:rFonts w:ascii="Arial" w:cs="Arial" w:eastAsia="Arial" w:hAnsi="Arial"/>
                <w:sz w:val="16"/>
                <w:szCs w:val="16"/>
                <w:color w:val="auto"/>
              </w:rPr>
              <w:t>Income from unconsolidated affiliates, net</w:t>
            </w:r>
          </w:p>
        </w:tc>
        <w:tc>
          <w:tcPr>
            <w:tcW w:w="340" w:type="dxa"/>
            <w:vAlign w:val="bottom"/>
            <w:shd w:val="clear" w:color="auto" w:fill="DCE2EF"/>
          </w:tcPr>
          <w:p>
            <w:pPr>
              <w:spacing w:after="0"/>
              <w:rPr>
                <w:sz w:val="24"/>
                <w:szCs w:val="24"/>
                <w:color w:val="auto"/>
              </w:rPr>
            </w:pPr>
          </w:p>
        </w:tc>
        <w:tc>
          <w:tcPr>
            <w:tcW w:w="1300" w:type="dxa"/>
            <w:vAlign w:val="bottom"/>
            <w:shd w:val="clear" w:color="auto" w:fill="DCE2EF"/>
          </w:tcPr>
          <w:p>
            <w:pPr>
              <w:jc w:val="right"/>
              <w:ind w:right="79"/>
              <w:spacing w:after="0"/>
              <w:rPr>
                <w:sz w:val="20"/>
                <w:szCs w:val="20"/>
                <w:color w:val="auto"/>
              </w:rPr>
            </w:pPr>
            <w:r>
              <w:rPr>
                <w:rFonts w:ascii="Arial" w:cs="Arial" w:eastAsia="Arial" w:hAnsi="Arial"/>
                <w:sz w:val="16"/>
                <w:szCs w:val="16"/>
                <w:color w:val="auto"/>
              </w:rPr>
              <w:t>1.0</w:t>
            </w:r>
          </w:p>
        </w:tc>
        <w:tc>
          <w:tcPr>
            <w:tcW w:w="120" w:type="dxa"/>
            <w:vAlign w:val="bottom"/>
            <w:shd w:val="clear" w:color="auto" w:fill="DCE2EF"/>
          </w:tcPr>
          <w:p>
            <w:pPr>
              <w:spacing w:after="0"/>
              <w:rPr>
                <w:sz w:val="24"/>
                <w:szCs w:val="24"/>
                <w:color w:val="auto"/>
              </w:rPr>
            </w:pPr>
          </w:p>
        </w:tc>
        <w:tc>
          <w:tcPr>
            <w:tcW w:w="380" w:type="dxa"/>
            <w:vAlign w:val="bottom"/>
            <w:shd w:val="clear" w:color="auto" w:fill="DCE2EF"/>
          </w:tcPr>
          <w:p>
            <w:pPr>
              <w:spacing w:after="0"/>
              <w:rPr>
                <w:sz w:val="24"/>
                <w:szCs w:val="24"/>
                <w:color w:val="auto"/>
              </w:rPr>
            </w:pPr>
          </w:p>
        </w:tc>
        <w:tc>
          <w:tcPr>
            <w:tcW w:w="1260" w:type="dxa"/>
            <w:vAlign w:val="bottom"/>
            <w:shd w:val="clear" w:color="auto" w:fill="DCE2EF"/>
          </w:tcPr>
          <w:p>
            <w:pPr>
              <w:jc w:val="right"/>
              <w:ind w:right="79"/>
              <w:spacing w:after="0"/>
              <w:rPr>
                <w:sz w:val="20"/>
                <w:szCs w:val="20"/>
                <w:color w:val="auto"/>
              </w:rPr>
            </w:pPr>
            <w:r>
              <w:rPr>
                <w:rFonts w:ascii="Arial" w:cs="Arial" w:eastAsia="Arial" w:hAnsi="Arial"/>
                <w:sz w:val="16"/>
                <w:szCs w:val="16"/>
                <w:color w:val="auto"/>
              </w:rPr>
              <w:t>0.9</w:t>
            </w:r>
          </w:p>
        </w:tc>
        <w:tc>
          <w:tcPr>
            <w:tcW w:w="120" w:type="dxa"/>
            <w:vAlign w:val="bottom"/>
            <w:shd w:val="clear" w:color="auto" w:fill="DCE2EF"/>
          </w:tcPr>
          <w:p>
            <w:pPr>
              <w:spacing w:after="0"/>
              <w:rPr>
                <w:sz w:val="24"/>
                <w:szCs w:val="24"/>
                <w:color w:val="auto"/>
              </w:rPr>
            </w:pPr>
          </w:p>
        </w:tc>
        <w:tc>
          <w:tcPr>
            <w:tcW w:w="300" w:type="dxa"/>
            <w:vAlign w:val="bottom"/>
            <w:shd w:val="clear" w:color="auto" w:fill="DCE2EF"/>
          </w:tcPr>
          <w:p>
            <w:pPr>
              <w:spacing w:after="0"/>
              <w:rPr>
                <w:sz w:val="24"/>
                <w:szCs w:val="24"/>
                <w:color w:val="auto"/>
              </w:rPr>
            </w:pPr>
          </w:p>
        </w:tc>
        <w:tc>
          <w:tcPr>
            <w:tcW w:w="940" w:type="dxa"/>
            <w:vAlign w:val="bottom"/>
            <w:shd w:val="clear" w:color="auto" w:fill="DCE2EF"/>
          </w:tcPr>
          <w:p>
            <w:pPr>
              <w:jc w:val="right"/>
              <w:ind w:right="39"/>
              <w:spacing w:after="0"/>
              <w:rPr>
                <w:sz w:val="20"/>
                <w:szCs w:val="20"/>
                <w:color w:val="auto"/>
              </w:rPr>
            </w:pPr>
            <w:r>
              <w:rPr>
                <w:rFonts w:ascii="Arial" w:cs="Arial" w:eastAsia="Arial" w:hAnsi="Arial"/>
                <w:sz w:val="16"/>
                <w:szCs w:val="16"/>
                <w:color w:val="auto"/>
              </w:rPr>
              <w:t>0.1</w:t>
            </w:r>
          </w:p>
        </w:tc>
        <w:tc>
          <w:tcPr>
            <w:tcW w:w="1340" w:type="dxa"/>
            <w:vAlign w:val="bottom"/>
            <w:shd w:val="clear" w:color="auto" w:fill="DCE2EF"/>
          </w:tcPr>
          <w:p>
            <w:pPr>
              <w:jc w:val="center"/>
              <w:ind w:left="39"/>
              <w:spacing w:after="0"/>
              <w:rPr>
                <w:sz w:val="20"/>
                <w:szCs w:val="20"/>
                <w:color w:val="auto"/>
              </w:rPr>
            </w:pPr>
            <w:r>
              <w:rPr>
                <w:rFonts w:ascii="Arial" w:cs="Arial" w:eastAsia="Arial" w:hAnsi="Arial"/>
                <w:sz w:val="16"/>
                <w:szCs w:val="16"/>
                <w:color w:val="auto"/>
              </w:rPr>
              <w:t>8.0%</w:t>
            </w:r>
          </w:p>
        </w:tc>
      </w:tr>
      <w:tr>
        <w:trPr>
          <w:trHeight w:val="264"/>
        </w:trPr>
        <w:tc>
          <w:tcPr>
            <w:tcW w:w="5300" w:type="dxa"/>
            <w:vAlign w:val="bottom"/>
            <w:tcBorders>
              <w:bottom w:val="single" w:sz="8" w:color="DCE2EF"/>
            </w:tcBorders>
            <w:gridSpan w:val="3"/>
          </w:tcPr>
          <w:p>
            <w:pPr>
              <w:ind w:left="40"/>
              <w:spacing w:after="0"/>
              <w:rPr>
                <w:sz w:val="20"/>
                <w:szCs w:val="20"/>
                <w:color w:val="auto"/>
              </w:rPr>
            </w:pPr>
            <w:r>
              <w:rPr>
                <w:rFonts w:ascii="Arial" w:cs="Arial" w:eastAsia="Arial" w:hAnsi="Arial"/>
                <w:sz w:val="16"/>
                <w:szCs w:val="16"/>
                <w:color w:val="auto"/>
              </w:rPr>
              <w:t>Interest expense</w:t>
            </w:r>
          </w:p>
        </w:tc>
        <w:tc>
          <w:tcPr>
            <w:tcW w:w="34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(13.8)</w:t>
            </w:r>
          </w:p>
        </w:tc>
        <w:tc>
          <w:tcPr>
            <w:tcW w:w="120" w:type="dxa"/>
            <w:vAlign w:val="bottom"/>
            <w:tcBorders>
              <w:bottom w:val="single" w:sz="8" w:color="DCE2E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(3.0)</w:t>
            </w:r>
          </w:p>
        </w:tc>
        <w:tc>
          <w:tcPr>
            <w:tcW w:w="120" w:type="dxa"/>
            <w:vAlign w:val="bottom"/>
            <w:tcBorders>
              <w:bottom w:val="single" w:sz="8" w:color="DCE2E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(10.8)</w:t>
            </w:r>
          </w:p>
        </w:tc>
        <w:tc>
          <w:tcPr>
            <w:tcW w:w="1340" w:type="dxa"/>
            <w:vAlign w:val="bottom"/>
            <w:tcBorders>
              <w:bottom w:val="single" w:sz="8" w:color="DCE2EF"/>
            </w:tcBorders>
          </w:tcPr>
          <w:p>
            <w:pPr>
              <w:ind w:left="560"/>
              <w:spacing w:after="0"/>
              <w:rPr>
                <w:sz w:val="20"/>
                <w:szCs w:val="20"/>
                <w:color w:val="auto"/>
              </w:rPr>
            </w:pPr>
            <w:r>
              <w:rPr>
                <w:rFonts w:ascii="Arial" w:cs="Arial" w:eastAsia="Arial" w:hAnsi="Arial"/>
                <w:sz w:val="16"/>
                <w:szCs w:val="16"/>
                <w:color w:val="auto"/>
              </w:rPr>
              <w:t>NM*</w:t>
            </w:r>
          </w:p>
        </w:tc>
      </w:tr>
      <w:tr>
        <w:trPr>
          <w:trHeight w:val="257"/>
        </w:trPr>
        <w:tc>
          <w:tcPr>
            <w:tcW w:w="5300" w:type="dxa"/>
            <w:vAlign w:val="bottom"/>
            <w:gridSpan w:val="3"/>
            <w:shd w:val="clear" w:color="auto" w:fill="DCE2EF"/>
          </w:tcPr>
          <w:p>
            <w:pPr>
              <w:ind w:left="40"/>
              <w:spacing w:after="0"/>
              <w:rPr>
                <w:sz w:val="20"/>
                <w:szCs w:val="20"/>
                <w:color w:val="auto"/>
              </w:rPr>
            </w:pPr>
            <w:r>
              <w:rPr>
                <w:rFonts w:ascii="Arial" w:cs="Arial" w:eastAsia="Arial" w:hAnsi="Arial"/>
                <w:sz w:val="16"/>
                <w:szCs w:val="16"/>
                <w:color w:val="auto"/>
              </w:rPr>
              <w:t>Income from continuing operations before income taxes</w:t>
            </w:r>
          </w:p>
        </w:tc>
        <w:tc>
          <w:tcPr>
            <w:tcW w:w="340" w:type="dxa"/>
            <w:vAlign w:val="bottom"/>
            <w:shd w:val="clear" w:color="auto" w:fill="DCE2EF"/>
          </w:tcPr>
          <w:p>
            <w:pPr>
              <w:spacing w:after="0"/>
              <w:rPr>
                <w:sz w:val="22"/>
                <w:szCs w:val="22"/>
                <w:color w:val="auto"/>
              </w:rPr>
            </w:pPr>
          </w:p>
        </w:tc>
        <w:tc>
          <w:tcPr>
            <w:tcW w:w="1300" w:type="dxa"/>
            <w:vAlign w:val="bottom"/>
            <w:shd w:val="clear" w:color="auto" w:fill="DCE2EF"/>
          </w:tcPr>
          <w:p>
            <w:pPr>
              <w:jc w:val="right"/>
              <w:ind w:right="79"/>
              <w:spacing w:after="0"/>
              <w:rPr>
                <w:sz w:val="20"/>
                <w:szCs w:val="20"/>
                <w:color w:val="auto"/>
              </w:rPr>
            </w:pPr>
            <w:r>
              <w:rPr>
                <w:rFonts w:ascii="Arial" w:cs="Arial" w:eastAsia="Arial" w:hAnsi="Arial"/>
                <w:sz w:val="16"/>
                <w:szCs w:val="16"/>
                <w:color w:val="auto"/>
              </w:rPr>
              <w:t>32.5</w:t>
            </w:r>
          </w:p>
        </w:tc>
        <w:tc>
          <w:tcPr>
            <w:tcW w:w="120" w:type="dxa"/>
            <w:vAlign w:val="bottom"/>
            <w:shd w:val="clear" w:color="auto" w:fill="DCE2EF"/>
          </w:tcPr>
          <w:p>
            <w:pPr>
              <w:spacing w:after="0"/>
              <w:rPr>
                <w:sz w:val="22"/>
                <w:szCs w:val="22"/>
                <w:color w:val="auto"/>
              </w:rPr>
            </w:pPr>
          </w:p>
        </w:tc>
        <w:tc>
          <w:tcPr>
            <w:tcW w:w="380" w:type="dxa"/>
            <w:vAlign w:val="bottom"/>
            <w:shd w:val="clear" w:color="auto" w:fill="DCE2EF"/>
          </w:tcPr>
          <w:p>
            <w:pPr>
              <w:spacing w:after="0"/>
              <w:rPr>
                <w:sz w:val="22"/>
                <w:szCs w:val="22"/>
                <w:color w:val="auto"/>
              </w:rPr>
            </w:pPr>
          </w:p>
        </w:tc>
        <w:tc>
          <w:tcPr>
            <w:tcW w:w="1260" w:type="dxa"/>
            <w:vAlign w:val="bottom"/>
            <w:shd w:val="clear" w:color="auto" w:fill="DCE2EF"/>
          </w:tcPr>
          <w:p>
            <w:pPr>
              <w:jc w:val="right"/>
              <w:ind w:right="79"/>
              <w:spacing w:after="0"/>
              <w:rPr>
                <w:sz w:val="20"/>
                <w:szCs w:val="20"/>
                <w:color w:val="auto"/>
              </w:rPr>
            </w:pPr>
            <w:r>
              <w:rPr>
                <w:rFonts w:ascii="Arial" w:cs="Arial" w:eastAsia="Arial" w:hAnsi="Arial"/>
                <w:sz w:val="16"/>
                <w:szCs w:val="16"/>
                <w:color w:val="auto"/>
              </w:rPr>
              <w:t>48.9</w:t>
            </w:r>
          </w:p>
        </w:tc>
        <w:tc>
          <w:tcPr>
            <w:tcW w:w="120" w:type="dxa"/>
            <w:vAlign w:val="bottom"/>
            <w:shd w:val="clear" w:color="auto" w:fill="DCE2EF"/>
          </w:tcPr>
          <w:p>
            <w:pPr>
              <w:spacing w:after="0"/>
              <w:rPr>
                <w:sz w:val="22"/>
                <w:szCs w:val="22"/>
                <w:color w:val="auto"/>
              </w:rPr>
            </w:pPr>
          </w:p>
        </w:tc>
        <w:tc>
          <w:tcPr>
            <w:tcW w:w="300" w:type="dxa"/>
            <w:vAlign w:val="bottom"/>
            <w:shd w:val="clear" w:color="auto" w:fill="DCE2EF"/>
          </w:tcPr>
          <w:p>
            <w:pPr>
              <w:spacing w:after="0"/>
              <w:rPr>
                <w:sz w:val="22"/>
                <w:szCs w:val="22"/>
                <w:color w:val="auto"/>
              </w:rPr>
            </w:pPr>
          </w:p>
        </w:tc>
        <w:tc>
          <w:tcPr>
            <w:tcW w:w="940" w:type="dxa"/>
            <w:vAlign w:val="bottom"/>
            <w:shd w:val="clear" w:color="auto" w:fill="DCE2EF"/>
          </w:tcPr>
          <w:p>
            <w:pPr>
              <w:jc w:val="right"/>
              <w:spacing w:after="0"/>
              <w:rPr>
                <w:sz w:val="20"/>
                <w:szCs w:val="20"/>
                <w:color w:val="auto"/>
              </w:rPr>
            </w:pPr>
            <w:r>
              <w:rPr>
                <w:rFonts w:ascii="Arial" w:cs="Arial" w:eastAsia="Arial" w:hAnsi="Arial"/>
                <w:sz w:val="16"/>
                <w:szCs w:val="16"/>
                <w:color w:val="auto"/>
              </w:rPr>
              <w:t>(16.4)</w:t>
            </w:r>
          </w:p>
        </w:tc>
        <w:tc>
          <w:tcPr>
            <w:tcW w:w="1340" w:type="dxa"/>
            <w:vAlign w:val="bottom"/>
            <w:shd w:val="clear" w:color="auto" w:fill="DCE2EF"/>
          </w:tcPr>
          <w:p>
            <w:pPr>
              <w:jc w:val="center"/>
              <w:ind w:left="19"/>
              <w:spacing w:after="0"/>
              <w:rPr>
                <w:sz w:val="20"/>
                <w:szCs w:val="20"/>
                <w:color w:val="auto"/>
              </w:rPr>
            </w:pPr>
            <w:r>
              <w:rPr>
                <w:rFonts w:ascii="Arial" w:cs="Arial" w:eastAsia="Arial" w:hAnsi="Arial"/>
                <w:sz w:val="16"/>
                <w:szCs w:val="16"/>
                <w:color w:val="auto"/>
                <w:w w:val="99"/>
              </w:rPr>
              <w:t>(33.6)%</w:t>
            </w:r>
          </w:p>
        </w:tc>
      </w:tr>
      <w:tr>
        <w:trPr>
          <w:trHeight w:val="264"/>
        </w:trPr>
        <w:tc>
          <w:tcPr>
            <w:tcW w:w="5300" w:type="dxa"/>
            <w:vAlign w:val="bottom"/>
            <w:tcBorders>
              <w:bottom w:val="single" w:sz="8" w:color="DCE2EF"/>
            </w:tcBorders>
            <w:gridSpan w:val="3"/>
          </w:tcPr>
          <w:p>
            <w:pPr>
              <w:ind w:left="40"/>
              <w:spacing w:after="0"/>
              <w:rPr>
                <w:sz w:val="20"/>
                <w:szCs w:val="20"/>
                <w:color w:val="auto"/>
              </w:rPr>
            </w:pPr>
            <w:r>
              <w:rPr>
                <w:rFonts w:ascii="Arial" w:cs="Arial" w:eastAsia="Arial" w:hAnsi="Arial"/>
                <w:sz w:val="16"/>
                <w:szCs w:val="16"/>
                <w:color w:val="auto"/>
              </w:rPr>
              <w:t>Income tax provision</w:t>
            </w:r>
          </w:p>
        </w:tc>
        <w:tc>
          <w:tcPr>
            <w:tcW w:w="34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(7.1)</w:t>
            </w:r>
          </w:p>
        </w:tc>
        <w:tc>
          <w:tcPr>
            <w:tcW w:w="120" w:type="dxa"/>
            <w:vAlign w:val="bottom"/>
            <w:tcBorders>
              <w:bottom w:val="single" w:sz="8" w:color="DCE2E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(17.3)</w:t>
            </w:r>
          </w:p>
        </w:tc>
        <w:tc>
          <w:tcPr>
            <w:tcW w:w="120" w:type="dxa"/>
            <w:vAlign w:val="bottom"/>
            <w:tcBorders>
              <w:bottom w:val="single" w:sz="8" w:color="DCE2E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10.2</w:t>
            </w:r>
          </w:p>
        </w:tc>
        <w:tc>
          <w:tcPr>
            <w:tcW w:w="1340" w:type="dxa"/>
            <w:vAlign w:val="bottom"/>
            <w:tcBorders>
              <w:bottom w:val="single" w:sz="8" w:color="DCE2EF"/>
            </w:tcBorders>
          </w:tcPr>
          <w:p>
            <w:pPr>
              <w:jc w:val="center"/>
              <w:ind w:left="39"/>
              <w:spacing w:after="0"/>
              <w:rPr>
                <w:sz w:val="20"/>
                <w:szCs w:val="20"/>
                <w:color w:val="auto"/>
              </w:rPr>
            </w:pPr>
            <w:r>
              <w:rPr>
                <w:rFonts w:ascii="Arial" w:cs="Arial" w:eastAsia="Arial" w:hAnsi="Arial"/>
                <w:sz w:val="16"/>
                <w:szCs w:val="16"/>
                <w:color w:val="auto"/>
              </w:rPr>
              <w:t>58.9%</w:t>
            </w:r>
          </w:p>
        </w:tc>
      </w:tr>
      <w:tr>
        <w:trPr>
          <w:trHeight w:val="257"/>
        </w:trPr>
        <w:tc>
          <w:tcPr>
            <w:tcW w:w="5300" w:type="dxa"/>
            <w:vAlign w:val="bottom"/>
            <w:gridSpan w:val="3"/>
            <w:shd w:val="clear" w:color="auto" w:fill="DCE2EF"/>
          </w:tcPr>
          <w:p>
            <w:pPr>
              <w:ind w:left="40"/>
              <w:spacing w:after="0"/>
              <w:rPr>
                <w:sz w:val="20"/>
                <w:szCs w:val="20"/>
                <w:color w:val="auto"/>
              </w:rPr>
            </w:pPr>
            <w:r>
              <w:rPr>
                <w:rFonts w:ascii="Arial" w:cs="Arial" w:eastAsia="Arial" w:hAnsi="Arial"/>
                <w:sz w:val="16"/>
                <w:szCs w:val="16"/>
                <w:color w:val="auto"/>
              </w:rPr>
              <w:t>Income from continuing operations</w:t>
            </w:r>
          </w:p>
        </w:tc>
        <w:tc>
          <w:tcPr>
            <w:tcW w:w="340" w:type="dxa"/>
            <w:vAlign w:val="bottom"/>
            <w:shd w:val="clear" w:color="auto" w:fill="DCE2EF"/>
          </w:tcPr>
          <w:p>
            <w:pPr>
              <w:spacing w:after="0"/>
              <w:rPr>
                <w:sz w:val="22"/>
                <w:szCs w:val="22"/>
                <w:color w:val="auto"/>
              </w:rPr>
            </w:pPr>
          </w:p>
        </w:tc>
        <w:tc>
          <w:tcPr>
            <w:tcW w:w="1300" w:type="dxa"/>
            <w:vAlign w:val="bottom"/>
            <w:shd w:val="clear" w:color="auto" w:fill="DCE2EF"/>
          </w:tcPr>
          <w:p>
            <w:pPr>
              <w:jc w:val="right"/>
              <w:ind w:right="79"/>
              <w:spacing w:after="0"/>
              <w:rPr>
                <w:sz w:val="20"/>
                <w:szCs w:val="20"/>
                <w:color w:val="auto"/>
              </w:rPr>
            </w:pPr>
            <w:r>
              <w:rPr>
                <w:rFonts w:ascii="Arial" w:cs="Arial" w:eastAsia="Arial" w:hAnsi="Arial"/>
                <w:sz w:val="16"/>
                <w:szCs w:val="16"/>
                <w:color w:val="auto"/>
              </w:rPr>
              <w:t>25.4</w:t>
            </w:r>
          </w:p>
        </w:tc>
        <w:tc>
          <w:tcPr>
            <w:tcW w:w="120" w:type="dxa"/>
            <w:vAlign w:val="bottom"/>
            <w:shd w:val="clear" w:color="auto" w:fill="DCE2EF"/>
          </w:tcPr>
          <w:p>
            <w:pPr>
              <w:spacing w:after="0"/>
              <w:rPr>
                <w:sz w:val="22"/>
                <w:szCs w:val="22"/>
                <w:color w:val="auto"/>
              </w:rPr>
            </w:pPr>
          </w:p>
        </w:tc>
        <w:tc>
          <w:tcPr>
            <w:tcW w:w="380" w:type="dxa"/>
            <w:vAlign w:val="bottom"/>
            <w:shd w:val="clear" w:color="auto" w:fill="DCE2EF"/>
          </w:tcPr>
          <w:p>
            <w:pPr>
              <w:spacing w:after="0"/>
              <w:rPr>
                <w:sz w:val="22"/>
                <w:szCs w:val="22"/>
                <w:color w:val="auto"/>
              </w:rPr>
            </w:pPr>
          </w:p>
        </w:tc>
        <w:tc>
          <w:tcPr>
            <w:tcW w:w="1260" w:type="dxa"/>
            <w:vAlign w:val="bottom"/>
            <w:shd w:val="clear" w:color="auto" w:fill="DCE2EF"/>
          </w:tcPr>
          <w:p>
            <w:pPr>
              <w:jc w:val="right"/>
              <w:ind w:right="79"/>
              <w:spacing w:after="0"/>
              <w:rPr>
                <w:sz w:val="20"/>
                <w:szCs w:val="20"/>
                <w:color w:val="auto"/>
              </w:rPr>
            </w:pPr>
            <w:r>
              <w:rPr>
                <w:rFonts w:ascii="Arial" w:cs="Arial" w:eastAsia="Arial" w:hAnsi="Arial"/>
                <w:sz w:val="16"/>
                <w:szCs w:val="16"/>
                <w:color w:val="auto"/>
              </w:rPr>
              <w:t>31.6</w:t>
            </w:r>
          </w:p>
        </w:tc>
        <w:tc>
          <w:tcPr>
            <w:tcW w:w="120" w:type="dxa"/>
            <w:vAlign w:val="bottom"/>
            <w:shd w:val="clear" w:color="auto" w:fill="DCE2EF"/>
          </w:tcPr>
          <w:p>
            <w:pPr>
              <w:spacing w:after="0"/>
              <w:rPr>
                <w:sz w:val="22"/>
                <w:szCs w:val="22"/>
                <w:color w:val="auto"/>
              </w:rPr>
            </w:pPr>
          </w:p>
        </w:tc>
        <w:tc>
          <w:tcPr>
            <w:tcW w:w="300" w:type="dxa"/>
            <w:vAlign w:val="bottom"/>
            <w:shd w:val="clear" w:color="auto" w:fill="DCE2EF"/>
          </w:tcPr>
          <w:p>
            <w:pPr>
              <w:spacing w:after="0"/>
              <w:rPr>
                <w:sz w:val="22"/>
                <w:szCs w:val="22"/>
                <w:color w:val="auto"/>
              </w:rPr>
            </w:pPr>
          </w:p>
        </w:tc>
        <w:tc>
          <w:tcPr>
            <w:tcW w:w="940" w:type="dxa"/>
            <w:vAlign w:val="bottom"/>
            <w:shd w:val="clear" w:color="auto" w:fill="DCE2EF"/>
          </w:tcPr>
          <w:p>
            <w:pPr>
              <w:jc w:val="right"/>
              <w:spacing w:after="0"/>
              <w:rPr>
                <w:sz w:val="20"/>
                <w:szCs w:val="20"/>
                <w:color w:val="auto"/>
              </w:rPr>
            </w:pPr>
            <w:r>
              <w:rPr>
                <w:rFonts w:ascii="Arial" w:cs="Arial" w:eastAsia="Arial" w:hAnsi="Arial"/>
                <w:sz w:val="16"/>
                <w:szCs w:val="16"/>
                <w:color w:val="auto"/>
              </w:rPr>
              <w:t>(6.2)</w:t>
            </w:r>
          </w:p>
        </w:tc>
        <w:tc>
          <w:tcPr>
            <w:tcW w:w="1340" w:type="dxa"/>
            <w:vAlign w:val="bottom"/>
            <w:shd w:val="clear" w:color="auto" w:fill="DCE2EF"/>
          </w:tcPr>
          <w:p>
            <w:pPr>
              <w:jc w:val="center"/>
              <w:ind w:left="19"/>
              <w:spacing w:after="0"/>
              <w:rPr>
                <w:sz w:val="20"/>
                <w:szCs w:val="20"/>
                <w:color w:val="auto"/>
              </w:rPr>
            </w:pPr>
            <w:r>
              <w:rPr>
                <w:rFonts w:ascii="Arial" w:cs="Arial" w:eastAsia="Arial" w:hAnsi="Arial"/>
                <w:sz w:val="16"/>
                <w:szCs w:val="16"/>
                <w:color w:val="auto"/>
                <w:w w:val="99"/>
              </w:rPr>
              <w:t>(19.8)%</w:t>
            </w:r>
          </w:p>
        </w:tc>
      </w:tr>
      <w:tr>
        <w:trPr>
          <w:trHeight w:val="264"/>
        </w:trPr>
        <w:tc>
          <w:tcPr>
            <w:tcW w:w="5300" w:type="dxa"/>
            <w:vAlign w:val="bottom"/>
            <w:tcBorders>
              <w:bottom w:val="single" w:sz="8" w:color="DCE2EF"/>
            </w:tcBorders>
            <w:gridSpan w:val="3"/>
          </w:tcPr>
          <w:p>
            <w:pPr>
              <w:ind w:left="40"/>
              <w:spacing w:after="0"/>
              <w:rPr>
                <w:sz w:val="20"/>
                <w:szCs w:val="20"/>
                <w:color w:val="auto"/>
              </w:rPr>
            </w:pPr>
            <w:r>
              <w:rPr>
                <w:rFonts w:ascii="Arial" w:cs="Arial" w:eastAsia="Arial" w:hAnsi="Arial"/>
                <w:sz w:val="16"/>
                <w:szCs w:val="16"/>
                <w:color w:val="auto"/>
              </w:rPr>
              <w:t>Income (loss) from discontinued operations, net of taxes</w:t>
            </w:r>
          </w:p>
        </w:tc>
        <w:tc>
          <w:tcPr>
            <w:tcW w:w="34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1.2</w:t>
            </w:r>
          </w:p>
        </w:tc>
        <w:tc>
          <w:tcPr>
            <w:tcW w:w="120" w:type="dxa"/>
            <w:vAlign w:val="bottom"/>
            <w:tcBorders>
              <w:bottom w:val="single" w:sz="8" w:color="DCE2E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(0.4)</w:t>
            </w:r>
          </w:p>
        </w:tc>
        <w:tc>
          <w:tcPr>
            <w:tcW w:w="120" w:type="dxa"/>
            <w:vAlign w:val="bottom"/>
            <w:tcBorders>
              <w:bottom w:val="single" w:sz="8" w:color="DCE2E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1.6</w:t>
            </w:r>
          </w:p>
        </w:tc>
        <w:tc>
          <w:tcPr>
            <w:tcW w:w="1340" w:type="dxa"/>
            <w:vAlign w:val="bottom"/>
            <w:tcBorders>
              <w:bottom w:val="single" w:sz="8" w:color="DCE2EF"/>
            </w:tcBorders>
          </w:tcPr>
          <w:p>
            <w:pPr>
              <w:ind w:left="560"/>
              <w:spacing w:after="0"/>
              <w:rPr>
                <w:sz w:val="20"/>
                <w:szCs w:val="20"/>
                <w:color w:val="auto"/>
              </w:rPr>
            </w:pPr>
            <w:r>
              <w:rPr>
                <w:rFonts w:ascii="Arial" w:cs="Arial" w:eastAsia="Arial" w:hAnsi="Arial"/>
                <w:sz w:val="16"/>
                <w:szCs w:val="16"/>
                <w:color w:val="auto"/>
              </w:rPr>
              <w:t>NM*</w:t>
            </w:r>
          </w:p>
        </w:tc>
      </w:tr>
      <w:tr>
        <w:trPr>
          <w:trHeight w:val="257"/>
        </w:trPr>
        <w:tc>
          <w:tcPr>
            <w:tcW w:w="5300" w:type="dxa"/>
            <w:vAlign w:val="bottom"/>
            <w:gridSpan w:val="3"/>
            <w:shd w:val="clear" w:color="auto" w:fill="DCE2EF"/>
          </w:tcPr>
          <w:p>
            <w:pPr>
              <w:ind w:left="40"/>
              <w:spacing w:after="0"/>
              <w:rPr>
                <w:sz w:val="20"/>
                <w:szCs w:val="20"/>
                <w:color w:val="auto"/>
              </w:rPr>
            </w:pPr>
            <w:r>
              <w:rPr>
                <w:rFonts w:ascii="Arial" w:cs="Arial" w:eastAsia="Arial" w:hAnsi="Arial"/>
                <w:sz w:val="16"/>
                <w:szCs w:val="16"/>
                <w:b w:val="1"/>
                <w:bCs w:val="1"/>
                <w:color w:val="auto"/>
              </w:rPr>
              <w:t>Net income</w:t>
            </w:r>
          </w:p>
        </w:tc>
        <w:tc>
          <w:tcPr>
            <w:tcW w:w="340" w:type="dxa"/>
            <w:vAlign w:val="bottom"/>
            <w:tcBorders>
              <w:bottom w:val="single" w:sz="8" w:color="auto"/>
            </w:tcBorders>
            <w:shd w:val="clear" w:color="auto" w:fill="DCE2EF"/>
          </w:tcPr>
          <w:p>
            <w:pPr>
              <w:spacing w:after="0"/>
              <w:rPr>
                <w:sz w:val="22"/>
                <w:szCs w:val="22"/>
                <w:color w:val="auto"/>
              </w:rPr>
            </w:pPr>
          </w:p>
        </w:tc>
        <w:tc>
          <w:tcPr>
            <w:tcW w:w="1300" w:type="dxa"/>
            <w:vAlign w:val="bottom"/>
            <w:tcBorders>
              <w:bottom w:val="single" w:sz="8" w:color="auto"/>
            </w:tcBorders>
            <w:shd w:val="clear" w:color="auto" w:fill="DCE2EF"/>
          </w:tcPr>
          <w:p>
            <w:pPr>
              <w:jc w:val="right"/>
              <w:ind w:right="79"/>
              <w:spacing w:after="0"/>
              <w:rPr>
                <w:sz w:val="20"/>
                <w:szCs w:val="20"/>
                <w:color w:val="auto"/>
              </w:rPr>
            </w:pPr>
            <w:r>
              <w:rPr>
                <w:rFonts w:ascii="Arial" w:cs="Arial" w:eastAsia="Arial" w:hAnsi="Arial"/>
                <w:sz w:val="16"/>
                <w:szCs w:val="16"/>
                <w:color w:val="auto"/>
              </w:rPr>
              <w:t>26.6</w:t>
            </w:r>
          </w:p>
        </w:tc>
        <w:tc>
          <w:tcPr>
            <w:tcW w:w="120" w:type="dxa"/>
            <w:vAlign w:val="bottom"/>
            <w:shd w:val="clear" w:color="auto" w:fill="DCE2EF"/>
          </w:tcPr>
          <w:p>
            <w:pPr>
              <w:spacing w:after="0"/>
              <w:rPr>
                <w:sz w:val="22"/>
                <w:szCs w:val="22"/>
                <w:color w:val="auto"/>
              </w:rPr>
            </w:pPr>
          </w:p>
        </w:tc>
        <w:tc>
          <w:tcPr>
            <w:tcW w:w="380" w:type="dxa"/>
            <w:vAlign w:val="bottom"/>
            <w:tcBorders>
              <w:bottom w:val="single" w:sz="8" w:color="auto"/>
            </w:tcBorders>
            <w:shd w:val="clear" w:color="auto" w:fill="DCE2EF"/>
          </w:tcPr>
          <w:p>
            <w:pPr>
              <w:spacing w:after="0"/>
              <w:rPr>
                <w:sz w:val="22"/>
                <w:szCs w:val="22"/>
                <w:color w:val="auto"/>
              </w:rPr>
            </w:pPr>
          </w:p>
        </w:tc>
        <w:tc>
          <w:tcPr>
            <w:tcW w:w="1260" w:type="dxa"/>
            <w:vAlign w:val="bottom"/>
            <w:tcBorders>
              <w:bottom w:val="single" w:sz="8" w:color="auto"/>
            </w:tcBorders>
            <w:shd w:val="clear" w:color="auto" w:fill="DCE2EF"/>
          </w:tcPr>
          <w:p>
            <w:pPr>
              <w:jc w:val="right"/>
              <w:ind w:right="79"/>
              <w:spacing w:after="0"/>
              <w:rPr>
                <w:sz w:val="20"/>
                <w:szCs w:val="20"/>
                <w:color w:val="auto"/>
              </w:rPr>
            </w:pPr>
            <w:r>
              <w:rPr>
                <w:rFonts w:ascii="Arial" w:cs="Arial" w:eastAsia="Arial" w:hAnsi="Arial"/>
                <w:sz w:val="16"/>
                <w:szCs w:val="16"/>
                <w:color w:val="auto"/>
              </w:rPr>
              <w:t>31.3</w:t>
            </w:r>
          </w:p>
        </w:tc>
        <w:tc>
          <w:tcPr>
            <w:tcW w:w="120" w:type="dxa"/>
            <w:vAlign w:val="bottom"/>
            <w:shd w:val="clear" w:color="auto" w:fill="DCE2EF"/>
          </w:tcPr>
          <w:p>
            <w:pPr>
              <w:spacing w:after="0"/>
              <w:rPr>
                <w:sz w:val="22"/>
                <w:szCs w:val="22"/>
                <w:color w:val="auto"/>
              </w:rPr>
            </w:pPr>
          </w:p>
        </w:tc>
        <w:tc>
          <w:tcPr>
            <w:tcW w:w="300" w:type="dxa"/>
            <w:vAlign w:val="bottom"/>
            <w:tcBorders>
              <w:bottom w:val="single" w:sz="8" w:color="auto"/>
            </w:tcBorders>
            <w:shd w:val="clear" w:color="auto" w:fill="DCE2EF"/>
          </w:tcPr>
          <w:p>
            <w:pPr>
              <w:spacing w:after="0"/>
              <w:rPr>
                <w:sz w:val="22"/>
                <w:szCs w:val="22"/>
                <w:color w:val="auto"/>
              </w:rPr>
            </w:pPr>
          </w:p>
        </w:tc>
        <w:tc>
          <w:tcPr>
            <w:tcW w:w="940" w:type="dxa"/>
            <w:vAlign w:val="bottom"/>
            <w:tcBorders>
              <w:bottom w:val="single" w:sz="8" w:color="auto"/>
            </w:tcBorders>
            <w:shd w:val="clear" w:color="auto" w:fill="DCE2EF"/>
          </w:tcPr>
          <w:p>
            <w:pPr>
              <w:jc w:val="right"/>
              <w:spacing w:after="0"/>
              <w:rPr>
                <w:sz w:val="20"/>
                <w:szCs w:val="20"/>
                <w:color w:val="auto"/>
              </w:rPr>
            </w:pPr>
            <w:r>
              <w:rPr>
                <w:rFonts w:ascii="Arial" w:cs="Arial" w:eastAsia="Arial" w:hAnsi="Arial"/>
                <w:sz w:val="16"/>
                <w:szCs w:val="16"/>
                <w:color w:val="auto"/>
              </w:rPr>
              <w:t>(4.7)</w:t>
            </w:r>
          </w:p>
        </w:tc>
        <w:tc>
          <w:tcPr>
            <w:tcW w:w="1340" w:type="dxa"/>
            <w:vAlign w:val="bottom"/>
            <w:shd w:val="clear" w:color="auto" w:fill="DCE2EF"/>
          </w:tcPr>
          <w:p>
            <w:pPr>
              <w:jc w:val="center"/>
              <w:ind w:left="19"/>
              <w:spacing w:after="0"/>
              <w:rPr>
                <w:sz w:val="20"/>
                <w:szCs w:val="20"/>
                <w:color w:val="auto"/>
              </w:rPr>
            </w:pPr>
            <w:r>
              <w:rPr>
                <w:rFonts w:ascii="Arial" w:cs="Arial" w:eastAsia="Arial" w:hAnsi="Arial"/>
                <w:sz w:val="16"/>
                <w:szCs w:val="16"/>
                <w:color w:val="auto"/>
                <w:w w:val="99"/>
              </w:rPr>
              <w:t>(14.9)%</w:t>
            </w:r>
          </w:p>
        </w:tc>
      </w:tr>
      <w:tr>
        <w:trPr>
          <w:trHeight w:val="254"/>
        </w:trPr>
        <w:tc>
          <w:tcPr>
            <w:tcW w:w="5300" w:type="dxa"/>
            <w:vAlign w:val="bottom"/>
            <w:gridSpan w:val="3"/>
          </w:tcPr>
          <w:p>
            <w:pPr>
              <w:ind w:left="40"/>
              <w:spacing w:after="0"/>
              <w:rPr>
                <w:sz w:val="20"/>
                <w:szCs w:val="20"/>
                <w:color w:val="auto"/>
              </w:rPr>
            </w:pPr>
            <w:r>
              <w:rPr>
                <w:rFonts w:ascii="Arial" w:cs="Arial" w:eastAsia="Arial" w:hAnsi="Arial"/>
                <w:sz w:val="16"/>
                <w:szCs w:val="16"/>
                <w:color w:val="auto"/>
              </w:rPr>
              <w:t>Other comprehensive income (loss)</w:t>
            </w:r>
          </w:p>
        </w:tc>
        <w:tc>
          <w:tcPr>
            <w:tcW w:w="34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340" w:type="dxa"/>
            <w:vAlign w:val="bottom"/>
          </w:tcPr>
          <w:p>
            <w:pPr>
              <w:spacing w:after="0"/>
              <w:rPr>
                <w:sz w:val="22"/>
                <w:szCs w:val="22"/>
                <w:color w:val="auto"/>
              </w:rPr>
            </w:pPr>
          </w:p>
        </w:tc>
      </w:tr>
      <w:tr>
        <w:trPr>
          <w:trHeight w:val="280"/>
        </w:trPr>
        <w:tc>
          <w:tcPr>
            <w:tcW w:w="40" w:type="dxa"/>
            <w:vAlign w:val="bottom"/>
            <w:shd w:val="clear" w:color="auto" w:fill="DCE2EF"/>
          </w:tcPr>
          <w:p>
            <w:pPr>
              <w:spacing w:after="0"/>
              <w:rPr>
                <w:sz w:val="24"/>
                <w:szCs w:val="24"/>
                <w:color w:val="auto"/>
              </w:rPr>
            </w:pPr>
          </w:p>
        </w:tc>
        <w:tc>
          <w:tcPr>
            <w:tcW w:w="5260" w:type="dxa"/>
            <w:vAlign w:val="bottom"/>
            <w:gridSpan w:val="2"/>
            <w:shd w:val="clear" w:color="auto" w:fill="DCE2EF"/>
          </w:tcPr>
          <w:p>
            <w:pPr>
              <w:ind w:left="320"/>
              <w:spacing w:after="0"/>
              <w:rPr>
                <w:sz w:val="20"/>
                <w:szCs w:val="20"/>
                <w:color w:val="auto"/>
              </w:rPr>
            </w:pPr>
            <w:r>
              <w:rPr>
                <w:rFonts w:ascii="Arial" w:cs="Arial" w:eastAsia="Arial" w:hAnsi="Arial"/>
                <w:sz w:val="16"/>
                <w:szCs w:val="16"/>
                <w:color w:val="auto"/>
              </w:rPr>
              <w:t>Change in fair value of interest rate swaps</w:t>
            </w:r>
          </w:p>
        </w:tc>
        <w:tc>
          <w:tcPr>
            <w:tcW w:w="340" w:type="dxa"/>
            <w:vAlign w:val="bottom"/>
            <w:shd w:val="clear" w:color="auto" w:fill="DCE2EF"/>
          </w:tcPr>
          <w:p>
            <w:pPr>
              <w:spacing w:after="0"/>
              <w:rPr>
                <w:sz w:val="24"/>
                <w:szCs w:val="24"/>
                <w:color w:val="auto"/>
              </w:rPr>
            </w:pPr>
          </w:p>
        </w:tc>
        <w:tc>
          <w:tcPr>
            <w:tcW w:w="1300" w:type="dxa"/>
            <w:vAlign w:val="bottom"/>
            <w:shd w:val="clear" w:color="auto" w:fill="DCE2EF"/>
          </w:tcPr>
          <w:p>
            <w:pPr>
              <w:jc w:val="right"/>
              <w:ind w:right="79"/>
              <w:spacing w:after="0"/>
              <w:rPr>
                <w:sz w:val="20"/>
                <w:szCs w:val="20"/>
                <w:color w:val="auto"/>
              </w:rPr>
            </w:pPr>
            <w:r>
              <w:rPr>
                <w:rFonts w:ascii="Arial" w:cs="Arial" w:eastAsia="Arial" w:hAnsi="Arial"/>
                <w:sz w:val="16"/>
                <w:szCs w:val="16"/>
                <w:color w:val="auto"/>
              </w:rPr>
              <w:t>4.6</w:t>
            </w:r>
          </w:p>
        </w:tc>
        <w:tc>
          <w:tcPr>
            <w:tcW w:w="120" w:type="dxa"/>
            <w:vAlign w:val="bottom"/>
            <w:shd w:val="clear" w:color="auto" w:fill="DCE2EF"/>
          </w:tcPr>
          <w:p>
            <w:pPr>
              <w:spacing w:after="0"/>
              <w:rPr>
                <w:sz w:val="24"/>
                <w:szCs w:val="24"/>
                <w:color w:val="auto"/>
              </w:rPr>
            </w:pPr>
          </w:p>
        </w:tc>
        <w:tc>
          <w:tcPr>
            <w:tcW w:w="380" w:type="dxa"/>
            <w:vAlign w:val="bottom"/>
            <w:shd w:val="clear" w:color="auto" w:fill="DCE2EF"/>
          </w:tcPr>
          <w:p>
            <w:pPr>
              <w:spacing w:after="0"/>
              <w:rPr>
                <w:sz w:val="24"/>
                <w:szCs w:val="24"/>
                <w:color w:val="auto"/>
              </w:rPr>
            </w:pPr>
          </w:p>
        </w:tc>
        <w:tc>
          <w:tcPr>
            <w:tcW w:w="1380" w:type="dxa"/>
            <w:vAlign w:val="bottom"/>
            <w:gridSpan w:val="2"/>
            <w:shd w:val="clear" w:color="auto" w:fill="DCE2EF"/>
          </w:tcPr>
          <w:p>
            <w:pPr>
              <w:jc w:val="right"/>
              <w:ind w:right="280"/>
              <w:spacing w:after="0"/>
              <w:rPr>
                <w:sz w:val="20"/>
                <w:szCs w:val="20"/>
                <w:color w:val="auto"/>
              </w:rPr>
            </w:pPr>
            <w:r>
              <w:rPr>
                <w:rFonts w:ascii="Arial" w:cs="Arial" w:eastAsia="Arial" w:hAnsi="Arial"/>
                <w:sz w:val="16"/>
                <w:szCs w:val="16"/>
                <w:color w:val="auto"/>
              </w:rPr>
              <w:t>—</w:t>
            </w:r>
          </w:p>
        </w:tc>
        <w:tc>
          <w:tcPr>
            <w:tcW w:w="300" w:type="dxa"/>
            <w:vAlign w:val="bottom"/>
            <w:shd w:val="clear" w:color="auto" w:fill="DCE2EF"/>
          </w:tcPr>
          <w:p>
            <w:pPr>
              <w:spacing w:after="0"/>
              <w:rPr>
                <w:sz w:val="24"/>
                <w:szCs w:val="24"/>
                <w:color w:val="auto"/>
              </w:rPr>
            </w:pPr>
          </w:p>
        </w:tc>
        <w:tc>
          <w:tcPr>
            <w:tcW w:w="940" w:type="dxa"/>
            <w:vAlign w:val="bottom"/>
            <w:shd w:val="clear" w:color="auto" w:fill="DCE2EF"/>
          </w:tcPr>
          <w:p>
            <w:pPr>
              <w:jc w:val="right"/>
              <w:ind w:right="39"/>
              <w:spacing w:after="0"/>
              <w:rPr>
                <w:sz w:val="20"/>
                <w:szCs w:val="20"/>
                <w:color w:val="auto"/>
              </w:rPr>
            </w:pPr>
            <w:r>
              <w:rPr>
                <w:rFonts w:ascii="Arial" w:cs="Arial" w:eastAsia="Arial" w:hAnsi="Arial"/>
                <w:sz w:val="16"/>
                <w:szCs w:val="16"/>
                <w:color w:val="auto"/>
              </w:rPr>
              <w:t>4.6</w:t>
            </w:r>
          </w:p>
        </w:tc>
        <w:tc>
          <w:tcPr>
            <w:tcW w:w="1340" w:type="dxa"/>
            <w:vAlign w:val="bottom"/>
            <w:shd w:val="clear" w:color="auto" w:fill="DCE2EF"/>
          </w:tcPr>
          <w:p>
            <w:pPr>
              <w:ind w:left="560"/>
              <w:spacing w:after="0"/>
              <w:rPr>
                <w:sz w:val="20"/>
                <w:szCs w:val="20"/>
                <w:color w:val="auto"/>
              </w:rPr>
            </w:pPr>
            <w:r>
              <w:rPr>
                <w:rFonts w:ascii="Arial" w:cs="Arial" w:eastAsia="Arial" w:hAnsi="Arial"/>
                <w:sz w:val="16"/>
                <w:szCs w:val="16"/>
                <w:color w:val="auto"/>
              </w:rPr>
              <w:t>NM*</w:t>
            </w:r>
          </w:p>
        </w:tc>
      </w:tr>
      <w:tr>
        <w:trPr>
          <w:trHeight w:val="260"/>
        </w:trPr>
        <w:tc>
          <w:tcPr>
            <w:tcW w:w="40" w:type="dxa"/>
            <w:vAlign w:val="bottom"/>
          </w:tcPr>
          <w:p>
            <w:pPr>
              <w:spacing w:after="0"/>
              <w:rPr>
                <w:sz w:val="22"/>
                <w:szCs w:val="22"/>
                <w:color w:val="auto"/>
              </w:rPr>
            </w:pPr>
          </w:p>
        </w:tc>
        <w:tc>
          <w:tcPr>
            <w:tcW w:w="5260" w:type="dxa"/>
            <w:vAlign w:val="bottom"/>
            <w:gridSpan w:val="2"/>
          </w:tcPr>
          <w:p>
            <w:pPr>
              <w:ind w:left="320"/>
              <w:spacing w:after="0"/>
              <w:rPr>
                <w:sz w:val="20"/>
                <w:szCs w:val="20"/>
                <w:color w:val="auto"/>
              </w:rPr>
            </w:pPr>
            <w:r>
              <w:rPr>
                <w:rFonts w:ascii="Arial" w:cs="Arial" w:eastAsia="Arial" w:hAnsi="Arial"/>
                <w:sz w:val="16"/>
                <w:szCs w:val="16"/>
                <w:color w:val="auto"/>
              </w:rPr>
              <w:t>Foreign currency translation</w:t>
            </w:r>
          </w:p>
        </w:tc>
        <w:tc>
          <w:tcPr>
            <w:tcW w:w="340" w:type="dxa"/>
            <w:vAlign w:val="bottom"/>
          </w:tcPr>
          <w:p>
            <w:pPr>
              <w:spacing w:after="0"/>
              <w:rPr>
                <w:sz w:val="22"/>
                <w:szCs w:val="22"/>
                <w:color w:val="auto"/>
              </w:rPr>
            </w:pPr>
          </w:p>
        </w:tc>
        <w:tc>
          <w:tcPr>
            <w:tcW w:w="1300" w:type="dxa"/>
            <w:vAlign w:val="bottom"/>
          </w:tcPr>
          <w:p>
            <w:pPr>
              <w:jc w:val="right"/>
              <w:ind w:right="19"/>
              <w:spacing w:after="0"/>
              <w:rPr>
                <w:sz w:val="20"/>
                <w:szCs w:val="20"/>
                <w:color w:val="auto"/>
              </w:rPr>
            </w:pPr>
            <w:r>
              <w:rPr>
                <w:rFonts w:ascii="Arial" w:cs="Arial" w:eastAsia="Arial" w:hAnsi="Arial"/>
                <w:sz w:val="16"/>
                <w:szCs w:val="16"/>
                <w:color w:val="auto"/>
              </w:rPr>
              <w:t>(4.5)</w:t>
            </w:r>
          </w:p>
        </w:tc>
        <w:tc>
          <w:tcPr>
            <w:tcW w:w="1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260" w:type="dxa"/>
            <w:vAlign w:val="bottom"/>
          </w:tcPr>
          <w:p>
            <w:pPr>
              <w:jc w:val="right"/>
              <w:ind w:right="79"/>
              <w:spacing w:after="0"/>
              <w:rPr>
                <w:sz w:val="20"/>
                <w:szCs w:val="20"/>
                <w:color w:val="auto"/>
              </w:rPr>
            </w:pPr>
            <w:r>
              <w:rPr>
                <w:rFonts w:ascii="Arial" w:cs="Arial" w:eastAsia="Arial" w:hAnsi="Arial"/>
                <w:sz w:val="16"/>
                <w:szCs w:val="16"/>
                <w:color w:val="auto"/>
              </w:rPr>
              <w:t>3.0</w:t>
            </w: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(7.5)</w:t>
            </w:r>
          </w:p>
        </w:tc>
        <w:tc>
          <w:tcPr>
            <w:tcW w:w="1340" w:type="dxa"/>
            <w:vAlign w:val="bottom"/>
          </w:tcPr>
          <w:p>
            <w:pPr>
              <w:ind w:left="560"/>
              <w:spacing w:after="0"/>
              <w:rPr>
                <w:sz w:val="20"/>
                <w:szCs w:val="20"/>
                <w:color w:val="auto"/>
              </w:rPr>
            </w:pPr>
            <w:r>
              <w:rPr>
                <w:rFonts w:ascii="Arial" w:cs="Arial" w:eastAsia="Arial" w:hAnsi="Arial"/>
                <w:sz w:val="16"/>
                <w:szCs w:val="16"/>
                <w:color w:val="auto"/>
              </w:rPr>
              <w:t>NM*</w:t>
            </w:r>
          </w:p>
        </w:tc>
      </w:tr>
      <w:tr>
        <w:trPr>
          <w:trHeight w:val="280"/>
        </w:trPr>
        <w:tc>
          <w:tcPr>
            <w:tcW w:w="40" w:type="dxa"/>
            <w:vAlign w:val="bottom"/>
            <w:shd w:val="clear" w:color="auto" w:fill="DCE2EF"/>
          </w:tcPr>
          <w:p>
            <w:pPr>
              <w:spacing w:after="0"/>
              <w:rPr>
                <w:sz w:val="24"/>
                <w:szCs w:val="24"/>
                <w:color w:val="auto"/>
              </w:rPr>
            </w:pPr>
          </w:p>
        </w:tc>
        <w:tc>
          <w:tcPr>
            <w:tcW w:w="5260" w:type="dxa"/>
            <w:vAlign w:val="bottom"/>
            <w:gridSpan w:val="2"/>
            <w:shd w:val="clear" w:color="auto" w:fill="DCE2EF"/>
          </w:tcPr>
          <w:p>
            <w:pPr>
              <w:ind w:left="340"/>
              <w:spacing w:after="0"/>
              <w:rPr>
                <w:sz w:val="20"/>
                <w:szCs w:val="20"/>
                <w:color w:val="auto"/>
              </w:rPr>
            </w:pPr>
            <w:r>
              <w:rPr>
                <w:rFonts w:ascii="Arial" w:cs="Arial" w:eastAsia="Arial" w:hAnsi="Arial"/>
                <w:sz w:val="16"/>
                <w:szCs w:val="16"/>
                <w:color w:val="auto"/>
              </w:rPr>
              <w:t>Income tax provision</w:t>
            </w:r>
          </w:p>
        </w:tc>
        <w:tc>
          <w:tcPr>
            <w:tcW w:w="340" w:type="dxa"/>
            <w:vAlign w:val="bottom"/>
            <w:shd w:val="clear" w:color="auto" w:fill="DCE2EF"/>
          </w:tcPr>
          <w:p>
            <w:pPr>
              <w:spacing w:after="0"/>
              <w:rPr>
                <w:sz w:val="24"/>
                <w:szCs w:val="24"/>
                <w:color w:val="auto"/>
              </w:rPr>
            </w:pPr>
          </w:p>
        </w:tc>
        <w:tc>
          <w:tcPr>
            <w:tcW w:w="1300" w:type="dxa"/>
            <w:vAlign w:val="bottom"/>
            <w:shd w:val="clear" w:color="auto" w:fill="DCE2EF"/>
          </w:tcPr>
          <w:p>
            <w:pPr>
              <w:jc w:val="right"/>
              <w:ind w:right="19"/>
              <w:spacing w:after="0"/>
              <w:rPr>
                <w:sz w:val="20"/>
                <w:szCs w:val="20"/>
                <w:color w:val="auto"/>
              </w:rPr>
            </w:pPr>
            <w:r>
              <w:rPr>
                <w:rFonts w:ascii="Arial" w:cs="Arial" w:eastAsia="Arial" w:hAnsi="Arial"/>
                <w:sz w:val="16"/>
                <w:szCs w:val="16"/>
                <w:color w:val="auto"/>
              </w:rPr>
              <w:t>(1.2)</w:t>
            </w:r>
          </w:p>
        </w:tc>
        <w:tc>
          <w:tcPr>
            <w:tcW w:w="120" w:type="dxa"/>
            <w:vAlign w:val="bottom"/>
            <w:shd w:val="clear" w:color="auto" w:fill="DCE2EF"/>
          </w:tcPr>
          <w:p>
            <w:pPr>
              <w:spacing w:after="0"/>
              <w:rPr>
                <w:sz w:val="24"/>
                <w:szCs w:val="24"/>
                <w:color w:val="auto"/>
              </w:rPr>
            </w:pPr>
          </w:p>
        </w:tc>
        <w:tc>
          <w:tcPr>
            <w:tcW w:w="380" w:type="dxa"/>
            <w:vAlign w:val="bottom"/>
            <w:shd w:val="clear" w:color="auto" w:fill="DCE2EF"/>
          </w:tcPr>
          <w:p>
            <w:pPr>
              <w:spacing w:after="0"/>
              <w:rPr>
                <w:sz w:val="24"/>
                <w:szCs w:val="24"/>
                <w:color w:val="auto"/>
              </w:rPr>
            </w:pPr>
          </w:p>
        </w:tc>
        <w:tc>
          <w:tcPr>
            <w:tcW w:w="1380" w:type="dxa"/>
            <w:vAlign w:val="bottom"/>
            <w:gridSpan w:val="2"/>
            <w:shd w:val="clear" w:color="auto" w:fill="DCE2EF"/>
          </w:tcPr>
          <w:p>
            <w:pPr>
              <w:jc w:val="right"/>
              <w:ind w:right="280"/>
              <w:spacing w:after="0"/>
              <w:rPr>
                <w:sz w:val="20"/>
                <w:szCs w:val="20"/>
                <w:color w:val="auto"/>
              </w:rPr>
            </w:pPr>
            <w:r>
              <w:rPr>
                <w:rFonts w:ascii="Arial" w:cs="Arial" w:eastAsia="Arial" w:hAnsi="Arial"/>
                <w:sz w:val="16"/>
                <w:szCs w:val="16"/>
                <w:color w:val="auto"/>
              </w:rPr>
              <w:t>—</w:t>
            </w:r>
          </w:p>
        </w:tc>
        <w:tc>
          <w:tcPr>
            <w:tcW w:w="300" w:type="dxa"/>
            <w:vAlign w:val="bottom"/>
            <w:shd w:val="clear" w:color="auto" w:fill="DCE2EF"/>
          </w:tcPr>
          <w:p>
            <w:pPr>
              <w:spacing w:after="0"/>
              <w:rPr>
                <w:sz w:val="24"/>
                <w:szCs w:val="24"/>
                <w:color w:val="auto"/>
              </w:rPr>
            </w:pPr>
          </w:p>
        </w:tc>
        <w:tc>
          <w:tcPr>
            <w:tcW w:w="940" w:type="dxa"/>
            <w:vAlign w:val="bottom"/>
            <w:shd w:val="clear" w:color="auto" w:fill="DCE2EF"/>
          </w:tcPr>
          <w:p>
            <w:pPr>
              <w:jc w:val="right"/>
              <w:spacing w:after="0"/>
              <w:rPr>
                <w:sz w:val="20"/>
                <w:szCs w:val="20"/>
                <w:color w:val="auto"/>
              </w:rPr>
            </w:pPr>
            <w:r>
              <w:rPr>
                <w:rFonts w:ascii="Arial" w:cs="Arial" w:eastAsia="Arial" w:hAnsi="Arial"/>
                <w:sz w:val="16"/>
                <w:szCs w:val="16"/>
                <w:color w:val="auto"/>
              </w:rPr>
              <w:t>(1.2)</w:t>
            </w:r>
          </w:p>
        </w:tc>
        <w:tc>
          <w:tcPr>
            <w:tcW w:w="1340" w:type="dxa"/>
            <w:vAlign w:val="bottom"/>
            <w:shd w:val="clear" w:color="auto" w:fill="DCE2EF"/>
          </w:tcPr>
          <w:p>
            <w:pPr>
              <w:ind w:left="560"/>
              <w:spacing w:after="0"/>
              <w:rPr>
                <w:sz w:val="20"/>
                <w:szCs w:val="20"/>
                <w:color w:val="auto"/>
              </w:rPr>
            </w:pPr>
            <w:r>
              <w:rPr>
                <w:rFonts w:ascii="Arial" w:cs="Arial" w:eastAsia="Arial" w:hAnsi="Arial"/>
                <w:sz w:val="16"/>
                <w:szCs w:val="16"/>
                <w:color w:val="auto"/>
              </w:rPr>
              <w:t>NM*</w:t>
            </w:r>
          </w:p>
        </w:tc>
      </w:tr>
      <w:tr>
        <w:trPr>
          <w:trHeight w:val="234"/>
        </w:trPr>
        <w:tc>
          <w:tcPr>
            <w:tcW w:w="5300" w:type="dxa"/>
            <w:vAlign w:val="bottom"/>
            <w:gridSpan w:val="3"/>
          </w:tcPr>
          <w:p>
            <w:pPr>
              <w:ind w:left="40"/>
              <w:spacing w:after="0"/>
              <w:rPr>
                <w:sz w:val="20"/>
                <w:szCs w:val="20"/>
                <w:color w:val="auto"/>
              </w:rPr>
            </w:pPr>
            <w:r>
              <w:rPr>
                <w:rFonts w:ascii="Arial" w:cs="Arial" w:eastAsia="Arial" w:hAnsi="Arial"/>
                <w:sz w:val="16"/>
                <w:szCs w:val="16"/>
                <w:b w:val="1"/>
                <w:bCs w:val="1"/>
                <w:color w:val="auto"/>
              </w:rPr>
              <w:t>Comprehensive income</w:t>
            </w:r>
          </w:p>
        </w:tc>
        <w:tc>
          <w:tcPr>
            <w:tcW w:w="340" w:type="dxa"/>
            <w:vAlign w:val="bottom"/>
            <w:tcBorders>
              <w:top w:val="single" w:sz="8" w:color="auto"/>
              <w:bottom w:val="single" w:sz="8" w:color="auto"/>
            </w:tcBorders>
          </w:tcPr>
          <w:p>
            <w:pPr>
              <w:jc w:val="right"/>
              <w:ind w:right="139"/>
              <w:spacing w:after="0"/>
              <w:rPr>
                <w:sz w:val="20"/>
                <w:szCs w:val="20"/>
                <w:color w:val="auto"/>
              </w:rPr>
            </w:pPr>
            <w:r>
              <w:rPr>
                <w:rFonts w:ascii="Arial" w:cs="Arial" w:eastAsia="Arial" w:hAnsi="Arial"/>
                <w:sz w:val="16"/>
                <w:szCs w:val="16"/>
                <w:color w:val="auto"/>
              </w:rPr>
              <w:t>$</w:t>
            </w:r>
          </w:p>
        </w:tc>
        <w:tc>
          <w:tcPr>
            <w:tcW w:w="1300" w:type="dxa"/>
            <w:vAlign w:val="bottom"/>
            <w:tcBorders>
              <w:top w:val="single" w:sz="8" w:color="auto"/>
              <w:bottom w:val="single" w:sz="8" w:color="auto"/>
            </w:tcBorders>
          </w:tcPr>
          <w:p>
            <w:pPr>
              <w:jc w:val="right"/>
              <w:ind w:right="79"/>
              <w:spacing w:after="0"/>
              <w:rPr>
                <w:sz w:val="20"/>
                <w:szCs w:val="20"/>
                <w:color w:val="auto"/>
              </w:rPr>
            </w:pPr>
            <w:r>
              <w:rPr>
                <w:rFonts w:ascii="Arial" w:cs="Arial" w:eastAsia="Arial" w:hAnsi="Arial"/>
                <w:sz w:val="16"/>
                <w:szCs w:val="16"/>
                <w:color w:val="auto"/>
              </w:rPr>
              <w:t>25.5</w:t>
            </w:r>
          </w:p>
        </w:tc>
        <w:tc>
          <w:tcPr>
            <w:tcW w:w="120" w:type="dxa"/>
            <w:vAlign w:val="bottom"/>
          </w:tcPr>
          <w:p>
            <w:pPr>
              <w:spacing w:after="0"/>
              <w:rPr>
                <w:sz w:val="20"/>
                <w:szCs w:val="20"/>
                <w:color w:val="auto"/>
              </w:rPr>
            </w:pPr>
          </w:p>
        </w:tc>
        <w:tc>
          <w:tcPr>
            <w:tcW w:w="380" w:type="dxa"/>
            <w:vAlign w:val="bottom"/>
            <w:tcBorders>
              <w:top w:val="single" w:sz="8" w:color="auto"/>
              <w:bottom w:val="single" w:sz="8" w:color="auto"/>
            </w:tcBorders>
          </w:tcPr>
          <w:p>
            <w:pPr>
              <w:jc w:val="right"/>
              <w:ind w:right="179"/>
              <w:spacing w:after="0"/>
              <w:rPr>
                <w:sz w:val="20"/>
                <w:szCs w:val="20"/>
                <w:color w:val="auto"/>
              </w:rPr>
            </w:pPr>
            <w:r>
              <w:rPr>
                <w:rFonts w:ascii="Arial" w:cs="Arial" w:eastAsia="Arial" w:hAnsi="Arial"/>
                <w:sz w:val="16"/>
                <w:szCs w:val="16"/>
                <w:color w:val="auto"/>
              </w:rPr>
              <w:t>$</w:t>
            </w:r>
          </w:p>
        </w:tc>
        <w:tc>
          <w:tcPr>
            <w:tcW w:w="1260" w:type="dxa"/>
            <w:vAlign w:val="bottom"/>
            <w:tcBorders>
              <w:top w:val="single" w:sz="8" w:color="auto"/>
              <w:bottom w:val="single" w:sz="8" w:color="auto"/>
            </w:tcBorders>
          </w:tcPr>
          <w:p>
            <w:pPr>
              <w:jc w:val="right"/>
              <w:ind w:right="79"/>
              <w:spacing w:after="0"/>
              <w:rPr>
                <w:sz w:val="20"/>
                <w:szCs w:val="20"/>
                <w:color w:val="auto"/>
              </w:rPr>
            </w:pPr>
            <w:r>
              <w:rPr>
                <w:rFonts w:ascii="Arial" w:cs="Arial" w:eastAsia="Arial" w:hAnsi="Arial"/>
                <w:sz w:val="16"/>
                <w:szCs w:val="16"/>
                <w:color w:val="auto"/>
              </w:rPr>
              <w:t>34.3</w:t>
            </w:r>
          </w:p>
        </w:tc>
        <w:tc>
          <w:tcPr>
            <w:tcW w:w="120" w:type="dxa"/>
            <w:vAlign w:val="bottom"/>
          </w:tcPr>
          <w:p>
            <w:pPr>
              <w:spacing w:after="0"/>
              <w:rPr>
                <w:sz w:val="20"/>
                <w:szCs w:val="20"/>
                <w:color w:val="auto"/>
              </w:rPr>
            </w:pPr>
          </w:p>
        </w:tc>
        <w:tc>
          <w:tcPr>
            <w:tcW w:w="300" w:type="dxa"/>
            <w:vAlign w:val="bottom"/>
            <w:tcBorders>
              <w:top w:val="single" w:sz="8" w:color="auto"/>
              <w:bottom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(8.8)</w:t>
            </w:r>
          </w:p>
        </w:tc>
        <w:tc>
          <w:tcPr>
            <w:tcW w:w="1340" w:type="dxa"/>
            <w:vAlign w:val="bottom"/>
          </w:tcPr>
          <w:p>
            <w:pPr>
              <w:jc w:val="center"/>
              <w:ind w:left="19"/>
              <w:spacing w:after="0"/>
              <w:rPr>
                <w:sz w:val="20"/>
                <w:szCs w:val="20"/>
                <w:color w:val="auto"/>
              </w:rPr>
            </w:pPr>
            <w:r>
              <w:rPr>
                <w:rFonts w:ascii="Arial" w:cs="Arial" w:eastAsia="Arial" w:hAnsi="Arial"/>
                <w:sz w:val="16"/>
                <w:szCs w:val="16"/>
                <w:color w:val="auto"/>
                <w:w w:val="99"/>
              </w:rPr>
              <w:t>(25.6)%</w:t>
            </w:r>
          </w:p>
        </w:tc>
      </w:tr>
      <w:tr>
        <w:trPr>
          <w:trHeight w:val="20"/>
        </w:trPr>
        <w:tc>
          <w:tcPr>
            <w:tcW w:w="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4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r>
    </w:tbl>
    <w:p>
      <w:pPr>
        <w:spacing w:after="0" w:line="164" w:lineRule="exact"/>
        <w:rPr>
          <w:sz w:val="20"/>
          <w:szCs w:val="20"/>
          <w:color w:val="auto"/>
        </w:rPr>
      </w:pPr>
    </w:p>
    <w:p>
      <w:pPr>
        <w:ind w:left="40"/>
        <w:spacing w:after="0"/>
        <w:rPr>
          <w:sz w:val="20"/>
          <w:szCs w:val="20"/>
          <w:color w:val="auto"/>
        </w:rPr>
      </w:pPr>
      <w:r>
        <w:rPr>
          <w:rFonts w:ascii="Arial" w:cs="Arial" w:eastAsia="Arial" w:hAnsi="Arial"/>
          <w:sz w:val="16"/>
          <w:szCs w:val="16"/>
          <w:color w:val="auto"/>
        </w:rPr>
        <w:t>*Not meaningful</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0046AD"/>
        </w:rPr>
        <w:t>Revenues</w:t>
      </w:r>
    </w:p>
    <w:p>
      <w:pPr>
        <w:spacing w:after="0" w:line="193"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color w:val="auto"/>
        </w:rPr>
        <w:t>Revenues increased by $270.3 million, or 20.6%, during the three months ended April 30, 2018, as compared to the three months ended April 30, 2017. The increase in revenues was primarily attributable to $256.4 million of incremental revenues from the GCA acquisition as well as organic growth in B&amp;I. This increase was partially offset by the sale of our Government Services business on May 31, 2017.</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0046AD"/>
        </w:rPr>
        <w:t>Operating Expenses</w:t>
      </w:r>
    </w:p>
    <w:p>
      <w:pPr>
        <w:spacing w:after="0" w:line="193"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color w:val="auto"/>
        </w:rPr>
        <w:t>Operating expenses increased by $241.2 million, or 20.7%, during the three months ended April 30, 2018, as compared to the three months ended April 30, 2017. The increase was primarily attributable to $227.6 million of incremental operating expenses from the GCA acquisition and an increase in wages and related personnel costs due to a tight labor market. Gross margin remained relatively flat at 11.1%.</w:t>
      </w:r>
    </w:p>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684" w:right="239" w:bottom="1440" w:gutter="0" w:footer="0" w:header="0"/>
        </w:sectPr>
      </w:pPr>
    </w:p>
    <w:bookmarkStart w:id="30" w:name="page31"/>
    <w:bookmarkEnd w:id="30"/>
    <w:p>
      <w:pPr>
        <w:spacing w:after="0"/>
        <w:rPr>
          <w:sz w:val="20"/>
          <w:szCs w:val="20"/>
          <w:color w:val="auto"/>
        </w:rPr>
      </w:pPr>
      <w:r>
        <w:rPr>
          <w:rFonts w:ascii="Arial" w:cs="Arial" w:eastAsia="Arial" w:hAnsi="Arial"/>
          <w:sz w:val="18"/>
          <w:szCs w:val="18"/>
          <w:b w:val="1"/>
          <w:bCs w:val="1"/>
          <w:i w:val="1"/>
          <w:iCs w:val="1"/>
          <w:color w:val="0046AD"/>
        </w:rPr>
        <w:t>Selling, General and Administrative Expenses</w:t>
      </w:r>
    </w:p>
    <w:p>
      <w:pPr>
        <w:spacing w:after="0" w:line="193" w:lineRule="exact"/>
        <w:rPr>
          <w:sz w:val="20"/>
          <w:szCs w:val="20"/>
          <w:color w:val="auto"/>
        </w:rPr>
      </w:pPr>
    </w:p>
    <w:p>
      <w:pPr>
        <w:ind w:firstLine="648"/>
        <w:spacing w:after="0" w:line="262" w:lineRule="auto"/>
        <w:rPr>
          <w:sz w:val="20"/>
          <w:szCs w:val="20"/>
          <w:color w:val="auto"/>
        </w:rPr>
      </w:pPr>
      <w:r>
        <w:rPr>
          <w:rFonts w:ascii="Arial" w:cs="Arial" w:eastAsia="Arial" w:hAnsi="Arial"/>
          <w:sz w:val="18"/>
          <w:szCs w:val="18"/>
          <w:color w:val="auto"/>
        </w:rPr>
        <w:t>Selling, general and administrative expenses increased by $7.1 million, or 7.0%, during the three months ended April 30, 2018, as compared to the three months ended April 30, 2017. The increase in selling, general and administrative expenses was primarily related to:</w:t>
      </w:r>
    </w:p>
    <w:p>
      <w:pPr>
        <w:spacing w:after="0" w:line="142" w:lineRule="exact"/>
        <w:rPr>
          <w:sz w:val="20"/>
          <w:szCs w:val="20"/>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$9.9 million of incremental expenses related to the GCA acquisition;</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 $3.1 million increase in legal settlement costs; and</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 $2.5 million increase in technology investments.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This increase was partially offset by:</w:t>
      </w:r>
    </w:p>
    <w:p>
      <w:pPr>
        <w:spacing w:after="0" w:line="171" w:lineRule="exact"/>
        <w:rPr>
          <w:sz w:val="20"/>
          <w:szCs w:val="20"/>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 $2.9 million decrease in compensation and related expenses mainly due to the reversal of certain incentive plans;</w:t>
      </w:r>
    </w:p>
    <w:p>
      <w:pPr>
        <w:spacing w:after="0" w:line="171" w:lineRule="exact"/>
        <w:rPr>
          <w:rFonts w:ascii="Arial" w:cs="Arial" w:eastAsia="Arial" w:hAnsi="Arial"/>
          <w:sz w:val="18"/>
          <w:szCs w:val="18"/>
          <w:color w:val="auto"/>
        </w:rPr>
      </w:pPr>
    </w:p>
    <w:p>
      <w:pPr>
        <w:ind w:left="660" w:hanging="328"/>
        <w:spacing w:after="0" w:line="262" w:lineRule="auto"/>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 $2.8 million decrease in medical and dental insurance expense as a result of actuarial evaluations performed in the three months ended April 30, 2018; and</w:t>
      </w:r>
    </w:p>
    <w:p>
      <w:pPr>
        <w:spacing w:after="0" w:line="142"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 $1.0 million decrease in rental expense due to office consolidations in the prior year.</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0046AD"/>
        </w:rPr>
        <w:t>Restructuring and Related Expenses</w:t>
      </w:r>
    </w:p>
    <w:p>
      <w:pPr>
        <w:spacing w:after="0" w:line="193"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color w:val="auto"/>
        </w:rPr>
        <w:t xml:space="preserve">Restructuring and related expenses decreased by $0.5 million during the three months ended April 30, 2018, as compared to the three months ended April 30, 2017, as a result of the completion of our </w:t>
      </w:r>
      <w:r>
        <w:rPr>
          <w:rFonts w:ascii="Arial" w:cs="Arial" w:eastAsia="Arial" w:hAnsi="Arial"/>
          <w:sz w:val="18"/>
          <w:szCs w:val="18"/>
          <w:b w:val="1"/>
          <w:bCs w:val="1"/>
          <w:color w:val="FF9900"/>
        </w:rPr>
        <w:t>2020</w:t>
      </w:r>
      <w:r>
        <w:rPr>
          <w:rFonts w:ascii="Arial" w:cs="Arial" w:eastAsia="Arial" w:hAnsi="Arial"/>
          <w:sz w:val="18"/>
          <w:szCs w:val="18"/>
          <w:color w:val="auto"/>
        </w:rPr>
        <w:t xml:space="preserve"> </w:t>
      </w:r>
      <w:r>
        <w:rPr>
          <w:rFonts w:ascii="Arial" w:cs="Arial" w:eastAsia="Arial" w:hAnsi="Arial"/>
          <w:sz w:val="18"/>
          <w:szCs w:val="18"/>
          <w:b w:val="1"/>
          <w:bCs w:val="1"/>
          <w:color w:val="0070C0"/>
        </w:rPr>
        <w:t>Vision</w:t>
      </w:r>
      <w:r>
        <w:rPr>
          <w:rFonts w:ascii="Arial" w:cs="Arial" w:eastAsia="Arial" w:hAnsi="Arial"/>
          <w:sz w:val="18"/>
          <w:szCs w:val="18"/>
          <w:color w:val="auto"/>
        </w:rPr>
        <w:t xml:space="preserve"> organizational realignment, partially offset by restructuring related to the GCA acquisition.</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0046AD"/>
        </w:rPr>
        <w:t>Amortization of Intangible Assets</w:t>
      </w:r>
    </w:p>
    <w:p>
      <w:pPr>
        <w:spacing w:after="0" w:line="193" w:lineRule="exact"/>
        <w:rPr>
          <w:sz w:val="20"/>
          <w:szCs w:val="20"/>
          <w:color w:val="auto"/>
        </w:rPr>
      </w:pPr>
    </w:p>
    <w:p>
      <w:pPr>
        <w:jc w:val="both"/>
        <w:ind w:firstLine="648"/>
        <w:spacing w:after="0" w:line="262" w:lineRule="auto"/>
        <w:rPr>
          <w:sz w:val="20"/>
          <w:szCs w:val="20"/>
          <w:color w:val="auto"/>
        </w:rPr>
      </w:pPr>
      <w:r>
        <w:rPr>
          <w:rFonts w:ascii="Arial" w:cs="Arial" w:eastAsia="Arial" w:hAnsi="Arial"/>
          <w:sz w:val="18"/>
          <w:szCs w:val="18"/>
          <w:color w:val="auto"/>
        </w:rPr>
        <w:t>Amortization of intangible assets increased by $10.9 million during the three months ended April 30, 2018, as compared to the three months ended April 30, 2017, as a result of the amortization of acquired intangible assets associated with the GCA acquisition.</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0046AD"/>
        </w:rPr>
        <w:t>Impairment Recovery</w:t>
      </w:r>
    </w:p>
    <w:p>
      <w:pPr>
        <w:spacing w:after="0" w:line="193"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color w:val="auto"/>
        </w:rPr>
        <w:t>On May 31, 2017, we sold our Government Services business for $ 35.5 million. Based on the initial offer of $35.0 million received during the second quarter of 2017, we recorded a $17.4 million impairment recovery to adjust the fair value of certain previously impaired assets.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0046AD"/>
        </w:rPr>
        <w:t>Interest Expense</w:t>
      </w:r>
    </w:p>
    <w:p>
      <w:pPr>
        <w:spacing w:after="0" w:line="193"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color w:val="auto"/>
        </w:rPr>
        <w:t>Interest expense increased by $10.8 million during the three months ended April 30, 2018, as compared to the three months ended April 30, 2017, primarily related to increased indebtedness incurred to fund the GCA acquisition and higher relative interest rates under our credit facility.</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0046AD"/>
        </w:rPr>
        <w:t>Income Taxes from Continuing Operations</w:t>
      </w:r>
    </w:p>
    <w:p>
      <w:pPr>
        <w:spacing w:after="0" w:line="193"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The effective tax rates on income from continuing operations for the three months ended April 30, 2018 and 2017 were 21.8% and 35.3%, respectively. The effective tax rate for the three months ended April 30, 2018 was favorably impacted by the reduction of the federal corporate income tax rate as a result of the Tax Act and by a discrete tax benefit of $2.0 million related to tax deductions on energy efficient government buildings, partially offset by a $1.5 million reduction in certain tax credits, including the prior year Work Opportunity Tax Credits (“WOTC”) for new hires.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0046AD"/>
        </w:rPr>
        <w:t>Discontinued Operations, Net of Taxes</w:t>
      </w:r>
    </w:p>
    <w:p>
      <w:pPr>
        <w:spacing w:after="0" w:line="193"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color w:val="auto"/>
        </w:rPr>
        <w:t>During the three months ended April 30, 2018 we had income from discontinued operations, net of taxes, of $1.2 million, compared with a loss from discontinued operations, net of taxes, of $0.4 million during the three months ended April 30, 2017, a change of $1.6 million. This change was due to an insurance reimbursement on a legal settlement received during the three months ended April 30, 2018.</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522" w:right="239" w:bottom="1440" w:gutter="0" w:footer="0" w:header="0"/>
        </w:sectPr>
      </w:pPr>
    </w:p>
    <w:bookmarkStart w:id="31" w:name="page32"/>
    <w:bookmarkEnd w:id="31"/>
    <w:p>
      <w:pPr>
        <w:spacing w:after="0"/>
        <w:rPr>
          <w:sz w:val="20"/>
          <w:szCs w:val="20"/>
          <w:color w:val="auto"/>
        </w:rPr>
      </w:pPr>
      <w:r>
        <w:rPr>
          <w:rFonts w:ascii="Arial" w:cs="Arial" w:eastAsia="Arial" w:hAnsi="Arial"/>
          <w:sz w:val="18"/>
          <w:szCs w:val="18"/>
          <w:b w:val="1"/>
          <w:bCs w:val="1"/>
          <w:i w:val="1"/>
          <w:iCs w:val="1"/>
          <w:color w:val="0046AD"/>
        </w:rPr>
        <w:t>Change in Fair Value of Interest Rate Swaps</w:t>
      </w:r>
    </w:p>
    <w:p>
      <w:pPr>
        <w:spacing w:after="0" w:line="193"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8"/>
          <w:szCs w:val="18"/>
          <w:color w:val="auto"/>
        </w:rPr>
        <w:t>The fair value of interest rate swaps increased by $4.6 million during the three months ended April 30, 2018, as compared to the three months ended April 30, 2017. The increase was primarily due to rising interest rates and an increase in the notional amount of interest rate swaps. In November 2017, we entered into three additional interest rate swaps with a combined notional amount of $500.0 million and fixed interest rates of 1.65% and 1.69%. During April 2018, we elected to terminate all of our interest rate swaps and received cash proceeds of $25.9 million. We will amortize the resulting gain from accumulated other comprehensive income (loss) (“AOCI”) to interest expense over the term of our Credit Facility.</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0046AD"/>
        </w:rPr>
        <w:t>Foreign Currency Translation</w:t>
      </w:r>
    </w:p>
    <w:p>
      <w:pPr>
        <w:spacing w:after="0" w:line="193"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During the three months ended April 30, 2018 we recognized as a component of our comprehensive income a foreign currency translation loss of $4.5 million compared with a gain of $3.0 million during the three months ended April 30, 2017. This change was related to the strengthening of the U.S. Dollar (“USD”) against the Great Britain Pound (“GBP”) during the three months ended April 30, 2018. Future gains and losses on foreign currency translation will be dependent upon changes in the relative value of foreign currencies to the USD and the extent of our foreign assets and liabilities.</w:t>
      </w: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20"/>
          </w:cols>
          <w:pgMar w:left="240" w:top="522" w:right="239" w:bottom="1440" w:gutter="0" w:footer="0" w:header="0"/>
        </w:sectPr>
      </w:pPr>
    </w:p>
    <w:bookmarkStart w:id="32" w:name="page33"/>
    <w:bookmarkEnd w:id="32"/>
    <w:p>
      <w:pPr>
        <w:spacing w:after="0"/>
        <w:rPr>
          <w:sz w:val="20"/>
          <w:szCs w:val="20"/>
          <w:color w:val="auto"/>
        </w:rPr>
      </w:pPr>
      <w:r>
        <w:rPr>
          <w:rFonts w:ascii="Arial" w:cs="Arial" w:eastAsia="Arial" w:hAnsi="Arial"/>
          <w:sz w:val="18"/>
          <w:szCs w:val="18"/>
          <w:b w:val="1"/>
          <w:bCs w:val="1"/>
          <w:i w:val="1"/>
          <w:iCs w:val="1"/>
          <w:color w:val="0046AD"/>
        </w:rPr>
        <w:t>Segment Information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0046AD"/>
        </w:rPr>
        <w:t>Financial Information for Each Reportable Segment</w:t>
      </w:r>
    </w:p>
    <w:p>
      <w:pPr>
        <w:spacing w:after="0" w:line="365"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41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3300" w:type="dxa"/>
            <w:vAlign w:val="bottom"/>
            <w:gridSpan w:val="5"/>
          </w:tcPr>
          <w:p>
            <w:pPr>
              <w:ind w:left="280"/>
              <w:spacing w:after="0"/>
              <w:rPr>
                <w:sz w:val="20"/>
                <w:szCs w:val="20"/>
                <w:color w:val="auto"/>
              </w:rPr>
            </w:pPr>
            <w:r>
              <w:rPr>
                <w:rFonts w:ascii="Arial" w:cs="Arial" w:eastAsia="Arial" w:hAnsi="Arial"/>
                <w:sz w:val="16"/>
                <w:szCs w:val="16"/>
                <w:b w:val="1"/>
                <w:bCs w:val="1"/>
                <w:color w:val="auto"/>
              </w:rPr>
              <w:t>Three Months Ended April 30,</w:t>
            </w:r>
          </w:p>
        </w:tc>
        <w:tc>
          <w:tcPr>
            <w:tcW w:w="3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000" w:type="dxa"/>
            <w:vAlign w:val="bottom"/>
            <w:gridSpan w:val="3"/>
          </w:tcPr>
          <w:p>
            <w:pPr>
              <w:ind w:left="40"/>
              <w:spacing w:after="0"/>
              <w:rPr>
                <w:sz w:val="20"/>
                <w:szCs w:val="20"/>
                <w:color w:val="auto"/>
              </w:rPr>
            </w:pPr>
            <w:r>
              <w:rPr>
                <w:rFonts w:ascii="Arial" w:cs="Arial" w:eastAsia="Arial" w:hAnsi="Arial"/>
                <w:sz w:val="14"/>
                <w:szCs w:val="14"/>
                <w:i w:val="1"/>
                <w:iCs w:val="1"/>
                <w:u w:val="single" w:color="auto"/>
                <w:color w:val="auto"/>
              </w:rPr>
              <w:t>(</w:t>
            </w:r>
            <w:r>
              <w:rPr>
                <w:rFonts w:ascii="Arial" w:cs="Arial" w:eastAsia="Arial" w:hAnsi="Arial"/>
                <w:sz w:val="14"/>
                <w:szCs w:val="14"/>
                <w:i w:val="1"/>
                <w:iCs w:val="1"/>
                <w:color w:val="auto"/>
              </w:rPr>
              <w:t>$ in millions)</w:t>
            </w:r>
          </w:p>
        </w:tc>
        <w:tc>
          <w:tcPr>
            <w:tcW w:w="400" w:type="dxa"/>
            <w:vAlign w:val="bottom"/>
            <w:tcBorders>
              <w:top w:val="single" w:sz="8" w:color="auto"/>
            </w:tcBorders>
          </w:tcPr>
          <w:p>
            <w:pPr>
              <w:spacing w:after="0"/>
              <w:rPr>
                <w:sz w:val="19"/>
                <w:szCs w:val="19"/>
                <w:color w:val="auto"/>
              </w:rPr>
            </w:pPr>
          </w:p>
        </w:tc>
        <w:tc>
          <w:tcPr>
            <w:tcW w:w="1340" w:type="dxa"/>
            <w:vAlign w:val="bottom"/>
            <w:tcBorders>
              <w:top w:val="single" w:sz="8" w:color="auto"/>
            </w:tcBorders>
          </w:tcPr>
          <w:p>
            <w:pPr>
              <w:jc w:val="right"/>
              <w:ind w:right="601"/>
              <w:spacing w:after="0"/>
              <w:rPr>
                <w:sz w:val="20"/>
                <w:szCs w:val="20"/>
                <w:color w:val="auto"/>
              </w:rPr>
            </w:pPr>
            <w:r>
              <w:rPr>
                <w:rFonts w:ascii="Arial" w:cs="Arial" w:eastAsia="Arial" w:hAnsi="Arial"/>
                <w:sz w:val="16"/>
                <w:szCs w:val="16"/>
                <w:b w:val="1"/>
                <w:bCs w:val="1"/>
                <w:color w:val="auto"/>
              </w:rPr>
              <w:t>2018</w:t>
            </w:r>
          </w:p>
        </w:tc>
        <w:tc>
          <w:tcPr>
            <w:tcW w:w="120" w:type="dxa"/>
            <w:vAlign w:val="bottom"/>
            <w:tcBorders>
              <w:top w:val="single" w:sz="8" w:color="auto"/>
            </w:tcBorders>
          </w:tcPr>
          <w:p>
            <w:pPr>
              <w:spacing w:after="0"/>
              <w:rPr>
                <w:sz w:val="19"/>
                <w:szCs w:val="19"/>
                <w:color w:val="auto"/>
              </w:rPr>
            </w:pPr>
          </w:p>
        </w:tc>
        <w:tc>
          <w:tcPr>
            <w:tcW w:w="400" w:type="dxa"/>
            <w:vAlign w:val="bottom"/>
            <w:tcBorders>
              <w:top w:val="single" w:sz="8" w:color="auto"/>
            </w:tcBorders>
          </w:tcPr>
          <w:p>
            <w:pPr>
              <w:spacing w:after="0"/>
              <w:rPr>
                <w:sz w:val="19"/>
                <w:szCs w:val="19"/>
                <w:color w:val="auto"/>
              </w:rPr>
            </w:pPr>
          </w:p>
        </w:tc>
        <w:tc>
          <w:tcPr>
            <w:tcW w:w="1340" w:type="dxa"/>
            <w:vAlign w:val="bottom"/>
            <w:tcBorders>
              <w:top w:val="single" w:sz="8" w:color="auto"/>
            </w:tcBorders>
          </w:tcPr>
          <w:p>
            <w:pPr>
              <w:jc w:val="right"/>
              <w:ind w:right="621"/>
              <w:spacing w:after="0"/>
              <w:rPr>
                <w:sz w:val="20"/>
                <w:szCs w:val="20"/>
                <w:color w:val="auto"/>
              </w:rPr>
            </w:pPr>
            <w:r>
              <w:rPr>
                <w:rFonts w:ascii="Arial" w:cs="Arial" w:eastAsia="Arial" w:hAnsi="Arial"/>
                <w:sz w:val="16"/>
                <w:szCs w:val="16"/>
                <w:b w:val="1"/>
                <w:bCs w:val="1"/>
                <w:color w:val="auto"/>
              </w:rPr>
              <w:t>2017</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260" w:type="dxa"/>
            <w:vAlign w:val="bottom"/>
            <w:gridSpan w:val="2"/>
          </w:tcPr>
          <w:p>
            <w:pPr>
              <w:ind w:left="180"/>
              <w:spacing w:after="0"/>
              <w:rPr>
                <w:sz w:val="20"/>
                <w:szCs w:val="20"/>
                <w:color w:val="auto"/>
              </w:rPr>
            </w:pPr>
            <w:r>
              <w:rPr>
                <w:rFonts w:ascii="Arial" w:cs="Arial" w:eastAsia="Arial" w:hAnsi="Arial"/>
                <w:sz w:val="16"/>
                <w:szCs w:val="16"/>
                <w:b w:val="1"/>
                <w:bCs w:val="1"/>
                <w:color w:val="auto"/>
              </w:rPr>
              <w:t>Increase / (Decrease)</w:t>
            </w:r>
          </w:p>
        </w:tc>
        <w:tc>
          <w:tcPr>
            <w:tcW w:w="0" w:type="dxa"/>
            <w:vAlign w:val="bottom"/>
          </w:tcPr>
          <w:p>
            <w:pPr>
              <w:spacing w:after="0"/>
              <w:rPr>
                <w:sz w:val="1"/>
                <w:szCs w:val="1"/>
                <w:color w:val="auto"/>
              </w:rPr>
            </w:pPr>
          </w:p>
        </w:tc>
      </w:tr>
      <w:tr>
        <w:trPr>
          <w:trHeight w:val="21"/>
        </w:trPr>
        <w:tc>
          <w:tcPr>
            <w:tcW w:w="40" w:type="dxa"/>
            <w:vAlign w:val="bottom"/>
            <w:tcBorders>
              <w:bottom w:val="single" w:sz="8" w:color="DCE2EF"/>
            </w:tcBorders>
          </w:tcPr>
          <w:p>
            <w:pPr>
              <w:spacing w:after="0" w:line="20" w:lineRule="exact"/>
              <w:rPr>
                <w:sz w:val="1"/>
                <w:szCs w:val="1"/>
                <w:color w:val="auto"/>
              </w:rPr>
            </w:pPr>
          </w:p>
        </w:tc>
        <w:tc>
          <w:tcPr>
            <w:tcW w:w="820" w:type="dxa"/>
            <w:vAlign w:val="bottom"/>
            <w:tcBorders>
              <w:top w:val="single" w:sz="8" w:color="auto"/>
              <w:bottom w:val="single" w:sz="8" w:color="DCE2EF"/>
            </w:tcBorders>
          </w:tcPr>
          <w:p>
            <w:pPr>
              <w:spacing w:after="0" w:line="20" w:lineRule="exact"/>
              <w:rPr>
                <w:sz w:val="1"/>
                <w:szCs w:val="1"/>
                <w:color w:val="auto"/>
              </w:rPr>
            </w:pPr>
          </w:p>
        </w:tc>
        <w:tc>
          <w:tcPr>
            <w:tcW w:w="4140" w:type="dxa"/>
            <w:vAlign w:val="bottom"/>
            <w:tcBorders>
              <w:bottom w:val="single" w:sz="8" w:color="DCE2E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DCE2E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DCE2E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64"/>
        </w:trPr>
        <w:tc>
          <w:tcPr>
            <w:tcW w:w="5000" w:type="dxa"/>
            <w:vAlign w:val="bottom"/>
            <w:gridSpan w:val="3"/>
            <w:shd w:val="clear" w:color="auto" w:fill="DCE2EF"/>
          </w:tcPr>
          <w:p>
            <w:pPr>
              <w:ind w:left="40"/>
              <w:spacing w:after="0"/>
              <w:rPr>
                <w:sz w:val="20"/>
                <w:szCs w:val="20"/>
                <w:color w:val="auto"/>
              </w:rPr>
            </w:pPr>
            <w:r>
              <w:rPr>
                <w:rFonts w:ascii="Arial" w:cs="Arial" w:eastAsia="Arial" w:hAnsi="Arial"/>
                <w:sz w:val="16"/>
                <w:szCs w:val="16"/>
                <w:b w:val="1"/>
                <w:bCs w:val="1"/>
                <w:color w:val="auto"/>
              </w:rPr>
              <w:t>Revenues</w:t>
            </w:r>
          </w:p>
        </w:tc>
        <w:tc>
          <w:tcPr>
            <w:tcW w:w="400" w:type="dxa"/>
            <w:vAlign w:val="bottom"/>
            <w:shd w:val="clear" w:color="auto" w:fill="DCE2EF"/>
          </w:tcPr>
          <w:p>
            <w:pPr>
              <w:spacing w:after="0"/>
              <w:rPr>
                <w:sz w:val="22"/>
                <w:szCs w:val="22"/>
                <w:color w:val="auto"/>
              </w:rPr>
            </w:pPr>
          </w:p>
        </w:tc>
        <w:tc>
          <w:tcPr>
            <w:tcW w:w="1340" w:type="dxa"/>
            <w:vAlign w:val="bottom"/>
            <w:shd w:val="clear" w:color="auto" w:fill="DCE2EF"/>
          </w:tcPr>
          <w:p>
            <w:pPr>
              <w:spacing w:after="0"/>
              <w:rPr>
                <w:sz w:val="22"/>
                <w:szCs w:val="22"/>
                <w:color w:val="auto"/>
              </w:rPr>
            </w:pPr>
          </w:p>
        </w:tc>
        <w:tc>
          <w:tcPr>
            <w:tcW w:w="120" w:type="dxa"/>
            <w:vAlign w:val="bottom"/>
            <w:shd w:val="clear" w:color="auto" w:fill="DCE2EF"/>
          </w:tcPr>
          <w:p>
            <w:pPr>
              <w:spacing w:after="0"/>
              <w:rPr>
                <w:sz w:val="22"/>
                <w:szCs w:val="22"/>
                <w:color w:val="auto"/>
              </w:rPr>
            </w:pPr>
          </w:p>
        </w:tc>
        <w:tc>
          <w:tcPr>
            <w:tcW w:w="400" w:type="dxa"/>
            <w:vAlign w:val="bottom"/>
            <w:shd w:val="clear" w:color="auto" w:fill="DCE2EF"/>
          </w:tcPr>
          <w:p>
            <w:pPr>
              <w:spacing w:after="0"/>
              <w:rPr>
                <w:sz w:val="22"/>
                <w:szCs w:val="22"/>
                <w:color w:val="auto"/>
              </w:rPr>
            </w:pPr>
          </w:p>
        </w:tc>
        <w:tc>
          <w:tcPr>
            <w:tcW w:w="1340" w:type="dxa"/>
            <w:vAlign w:val="bottom"/>
            <w:shd w:val="clear" w:color="auto" w:fill="DCE2EF"/>
          </w:tcPr>
          <w:p>
            <w:pPr>
              <w:spacing w:after="0"/>
              <w:rPr>
                <w:sz w:val="22"/>
                <w:szCs w:val="22"/>
                <w:color w:val="auto"/>
              </w:rPr>
            </w:pPr>
          </w:p>
        </w:tc>
        <w:tc>
          <w:tcPr>
            <w:tcW w:w="100" w:type="dxa"/>
            <w:vAlign w:val="bottom"/>
            <w:shd w:val="clear" w:color="auto" w:fill="DCE2EF"/>
          </w:tcPr>
          <w:p>
            <w:pPr>
              <w:spacing w:after="0"/>
              <w:rPr>
                <w:sz w:val="22"/>
                <w:szCs w:val="22"/>
                <w:color w:val="auto"/>
              </w:rPr>
            </w:pPr>
          </w:p>
        </w:tc>
        <w:tc>
          <w:tcPr>
            <w:tcW w:w="320" w:type="dxa"/>
            <w:vAlign w:val="bottom"/>
            <w:shd w:val="clear" w:color="auto" w:fill="DCE2EF"/>
          </w:tcPr>
          <w:p>
            <w:pPr>
              <w:spacing w:after="0"/>
              <w:rPr>
                <w:sz w:val="22"/>
                <w:szCs w:val="22"/>
                <w:color w:val="auto"/>
              </w:rPr>
            </w:pPr>
          </w:p>
        </w:tc>
        <w:tc>
          <w:tcPr>
            <w:tcW w:w="920" w:type="dxa"/>
            <w:vAlign w:val="bottom"/>
            <w:shd w:val="clear" w:color="auto" w:fill="DCE2EF"/>
          </w:tcPr>
          <w:p>
            <w:pPr>
              <w:spacing w:after="0"/>
              <w:rPr>
                <w:sz w:val="22"/>
                <w:szCs w:val="22"/>
                <w:color w:val="auto"/>
              </w:rPr>
            </w:pPr>
          </w:p>
        </w:tc>
        <w:tc>
          <w:tcPr>
            <w:tcW w:w="1340" w:type="dxa"/>
            <w:vAlign w:val="bottom"/>
            <w:shd w:val="clear" w:color="auto" w:fill="DCE2EF"/>
          </w:tcPr>
          <w:p>
            <w:pPr>
              <w:spacing w:after="0"/>
              <w:rPr>
                <w:sz w:val="22"/>
                <w:szCs w:val="22"/>
                <w:color w:val="auto"/>
              </w:rPr>
            </w:pPr>
          </w:p>
        </w:tc>
        <w:tc>
          <w:tcPr>
            <w:tcW w:w="0" w:type="dxa"/>
            <w:vAlign w:val="bottom"/>
          </w:tcPr>
          <w:p>
            <w:pPr>
              <w:spacing w:after="0"/>
              <w:rPr>
                <w:sz w:val="1"/>
                <w:szCs w:val="1"/>
                <w:color w:val="auto"/>
              </w:rPr>
            </w:pPr>
          </w:p>
        </w:tc>
      </w:tr>
      <w:tr>
        <w:trPr>
          <w:trHeight w:val="260"/>
        </w:trPr>
        <w:tc>
          <w:tcPr>
            <w:tcW w:w="5000" w:type="dxa"/>
            <w:vAlign w:val="bottom"/>
            <w:gridSpan w:val="3"/>
          </w:tcPr>
          <w:p>
            <w:pPr>
              <w:ind w:left="40"/>
              <w:spacing w:after="0"/>
              <w:rPr>
                <w:sz w:val="20"/>
                <w:szCs w:val="20"/>
                <w:color w:val="auto"/>
              </w:rPr>
            </w:pPr>
            <w:r>
              <w:rPr>
                <w:rFonts w:ascii="Arial" w:cs="Arial" w:eastAsia="Arial" w:hAnsi="Arial"/>
                <w:sz w:val="16"/>
                <w:szCs w:val="16"/>
                <w:color w:val="auto"/>
              </w:rPr>
              <w:t>Business &amp; Industry</w:t>
            </w:r>
          </w:p>
        </w:tc>
        <w:tc>
          <w:tcPr>
            <w:tcW w:w="400" w:type="dxa"/>
            <w:vAlign w:val="bottom"/>
          </w:tcPr>
          <w:p>
            <w:pPr>
              <w:jc w:val="right"/>
              <w:ind w:right="199"/>
              <w:spacing w:after="0"/>
              <w:rPr>
                <w:sz w:val="20"/>
                <w:szCs w:val="20"/>
                <w:color w:val="auto"/>
              </w:rPr>
            </w:pPr>
            <w:r>
              <w:rPr>
                <w:rFonts w:ascii="Arial" w:cs="Arial" w:eastAsia="Arial" w:hAnsi="Arial"/>
                <w:sz w:val="16"/>
                <w:szCs w:val="16"/>
                <w:color w:val="auto"/>
              </w:rPr>
              <w:t>$</w:t>
            </w:r>
          </w:p>
        </w:tc>
        <w:tc>
          <w:tcPr>
            <w:tcW w:w="1340" w:type="dxa"/>
            <w:vAlign w:val="bottom"/>
          </w:tcPr>
          <w:p>
            <w:pPr>
              <w:jc w:val="right"/>
              <w:ind w:right="81"/>
              <w:spacing w:after="0"/>
              <w:rPr>
                <w:sz w:val="20"/>
                <w:szCs w:val="20"/>
                <w:color w:val="auto"/>
              </w:rPr>
            </w:pPr>
            <w:r>
              <w:rPr>
                <w:rFonts w:ascii="Arial" w:cs="Arial" w:eastAsia="Arial" w:hAnsi="Arial"/>
                <w:sz w:val="16"/>
                <w:szCs w:val="16"/>
                <w:color w:val="auto"/>
              </w:rPr>
              <w:t>723.2</w:t>
            </w:r>
          </w:p>
        </w:tc>
        <w:tc>
          <w:tcPr>
            <w:tcW w:w="120" w:type="dxa"/>
            <w:vAlign w:val="bottom"/>
          </w:tcPr>
          <w:p>
            <w:pPr>
              <w:spacing w:after="0"/>
              <w:rPr>
                <w:sz w:val="22"/>
                <w:szCs w:val="22"/>
                <w:color w:val="auto"/>
              </w:rPr>
            </w:pPr>
          </w:p>
        </w:tc>
        <w:tc>
          <w:tcPr>
            <w:tcW w:w="400" w:type="dxa"/>
            <w:vAlign w:val="bottom"/>
          </w:tcPr>
          <w:p>
            <w:pPr>
              <w:jc w:val="right"/>
              <w:ind w:right="199"/>
              <w:spacing w:after="0"/>
              <w:rPr>
                <w:sz w:val="20"/>
                <w:szCs w:val="20"/>
                <w:color w:val="auto"/>
              </w:rPr>
            </w:pPr>
            <w:r>
              <w:rPr>
                <w:rFonts w:ascii="Arial" w:cs="Arial" w:eastAsia="Arial" w:hAnsi="Arial"/>
                <w:sz w:val="16"/>
                <w:szCs w:val="16"/>
                <w:color w:val="auto"/>
              </w:rPr>
              <w:t>$</w:t>
            </w:r>
          </w:p>
        </w:tc>
        <w:tc>
          <w:tcPr>
            <w:tcW w:w="1340" w:type="dxa"/>
            <w:vAlign w:val="bottom"/>
          </w:tcPr>
          <w:p>
            <w:pPr>
              <w:jc w:val="right"/>
              <w:ind w:right="81"/>
              <w:spacing w:after="0"/>
              <w:rPr>
                <w:sz w:val="20"/>
                <w:szCs w:val="20"/>
                <w:color w:val="auto"/>
              </w:rPr>
            </w:pPr>
            <w:r>
              <w:rPr>
                <w:rFonts w:ascii="Arial" w:cs="Arial" w:eastAsia="Arial" w:hAnsi="Arial"/>
                <w:sz w:val="16"/>
                <w:szCs w:val="16"/>
                <w:color w:val="auto"/>
              </w:rPr>
              <w:t>637.5</w:t>
            </w:r>
          </w:p>
        </w:tc>
        <w:tc>
          <w:tcPr>
            <w:tcW w:w="100" w:type="dxa"/>
            <w:vAlign w:val="bottom"/>
          </w:tcPr>
          <w:p>
            <w:pPr>
              <w:spacing w:after="0"/>
              <w:rPr>
                <w:sz w:val="22"/>
                <w:szCs w:val="22"/>
                <w:color w:val="auto"/>
              </w:rPr>
            </w:pPr>
          </w:p>
        </w:tc>
        <w:tc>
          <w:tcPr>
            <w:tcW w:w="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21"/>
              <w:spacing w:after="0"/>
              <w:rPr>
                <w:sz w:val="20"/>
                <w:szCs w:val="20"/>
                <w:color w:val="auto"/>
              </w:rPr>
            </w:pPr>
            <w:r>
              <w:rPr>
                <w:rFonts w:ascii="Arial" w:cs="Arial" w:eastAsia="Arial" w:hAnsi="Arial"/>
                <w:sz w:val="16"/>
                <w:szCs w:val="16"/>
                <w:color w:val="auto"/>
              </w:rPr>
              <w:t>85.7</w:t>
            </w:r>
          </w:p>
        </w:tc>
        <w:tc>
          <w:tcPr>
            <w:tcW w:w="1340" w:type="dxa"/>
            <w:vAlign w:val="bottom"/>
          </w:tcPr>
          <w:p>
            <w:pPr>
              <w:jc w:val="center"/>
              <w:ind w:left="39"/>
              <w:spacing w:after="0"/>
              <w:rPr>
                <w:sz w:val="20"/>
                <w:szCs w:val="20"/>
                <w:color w:val="auto"/>
              </w:rPr>
            </w:pPr>
            <w:r>
              <w:rPr>
                <w:rFonts w:ascii="Arial" w:cs="Arial" w:eastAsia="Arial" w:hAnsi="Arial"/>
                <w:sz w:val="16"/>
                <w:szCs w:val="16"/>
                <w:color w:val="auto"/>
              </w:rPr>
              <w:t>13.4%</w:t>
            </w:r>
          </w:p>
        </w:tc>
        <w:tc>
          <w:tcPr>
            <w:tcW w:w="0" w:type="dxa"/>
            <w:vAlign w:val="bottom"/>
          </w:tcPr>
          <w:p>
            <w:pPr>
              <w:spacing w:after="0"/>
              <w:rPr>
                <w:sz w:val="1"/>
                <w:szCs w:val="1"/>
                <w:color w:val="auto"/>
              </w:rPr>
            </w:pPr>
          </w:p>
        </w:tc>
      </w:tr>
      <w:tr>
        <w:trPr>
          <w:trHeight w:val="280"/>
        </w:trPr>
        <w:tc>
          <w:tcPr>
            <w:tcW w:w="5000" w:type="dxa"/>
            <w:vAlign w:val="bottom"/>
            <w:gridSpan w:val="3"/>
            <w:shd w:val="clear" w:color="auto" w:fill="DCE2EF"/>
          </w:tcPr>
          <w:p>
            <w:pPr>
              <w:ind w:left="40"/>
              <w:spacing w:after="0"/>
              <w:rPr>
                <w:sz w:val="20"/>
                <w:szCs w:val="20"/>
                <w:color w:val="auto"/>
              </w:rPr>
            </w:pPr>
            <w:r>
              <w:rPr>
                <w:rFonts w:ascii="Arial" w:cs="Arial" w:eastAsia="Arial" w:hAnsi="Arial"/>
                <w:sz w:val="16"/>
                <w:szCs w:val="16"/>
                <w:color w:val="auto"/>
              </w:rPr>
              <w:t>Aviation</w:t>
            </w:r>
          </w:p>
        </w:tc>
        <w:tc>
          <w:tcPr>
            <w:tcW w:w="400" w:type="dxa"/>
            <w:vAlign w:val="bottom"/>
            <w:shd w:val="clear" w:color="auto" w:fill="DCE2EF"/>
          </w:tcPr>
          <w:p>
            <w:pPr>
              <w:spacing w:after="0"/>
              <w:rPr>
                <w:sz w:val="24"/>
                <w:szCs w:val="24"/>
                <w:color w:val="auto"/>
              </w:rPr>
            </w:pPr>
          </w:p>
        </w:tc>
        <w:tc>
          <w:tcPr>
            <w:tcW w:w="1340" w:type="dxa"/>
            <w:vAlign w:val="bottom"/>
            <w:shd w:val="clear" w:color="auto" w:fill="DCE2EF"/>
          </w:tcPr>
          <w:p>
            <w:pPr>
              <w:jc w:val="right"/>
              <w:ind w:right="81"/>
              <w:spacing w:after="0"/>
              <w:rPr>
                <w:sz w:val="20"/>
                <w:szCs w:val="20"/>
                <w:color w:val="auto"/>
              </w:rPr>
            </w:pPr>
            <w:r>
              <w:rPr>
                <w:rFonts w:ascii="Arial" w:cs="Arial" w:eastAsia="Arial" w:hAnsi="Arial"/>
                <w:sz w:val="16"/>
                <w:szCs w:val="16"/>
                <w:color w:val="auto"/>
              </w:rPr>
              <w:t>245.4</w:t>
            </w:r>
          </w:p>
        </w:tc>
        <w:tc>
          <w:tcPr>
            <w:tcW w:w="120" w:type="dxa"/>
            <w:vAlign w:val="bottom"/>
            <w:shd w:val="clear" w:color="auto" w:fill="DCE2EF"/>
          </w:tcPr>
          <w:p>
            <w:pPr>
              <w:spacing w:after="0"/>
              <w:rPr>
                <w:sz w:val="24"/>
                <w:szCs w:val="24"/>
                <w:color w:val="auto"/>
              </w:rPr>
            </w:pPr>
          </w:p>
        </w:tc>
        <w:tc>
          <w:tcPr>
            <w:tcW w:w="400" w:type="dxa"/>
            <w:vAlign w:val="bottom"/>
            <w:shd w:val="clear" w:color="auto" w:fill="DCE2EF"/>
          </w:tcPr>
          <w:p>
            <w:pPr>
              <w:spacing w:after="0"/>
              <w:rPr>
                <w:sz w:val="24"/>
                <w:szCs w:val="24"/>
                <w:color w:val="auto"/>
              </w:rPr>
            </w:pPr>
          </w:p>
        </w:tc>
        <w:tc>
          <w:tcPr>
            <w:tcW w:w="1340" w:type="dxa"/>
            <w:vAlign w:val="bottom"/>
            <w:shd w:val="clear" w:color="auto" w:fill="DCE2EF"/>
          </w:tcPr>
          <w:p>
            <w:pPr>
              <w:jc w:val="right"/>
              <w:ind w:right="81"/>
              <w:spacing w:after="0"/>
              <w:rPr>
                <w:sz w:val="20"/>
                <w:szCs w:val="20"/>
                <w:color w:val="auto"/>
              </w:rPr>
            </w:pPr>
            <w:r>
              <w:rPr>
                <w:rFonts w:ascii="Arial" w:cs="Arial" w:eastAsia="Arial" w:hAnsi="Arial"/>
                <w:sz w:val="16"/>
                <w:szCs w:val="16"/>
                <w:color w:val="auto"/>
              </w:rPr>
              <w:t>232.1</w:t>
            </w:r>
          </w:p>
        </w:tc>
        <w:tc>
          <w:tcPr>
            <w:tcW w:w="100" w:type="dxa"/>
            <w:vAlign w:val="bottom"/>
            <w:shd w:val="clear" w:color="auto" w:fill="DCE2EF"/>
          </w:tcPr>
          <w:p>
            <w:pPr>
              <w:spacing w:after="0"/>
              <w:rPr>
                <w:sz w:val="24"/>
                <w:szCs w:val="24"/>
                <w:color w:val="auto"/>
              </w:rPr>
            </w:pPr>
          </w:p>
        </w:tc>
        <w:tc>
          <w:tcPr>
            <w:tcW w:w="320" w:type="dxa"/>
            <w:vAlign w:val="bottom"/>
            <w:shd w:val="clear" w:color="auto" w:fill="DCE2EF"/>
          </w:tcPr>
          <w:p>
            <w:pPr>
              <w:spacing w:after="0"/>
              <w:rPr>
                <w:sz w:val="24"/>
                <w:szCs w:val="24"/>
                <w:color w:val="auto"/>
              </w:rPr>
            </w:pPr>
          </w:p>
        </w:tc>
        <w:tc>
          <w:tcPr>
            <w:tcW w:w="920" w:type="dxa"/>
            <w:vAlign w:val="bottom"/>
            <w:shd w:val="clear" w:color="auto" w:fill="DCE2EF"/>
          </w:tcPr>
          <w:p>
            <w:pPr>
              <w:jc w:val="right"/>
              <w:ind w:right="21"/>
              <w:spacing w:after="0"/>
              <w:rPr>
                <w:sz w:val="20"/>
                <w:szCs w:val="20"/>
                <w:color w:val="auto"/>
              </w:rPr>
            </w:pPr>
            <w:r>
              <w:rPr>
                <w:rFonts w:ascii="Arial" w:cs="Arial" w:eastAsia="Arial" w:hAnsi="Arial"/>
                <w:sz w:val="16"/>
                <w:szCs w:val="16"/>
                <w:color w:val="auto"/>
              </w:rPr>
              <w:t>13.3</w:t>
            </w:r>
          </w:p>
        </w:tc>
        <w:tc>
          <w:tcPr>
            <w:tcW w:w="1340" w:type="dxa"/>
            <w:vAlign w:val="bottom"/>
            <w:shd w:val="clear" w:color="auto" w:fill="DCE2EF"/>
          </w:tcPr>
          <w:p>
            <w:pPr>
              <w:jc w:val="center"/>
              <w:ind w:left="39"/>
              <w:spacing w:after="0"/>
              <w:rPr>
                <w:sz w:val="20"/>
                <w:szCs w:val="20"/>
                <w:color w:val="auto"/>
              </w:rPr>
            </w:pPr>
            <w:r>
              <w:rPr>
                <w:rFonts w:ascii="Arial" w:cs="Arial" w:eastAsia="Arial" w:hAnsi="Arial"/>
                <w:sz w:val="16"/>
                <w:szCs w:val="16"/>
                <w:color w:val="auto"/>
              </w:rPr>
              <w:t>5.8%</w:t>
            </w:r>
          </w:p>
        </w:tc>
        <w:tc>
          <w:tcPr>
            <w:tcW w:w="0" w:type="dxa"/>
            <w:vAlign w:val="bottom"/>
          </w:tcPr>
          <w:p>
            <w:pPr>
              <w:spacing w:after="0"/>
              <w:rPr>
                <w:sz w:val="1"/>
                <w:szCs w:val="1"/>
                <w:color w:val="auto"/>
              </w:rPr>
            </w:pPr>
          </w:p>
        </w:tc>
      </w:tr>
      <w:tr>
        <w:trPr>
          <w:trHeight w:val="260"/>
        </w:trPr>
        <w:tc>
          <w:tcPr>
            <w:tcW w:w="5000" w:type="dxa"/>
            <w:vAlign w:val="bottom"/>
            <w:gridSpan w:val="3"/>
          </w:tcPr>
          <w:p>
            <w:pPr>
              <w:ind w:left="40"/>
              <w:spacing w:after="0"/>
              <w:rPr>
                <w:sz w:val="20"/>
                <w:szCs w:val="20"/>
                <w:color w:val="auto"/>
              </w:rPr>
            </w:pPr>
            <w:r>
              <w:rPr>
                <w:rFonts w:ascii="Arial" w:cs="Arial" w:eastAsia="Arial" w:hAnsi="Arial"/>
                <w:sz w:val="16"/>
                <w:szCs w:val="16"/>
                <w:color w:val="auto"/>
              </w:rPr>
              <w:t>Technology &amp; Manufacturing</w:t>
            </w:r>
          </w:p>
        </w:tc>
        <w:tc>
          <w:tcPr>
            <w:tcW w:w="400" w:type="dxa"/>
            <w:vAlign w:val="bottom"/>
          </w:tcPr>
          <w:p>
            <w:pPr>
              <w:spacing w:after="0"/>
              <w:rPr>
                <w:sz w:val="22"/>
                <w:szCs w:val="22"/>
                <w:color w:val="auto"/>
              </w:rPr>
            </w:pPr>
          </w:p>
        </w:tc>
        <w:tc>
          <w:tcPr>
            <w:tcW w:w="1340" w:type="dxa"/>
            <w:vAlign w:val="bottom"/>
          </w:tcPr>
          <w:p>
            <w:pPr>
              <w:jc w:val="right"/>
              <w:ind w:right="81"/>
              <w:spacing w:after="0"/>
              <w:rPr>
                <w:sz w:val="20"/>
                <w:szCs w:val="20"/>
                <w:color w:val="auto"/>
              </w:rPr>
            </w:pPr>
            <w:r>
              <w:rPr>
                <w:rFonts w:ascii="Arial" w:cs="Arial" w:eastAsia="Arial" w:hAnsi="Arial"/>
                <w:sz w:val="16"/>
                <w:szCs w:val="16"/>
                <w:color w:val="auto"/>
              </w:rPr>
              <w:t>227.5</w:t>
            </w:r>
          </w:p>
        </w:tc>
        <w:tc>
          <w:tcPr>
            <w:tcW w:w="1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340" w:type="dxa"/>
            <w:vAlign w:val="bottom"/>
          </w:tcPr>
          <w:p>
            <w:pPr>
              <w:jc w:val="right"/>
              <w:ind w:right="81"/>
              <w:spacing w:after="0"/>
              <w:rPr>
                <w:sz w:val="20"/>
                <w:szCs w:val="20"/>
                <w:color w:val="auto"/>
              </w:rPr>
            </w:pPr>
            <w:r>
              <w:rPr>
                <w:rFonts w:ascii="Arial" w:cs="Arial" w:eastAsia="Arial" w:hAnsi="Arial"/>
                <w:sz w:val="16"/>
                <w:szCs w:val="16"/>
                <w:color w:val="auto"/>
              </w:rPr>
              <w:t>161.4</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920" w:type="dxa"/>
            <w:vAlign w:val="bottom"/>
          </w:tcPr>
          <w:p>
            <w:pPr>
              <w:jc w:val="right"/>
              <w:ind w:right="21"/>
              <w:spacing w:after="0"/>
              <w:rPr>
                <w:sz w:val="20"/>
                <w:szCs w:val="20"/>
                <w:color w:val="auto"/>
              </w:rPr>
            </w:pPr>
            <w:r>
              <w:rPr>
                <w:rFonts w:ascii="Arial" w:cs="Arial" w:eastAsia="Arial" w:hAnsi="Arial"/>
                <w:sz w:val="16"/>
                <w:szCs w:val="16"/>
                <w:color w:val="auto"/>
              </w:rPr>
              <w:t>66.1</w:t>
            </w:r>
          </w:p>
        </w:tc>
        <w:tc>
          <w:tcPr>
            <w:tcW w:w="1340" w:type="dxa"/>
            <w:vAlign w:val="bottom"/>
          </w:tcPr>
          <w:p>
            <w:pPr>
              <w:jc w:val="center"/>
              <w:ind w:left="39"/>
              <w:spacing w:after="0"/>
              <w:rPr>
                <w:sz w:val="20"/>
                <w:szCs w:val="20"/>
                <w:color w:val="auto"/>
              </w:rPr>
            </w:pPr>
            <w:r>
              <w:rPr>
                <w:rFonts w:ascii="Arial" w:cs="Arial" w:eastAsia="Arial" w:hAnsi="Arial"/>
                <w:sz w:val="16"/>
                <w:szCs w:val="16"/>
                <w:color w:val="auto"/>
              </w:rPr>
              <w:t>41.0%</w:t>
            </w:r>
          </w:p>
        </w:tc>
        <w:tc>
          <w:tcPr>
            <w:tcW w:w="0" w:type="dxa"/>
            <w:vAlign w:val="bottom"/>
          </w:tcPr>
          <w:p>
            <w:pPr>
              <w:spacing w:after="0"/>
              <w:rPr>
                <w:sz w:val="1"/>
                <w:szCs w:val="1"/>
                <w:color w:val="auto"/>
              </w:rPr>
            </w:pPr>
          </w:p>
        </w:tc>
      </w:tr>
      <w:tr>
        <w:trPr>
          <w:trHeight w:val="280"/>
        </w:trPr>
        <w:tc>
          <w:tcPr>
            <w:tcW w:w="5000" w:type="dxa"/>
            <w:vAlign w:val="bottom"/>
            <w:gridSpan w:val="3"/>
            <w:shd w:val="clear" w:color="auto" w:fill="DCE2EF"/>
          </w:tcPr>
          <w:p>
            <w:pPr>
              <w:ind w:left="40"/>
              <w:spacing w:after="0"/>
              <w:rPr>
                <w:sz w:val="20"/>
                <w:szCs w:val="20"/>
                <w:color w:val="auto"/>
              </w:rPr>
            </w:pPr>
            <w:r>
              <w:rPr>
                <w:rFonts w:ascii="Arial" w:cs="Arial" w:eastAsia="Arial" w:hAnsi="Arial"/>
                <w:sz w:val="16"/>
                <w:szCs w:val="16"/>
                <w:color w:val="auto"/>
              </w:rPr>
              <w:t>Education</w:t>
            </w:r>
          </w:p>
        </w:tc>
        <w:tc>
          <w:tcPr>
            <w:tcW w:w="400" w:type="dxa"/>
            <w:vAlign w:val="bottom"/>
            <w:shd w:val="clear" w:color="auto" w:fill="DCE2EF"/>
          </w:tcPr>
          <w:p>
            <w:pPr>
              <w:spacing w:after="0"/>
              <w:rPr>
                <w:sz w:val="24"/>
                <w:szCs w:val="24"/>
                <w:color w:val="auto"/>
              </w:rPr>
            </w:pPr>
          </w:p>
        </w:tc>
        <w:tc>
          <w:tcPr>
            <w:tcW w:w="1340" w:type="dxa"/>
            <w:vAlign w:val="bottom"/>
            <w:shd w:val="clear" w:color="auto" w:fill="DCE2EF"/>
          </w:tcPr>
          <w:p>
            <w:pPr>
              <w:jc w:val="right"/>
              <w:ind w:right="81"/>
              <w:spacing w:after="0"/>
              <w:rPr>
                <w:sz w:val="20"/>
                <w:szCs w:val="20"/>
                <w:color w:val="auto"/>
              </w:rPr>
            </w:pPr>
            <w:r>
              <w:rPr>
                <w:rFonts w:ascii="Arial" w:cs="Arial" w:eastAsia="Arial" w:hAnsi="Arial"/>
                <w:sz w:val="16"/>
                <w:szCs w:val="16"/>
                <w:color w:val="auto"/>
              </w:rPr>
              <w:t>206.3</w:t>
            </w:r>
          </w:p>
        </w:tc>
        <w:tc>
          <w:tcPr>
            <w:tcW w:w="120" w:type="dxa"/>
            <w:vAlign w:val="bottom"/>
            <w:shd w:val="clear" w:color="auto" w:fill="DCE2EF"/>
          </w:tcPr>
          <w:p>
            <w:pPr>
              <w:spacing w:after="0"/>
              <w:rPr>
                <w:sz w:val="24"/>
                <w:szCs w:val="24"/>
                <w:color w:val="auto"/>
              </w:rPr>
            </w:pPr>
          </w:p>
        </w:tc>
        <w:tc>
          <w:tcPr>
            <w:tcW w:w="400" w:type="dxa"/>
            <w:vAlign w:val="bottom"/>
            <w:shd w:val="clear" w:color="auto" w:fill="DCE2EF"/>
          </w:tcPr>
          <w:p>
            <w:pPr>
              <w:spacing w:after="0"/>
              <w:rPr>
                <w:sz w:val="24"/>
                <w:szCs w:val="24"/>
                <w:color w:val="auto"/>
              </w:rPr>
            </w:pPr>
          </w:p>
        </w:tc>
        <w:tc>
          <w:tcPr>
            <w:tcW w:w="1340" w:type="dxa"/>
            <w:vAlign w:val="bottom"/>
            <w:shd w:val="clear" w:color="auto" w:fill="DCE2EF"/>
          </w:tcPr>
          <w:p>
            <w:pPr>
              <w:jc w:val="right"/>
              <w:ind w:right="81"/>
              <w:spacing w:after="0"/>
              <w:rPr>
                <w:sz w:val="20"/>
                <w:szCs w:val="20"/>
                <w:color w:val="auto"/>
              </w:rPr>
            </w:pPr>
            <w:r>
              <w:rPr>
                <w:rFonts w:ascii="Arial" w:cs="Arial" w:eastAsia="Arial" w:hAnsi="Arial"/>
                <w:sz w:val="16"/>
                <w:szCs w:val="16"/>
                <w:color w:val="auto"/>
              </w:rPr>
              <w:t>65.2</w:t>
            </w:r>
          </w:p>
        </w:tc>
        <w:tc>
          <w:tcPr>
            <w:tcW w:w="100" w:type="dxa"/>
            <w:vAlign w:val="bottom"/>
            <w:shd w:val="clear" w:color="auto" w:fill="DCE2EF"/>
          </w:tcPr>
          <w:p>
            <w:pPr>
              <w:spacing w:after="0"/>
              <w:rPr>
                <w:sz w:val="24"/>
                <w:szCs w:val="24"/>
                <w:color w:val="auto"/>
              </w:rPr>
            </w:pPr>
          </w:p>
        </w:tc>
        <w:tc>
          <w:tcPr>
            <w:tcW w:w="320" w:type="dxa"/>
            <w:vAlign w:val="bottom"/>
            <w:shd w:val="clear" w:color="auto" w:fill="DCE2EF"/>
          </w:tcPr>
          <w:p>
            <w:pPr>
              <w:spacing w:after="0"/>
              <w:rPr>
                <w:sz w:val="24"/>
                <w:szCs w:val="24"/>
                <w:color w:val="auto"/>
              </w:rPr>
            </w:pPr>
          </w:p>
        </w:tc>
        <w:tc>
          <w:tcPr>
            <w:tcW w:w="920" w:type="dxa"/>
            <w:vAlign w:val="bottom"/>
            <w:shd w:val="clear" w:color="auto" w:fill="DCE2EF"/>
          </w:tcPr>
          <w:p>
            <w:pPr>
              <w:jc w:val="right"/>
              <w:ind w:right="21"/>
              <w:spacing w:after="0"/>
              <w:rPr>
                <w:sz w:val="20"/>
                <w:szCs w:val="20"/>
                <w:color w:val="auto"/>
              </w:rPr>
            </w:pPr>
            <w:r>
              <w:rPr>
                <w:rFonts w:ascii="Arial" w:cs="Arial" w:eastAsia="Arial" w:hAnsi="Arial"/>
                <w:sz w:val="16"/>
                <w:szCs w:val="16"/>
                <w:color w:val="auto"/>
              </w:rPr>
              <w:t>141.1</w:t>
            </w:r>
          </w:p>
        </w:tc>
        <w:tc>
          <w:tcPr>
            <w:tcW w:w="1340" w:type="dxa"/>
            <w:vAlign w:val="bottom"/>
            <w:shd w:val="clear" w:color="auto" w:fill="DCE2EF"/>
          </w:tcPr>
          <w:p>
            <w:pPr>
              <w:ind w:left="580"/>
              <w:spacing w:after="0"/>
              <w:rPr>
                <w:sz w:val="20"/>
                <w:szCs w:val="20"/>
                <w:color w:val="auto"/>
              </w:rPr>
            </w:pPr>
            <w:r>
              <w:rPr>
                <w:rFonts w:ascii="Arial" w:cs="Arial" w:eastAsia="Arial" w:hAnsi="Arial"/>
                <w:sz w:val="16"/>
                <w:szCs w:val="16"/>
                <w:color w:val="auto"/>
              </w:rPr>
              <w:t>NM*</w:t>
            </w:r>
          </w:p>
        </w:tc>
        <w:tc>
          <w:tcPr>
            <w:tcW w:w="0" w:type="dxa"/>
            <w:vAlign w:val="bottom"/>
          </w:tcPr>
          <w:p>
            <w:pPr>
              <w:spacing w:after="0"/>
              <w:rPr>
                <w:sz w:val="1"/>
                <w:szCs w:val="1"/>
                <w:color w:val="auto"/>
              </w:rPr>
            </w:pPr>
          </w:p>
        </w:tc>
      </w:tr>
      <w:tr>
        <w:trPr>
          <w:trHeight w:val="260"/>
        </w:trPr>
        <w:tc>
          <w:tcPr>
            <w:tcW w:w="5000" w:type="dxa"/>
            <w:vAlign w:val="bottom"/>
            <w:gridSpan w:val="3"/>
          </w:tcPr>
          <w:p>
            <w:pPr>
              <w:ind w:left="40"/>
              <w:spacing w:after="0"/>
              <w:rPr>
                <w:sz w:val="20"/>
                <w:szCs w:val="20"/>
                <w:color w:val="auto"/>
              </w:rPr>
            </w:pPr>
            <w:r>
              <w:rPr>
                <w:rFonts w:ascii="Arial" w:cs="Arial" w:eastAsia="Arial" w:hAnsi="Arial"/>
                <w:sz w:val="16"/>
                <w:szCs w:val="16"/>
                <w:color w:val="auto"/>
              </w:rPr>
              <w:t>Technical Solutions</w:t>
            </w:r>
          </w:p>
        </w:tc>
        <w:tc>
          <w:tcPr>
            <w:tcW w:w="400" w:type="dxa"/>
            <w:vAlign w:val="bottom"/>
          </w:tcPr>
          <w:p>
            <w:pPr>
              <w:spacing w:after="0"/>
              <w:rPr>
                <w:sz w:val="22"/>
                <w:szCs w:val="22"/>
                <w:color w:val="auto"/>
              </w:rPr>
            </w:pPr>
          </w:p>
        </w:tc>
        <w:tc>
          <w:tcPr>
            <w:tcW w:w="1340" w:type="dxa"/>
            <w:vAlign w:val="bottom"/>
          </w:tcPr>
          <w:p>
            <w:pPr>
              <w:jc w:val="right"/>
              <w:ind w:right="81"/>
              <w:spacing w:after="0"/>
              <w:rPr>
                <w:sz w:val="20"/>
                <w:szCs w:val="20"/>
                <w:color w:val="auto"/>
              </w:rPr>
            </w:pPr>
            <w:r>
              <w:rPr>
                <w:rFonts w:ascii="Arial" w:cs="Arial" w:eastAsia="Arial" w:hAnsi="Arial"/>
                <w:sz w:val="16"/>
                <w:szCs w:val="16"/>
                <w:color w:val="auto"/>
              </w:rPr>
              <w:t>108.5</w:t>
            </w:r>
          </w:p>
        </w:tc>
        <w:tc>
          <w:tcPr>
            <w:tcW w:w="1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340" w:type="dxa"/>
            <w:vAlign w:val="bottom"/>
          </w:tcPr>
          <w:p>
            <w:pPr>
              <w:jc w:val="right"/>
              <w:ind w:right="81"/>
              <w:spacing w:after="0"/>
              <w:rPr>
                <w:sz w:val="20"/>
                <w:szCs w:val="20"/>
                <w:color w:val="auto"/>
              </w:rPr>
            </w:pPr>
            <w:r>
              <w:rPr>
                <w:rFonts w:ascii="Arial" w:cs="Arial" w:eastAsia="Arial" w:hAnsi="Arial"/>
                <w:sz w:val="16"/>
                <w:szCs w:val="16"/>
                <w:color w:val="auto"/>
              </w:rPr>
              <w:t>110.8</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(2.3)</w:t>
            </w:r>
          </w:p>
        </w:tc>
        <w:tc>
          <w:tcPr>
            <w:tcW w:w="1340" w:type="dxa"/>
            <w:vAlign w:val="bottom"/>
          </w:tcPr>
          <w:p>
            <w:pPr>
              <w:jc w:val="center"/>
              <w:ind w:left="39"/>
              <w:spacing w:after="0"/>
              <w:rPr>
                <w:sz w:val="20"/>
                <w:szCs w:val="20"/>
                <w:color w:val="auto"/>
              </w:rPr>
            </w:pPr>
            <w:r>
              <w:rPr>
                <w:rFonts w:ascii="Arial" w:cs="Arial" w:eastAsia="Arial" w:hAnsi="Arial"/>
                <w:sz w:val="16"/>
                <w:szCs w:val="16"/>
                <w:color w:val="auto"/>
                <w:w w:val="97"/>
              </w:rPr>
              <w:t>(2.1)%</w:t>
            </w:r>
          </w:p>
        </w:tc>
        <w:tc>
          <w:tcPr>
            <w:tcW w:w="0" w:type="dxa"/>
            <w:vAlign w:val="bottom"/>
          </w:tcPr>
          <w:p>
            <w:pPr>
              <w:spacing w:after="0"/>
              <w:rPr>
                <w:sz w:val="1"/>
                <w:szCs w:val="1"/>
                <w:color w:val="auto"/>
              </w:rPr>
            </w:pPr>
          </w:p>
        </w:tc>
      </w:tr>
      <w:tr>
        <w:trPr>
          <w:trHeight w:val="280"/>
        </w:trPr>
        <w:tc>
          <w:tcPr>
            <w:tcW w:w="5000" w:type="dxa"/>
            <w:vAlign w:val="bottom"/>
            <w:gridSpan w:val="3"/>
            <w:shd w:val="clear" w:color="auto" w:fill="DCE2EF"/>
          </w:tcPr>
          <w:p>
            <w:pPr>
              <w:ind w:left="40"/>
              <w:spacing w:after="0"/>
              <w:rPr>
                <w:sz w:val="20"/>
                <w:szCs w:val="20"/>
                <w:color w:val="auto"/>
              </w:rPr>
            </w:pPr>
            <w:r>
              <w:rPr>
                <w:rFonts w:ascii="Arial" w:cs="Arial" w:eastAsia="Arial" w:hAnsi="Arial"/>
                <w:sz w:val="16"/>
                <w:szCs w:val="16"/>
                <w:color w:val="auto"/>
              </w:rPr>
              <w:t>Healthcare</w:t>
            </w:r>
          </w:p>
        </w:tc>
        <w:tc>
          <w:tcPr>
            <w:tcW w:w="400" w:type="dxa"/>
            <w:vAlign w:val="bottom"/>
            <w:shd w:val="clear" w:color="auto" w:fill="DCE2EF"/>
          </w:tcPr>
          <w:p>
            <w:pPr>
              <w:spacing w:after="0"/>
              <w:rPr>
                <w:sz w:val="24"/>
                <w:szCs w:val="24"/>
                <w:color w:val="auto"/>
              </w:rPr>
            </w:pPr>
          </w:p>
        </w:tc>
        <w:tc>
          <w:tcPr>
            <w:tcW w:w="1340" w:type="dxa"/>
            <w:vAlign w:val="bottom"/>
            <w:shd w:val="clear" w:color="auto" w:fill="DCE2EF"/>
          </w:tcPr>
          <w:p>
            <w:pPr>
              <w:jc w:val="right"/>
              <w:ind w:right="81"/>
              <w:spacing w:after="0"/>
              <w:rPr>
                <w:sz w:val="20"/>
                <w:szCs w:val="20"/>
                <w:color w:val="auto"/>
              </w:rPr>
            </w:pPr>
            <w:r>
              <w:rPr>
                <w:rFonts w:ascii="Arial" w:cs="Arial" w:eastAsia="Arial" w:hAnsi="Arial"/>
                <w:sz w:val="16"/>
                <w:szCs w:val="16"/>
                <w:color w:val="auto"/>
              </w:rPr>
              <w:t>69.9</w:t>
            </w:r>
          </w:p>
        </w:tc>
        <w:tc>
          <w:tcPr>
            <w:tcW w:w="120" w:type="dxa"/>
            <w:vAlign w:val="bottom"/>
            <w:shd w:val="clear" w:color="auto" w:fill="DCE2EF"/>
          </w:tcPr>
          <w:p>
            <w:pPr>
              <w:spacing w:after="0"/>
              <w:rPr>
                <w:sz w:val="24"/>
                <w:szCs w:val="24"/>
                <w:color w:val="auto"/>
              </w:rPr>
            </w:pPr>
          </w:p>
        </w:tc>
        <w:tc>
          <w:tcPr>
            <w:tcW w:w="400" w:type="dxa"/>
            <w:vAlign w:val="bottom"/>
            <w:shd w:val="clear" w:color="auto" w:fill="DCE2EF"/>
          </w:tcPr>
          <w:p>
            <w:pPr>
              <w:spacing w:after="0"/>
              <w:rPr>
                <w:sz w:val="24"/>
                <w:szCs w:val="24"/>
                <w:color w:val="auto"/>
              </w:rPr>
            </w:pPr>
          </w:p>
        </w:tc>
        <w:tc>
          <w:tcPr>
            <w:tcW w:w="1340" w:type="dxa"/>
            <w:vAlign w:val="bottom"/>
            <w:shd w:val="clear" w:color="auto" w:fill="DCE2EF"/>
          </w:tcPr>
          <w:p>
            <w:pPr>
              <w:jc w:val="right"/>
              <w:ind w:right="81"/>
              <w:spacing w:after="0"/>
              <w:rPr>
                <w:sz w:val="20"/>
                <w:szCs w:val="20"/>
                <w:color w:val="auto"/>
              </w:rPr>
            </w:pPr>
            <w:r>
              <w:rPr>
                <w:rFonts w:ascii="Arial" w:cs="Arial" w:eastAsia="Arial" w:hAnsi="Arial"/>
                <w:sz w:val="16"/>
                <w:szCs w:val="16"/>
                <w:color w:val="auto"/>
              </w:rPr>
              <w:t>60.6</w:t>
            </w:r>
          </w:p>
        </w:tc>
        <w:tc>
          <w:tcPr>
            <w:tcW w:w="100" w:type="dxa"/>
            <w:vAlign w:val="bottom"/>
            <w:shd w:val="clear" w:color="auto" w:fill="DCE2EF"/>
          </w:tcPr>
          <w:p>
            <w:pPr>
              <w:spacing w:after="0"/>
              <w:rPr>
                <w:sz w:val="24"/>
                <w:szCs w:val="24"/>
                <w:color w:val="auto"/>
              </w:rPr>
            </w:pPr>
          </w:p>
        </w:tc>
        <w:tc>
          <w:tcPr>
            <w:tcW w:w="320" w:type="dxa"/>
            <w:vAlign w:val="bottom"/>
            <w:shd w:val="clear" w:color="auto" w:fill="DCE2EF"/>
          </w:tcPr>
          <w:p>
            <w:pPr>
              <w:spacing w:after="0"/>
              <w:rPr>
                <w:sz w:val="24"/>
                <w:szCs w:val="24"/>
                <w:color w:val="auto"/>
              </w:rPr>
            </w:pPr>
          </w:p>
        </w:tc>
        <w:tc>
          <w:tcPr>
            <w:tcW w:w="920" w:type="dxa"/>
            <w:vAlign w:val="bottom"/>
            <w:shd w:val="clear" w:color="auto" w:fill="DCE2EF"/>
          </w:tcPr>
          <w:p>
            <w:pPr>
              <w:jc w:val="right"/>
              <w:ind w:right="21"/>
              <w:spacing w:after="0"/>
              <w:rPr>
                <w:sz w:val="20"/>
                <w:szCs w:val="20"/>
                <w:color w:val="auto"/>
              </w:rPr>
            </w:pPr>
            <w:r>
              <w:rPr>
                <w:rFonts w:ascii="Arial" w:cs="Arial" w:eastAsia="Arial" w:hAnsi="Arial"/>
                <w:sz w:val="16"/>
                <w:szCs w:val="16"/>
                <w:color w:val="auto"/>
              </w:rPr>
              <w:t>9.3</w:t>
            </w:r>
          </w:p>
        </w:tc>
        <w:tc>
          <w:tcPr>
            <w:tcW w:w="1340" w:type="dxa"/>
            <w:vAlign w:val="bottom"/>
            <w:shd w:val="clear" w:color="auto" w:fill="DCE2EF"/>
          </w:tcPr>
          <w:p>
            <w:pPr>
              <w:jc w:val="center"/>
              <w:ind w:left="39"/>
              <w:spacing w:after="0"/>
              <w:rPr>
                <w:sz w:val="20"/>
                <w:szCs w:val="20"/>
                <w:color w:val="auto"/>
              </w:rPr>
            </w:pPr>
            <w:r>
              <w:rPr>
                <w:rFonts w:ascii="Arial" w:cs="Arial" w:eastAsia="Arial" w:hAnsi="Arial"/>
                <w:sz w:val="16"/>
                <w:szCs w:val="16"/>
                <w:color w:val="auto"/>
              </w:rPr>
              <w:t>15.3%</w:t>
            </w:r>
          </w:p>
        </w:tc>
        <w:tc>
          <w:tcPr>
            <w:tcW w:w="0" w:type="dxa"/>
            <w:vAlign w:val="bottom"/>
          </w:tcPr>
          <w:p>
            <w:pPr>
              <w:spacing w:after="0"/>
              <w:rPr>
                <w:sz w:val="1"/>
                <w:szCs w:val="1"/>
                <w:color w:val="auto"/>
              </w:rPr>
            </w:pPr>
          </w:p>
        </w:tc>
      </w:tr>
      <w:tr>
        <w:trPr>
          <w:trHeight w:val="264"/>
        </w:trPr>
        <w:tc>
          <w:tcPr>
            <w:tcW w:w="5000" w:type="dxa"/>
            <w:vAlign w:val="bottom"/>
            <w:gridSpan w:val="3"/>
          </w:tcPr>
          <w:p>
            <w:pPr>
              <w:ind w:left="40"/>
              <w:spacing w:after="0"/>
              <w:rPr>
                <w:sz w:val="20"/>
                <w:szCs w:val="20"/>
                <w:color w:val="auto"/>
              </w:rPr>
            </w:pPr>
            <w:r>
              <w:rPr>
                <w:rFonts w:ascii="Arial" w:cs="Arial" w:eastAsia="Arial" w:hAnsi="Arial"/>
                <w:sz w:val="16"/>
                <w:szCs w:val="16"/>
                <w:color w:val="auto"/>
              </w:rPr>
              <w:t>Government Services</w:t>
            </w:r>
          </w:p>
        </w:tc>
        <w:tc>
          <w:tcPr>
            <w:tcW w:w="400" w:type="dxa"/>
            <w:vAlign w:val="bottom"/>
          </w:tcPr>
          <w:p>
            <w:pPr>
              <w:spacing w:after="0"/>
              <w:rPr>
                <w:sz w:val="22"/>
                <w:szCs w:val="22"/>
                <w:color w:val="auto"/>
              </w:rPr>
            </w:pPr>
          </w:p>
        </w:tc>
        <w:tc>
          <w:tcPr>
            <w:tcW w:w="146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400" w:type="dxa"/>
            <w:vAlign w:val="bottom"/>
          </w:tcPr>
          <w:p>
            <w:pPr>
              <w:spacing w:after="0"/>
              <w:rPr>
                <w:sz w:val="22"/>
                <w:szCs w:val="22"/>
                <w:color w:val="auto"/>
              </w:rPr>
            </w:pPr>
          </w:p>
        </w:tc>
        <w:tc>
          <w:tcPr>
            <w:tcW w:w="1340" w:type="dxa"/>
            <w:vAlign w:val="bottom"/>
          </w:tcPr>
          <w:p>
            <w:pPr>
              <w:jc w:val="right"/>
              <w:ind w:right="81"/>
              <w:spacing w:after="0"/>
              <w:rPr>
                <w:sz w:val="20"/>
                <w:szCs w:val="20"/>
                <w:color w:val="auto"/>
              </w:rPr>
            </w:pPr>
            <w:r>
              <w:rPr>
                <w:rFonts w:ascii="Arial" w:cs="Arial" w:eastAsia="Arial" w:hAnsi="Arial"/>
                <w:sz w:val="16"/>
                <w:szCs w:val="16"/>
                <w:color w:val="auto"/>
              </w:rPr>
              <w:t>42.9</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(42.9)</w:t>
            </w:r>
          </w:p>
        </w:tc>
        <w:tc>
          <w:tcPr>
            <w:tcW w:w="1340" w:type="dxa"/>
            <w:vAlign w:val="bottom"/>
          </w:tcPr>
          <w:p>
            <w:pPr>
              <w:ind w:left="580"/>
              <w:spacing w:after="0"/>
              <w:rPr>
                <w:sz w:val="20"/>
                <w:szCs w:val="20"/>
                <w:color w:val="auto"/>
              </w:rPr>
            </w:pPr>
            <w:r>
              <w:rPr>
                <w:rFonts w:ascii="Arial" w:cs="Arial" w:eastAsia="Arial" w:hAnsi="Arial"/>
                <w:sz w:val="16"/>
                <w:szCs w:val="16"/>
                <w:color w:val="auto"/>
              </w:rPr>
              <w:t>NM*</w:t>
            </w:r>
          </w:p>
        </w:tc>
        <w:tc>
          <w:tcPr>
            <w:tcW w:w="0" w:type="dxa"/>
            <w:vAlign w:val="bottom"/>
          </w:tcPr>
          <w:p>
            <w:pPr>
              <w:spacing w:after="0"/>
              <w:rPr>
                <w:sz w:val="1"/>
                <w:szCs w:val="1"/>
                <w:color w:val="auto"/>
              </w:rPr>
            </w:pPr>
          </w:p>
        </w:tc>
      </w:tr>
      <w:tr>
        <w:trPr>
          <w:trHeight w:val="240"/>
        </w:trPr>
        <w:tc>
          <w:tcPr>
            <w:tcW w:w="40" w:type="dxa"/>
            <w:vAlign w:val="bottom"/>
            <w:tcBorders>
              <w:top w:val="single" w:sz="8" w:color="DCE2EF"/>
              <w:bottom w:val="single" w:sz="8" w:color="DCE2EF"/>
            </w:tcBorders>
            <w:shd w:val="clear" w:color="auto" w:fill="DCE2EF"/>
          </w:tcPr>
          <w:p>
            <w:pPr>
              <w:spacing w:after="0"/>
              <w:rPr>
                <w:sz w:val="20"/>
                <w:szCs w:val="20"/>
                <w:color w:val="auto"/>
              </w:rPr>
            </w:pPr>
          </w:p>
        </w:tc>
        <w:tc>
          <w:tcPr>
            <w:tcW w:w="820" w:type="dxa"/>
            <w:vAlign w:val="bottom"/>
            <w:tcBorders>
              <w:top w:val="single" w:sz="8" w:color="DCE2EF"/>
              <w:bottom w:val="single" w:sz="8" w:color="DCE2EF"/>
            </w:tcBorders>
            <w:shd w:val="clear" w:color="auto" w:fill="DCE2EF"/>
          </w:tcPr>
          <w:p>
            <w:pPr>
              <w:spacing w:after="0"/>
              <w:rPr>
                <w:sz w:val="20"/>
                <w:szCs w:val="20"/>
                <w:color w:val="auto"/>
              </w:rPr>
            </w:pPr>
          </w:p>
        </w:tc>
        <w:tc>
          <w:tcPr>
            <w:tcW w:w="4140" w:type="dxa"/>
            <w:vAlign w:val="bottom"/>
            <w:tcBorders>
              <w:top w:val="single" w:sz="8" w:color="DCE2EF"/>
              <w:bottom w:val="single" w:sz="8" w:color="DCE2EF"/>
            </w:tcBorders>
            <w:shd w:val="clear" w:color="auto" w:fill="DCE2EF"/>
          </w:tcPr>
          <w:p>
            <w:pPr>
              <w:spacing w:after="0"/>
              <w:rPr>
                <w:sz w:val="20"/>
                <w:szCs w:val="20"/>
                <w:color w:val="auto"/>
              </w:rPr>
            </w:pPr>
          </w:p>
        </w:tc>
        <w:tc>
          <w:tcPr>
            <w:tcW w:w="400" w:type="dxa"/>
            <w:vAlign w:val="bottom"/>
            <w:tcBorders>
              <w:top w:val="single" w:sz="8" w:color="auto"/>
              <w:bottom w:val="single" w:sz="8" w:color="auto"/>
            </w:tcBorders>
            <w:shd w:val="clear" w:color="auto" w:fill="DCE2EF"/>
          </w:tcPr>
          <w:p>
            <w:pPr>
              <w:jc w:val="right"/>
              <w:ind w:right="199"/>
              <w:spacing w:after="0"/>
              <w:rPr>
                <w:sz w:val="20"/>
                <w:szCs w:val="20"/>
                <w:color w:val="auto"/>
              </w:rPr>
            </w:pPr>
            <w:r>
              <w:rPr>
                <w:rFonts w:ascii="Arial" w:cs="Arial" w:eastAsia="Arial" w:hAnsi="Arial"/>
                <w:sz w:val="16"/>
                <w:szCs w:val="16"/>
                <w:color w:val="auto"/>
              </w:rPr>
              <w:t>$</w:t>
            </w:r>
          </w:p>
        </w:tc>
        <w:tc>
          <w:tcPr>
            <w:tcW w:w="1340" w:type="dxa"/>
            <w:vAlign w:val="bottom"/>
            <w:tcBorders>
              <w:top w:val="single" w:sz="8" w:color="auto"/>
              <w:bottom w:val="single" w:sz="8" w:color="auto"/>
            </w:tcBorders>
            <w:shd w:val="clear" w:color="auto" w:fill="DCE2EF"/>
          </w:tcPr>
          <w:p>
            <w:pPr>
              <w:jc w:val="right"/>
              <w:ind w:right="81"/>
              <w:spacing w:after="0"/>
              <w:rPr>
                <w:sz w:val="20"/>
                <w:szCs w:val="20"/>
                <w:color w:val="auto"/>
              </w:rPr>
            </w:pPr>
            <w:r>
              <w:rPr>
                <w:rFonts w:ascii="Arial" w:cs="Arial" w:eastAsia="Arial" w:hAnsi="Arial"/>
                <w:sz w:val="16"/>
                <w:szCs w:val="16"/>
                <w:color w:val="auto"/>
              </w:rPr>
              <w:t>1,580.8</w:t>
            </w:r>
          </w:p>
        </w:tc>
        <w:tc>
          <w:tcPr>
            <w:tcW w:w="120" w:type="dxa"/>
            <w:vAlign w:val="bottom"/>
            <w:tcBorders>
              <w:top w:val="single" w:sz="8" w:color="DCE2EF"/>
              <w:bottom w:val="single" w:sz="8" w:color="DCE2EF"/>
            </w:tcBorders>
            <w:shd w:val="clear" w:color="auto" w:fill="DCE2EF"/>
          </w:tcPr>
          <w:p>
            <w:pPr>
              <w:spacing w:after="0"/>
              <w:rPr>
                <w:sz w:val="20"/>
                <w:szCs w:val="20"/>
                <w:color w:val="auto"/>
              </w:rPr>
            </w:pPr>
          </w:p>
        </w:tc>
        <w:tc>
          <w:tcPr>
            <w:tcW w:w="400" w:type="dxa"/>
            <w:vAlign w:val="bottom"/>
            <w:tcBorders>
              <w:top w:val="single" w:sz="8" w:color="auto"/>
              <w:bottom w:val="single" w:sz="8" w:color="auto"/>
            </w:tcBorders>
            <w:shd w:val="clear" w:color="auto" w:fill="DCE2EF"/>
          </w:tcPr>
          <w:p>
            <w:pPr>
              <w:jc w:val="right"/>
              <w:ind w:right="199"/>
              <w:spacing w:after="0"/>
              <w:rPr>
                <w:sz w:val="20"/>
                <w:szCs w:val="20"/>
                <w:color w:val="auto"/>
              </w:rPr>
            </w:pPr>
            <w:r>
              <w:rPr>
                <w:rFonts w:ascii="Arial" w:cs="Arial" w:eastAsia="Arial" w:hAnsi="Arial"/>
                <w:sz w:val="16"/>
                <w:szCs w:val="16"/>
                <w:color w:val="auto"/>
              </w:rPr>
              <w:t>$</w:t>
            </w:r>
          </w:p>
        </w:tc>
        <w:tc>
          <w:tcPr>
            <w:tcW w:w="1340" w:type="dxa"/>
            <w:vAlign w:val="bottom"/>
            <w:tcBorders>
              <w:top w:val="single" w:sz="8" w:color="auto"/>
              <w:bottom w:val="single" w:sz="8" w:color="auto"/>
            </w:tcBorders>
            <w:shd w:val="clear" w:color="auto" w:fill="DCE2EF"/>
          </w:tcPr>
          <w:p>
            <w:pPr>
              <w:jc w:val="right"/>
              <w:ind w:right="81"/>
              <w:spacing w:after="0"/>
              <w:rPr>
                <w:sz w:val="20"/>
                <w:szCs w:val="20"/>
                <w:color w:val="auto"/>
              </w:rPr>
            </w:pPr>
            <w:r>
              <w:rPr>
                <w:rFonts w:ascii="Arial" w:cs="Arial" w:eastAsia="Arial" w:hAnsi="Arial"/>
                <w:sz w:val="16"/>
                <w:szCs w:val="16"/>
                <w:color w:val="auto"/>
              </w:rPr>
              <w:t>1,310.5</w:t>
            </w:r>
          </w:p>
        </w:tc>
        <w:tc>
          <w:tcPr>
            <w:tcW w:w="100" w:type="dxa"/>
            <w:vAlign w:val="bottom"/>
            <w:tcBorders>
              <w:top w:val="single" w:sz="8" w:color="DCE2EF"/>
              <w:bottom w:val="single" w:sz="8" w:color="DCE2EF"/>
            </w:tcBorders>
            <w:shd w:val="clear" w:color="auto" w:fill="DCE2EF"/>
          </w:tcPr>
          <w:p>
            <w:pPr>
              <w:spacing w:after="0"/>
              <w:rPr>
                <w:sz w:val="20"/>
                <w:szCs w:val="20"/>
                <w:color w:val="auto"/>
              </w:rPr>
            </w:pPr>
          </w:p>
        </w:tc>
        <w:tc>
          <w:tcPr>
            <w:tcW w:w="320" w:type="dxa"/>
            <w:vAlign w:val="bottom"/>
            <w:tcBorders>
              <w:top w:val="single" w:sz="8" w:color="auto"/>
              <w:bottom w:val="single" w:sz="8" w:color="auto"/>
            </w:tcBorders>
            <w:shd w:val="clear" w:color="auto" w:fill="DCE2EF"/>
          </w:tcPr>
          <w:p>
            <w:pPr>
              <w:jc w:val="right"/>
              <w:ind w:right="119"/>
              <w:spacing w:after="0"/>
              <w:rPr>
                <w:sz w:val="20"/>
                <w:szCs w:val="20"/>
                <w:color w:val="auto"/>
              </w:rPr>
            </w:pPr>
            <w:r>
              <w:rPr>
                <w:rFonts w:ascii="Arial" w:cs="Arial" w:eastAsia="Arial" w:hAnsi="Arial"/>
                <w:sz w:val="16"/>
                <w:szCs w:val="16"/>
                <w:color w:val="auto"/>
              </w:rPr>
              <w:t>$</w:t>
            </w:r>
          </w:p>
        </w:tc>
        <w:tc>
          <w:tcPr>
            <w:tcW w:w="920" w:type="dxa"/>
            <w:vAlign w:val="bottom"/>
            <w:tcBorders>
              <w:top w:val="single" w:sz="8" w:color="auto"/>
              <w:bottom w:val="single" w:sz="8" w:color="auto"/>
            </w:tcBorders>
            <w:shd w:val="clear" w:color="auto" w:fill="DCE2EF"/>
          </w:tcPr>
          <w:p>
            <w:pPr>
              <w:jc w:val="right"/>
              <w:ind w:right="21"/>
              <w:spacing w:after="0"/>
              <w:rPr>
                <w:sz w:val="20"/>
                <w:szCs w:val="20"/>
                <w:color w:val="auto"/>
              </w:rPr>
            </w:pPr>
            <w:r>
              <w:rPr>
                <w:rFonts w:ascii="Arial" w:cs="Arial" w:eastAsia="Arial" w:hAnsi="Arial"/>
                <w:sz w:val="16"/>
                <w:szCs w:val="16"/>
                <w:color w:val="auto"/>
              </w:rPr>
              <w:t>270.3</w:t>
            </w:r>
          </w:p>
        </w:tc>
        <w:tc>
          <w:tcPr>
            <w:tcW w:w="1340" w:type="dxa"/>
            <w:vAlign w:val="bottom"/>
            <w:tcBorders>
              <w:top w:val="single" w:sz="8" w:color="DCE2EF"/>
              <w:bottom w:val="single" w:sz="8" w:color="DCE2EF"/>
            </w:tcBorders>
            <w:shd w:val="clear" w:color="auto" w:fill="DCE2EF"/>
          </w:tcPr>
          <w:p>
            <w:pPr>
              <w:jc w:val="center"/>
              <w:ind w:left="39"/>
              <w:spacing w:after="0"/>
              <w:rPr>
                <w:sz w:val="20"/>
                <w:szCs w:val="20"/>
                <w:color w:val="auto"/>
              </w:rPr>
            </w:pPr>
            <w:r>
              <w:rPr>
                <w:rFonts w:ascii="Arial" w:cs="Arial" w:eastAsia="Arial" w:hAnsi="Arial"/>
                <w:sz w:val="16"/>
                <w:szCs w:val="16"/>
                <w:color w:val="auto"/>
              </w:rPr>
              <w:t>20.6%</w:t>
            </w:r>
          </w:p>
        </w:tc>
        <w:tc>
          <w:tcPr>
            <w:tcW w:w="0" w:type="dxa"/>
            <w:vAlign w:val="bottom"/>
          </w:tcPr>
          <w:p>
            <w:pPr>
              <w:spacing w:after="0"/>
              <w:rPr>
                <w:sz w:val="1"/>
                <w:szCs w:val="1"/>
                <w:color w:val="auto"/>
              </w:rPr>
            </w:pPr>
          </w:p>
        </w:tc>
      </w:tr>
      <w:tr>
        <w:trPr>
          <w:trHeight w:val="20"/>
        </w:trPr>
        <w:tc>
          <w:tcPr>
            <w:tcW w:w="5000" w:type="dxa"/>
            <w:vAlign w:val="bottom"/>
            <w:gridSpan w:val="3"/>
            <w:vMerge w:val="restart"/>
          </w:tcPr>
          <w:p>
            <w:pPr>
              <w:ind w:left="40"/>
              <w:spacing w:after="0"/>
              <w:rPr>
                <w:sz w:val="20"/>
                <w:szCs w:val="20"/>
                <w:color w:val="auto"/>
              </w:rPr>
            </w:pPr>
            <w:r>
              <w:rPr>
                <w:rFonts w:ascii="Arial" w:cs="Arial" w:eastAsia="Arial" w:hAnsi="Arial"/>
                <w:sz w:val="16"/>
                <w:szCs w:val="16"/>
                <w:b w:val="1"/>
                <w:bCs w:val="1"/>
                <w:color w:val="auto"/>
              </w:rPr>
              <w:t>Operating profit (loss)</w:t>
            </w:r>
          </w:p>
        </w:tc>
        <w:tc>
          <w:tcPr>
            <w:tcW w:w="4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4"/>
        </w:trPr>
        <w:tc>
          <w:tcPr>
            <w:tcW w:w="5000" w:type="dxa"/>
            <w:vAlign w:val="bottom"/>
            <w:gridSpan w:val="3"/>
            <w:vMerge w:val="continue"/>
          </w:tcPr>
          <w:p>
            <w:pPr>
              <w:spacing w:after="0"/>
              <w:rPr>
                <w:sz w:val="21"/>
                <w:szCs w:val="21"/>
                <w:color w:val="auto"/>
              </w:rPr>
            </w:pPr>
          </w:p>
        </w:tc>
        <w:tc>
          <w:tcPr>
            <w:tcW w:w="40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0"/>
        </w:trPr>
        <w:tc>
          <w:tcPr>
            <w:tcW w:w="5000" w:type="dxa"/>
            <w:vAlign w:val="bottom"/>
            <w:gridSpan w:val="3"/>
            <w:shd w:val="clear" w:color="auto" w:fill="DCE2EF"/>
          </w:tcPr>
          <w:p>
            <w:pPr>
              <w:ind w:left="40"/>
              <w:spacing w:after="0"/>
              <w:rPr>
                <w:sz w:val="20"/>
                <w:szCs w:val="20"/>
                <w:color w:val="auto"/>
              </w:rPr>
            </w:pPr>
            <w:r>
              <w:rPr>
                <w:rFonts w:ascii="Arial" w:cs="Arial" w:eastAsia="Arial" w:hAnsi="Arial"/>
                <w:sz w:val="16"/>
                <w:szCs w:val="16"/>
                <w:color w:val="auto"/>
              </w:rPr>
              <w:t>Business &amp; Industry</w:t>
            </w:r>
          </w:p>
        </w:tc>
        <w:tc>
          <w:tcPr>
            <w:tcW w:w="400" w:type="dxa"/>
            <w:vAlign w:val="bottom"/>
            <w:shd w:val="clear" w:color="auto" w:fill="DCE2EF"/>
          </w:tcPr>
          <w:p>
            <w:pPr>
              <w:jc w:val="right"/>
              <w:ind w:right="199"/>
              <w:spacing w:after="0"/>
              <w:rPr>
                <w:sz w:val="20"/>
                <w:szCs w:val="20"/>
                <w:color w:val="auto"/>
              </w:rPr>
            </w:pPr>
            <w:r>
              <w:rPr>
                <w:rFonts w:ascii="Arial" w:cs="Arial" w:eastAsia="Arial" w:hAnsi="Arial"/>
                <w:sz w:val="16"/>
                <w:szCs w:val="16"/>
                <w:color w:val="auto"/>
              </w:rPr>
              <w:t>$</w:t>
            </w:r>
          </w:p>
        </w:tc>
        <w:tc>
          <w:tcPr>
            <w:tcW w:w="1340" w:type="dxa"/>
            <w:vAlign w:val="bottom"/>
            <w:shd w:val="clear" w:color="auto" w:fill="DCE2EF"/>
          </w:tcPr>
          <w:p>
            <w:pPr>
              <w:jc w:val="right"/>
              <w:ind w:right="81"/>
              <w:spacing w:after="0"/>
              <w:rPr>
                <w:sz w:val="20"/>
                <w:szCs w:val="20"/>
                <w:color w:val="auto"/>
              </w:rPr>
            </w:pPr>
            <w:r>
              <w:rPr>
                <w:rFonts w:ascii="Arial" w:cs="Arial" w:eastAsia="Arial" w:hAnsi="Arial"/>
                <w:sz w:val="16"/>
                <w:szCs w:val="16"/>
                <w:color w:val="auto"/>
              </w:rPr>
              <w:t>43.5</w:t>
            </w:r>
          </w:p>
        </w:tc>
        <w:tc>
          <w:tcPr>
            <w:tcW w:w="120" w:type="dxa"/>
            <w:vAlign w:val="bottom"/>
            <w:shd w:val="clear" w:color="auto" w:fill="DCE2EF"/>
          </w:tcPr>
          <w:p>
            <w:pPr>
              <w:spacing w:after="0"/>
              <w:rPr>
                <w:sz w:val="24"/>
                <w:szCs w:val="24"/>
                <w:color w:val="auto"/>
              </w:rPr>
            </w:pPr>
          </w:p>
        </w:tc>
        <w:tc>
          <w:tcPr>
            <w:tcW w:w="400" w:type="dxa"/>
            <w:vAlign w:val="bottom"/>
            <w:shd w:val="clear" w:color="auto" w:fill="DCE2EF"/>
          </w:tcPr>
          <w:p>
            <w:pPr>
              <w:jc w:val="right"/>
              <w:ind w:right="199"/>
              <w:spacing w:after="0"/>
              <w:rPr>
                <w:sz w:val="20"/>
                <w:szCs w:val="20"/>
                <w:color w:val="auto"/>
              </w:rPr>
            </w:pPr>
            <w:r>
              <w:rPr>
                <w:rFonts w:ascii="Arial" w:cs="Arial" w:eastAsia="Arial" w:hAnsi="Arial"/>
                <w:sz w:val="16"/>
                <w:szCs w:val="16"/>
                <w:color w:val="auto"/>
              </w:rPr>
              <w:t>$</w:t>
            </w:r>
          </w:p>
        </w:tc>
        <w:tc>
          <w:tcPr>
            <w:tcW w:w="1340" w:type="dxa"/>
            <w:vAlign w:val="bottom"/>
            <w:shd w:val="clear" w:color="auto" w:fill="DCE2EF"/>
          </w:tcPr>
          <w:p>
            <w:pPr>
              <w:jc w:val="right"/>
              <w:ind w:right="81"/>
              <w:spacing w:after="0"/>
              <w:rPr>
                <w:sz w:val="20"/>
                <w:szCs w:val="20"/>
                <w:color w:val="auto"/>
              </w:rPr>
            </w:pPr>
            <w:r>
              <w:rPr>
                <w:rFonts w:ascii="Arial" w:cs="Arial" w:eastAsia="Arial" w:hAnsi="Arial"/>
                <w:sz w:val="16"/>
                <w:szCs w:val="16"/>
                <w:color w:val="auto"/>
              </w:rPr>
              <w:t>36.0</w:t>
            </w:r>
          </w:p>
        </w:tc>
        <w:tc>
          <w:tcPr>
            <w:tcW w:w="100" w:type="dxa"/>
            <w:vAlign w:val="bottom"/>
            <w:shd w:val="clear" w:color="auto" w:fill="DCE2EF"/>
          </w:tcPr>
          <w:p>
            <w:pPr>
              <w:spacing w:after="0"/>
              <w:rPr>
                <w:sz w:val="24"/>
                <w:szCs w:val="24"/>
                <w:color w:val="auto"/>
              </w:rPr>
            </w:pPr>
          </w:p>
        </w:tc>
        <w:tc>
          <w:tcPr>
            <w:tcW w:w="320" w:type="dxa"/>
            <w:vAlign w:val="bottom"/>
            <w:shd w:val="clear" w:color="auto" w:fill="DCE2EF"/>
          </w:tcPr>
          <w:p>
            <w:pPr>
              <w:jc w:val="right"/>
              <w:ind w:right="119"/>
              <w:spacing w:after="0"/>
              <w:rPr>
                <w:sz w:val="20"/>
                <w:szCs w:val="20"/>
                <w:color w:val="auto"/>
              </w:rPr>
            </w:pPr>
            <w:r>
              <w:rPr>
                <w:rFonts w:ascii="Arial" w:cs="Arial" w:eastAsia="Arial" w:hAnsi="Arial"/>
                <w:sz w:val="16"/>
                <w:szCs w:val="16"/>
                <w:color w:val="auto"/>
              </w:rPr>
              <w:t>$</w:t>
            </w:r>
          </w:p>
        </w:tc>
        <w:tc>
          <w:tcPr>
            <w:tcW w:w="920" w:type="dxa"/>
            <w:vAlign w:val="bottom"/>
            <w:shd w:val="clear" w:color="auto" w:fill="DCE2EF"/>
          </w:tcPr>
          <w:p>
            <w:pPr>
              <w:jc w:val="right"/>
              <w:ind w:right="21"/>
              <w:spacing w:after="0"/>
              <w:rPr>
                <w:sz w:val="20"/>
                <w:szCs w:val="20"/>
                <w:color w:val="auto"/>
              </w:rPr>
            </w:pPr>
            <w:r>
              <w:rPr>
                <w:rFonts w:ascii="Arial" w:cs="Arial" w:eastAsia="Arial" w:hAnsi="Arial"/>
                <w:sz w:val="16"/>
                <w:szCs w:val="16"/>
                <w:color w:val="auto"/>
              </w:rPr>
              <w:t>7.5</w:t>
            </w:r>
          </w:p>
        </w:tc>
        <w:tc>
          <w:tcPr>
            <w:tcW w:w="1340" w:type="dxa"/>
            <w:vAlign w:val="bottom"/>
            <w:shd w:val="clear" w:color="auto" w:fill="DCE2EF"/>
          </w:tcPr>
          <w:p>
            <w:pPr>
              <w:jc w:val="center"/>
              <w:ind w:left="39"/>
              <w:spacing w:after="0"/>
              <w:rPr>
                <w:sz w:val="20"/>
                <w:szCs w:val="20"/>
                <w:color w:val="auto"/>
              </w:rPr>
            </w:pPr>
            <w:r>
              <w:rPr>
                <w:rFonts w:ascii="Arial" w:cs="Arial" w:eastAsia="Arial" w:hAnsi="Arial"/>
                <w:sz w:val="16"/>
                <w:szCs w:val="16"/>
                <w:color w:val="auto"/>
              </w:rPr>
              <w:t>20.7%</w:t>
            </w:r>
          </w:p>
        </w:tc>
        <w:tc>
          <w:tcPr>
            <w:tcW w:w="0" w:type="dxa"/>
            <w:vAlign w:val="bottom"/>
          </w:tcPr>
          <w:p>
            <w:pPr>
              <w:spacing w:after="0"/>
              <w:rPr>
                <w:sz w:val="1"/>
                <w:szCs w:val="1"/>
                <w:color w:val="auto"/>
              </w:rPr>
            </w:pPr>
          </w:p>
        </w:tc>
      </w:tr>
      <w:tr>
        <w:trPr>
          <w:trHeight w:val="264"/>
        </w:trPr>
        <w:tc>
          <w:tcPr>
            <w:tcW w:w="40" w:type="dxa"/>
            <w:vAlign w:val="bottom"/>
          </w:tcPr>
          <w:p>
            <w:pPr>
              <w:spacing w:after="0"/>
              <w:rPr>
                <w:sz w:val="22"/>
                <w:szCs w:val="22"/>
                <w:color w:val="auto"/>
              </w:rPr>
            </w:pPr>
          </w:p>
        </w:tc>
        <w:tc>
          <w:tcPr>
            <w:tcW w:w="4960" w:type="dxa"/>
            <w:vAlign w:val="bottom"/>
            <w:gridSpan w:val="2"/>
          </w:tcPr>
          <w:p>
            <w:pPr>
              <w:ind w:left="140"/>
              <w:spacing w:after="0"/>
              <w:rPr>
                <w:sz w:val="20"/>
                <w:szCs w:val="20"/>
                <w:color w:val="auto"/>
              </w:rPr>
            </w:pPr>
            <w:r>
              <w:rPr>
                <w:rFonts w:ascii="Arial" w:cs="Arial" w:eastAsia="Arial" w:hAnsi="Arial"/>
                <w:sz w:val="14"/>
                <w:szCs w:val="14"/>
                <w:i w:val="1"/>
                <w:iCs w:val="1"/>
                <w:color w:val="auto"/>
              </w:rPr>
              <w:t>Operating profit margin</w:t>
            </w:r>
          </w:p>
        </w:tc>
        <w:tc>
          <w:tcPr>
            <w:tcW w:w="400" w:type="dxa"/>
            <w:vAlign w:val="bottom"/>
          </w:tcPr>
          <w:p>
            <w:pPr>
              <w:spacing w:after="0"/>
              <w:rPr>
                <w:sz w:val="22"/>
                <w:szCs w:val="22"/>
                <w:color w:val="auto"/>
              </w:rPr>
            </w:pPr>
          </w:p>
        </w:tc>
        <w:tc>
          <w:tcPr>
            <w:tcW w:w="1340" w:type="dxa"/>
            <w:vAlign w:val="bottom"/>
          </w:tcPr>
          <w:p>
            <w:pPr>
              <w:jc w:val="right"/>
              <w:spacing w:after="0"/>
              <w:rPr>
                <w:sz w:val="20"/>
                <w:szCs w:val="20"/>
                <w:color w:val="auto"/>
              </w:rPr>
            </w:pPr>
            <w:r>
              <w:rPr>
                <w:rFonts w:ascii="Arial" w:cs="Arial" w:eastAsia="Arial" w:hAnsi="Arial"/>
                <w:sz w:val="14"/>
                <w:szCs w:val="14"/>
                <w:i w:val="1"/>
                <w:iCs w:val="1"/>
                <w:color w:val="auto"/>
              </w:rPr>
              <w:t>6.0%</w:t>
            </w:r>
          </w:p>
        </w:tc>
        <w:tc>
          <w:tcPr>
            <w:tcW w:w="1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340" w:type="dxa"/>
            <w:vAlign w:val="bottom"/>
          </w:tcPr>
          <w:p>
            <w:pPr>
              <w:jc w:val="right"/>
              <w:spacing w:after="0"/>
              <w:rPr>
                <w:sz w:val="20"/>
                <w:szCs w:val="20"/>
                <w:color w:val="auto"/>
              </w:rPr>
            </w:pPr>
            <w:r>
              <w:rPr>
                <w:rFonts w:ascii="Arial" w:cs="Arial" w:eastAsia="Arial" w:hAnsi="Arial"/>
                <w:sz w:val="14"/>
                <w:szCs w:val="14"/>
                <w:i w:val="1"/>
                <w:iCs w:val="1"/>
                <w:color w:val="auto"/>
              </w:rPr>
              <w:t>5.7%</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920" w:type="dxa"/>
            <w:vAlign w:val="bottom"/>
          </w:tcPr>
          <w:p>
            <w:pPr>
              <w:jc w:val="right"/>
              <w:ind w:right="21"/>
              <w:spacing w:after="0"/>
              <w:rPr>
                <w:sz w:val="20"/>
                <w:szCs w:val="20"/>
                <w:color w:val="auto"/>
              </w:rPr>
            </w:pPr>
            <w:r>
              <w:rPr>
                <w:rFonts w:ascii="Arial" w:cs="Arial" w:eastAsia="Arial" w:hAnsi="Arial"/>
                <w:sz w:val="14"/>
                <w:szCs w:val="14"/>
                <w:i w:val="1"/>
                <w:iCs w:val="1"/>
                <w:color w:val="auto"/>
              </w:rPr>
              <w:t>36 bps</w:t>
            </w:r>
          </w:p>
        </w:tc>
        <w:tc>
          <w:tcPr>
            <w:tcW w:w="13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5000" w:type="dxa"/>
            <w:vAlign w:val="bottom"/>
            <w:gridSpan w:val="3"/>
            <w:shd w:val="clear" w:color="auto" w:fill="DCE2EF"/>
          </w:tcPr>
          <w:p>
            <w:pPr>
              <w:ind w:left="40"/>
              <w:spacing w:after="0"/>
              <w:rPr>
                <w:sz w:val="20"/>
                <w:szCs w:val="20"/>
                <w:color w:val="auto"/>
              </w:rPr>
            </w:pPr>
            <w:r>
              <w:rPr>
                <w:rFonts w:ascii="Arial" w:cs="Arial" w:eastAsia="Arial" w:hAnsi="Arial"/>
                <w:sz w:val="16"/>
                <w:szCs w:val="16"/>
                <w:color w:val="auto"/>
              </w:rPr>
              <w:t>Aviation</w:t>
            </w:r>
          </w:p>
        </w:tc>
        <w:tc>
          <w:tcPr>
            <w:tcW w:w="400" w:type="dxa"/>
            <w:vAlign w:val="bottom"/>
            <w:shd w:val="clear" w:color="auto" w:fill="DCE2EF"/>
          </w:tcPr>
          <w:p>
            <w:pPr>
              <w:spacing w:after="0"/>
              <w:rPr>
                <w:sz w:val="24"/>
                <w:szCs w:val="24"/>
                <w:color w:val="auto"/>
              </w:rPr>
            </w:pPr>
          </w:p>
        </w:tc>
        <w:tc>
          <w:tcPr>
            <w:tcW w:w="1340" w:type="dxa"/>
            <w:vAlign w:val="bottom"/>
            <w:shd w:val="clear" w:color="auto" w:fill="DCE2EF"/>
          </w:tcPr>
          <w:p>
            <w:pPr>
              <w:jc w:val="right"/>
              <w:ind w:right="81"/>
              <w:spacing w:after="0"/>
              <w:rPr>
                <w:sz w:val="20"/>
                <w:szCs w:val="20"/>
                <w:color w:val="auto"/>
              </w:rPr>
            </w:pPr>
            <w:r>
              <w:rPr>
                <w:rFonts w:ascii="Arial" w:cs="Arial" w:eastAsia="Arial" w:hAnsi="Arial"/>
                <w:sz w:val="16"/>
                <w:szCs w:val="16"/>
                <w:color w:val="auto"/>
              </w:rPr>
              <w:t>5.1</w:t>
            </w:r>
          </w:p>
        </w:tc>
        <w:tc>
          <w:tcPr>
            <w:tcW w:w="120" w:type="dxa"/>
            <w:vAlign w:val="bottom"/>
            <w:shd w:val="clear" w:color="auto" w:fill="DCE2EF"/>
          </w:tcPr>
          <w:p>
            <w:pPr>
              <w:spacing w:after="0"/>
              <w:rPr>
                <w:sz w:val="24"/>
                <w:szCs w:val="24"/>
                <w:color w:val="auto"/>
              </w:rPr>
            </w:pPr>
          </w:p>
        </w:tc>
        <w:tc>
          <w:tcPr>
            <w:tcW w:w="400" w:type="dxa"/>
            <w:vAlign w:val="bottom"/>
            <w:shd w:val="clear" w:color="auto" w:fill="DCE2EF"/>
          </w:tcPr>
          <w:p>
            <w:pPr>
              <w:spacing w:after="0"/>
              <w:rPr>
                <w:sz w:val="24"/>
                <w:szCs w:val="24"/>
                <w:color w:val="auto"/>
              </w:rPr>
            </w:pPr>
          </w:p>
        </w:tc>
        <w:tc>
          <w:tcPr>
            <w:tcW w:w="1340" w:type="dxa"/>
            <w:vAlign w:val="bottom"/>
            <w:shd w:val="clear" w:color="auto" w:fill="DCE2EF"/>
          </w:tcPr>
          <w:p>
            <w:pPr>
              <w:jc w:val="right"/>
              <w:ind w:right="81"/>
              <w:spacing w:after="0"/>
              <w:rPr>
                <w:sz w:val="20"/>
                <w:szCs w:val="20"/>
                <w:color w:val="auto"/>
              </w:rPr>
            </w:pPr>
            <w:r>
              <w:rPr>
                <w:rFonts w:ascii="Arial" w:cs="Arial" w:eastAsia="Arial" w:hAnsi="Arial"/>
                <w:sz w:val="16"/>
                <w:szCs w:val="16"/>
                <w:color w:val="auto"/>
              </w:rPr>
              <w:t>6.8</w:t>
            </w:r>
          </w:p>
        </w:tc>
        <w:tc>
          <w:tcPr>
            <w:tcW w:w="100" w:type="dxa"/>
            <w:vAlign w:val="bottom"/>
            <w:shd w:val="clear" w:color="auto" w:fill="DCE2EF"/>
          </w:tcPr>
          <w:p>
            <w:pPr>
              <w:spacing w:after="0"/>
              <w:rPr>
                <w:sz w:val="24"/>
                <w:szCs w:val="24"/>
                <w:color w:val="auto"/>
              </w:rPr>
            </w:pPr>
          </w:p>
        </w:tc>
        <w:tc>
          <w:tcPr>
            <w:tcW w:w="320" w:type="dxa"/>
            <w:vAlign w:val="bottom"/>
            <w:shd w:val="clear" w:color="auto" w:fill="DCE2EF"/>
          </w:tcPr>
          <w:p>
            <w:pPr>
              <w:spacing w:after="0"/>
              <w:rPr>
                <w:sz w:val="24"/>
                <w:szCs w:val="24"/>
                <w:color w:val="auto"/>
              </w:rPr>
            </w:pPr>
          </w:p>
        </w:tc>
        <w:tc>
          <w:tcPr>
            <w:tcW w:w="920" w:type="dxa"/>
            <w:vAlign w:val="bottom"/>
            <w:shd w:val="clear" w:color="auto" w:fill="DCE2EF"/>
          </w:tcPr>
          <w:p>
            <w:pPr>
              <w:jc w:val="right"/>
              <w:spacing w:after="0"/>
              <w:rPr>
                <w:sz w:val="20"/>
                <w:szCs w:val="20"/>
                <w:color w:val="auto"/>
              </w:rPr>
            </w:pPr>
            <w:r>
              <w:rPr>
                <w:rFonts w:ascii="Arial" w:cs="Arial" w:eastAsia="Arial" w:hAnsi="Arial"/>
                <w:sz w:val="16"/>
                <w:szCs w:val="16"/>
                <w:color w:val="auto"/>
              </w:rPr>
              <w:t>(1.7)</w:t>
            </w:r>
          </w:p>
        </w:tc>
        <w:tc>
          <w:tcPr>
            <w:tcW w:w="1340" w:type="dxa"/>
            <w:vAlign w:val="bottom"/>
            <w:shd w:val="clear" w:color="auto" w:fill="DCE2EF"/>
          </w:tcPr>
          <w:p>
            <w:pPr>
              <w:jc w:val="center"/>
              <w:ind w:left="39"/>
              <w:spacing w:after="0"/>
              <w:rPr>
                <w:sz w:val="20"/>
                <w:szCs w:val="20"/>
                <w:color w:val="auto"/>
              </w:rPr>
            </w:pPr>
            <w:r>
              <w:rPr>
                <w:rFonts w:ascii="Arial" w:cs="Arial" w:eastAsia="Arial" w:hAnsi="Arial"/>
                <w:sz w:val="16"/>
                <w:szCs w:val="16"/>
                <w:color w:val="auto"/>
              </w:rPr>
              <w:t>(24.4)%</w:t>
            </w:r>
          </w:p>
        </w:tc>
        <w:tc>
          <w:tcPr>
            <w:tcW w:w="0" w:type="dxa"/>
            <w:vAlign w:val="bottom"/>
          </w:tcPr>
          <w:p>
            <w:pPr>
              <w:spacing w:after="0"/>
              <w:rPr>
                <w:sz w:val="1"/>
                <w:szCs w:val="1"/>
                <w:color w:val="auto"/>
              </w:rPr>
            </w:pPr>
          </w:p>
        </w:tc>
      </w:tr>
      <w:tr>
        <w:trPr>
          <w:trHeight w:val="264"/>
        </w:trPr>
        <w:tc>
          <w:tcPr>
            <w:tcW w:w="40" w:type="dxa"/>
            <w:vAlign w:val="bottom"/>
          </w:tcPr>
          <w:p>
            <w:pPr>
              <w:spacing w:after="0"/>
              <w:rPr>
                <w:sz w:val="22"/>
                <w:szCs w:val="22"/>
                <w:color w:val="auto"/>
              </w:rPr>
            </w:pPr>
          </w:p>
        </w:tc>
        <w:tc>
          <w:tcPr>
            <w:tcW w:w="4960" w:type="dxa"/>
            <w:vAlign w:val="bottom"/>
            <w:gridSpan w:val="2"/>
          </w:tcPr>
          <w:p>
            <w:pPr>
              <w:ind w:left="140"/>
              <w:spacing w:after="0"/>
              <w:rPr>
                <w:sz w:val="20"/>
                <w:szCs w:val="20"/>
                <w:color w:val="auto"/>
              </w:rPr>
            </w:pPr>
            <w:r>
              <w:rPr>
                <w:rFonts w:ascii="Arial" w:cs="Arial" w:eastAsia="Arial" w:hAnsi="Arial"/>
                <w:sz w:val="14"/>
                <w:szCs w:val="14"/>
                <w:i w:val="1"/>
                <w:iCs w:val="1"/>
                <w:color w:val="auto"/>
              </w:rPr>
              <w:t>Operating profit margin</w:t>
            </w:r>
          </w:p>
        </w:tc>
        <w:tc>
          <w:tcPr>
            <w:tcW w:w="400" w:type="dxa"/>
            <w:vAlign w:val="bottom"/>
          </w:tcPr>
          <w:p>
            <w:pPr>
              <w:spacing w:after="0"/>
              <w:rPr>
                <w:sz w:val="22"/>
                <w:szCs w:val="22"/>
                <w:color w:val="auto"/>
              </w:rPr>
            </w:pPr>
          </w:p>
        </w:tc>
        <w:tc>
          <w:tcPr>
            <w:tcW w:w="1340" w:type="dxa"/>
            <w:vAlign w:val="bottom"/>
          </w:tcPr>
          <w:p>
            <w:pPr>
              <w:jc w:val="right"/>
              <w:spacing w:after="0"/>
              <w:rPr>
                <w:sz w:val="20"/>
                <w:szCs w:val="20"/>
                <w:color w:val="auto"/>
              </w:rPr>
            </w:pPr>
            <w:r>
              <w:rPr>
                <w:rFonts w:ascii="Arial" w:cs="Arial" w:eastAsia="Arial" w:hAnsi="Arial"/>
                <w:sz w:val="14"/>
                <w:szCs w:val="14"/>
                <w:i w:val="1"/>
                <w:iCs w:val="1"/>
                <w:color w:val="auto"/>
              </w:rPr>
              <w:t>2.1%</w:t>
            </w:r>
          </w:p>
        </w:tc>
        <w:tc>
          <w:tcPr>
            <w:tcW w:w="1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340" w:type="dxa"/>
            <w:vAlign w:val="bottom"/>
          </w:tcPr>
          <w:p>
            <w:pPr>
              <w:jc w:val="right"/>
              <w:spacing w:after="0"/>
              <w:rPr>
                <w:sz w:val="20"/>
                <w:szCs w:val="20"/>
                <w:color w:val="auto"/>
              </w:rPr>
            </w:pPr>
            <w:r>
              <w:rPr>
                <w:rFonts w:ascii="Arial" w:cs="Arial" w:eastAsia="Arial" w:hAnsi="Arial"/>
                <w:sz w:val="14"/>
                <w:szCs w:val="14"/>
                <w:i w:val="1"/>
                <w:iCs w:val="1"/>
                <w:color w:val="auto"/>
              </w:rPr>
              <w:t>2.9%</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920" w:type="dxa"/>
            <w:vAlign w:val="bottom"/>
          </w:tcPr>
          <w:p>
            <w:pPr>
              <w:jc w:val="right"/>
              <w:ind w:right="21"/>
              <w:spacing w:after="0"/>
              <w:rPr>
                <w:sz w:val="20"/>
                <w:szCs w:val="20"/>
                <w:color w:val="auto"/>
              </w:rPr>
            </w:pPr>
            <w:r>
              <w:rPr>
                <w:rFonts w:ascii="Arial" w:cs="Arial" w:eastAsia="Arial" w:hAnsi="Arial"/>
                <w:sz w:val="14"/>
                <w:szCs w:val="14"/>
                <w:i w:val="1"/>
                <w:iCs w:val="1"/>
                <w:color w:val="auto"/>
              </w:rPr>
              <w:t>(83) bps</w:t>
            </w:r>
          </w:p>
        </w:tc>
        <w:tc>
          <w:tcPr>
            <w:tcW w:w="13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5000" w:type="dxa"/>
            <w:vAlign w:val="bottom"/>
            <w:gridSpan w:val="3"/>
            <w:shd w:val="clear" w:color="auto" w:fill="DCE2EF"/>
          </w:tcPr>
          <w:p>
            <w:pPr>
              <w:ind w:left="40"/>
              <w:spacing w:after="0"/>
              <w:rPr>
                <w:sz w:val="20"/>
                <w:szCs w:val="20"/>
                <w:color w:val="auto"/>
              </w:rPr>
            </w:pPr>
            <w:r>
              <w:rPr>
                <w:rFonts w:ascii="Arial" w:cs="Arial" w:eastAsia="Arial" w:hAnsi="Arial"/>
                <w:sz w:val="16"/>
                <w:szCs w:val="16"/>
                <w:color w:val="auto"/>
              </w:rPr>
              <w:t>Technology &amp; Manufacturing</w:t>
            </w:r>
          </w:p>
        </w:tc>
        <w:tc>
          <w:tcPr>
            <w:tcW w:w="400" w:type="dxa"/>
            <w:vAlign w:val="bottom"/>
            <w:shd w:val="clear" w:color="auto" w:fill="DCE2EF"/>
          </w:tcPr>
          <w:p>
            <w:pPr>
              <w:spacing w:after="0"/>
              <w:rPr>
                <w:sz w:val="24"/>
                <w:szCs w:val="24"/>
                <w:color w:val="auto"/>
              </w:rPr>
            </w:pPr>
          </w:p>
        </w:tc>
        <w:tc>
          <w:tcPr>
            <w:tcW w:w="1340" w:type="dxa"/>
            <w:vAlign w:val="bottom"/>
            <w:shd w:val="clear" w:color="auto" w:fill="DCE2EF"/>
          </w:tcPr>
          <w:p>
            <w:pPr>
              <w:jc w:val="right"/>
              <w:ind w:right="81"/>
              <w:spacing w:after="0"/>
              <w:rPr>
                <w:sz w:val="20"/>
                <w:szCs w:val="20"/>
                <w:color w:val="auto"/>
              </w:rPr>
            </w:pPr>
            <w:r>
              <w:rPr>
                <w:rFonts w:ascii="Arial" w:cs="Arial" w:eastAsia="Arial" w:hAnsi="Arial"/>
                <w:sz w:val="16"/>
                <w:szCs w:val="16"/>
                <w:color w:val="auto"/>
              </w:rPr>
              <w:t>16.0</w:t>
            </w:r>
          </w:p>
        </w:tc>
        <w:tc>
          <w:tcPr>
            <w:tcW w:w="120" w:type="dxa"/>
            <w:vAlign w:val="bottom"/>
            <w:shd w:val="clear" w:color="auto" w:fill="DCE2EF"/>
          </w:tcPr>
          <w:p>
            <w:pPr>
              <w:spacing w:after="0"/>
              <w:rPr>
                <w:sz w:val="24"/>
                <w:szCs w:val="24"/>
                <w:color w:val="auto"/>
              </w:rPr>
            </w:pPr>
          </w:p>
        </w:tc>
        <w:tc>
          <w:tcPr>
            <w:tcW w:w="400" w:type="dxa"/>
            <w:vAlign w:val="bottom"/>
            <w:shd w:val="clear" w:color="auto" w:fill="DCE2EF"/>
          </w:tcPr>
          <w:p>
            <w:pPr>
              <w:spacing w:after="0"/>
              <w:rPr>
                <w:sz w:val="24"/>
                <w:szCs w:val="24"/>
                <w:color w:val="auto"/>
              </w:rPr>
            </w:pPr>
          </w:p>
        </w:tc>
        <w:tc>
          <w:tcPr>
            <w:tcW w:w="1340" w:type="dxa"/>
            <w:vAlign w:val="bottom"/>
            <w:shd w:val="clear" w:color="auto" w:fill="DCE2EF"/>
          </w:tcPr>
          <w:p>
            <w:pPr>
              <w:jc w:val="right"/>
              <w:ind w:right="81"/>
              <w:spacing w:after="0"/>
              <w:rPr>
                <w:sz w:val="20"/>
                <w:szCs w:val="20"/>
                <w:color w:val="auto"/>
              </w:rPr>
            </w:pPr>
            <w:r>
              <w:rPr>
                <w:rFonts w:ascii="Arial" w:cs="Arial" w:eastAsia="Arial" w:hAnsi="Arial"/>
                <w:sz w:val="16"/>
                <w:szCs w:val="16"/>
                <w:color w:val="auto"/>
              </w:rPr>
              <w:t>12.1</w:t>
            </w:r>
          </w:p>
        </w:tc>
        <w:tc>
          <w:tcPr>
            <w:tcW w:w="100" w:type="dxa"/>
            <w:vAlign w:val="bottom"/>
            <w:shd w:val="clear" w:color="auto" w:fill="DCE2EF"/>
          </w:tcPr>
          <w:p>
            <w:pPr>
              <w:spacing w:after="0"/>
              <w:rPr>
                <w:sz w:val="24"/>
                <w:szCs w:val="24"/>
                <w:color w:val="auto"/>
              </w:rPr>
            </w:pPr>
          </w:p>
        </w:tc>
        <w:tc>
          <w:tcPr>
            <w:tcW w:w="320" w:type="dxa"/>
            <w:vAlign w:val="bottom"/>
            <w:shd w:val="clear" w:color="auto" w:fill="DCE2EF"/>
          </w:tcPr>
          <w:p>
            <w:pPr>
              <w:spacing w:after="0"/>
              <w:rPr>
                <w:sz w:val="24"/>
                <w:szCs w:val="24"/>
                <w:color w:val="auto"/>
              </w:rPr>
            </w:pPr>
          </w:p>
        </w:tc>
        <w:tc>
          <w:tcPr>
            <w:tcW w:w="920" w:type="dxa"/>
            <w:vAlign w:val="bottom"/>
            <w:shd w:val="clear" w:color="auto" w:fill="DCE2EF"/>
          </w:tcPr>
          <w:p>
            <w:pPr>
              <w:jc w:val="right"/>
              <w:ind w:right="21"/>
              <w:spacing w:after="0"/>
              <w:rPr>
                <w:sz w:val="20"/>
                <w:szCs w:val="20"/>
                <w:color w:val="auto"/>
              </w:rPr>
            </w:pPr>
            <w:r>
              <w:rPr>
                <w:rFonts w:ascii="Arial" w:cs="Arial" w:eastAsia="Arial" w:hAnsi="Arial"/>
                <w:sz w:val="16"/>
                <w:szCs w:val="16"/>
                <w:color w:val="auto"/>
              </w:rPr>
              <w:t>3.9</w:t>
            </w:r>
          </w:p>
        </w:tc>
        <w:tc>
          <w:tcPr>
            <w:tcW w:w="1340" w:type="dxa"/>
            <w:vAlign w:val="bottom"/>
            <w:shd w:val="clear" w:color="auto" w:fill="DCE2EF"/>
          </w:tcPr>
          <w:p>
            <w:pPr>
              <w:jc w:val="center"/>
              <w:ind w:left="39"/>
              <w:spacing w:after="0"/>
              <w:rPr>
                <w:sz w:val="20"/>
                <w:szCs w:val="20"/>
                <w:color w:val="auto"/>
              </w:rPr>
            </w:pPr>
            <w:r>
              <w:rPr>
                <w:rFonts w:ascii="Arial" w:cs="Arial" w:eastAsia="Arial" w:hAnsi="Arial"/>
                <w:sz w:val="16"/>
                <w:szCs w:val="16"/>
                <w:color w:val="auto"/>
              </w:rPr>
              <w:t>32.0%</w:t>
            </w:r>
          </w:p>
        </w:tc>
        <w:tc>
          <w:tcPr>
            <w:tcW w:w="0" w:type="dxa"/>
            <w:vAlign w:val="bottom"/>
          </w:tcPr>
          <w:p>
            <w:pPr>
              <w:spacing w:after="0"/>
              <w:rPr>
                <w:sz w:val="1"/>
                <w:szCs w:val="1"/>
                <w:color w:val="auto"/>
              </w:rPr>
            </w:pPr>
          </w:p>
        </w:tc>
      </w:tr>
      <w:tr>
        <w:trPr>
          <w:trHeight w:val="264"/>
        </w:trPr>
        <w:tc>
          <w:tcPr>
            <w:tcW w:w="40" w:type="dxa"/>
            <w:vAlign w:val="bottom"/>
          </w:tcPr>
          <w:p>
            <w:pPr>
              <w:spacing w:after="0"/>
              <w:rPr>
                <w:sz w:val="22"/>
                <w:szCs w:val="22"/>
                <w:color w:val="auto"/>
              </w:rPr>
            </w:pPr>
          </w:p>
        </w:tc>
        <w:tc>
          <w:tcPr>
            <w:tcW w:w="4960" w:type="dxa"/>
            <w:vAlign w:val="bottom"/>
            <w:gridSpan w:val="2"/>
          </w:tcPr>
          <w:p>
            <w:pPr>
              <w:ind w:left="140"/>
              <w:spacing w:after="0"/>
              <w:rPr>
                <w:sz w:val="20"/>
                <w:szCs w:val="20"/>
                <w:color w:val="auto"/>
              </w:rPr>
            </w:pPr>
            <w:r>
              <w:rPr>
                <w:rFonts w:ascii="Arial" w:cs="Arial" w:eastAsia="Arial" w:hAnsi="Arial"/>
                <w:sz w:val="14"/>
                <w:szCs w:val="14"/>
                <w:i w:val="1"/>
                <w:iCs w:val="1"/>
                <w:color w:val="auto"/>
              </w:rPr>
              <w:t>Operating profit margin</w:t>
            </w:r>
          </w:p>
        </w:tc>
        <w:tc>
          <w:tcPr>
            <w:tcW w:w="400" w:type="dxa"/>
            <w:vAlign w:val="bottom"/>
          </w:tcPr>
          <w:p>
            <w:pPr>
              <w:spacing w:after="0"/>
              <w:rPr>
                <w:sz w:val="22"/>
                <w:szCs w:val="22"/>
                <w:color w:val="auto"/>
              </w:rPr>
            </w:pPr>
          </w:p>
        </w:tc>
        <w:tc>
          <w:tcPr>
            <w:tcW w:w="1340" w:type="dxa"/>
            <w:vAlign w:val="bottom"/>
          </w:tcPr>
          <w:p>
            <w:pPr>
              <w:jc w:val="right"/>
              <w:spacing w:after="0"/>
              <w:rPr>
                <w:sz w:val="20"/>
                <w:szCs w:val="20"/>
                <w:color w:val="auto"/>
              </w:rPr>
            </w:pPr>
            <w:r>
              <w:rPr>
                <w:rFonts w:ascii="Arial" w:cs="Arial" w:eastAsia="Arial" w:hAnsi="Arial"/>
                <w:sz w:val="14"/>
                <w:szCs w:val="14"/>
                <w:i w:val="1"/>
                <w:iCs w:val="1"/>
                <w:color w:val="auto"/>
              </w:rPr>
              <w:t>7.0%</w:t>
            </w:r>
          </w:p>
        </w:tc>
        <w:tc>
          <w:tcPr>
            <w:tcW w:w="1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340" w:type="dxa"/>
            <w:vAlign w:val="bottom"/>
          </w:tcPr>
          <w:p>
            <w:pPr>
              <w:jc w:val="right"/>
              <w:spacing w:after="0"/>
              <w:rPr>
                <w:sz w:val="20"/>
                <w:szCs w:val="20"/>
                <w:color w:val="auto"/>
              </w:rPr>
            </w:pPr>
            <w:r>
              <w:rPr>
                <w:rFonts w:ascii="Arial" w:cs="Arial" w:eastAsia="Arial" w:hAnsi="Arial"/>
                <w:sz w:val="14"/>
                <w:szCs w:val="14"/>
                <w:i w:val="1"/>
                <w:iCs w:val="1"/>
                <w:color w:val="auto"/>
              </w:rPr>
              <w:t>7.5%</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920" w:type="dxa"/>
            <w:vAlign w:val="bottom"/>
          </w:tcPr>
          <w:p>
            <w:pPr>
              <w:jc w:val="right"/>
              <w:ind w:right="21"/>
              <w:spacing w:after="0"/>
              <w:rPr>
                <w:sz w:val="20"/>
                <w:szCs w:val="20"/>
                <w:color w:val="auto"/>
              </w:rPr>
            </w:pPr>
            <w:r>
              <w:rPr>
                <w:rFonts w:ascii="Arial" w:cs="Arial" w:eastAsia="Arial" w:hAnsi="Arial"/>
                <w:sz w:val="14"/>
                <w:szCs w:val="14"/>
                <w:i w:val="1"/>
                <w:iCs w:val="1"/>
                <w:color w:val="auto"/>
              </w:rPr>
              <w:t>(48) bps</w:t>
            </w:r>
          </w:p>
        </w:tc>
        <w:tc>
          <w:tcPr>
            <w:tcW w:w="13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5000" w:type="dxa"/>
            <w:vAlign w:val="bottom"/>
            <w:gridSpan w:val="3"/>
            <w:shd w:val="clear" w:color="auto" w:fill="DCE2EF"/>
          </w:tcPr>
          <w:p>
            <w:pPr>
              <w:ind w:left="40"/>
              <w:spacing w:after="0"/>
              <w:rPr>
                <w:sz w:val="20"/>
                <w:szCs w:val="20"/>
                <w:color w:val="auto"/>
              </w:rPr>
            </w:pPr>
            <w:r>
              <w:rPr>
                <w:rFonts w:ascii="Arial" w:cs="Arial" w:eastAsia="Arial" w:hAnsi="Arial"/>
                <w:sz w:val="16"/>
                <w:szCs w:val="16"/>
                <w:color w:val="auto"/>
              </w:rPr>
              <w:t>Education</w:t>
            </w:r>
          </w:p>
        </w:tc>
        <w:tc>
          <w:tcPr>
            <w:tcW w:w="400" w:type="dxa"/>
            <w:vAlign w:val="bottom"/>
            <w:shd w:val="clear" w:color="auto" w:fill="DCE2EF"/>
          </w:tcPr>
          <w:p>
            <w:pPr>
              <w:spacing w:after="0"/>
              <w:rPr>
                <w:sz w:val="24"/>
                <w:szCs w:val="24"/>
                <w:color w:val="auto"/>
              </w:rPr>
            </w:pPr>
          </w:p>
        </w:tc>
        <w:tc>
          <w:tcPr>
            <w:tcW w:w="1340" w:type="dxa"/>
            <w:vAlign w:val="bottom"/>
            <w:shd w:val="clear" w:color="auto" w:fill="DCE2EF"/>
          </w:tcPr>
          <w:p>
            <w:pPr>
              <w:jc w:val="right"/>
              <w:ind w:right="81"/>
              <w:spacing w:after="0"/>
              <w:rPr>
                <w:sz w:val="20"/>
                <w:szCs w:val="20"/>
                <w:color w:val="auto"/>
              </w:rPr>
            </w:pPr>
            <w:r>
              <w:rPr>
                <w:rFonts w:ascii="Arial" w:cs="Arial" w:eastAsia="Arial" w:hAnsi="Arial"/>
                <w:sz w:val="16"/>
                <w:szCs w:val="16"/>
                <w:color w:val="auto"/>
              </w:rPr>
              <w:t>10.6</w:t>
            </w:r>
          </w:p>
        </w:tc>
        <w:tc>
          <w:tcPr>
            <w:tcW w:w="120" w:type="dxa"/>
            <w:vAlign w:val="bottom"/>
            <w:shd w:val="clear" w:color="auto" w:fill="DCE2EF"/>
          </w:tcPr>
          <w:p>
            <w:pPr>
              <w:spacing w:after="0"/>
              <w:rPr>
                <w:sz w:val="24"/>
                <w:szCs w:val="24"/>
                <w:color w:val="auto"/>
              </w:rPr>
            </w:pPr>
          </w:p>
        </w:tc>
        <w:tc>
          <w:tcPr>
            <w:tcW w:w="400" w:type="dxa"/>
            <w:vAlign w:val="bottom"/>
            <w:shd w:val="clear" w:color="auto" w:fill="DCE2EF"/>
          </w:tcPr>
          <w:p>
            <w:pPr>
              <w:spacing w:after="0"/>
              <w:rPr>
                <w:sz w:val="24"/>
                <w:szCs w:val="24"/>
                <w:color w:val="auto"/>
              </w:rPr>
            </w:pPr>
          </w:p>
        </w:tc>
        <w:tc>
          <w:tcPr>
            <w:tcW w:w="1340" w:type="dxa"/>
            <w:vAlign w:val="bottom"/>
            <w:shd w:val="clear" w:color="auto" w:fill="DCE2EF"/>
          </w:tcPr>
          <w:p>
            <w:pPr>
              <w:jc w:val="right"/>
              <w:ind w:right="81"/>
              <w:spacing w:after="0"/>
              <w:rPr>
                <w:sz w:val="20"/>
                <w:szCs w:val="20"/>
                <w:color w:val="auto"/>
              </w:rPr>
            </w:pPr>
            <w:r>
              <w:rPr>
                <w:rFonts w:ascii="Arial" w:cs="Arial" w:eastAsia="Arial" w:hAnsi="Arial"/>
                <w:sz w:val="16"/>
                <w:szCs w:val="16"/>
                <w:color w:val="auto"/>
              </w:rPr>
              <w:t>3.6</w:t>
            </w:r>
          </w:p>
        </w:tc>
        <w:tc>
          <w:tcPr>
            <w:tcW w:w="100" w:type="dxa"/>
            <w:vAlign w:val="bottom"/>
            <w:shd w:val="clear" w:color="auto" w:fill="DCE2EF"/>
          </w:tcPr>
          <w:p>
            <w:pPr>
              <w:spacing w:after="0"/>
              <w:rPr>
                <w:sz w:val="24"/>
                <w:szCs w:val="24"/>
                <w:color w:val="auto"/>
              </w:rPr>
            </w:pPr>
          </w:p>
        </w:tc>
        <w:tc>
          <w:tcPr>
            <w:tcW w:w="320" w:type="dxa"/>
            <w:vAlign w:val="bottom"/>
            <w:shd w:val="clear" w:color="auto" w:fill="DCE2EF"/>
          </w:tcPr>
          <w:p>
            <w:pPr>
              <w:spacing w:after="0"/>
              <w:rPr>
                <w:sz w:val="24"/>
                <w:szCs w:val="24"/>
                <w:color w:val="auto"/>
              </w:rPr>
            </w:pPr>
          </w:p>
        </w:tc>
        <w:tc>
          <w:tcPr>
            <w:tcW w:w="920" w:type="dxa"/>
            <w:vAlign w:val="bottom"/>
            <w:shd w:val="clear" w:color="auto" w:fill="DCE2EF"/>
          </w:tcPr>
          <w:p>
            <w:pPr>
              <w:jc w:val="right"/>
              <w:ind w:right="21"/>
              <w:spacing w:after="0"/>
              <w:rPr>
                <w:sz w:val="20"/>
                <w:szCs w:val="20"/>
                <w:color w:val="auto"/>
              </w:rPr>
            </w:pPr>
            <w:r>
              <w:rPr>
                <w:rFonts w:ascii="Arial" w:cs="Arial" w:eastAsia="Arial" w:hAnsi="Arial"/>
                <w:sz w:val="16"/>
                <w:szCs w:val="16"/>
                <w:color w:val="auto"/>
              </w:rPr>
              <w:t>7.0</w:t>
            </w:r>
          </w:p>
        </w:tc>
        <w:tc>
          <w:tcPr>
            <w:tcW w:w="1340" w:type="dxa"/>
            <w:vAlign w:val="bottom"/>
            <w:shd w:val="clear" w:color="auto" w:fill="DCE2EF"/>
          </w:tcPr>
          <w:p>
            <w:pPr>
              <w:ind w:left="580"/>
              <w:spacing w:after="0"/>
              <w:rPr>
                <w:sz w:val="20"/>
                <w:szCs w:val="20"/>
                <w:color w:val="auto"/>
              </w:rPr>
            </w:pPr>
            <w:r>
              <w:rPr>
                <w:rFonts w:ascii="Arial" w:cs="Arial" w:eastAsia="Arial" w:hAnsi="Arial"/>
                <w:sz w:val="16"/>
                <w:szCs w:val="16"/>
                <w:color w:val="auto"/>
              </w:rPr>
              <w:t>NM*</w:t>
            </w:r>
          </w:p>
        </w:tc>
        <w:tc>
          <w:tcPr>
            <w:tcW w:w="0" w:type="dxa"/>
            <w:vAlign w:val="bottom"/>
          </w:tcPr>
          <w:p>
            <w:pPr>
              <w:spacing w:after="0"/>
              <w:rPr>
                <w:sz w:val="1"/>
                <w:szCs w:val="1"/>
                <w:color w:val="auto"/>
              </w:rPr>
            </w:pPr>
          </w:p>
        </w:tc>
      </w:tr>
      <w:tr>
        <w:trPr>
          <w:trHeight w:val="264"/>
        </w:trPr>
        <w:tc>
          <w:tcPr>
            <w:tcW w:w="40" w:type="dxa"/>
            <w:vAlign w:val="bottom"/>
          </w:tcPr>
          <w:p>
            <w:pPr>
              <w:spacing w:after="0"/>
              <w:rPr>
                <w:sz w:val="22"/>
                <w:szCs w:val="22"/>
                <w:color w:val="auto"/>
              </w:rPr>
            </w:pPr>
          </w:p>
        </w:tc>
        <w:tc>
          <w:tcPr>
            <w:tcW w:w="4960" w:type="dxa"/>
            <w:vAlign w:val="bottom"/>
            <w:gridSpan w:val="2"/>
          </w:tcPr>
          <w:p>
            <w:pPr>
              <w:ind w:left="140"/>
              <w:spacing w:after="0"/>
              <w:rPr>
                <w:sz w:val="20"/>
                <w:szCs w:val="20"/>
                <w:color w:val="auto"/>
              </w:rPr>
            </w:pPr>
            <w:r>
              <w:rPr>
                <w:rFonts w:ascii="Arial" w:cs="Arial" w:eastAsia="Arial" w:hAnsi="Arial"/>
                <w:sz w:val="14"/>
                <w:szCs w:val="14"/>
                <w:i w:val="1"/>
                <w:iCs w:val="1"/>
                <w:color w:val="auto"/>
              </w:rPr>
              <w:t>Operating profit margin</w:t>
            </w:r>
          </w:p>
        </w:tc>
        <w:tc>
          <w:tcPr>
            <w:tcW w:w="400" w:type="dxa"/>
            <w:vAlign w:val="bottom"/>
          </w:tcPr>
          <w:p>
            <w:pPr>
              <w:spacing w:after="0"/>
              <w:rPr>
                <w:sz w:val="22"/>
                <w:szCs w:val="22"/>
                <w:color w:val="auto"/>
              </w:rPr>
            </w:pPr>
          </w:p>
        </w:tc>
        <w:tc>
          <w:tcPr>
            <w:tcW w:w="1340" w:type="dxa"/>
            <w:vAlign w:val="bottom"/>
          </w:tcPr>
          <w:p>
            <w:pPr>
              <w:jc w:val="right"/>
              <w:spacing w:after="0"/>
              <w:rPr>
                <w:sz w:val="20"/>
                <w:szCs w:val="20"/>
                <w:color w:val="auto"/>
              </w:rPr>
            </w:pPr>
            <w:r>
              <w:rPr>
                <w:rFonts w:ascii="Arial" w:cs="Arial" w:eastAsia="Arial" w:hAnsi="Arial"/>
                <w:sz w:val="14"/>
                <w:szCs w:val="14"/>
                <w:i w:val="1"/>
                <w:iCs w:val="1"/>
                <w:color w:val="auto"/>
              </w:rPr>
              <w:t>5.1%</w:t>
            </w:r>
          </w:p>
        </w:tc>
        <w:tc>
          <w:tcPr>
            <w:tcW w:w="1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340" w:type="dxa"/>
            <w:vAlign w:val="bottom"/>
          </w:tcPr>
          <w:p>
            <w:pPr>
              <w:jc w:val="right"/>
              <w:spacing w:after="0"/>
              <w:rPr>
                <w:sz w:val="20"/>
                <w:szCs w:val="20"/>
                <w:color w:val="auto"/>
              </w:rPr>
            </w:pPr>
            <w:r>
              <w:rPr>
                <w:rFonts w:ascii="Arial" w:cs="Arial" w:eastAsia="Arial" w:hAnsi="Arial"/>
                <w:sz w:val="14"/>
                <w:szCs w:val="14"/>
                <w:i w:val="1"/>
                <w:iCs w:val="1"/>
                <w:color w:val="auto"/>
              </w:rPr>
              <w:t>5.5%</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920" w:type="dxa"/>
            <w:vAlign w:val="bottom"/>
          </w:tcPr>
          <w:p>
            <w:pPr>
              <w:jc w:val="right"/>
              <w:ind w:right="21"/>
              <w:spacing w:after="0"/>
              <w:rPr>
                <w:sz w:val="20"/>
                <w:szCs w:val="20"/>
                <w:color w:val="auto"/>
              </w:rPr>
            </w:pPr>
            <w:r>
              <w:rPr>
                <w:rFonts w:ascii="Arial" w:cs="Arial" w:eastAsia="Arial" w:hAnsi="Arial"/>
                <w:sz w:val="14"/>
                <w:szCs w:val="14"/>
                <w:i w:val="1"/>
                <w:iCs w:val="1"/>
                <w:color w:val="auto"/>
              </w:rPr>
              <w:t>(40) bps</w:t>
            </w:r>
          </w:p>
        </w:tc>
        <w:tc>
          <w:tcPr>
            <w:tcW w:w="13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5000" w:type="dxa"/>
            <w:vAlign w:val="bottom"/>
            <w:gridSpan w:val="3"/>
            <w:shd w:val="clear" w:color="auto" w:fill="DCE2EF"/>
          </w:tcPr>
          <w:p>
            <w:pPr>
              <w:ind w:left="40"/>
              <w:spacing w:after="0"/>
              <w:rPr>
                <w:sz w:val="20"/>
                <w:szCs w:val="20"/>
                <w:color w:val="auto"/>
              </w:rPr>
            </w:pPr>
            <w:r>
              <w:rPr>
                <w:rFonts w:ascii="Arial" w:cs="Arial" w:eastAsia="Arial" w:hAnsi="Arial"/>
                <w:sz w:val="16"/>
                <w:szCs w:val="16"/>
                <w:color w:val="auto"/>
              </w:rPr>
              <w:t>Technical Solutions</w:t>
            </w:r>
          </w:p>
        </w:tc>
        <w:tc>
          <w:tcPr>
            <w:tcW w:w="400" w:type="dxa"/>
            <w:vAlign w:val="bottom"/>
            <w:shd w:val="clear" w:color="auto" w:fill="DCE2EF"/>
          </w:tcPr>
          <w:p>
            <w:pPr>
              <w:spacing w:after="0"/>
              <w:rPr>
                <w:sz w:val="24"/>
                <w:szCs w:val="24"/>
                <w:color w:val="auto"/>
              </w:rPr>
            </w:pPr>
          </w:p>
        </w:tc>
        <w:tc>
          <w:tcPr>
            <w:tcW w:w="1340" w:type="dxa"/>
            <w:vAlign w:val="bottom"/>
            <w:shd w:val="clear" w:color="auto" w:fill="DCE2EF"/>
          </w:tcPr>
          <w:p>
            <w:pPr>
              <w:jc w:val="right"/>
              <w:ind w:right="81"/>
              <w:spacing w:after="0"/>
              <w:rPr>
                <w:sz w:val="20"/>
                <w:szCs w:val="20"/>
                <w:color w:val="auto"/>
              </w:rPr>
            </w:pPr>
            <w:r>
              <w:rPr>
                <w:rFonts w:ascii="Arial" w:cs="Arial" w:eastAsia="Arial" w:hAnsi="Arial"/>
                <w:sz w:val="16"/>
                <w:szCs w:val="16"/>
                <w:color w:val="auto"/>
              </w:rPr>
              <w:t>7.5</w:t>
            </w:r>
          </w:p>
        </w:tc>
        <w:tc>
          <w:tcPr>
            <w:tcW w:w="120" w:type="dxa"/>
            <w:vAlign w:val="bottom"/>
            <w:shd w:val="clear" w:color="auto" w:fill="DCE2EF"/>
          </w:tcPr>
          <w:p>
            <w:pPr>
              <w:spacing w:after="0"/>
              <w:rPr>
                <w:sz w:val="24"/>
                <w:szCs w:val="24"/>
                <w:color w:val="auto"/>
              </w:rPr>
            </w:pPr>
          </w:p>
        </w:tc>
        <w:tc>
          <w:tcPr>
            <w:tcW w:w="400" w:type="dxa"/>
            <w:vAlign w:val="bottom"/>
            <w:shd w:val="clear" w:color="auto" w:fill="DCE2EF"/>
          </w:tcPr>
          <w:p>
            <w:pPr>
              <w:spacing w:after="0"/>
              <w:rPr>
                <w:sz w:val="24"/>
                <w:szCs w:val="24"/>
                <w:color w:val="auto"/>
              </w:rPr>
            </w:pPr>
          </w:p>
        </w:tc>
        <w:tc>
          <w:tcPr>
            <w:tcW w:w="1340" w:type="dxa"/>
            <w:vAlign w:val="bottom"/>
            <w:shd w:val="clear" w:color="auto" w:fill="DCE2EF"/>
          </w:tcPr>
          <w:p>
            <w:pPr>
              <w:jc w:val="right"/>
              <w:ind w:right="81"/>
              <w:spacing w:after="0"/>
              <w:rPr>
                <w:sz w:val="20"/>
                <w:szCs w:val="20"/>
                <w:color w:val="auto"/>
              </w:rPr>
            </w:pPr>
            <w:r>
              <w:rPr>
                <w:rFonts w:ascii="Arial" w:cs="Arial" w:eastAsia="Arial" w:hAnsi="Arial"/>
                <w:sz w:val="16"/>
                <w:szCs w:val="16"/>
                <w:color w:val="auto"/>
              </w:rPr>
              <w:t>10.2</w:t>
            </w:r>
          </w:p>
        </w:tc>
        <w:tc>
          <w:tcPr>
            <w:tcW w:w="100" w:type="dxa"/>
            <w:vAlign w:val="bottom"/>
            <w:shd w:val="clear" w:color="auto" w:fill="DCE2EF"/>
          </w:tcPr>
          <w:p>
            <w:pPr>
              <w:spacing w:after="0"/>
              <w:rPr>
                <w:sz w:val="24"/>
                <w:szCs w:val="24"/>
                <w:color w:val="auto"/>
              </w:rPr>
            </w:pPr>
          </w:p>
        </w:tc>
        <w:tc>
          <w:tcPr>
            <w:tcW w:w="320" w:type="dxa"/>
            <w:vAlign w:val="bottom"/>
            <w:shd w:val="clear" w:color="auto" w:fill="DCE2EF"/>
          </w:tcPr>
          <w:p>
            <w:pPr>
              <w:spacing w:after="0"/>
              <w:rPr>
                <w:sz w:val="24"/>
                <w:szCs w:val="24"/>
                <w:color w:val="auto"/>
              </w:rPr>
            </w:pPr>
          </w:p>
        </w:tc>
        <w:tc>
          <w:tcPr>
            <w:tcW w:w="920" w:type="dxa"/>
            <w:vAlign w:val="bottom"/>
            <w:shd w:val="clear" w:color="auto" w:fill="DCE2EF"/>
          </w:tcPr>
          <w:p>
            <w:pPr>
              <w:jc w:val="right"/>
              <w:spacing w:after="0"/>
              <w:rPr>
                <w:sz w:val="20"/>
                <w:szCs w:val="20"/>
                <w:color w:val="auto"/>
              </w:rPr>
            </w:pPr>
            <w:r>
              <w:rPr>
                <w:rFonts w:ascii="Arial" w:cs="Arial" w:eastAsia="Arial" w:hAnsi="Arial"/>
                <w:sz w:val="16"/>
                <w:szCs w:val="16"/>
                <w:color w:val="auto"/>
              </w:rPr>
              <w:t>(2.7)</w:t>
            </w:r>
          </w:p>
        </w:tc>
        <w:tc>
          <w:tcPr>
            <w:tcW w:w="1340" w:type="dxa"/>
            <w:vAlign w:val="bottom"/>
            <w:shd w:val="clear" w:color="auto" w:fill="DCE2EF"/>
          </w:tcPr>
          <w:p>
            <w:pPr>
              <w:jc w:val="center"/>
              <w:ind w:left="39"/>
              <w:spacing w:after="0"/>
              <w:rPr>
                <w:sz w:val="20"/>
                <w:szCs w:val="20"/>
                <w:color w:val="auto"/>
              </w:rPr>
            </w:pPr>
            <w:r>
              <w:rPr>
                <w:rFonts w:ascii="Arial" w:cs="Arial" w:eastAsia="Arial" w:hAnsi="Arial"/>
                <w:sz w:val="16"/>
                <w:szCs w:val="16"/>
                <w:color w:val="auto"/>
              </w:rPr>
              <w:t>(26.1)%</w:t>
            </w:r>
          </w:p>
        </w:tc>
        <w:tc>
          <w:tcPr>
            <w:tcW w:w="0" w:type="dxa"/>
            <w:vAlign w:val="bottom"/>
          </w:tcPr>
          <w:p>
            <w:pPr>
              <w:spacing w:after="0"/>
              <w:rPr>
                <w:sz w:val="1"/>
                <w:szCs w:val="1"/>
                <w:color w:val="auto"/>
              </w:rPr>
            </w:pPr>
          </w:p>
        </w:tc>
      </w:tr>
      <w:tr>
        <w:trPr>
          <w:trHeight w:val="264"/>
        </w:trPr>
        <w:tc>
          <w:tcPr>
            <w:tcW w:w="40" w:type="dxa"/>
            <w:vAlign w:val="bottom"/>
          </w:tcPr>
          <w:p>
            <w:pPr>
              <w:spacing w:after="0"/>
              <w:rPr>
                <w:sz w:val="22"/>
                <w:szCs w:val="22"/>
                <w:color w:val="auto"/>
              </w:rPr>
            </w:pPr>
          </w:p>
        </w:tc>
        <w:tc>
          <w:tcPr>
            <w:tcW w:w="4960" w:type="dxa"/>
            <w:vAlign w:val="bottom"/>
            <w:gridSpan w:val="2"/>
          </w:tcPr>
          <w:p>
            <w:pPr>
              <w:ind w:left="140"/>
              <w:spacing w:after="0"/>
              <w:rPr>
                <w:sz w:val="20"/>
                <w:szCs w:val="20"/>
                <w:color w:val="auto"/>
              </w:rPr>
            </w:pPr>
            <w:r>
              <w:rPr>
                <w:rFonts w:ascii="Arial" w:cs="Arial" w:eastAsia="Arial" w:hAnsi="Arial"/>
                <w:sz w:val="14"/>
                <w:szCs w:val="14"/>
                <w:i w:val="1"/>
                <w:iCs w:val="1"/>
                <w:color w:val="auto"/>
              </w:rPr>
              <w:t>Operating profit margin</w:t>
            </w:r>
          </w:p>
        </w:tc>
        <w:tc>
          <w:tcPr>
            <w:tcW w:w="400" w:type="dxa"/>
            <w:vAlign w:val="bottom"/>
          </w:tcPr>
          <w:p>
            <w:pPr>
              <w:spacing w:after="0"/>
              <w:rPr>
                <w:sz w:val="22"/>
                <w:szCs w:val="22"/>
                <w:color w:val="auto"/>
              </w:rPr>
            </w:pPr>
          </w:p>
        </w:tc>
        <w:tc>
          <w:tcPr>
            <w:tcW w:w="1340" w:type="dxa"/>
            <w:vAlign w:val="bottom"/>
          </w:tcPr>
          <w:p>
            <w:pPr>
              <w:jc w:val="right"/>
              <w:spacing w:after="0"/>
              <w:rPr>
                <w:sz w:val="20"/>
                <w:szCs w:val="20"/>
                <w:color w:val="auto"/>
              </w:rPr>
            </w:pPr>
            <w:r>
              <w:rPr>
                <w:rFonts w:ascii="Arial" w:cs="Arial" w:eastAsia="Arial" w:hAnsi="Arial"/>
                <w:sz w:val="14"/>
                <w:szCs w:val="14"/>
                <w:i w:val="1"/>
                <w:iCs w:val="1"/>
                <w:color w:val="auto"/>
              </w:rPr>
              <w:t>7.0%</w:t>
            </w:r>
          </w:p>
        </w:tc>
        <w:tc>
          <w:tcPr>
            <w:tcW w:w="1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340" w:type="dxa"/>
            <w:vAlign w:val="bottom"/>
          </w:tcPr>
          <w:p>
            <w:pPr>
              <w:jc w:val="right"/>
              <w:spacing w:after="0"/>
              <w:rPr>
                <w:sz w:val="20"/>
                <w:szCs w:val="20"/>
                <w:color w:val="auto"/>
              </w:rPr>
            </w:pPr>
            <w:r>
              <w:rPr>
                <w:rFonts w:ascii="Arial" w:cs="Arial" w:eastAsia="Arial" w:hAnsi="Arial"/>
                <w:sz w:val="14"/>
                <w:szCs w:val="14"/>
                <w:i w:val="1"/>
                <w:iCs w:val="1"/>
                <w:color w:val="auto"/>
              </w:rPr>
              <w:t>9.2%</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920" w:type="dxa"/>
            <w:vAlign w:val="bottom"/>
          </w:tcPr>
          <w:p>
            <w:pPr>
              <w:jc w:val="right"/>
              <w:ind w:right="21"/>
              <w:spacing w:after="0"/>
              <w:rPr>
                <w:sz w:val="20"/>
                <w:szCs w:val="20"/>
                <w:color w:val="auto"/>
              </w:rPr>
            </w:pPr>
            <w:r>
              <w:rPr>
                <w:rFonts w:ascii="Arial" w:cs="Arial" w:eastAsia="Arial" w:hAnsi="Arial"/>
                <w:sz w:val="14"/>
                <w:szCs w:val="14"/>
                <w:i w:val="1"/>
                <w:iCs w:val="1"/>
                <w:color w:val="auto"/>
              </w:rPr>
              <w:t>(226) bps</w:t>
            </w:r>
          </w:p>
        </w:tc>
        <w:tc>
          <w:tcPr>
            <w:tcW w:w="13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5000" w:type="dxa"/>
            <w:vAlign w:val="bottom"/>
            <w:gridSpan w:val="3"/>
            <w:shd w:val="clear" w:color="auto" w:fill="DCE2EF"/>
          </w:tcPr>
          <w:p>
            <w:pPr>
              <w:ind w:left="40"/>
              <w:spacing w:after="0"/>
              <w:rPr>
                <w:sz w:val="20"/>
                <w:szCs w:val="20"/>
                <w:color w:val="auto"/>
              </w:rPr>
            </w:pPr>
            <w:r>
              <w:rPr>
                <w:rFonts w:ascii="Arial" w:cs="Arial" w:eastAsia="Arial" w:hAnsi="Arial"/>
                <w:sz w:val="16"/>
                <w:szCs w:val="16"/>
                <w:color w:val="auto"/>
              </w:rPr>
              <w:t>Healthcare</w:t>
            </w:r>
          </w:p>
        </w:tc>
        <w:tc>
          <w:tcPr>
            <w:tcW w:w="400" w:type="dxa"/>
            <w:vAlign w:val="bottom"/>
            <w:shd w:val="clear" w:color="auto" w:fill="DCE2EF"/>
          </w:tcPr>
          <w:p>
            <w:pPr>
              <w:spacing w:after="0"/>
              <w:rPr>
                <w:sz w:val="24"/>
                <w:szCs w:val="24"/>
                <w:color w:val="auto"/>
              </w:rPr>
            </w:pPr>
          </w:p>
        </w:tc>
        <w:tc>
          <w:tcPr>
            <w:tcW w:w="1340" w:type="dxa"/>
            <w:vAlign w:val="bottom"/>
            <w:shd w:val="clear" w:color="auto" w:fill="DCE2EF"/>
          </w:tcPr>
          <w:p>
            <w:pPr>
              <w:jc w:val="right"/>
              <w:ind w:right="81"/>
              <w:spacing w:after="0"/>
              <w:rPr>
                <w:sz w:val="20"/>
                <w:szCs w:val="20"/>
                <w:color w:val="auto"/>
              </w:rPr>
            </w:pPr>
            <w:r>
              <w:rPr>
                <w:rFonts w:ascii="Arial" w:cs="Arial" w:eastAsia="Arial" w:hAnsi="Arial"/>
                <w:sz w:val="16"/>
                <w:szCs w:val="16"/>
                <w:color w:val="auto"/>
              </w:rPr>
              <w:t>2.7</w:t>
            </w:r>
          </w:p>
        </w:tc>
        <w:tc>
          <w:tcPr>
            <w:tcW w:w="120" w:type="dxa"/>
            <w:vAlign w:val="bottom"/>
            <w:shd w:val="clear" w:color="auto" w:fill="DCE2EF"/>
          </w:tcPr>
          <w:p>
            <w:pPr>
              <w:spacing w:after="0"/>
              <w:rPr>
                <w:sz w:val="24"/>
                <w:szCs w:val="24"/>
                <w:color w:val="auto"/>
              </w:rPr>
            </w:pPr>
          </w:p>
        </w:tc>
        <w:tc>
          <w:tcPr>
            <w:tcW w:w="400" w:type="dxa"/>
            <w:vAlign w:val="bottom"/>
            <w:shd w:val="clear" w:color="auto" w:fill="DCE2EF"/>
          </w:tcPr>
          <w:p>
            <w:pPr>
              <w:spacing w:after="0"/>
              <w:rPr>
                <w:sz w:val="24"/>
                <w:szCs w:val="24"/>
                <w:color w:val="auto"/>
              </w:rPr>
            </w:pPr>
          </w:p>
        </w:tc>
        <w:tc>
          <w:tcPr>
            <w:tcW w:w="1340" w:type="dxa"/>
            <w:vAlign w:val="bottom"/>
            <w:shd w:val="clear" w:color="auto" w:fill="DCE2EF"/>
          </w:tcPr>
          <w:p>
            <w:pPr>
              <w:jc w:val="right"/>
              <w:ind w:right="81"/>
              <w:spacing w:after="0"/>
              <w:rPr>
                <w:sz w:val="20"/>
                <w:szCs w:val="20"/>
                <w:color w:val="auto"/>
              </w:rPr>
            </w:pPr>
            <w:r>
              <w:rPr>
                <w:rFonts w:ascii="Arial" w:cs="Arial" w:eastAsia="Arial" w:hAnsi="Arial"/>
                <w:sz w:val="16"/>
                <w:szCs w:val="16"/>
                <w:color w:val="auto"/>
              </w:rPr>
              <w:t>2.4</w:t>
            </w:r>
          </w:p>
        </w:tc>
        <w:tc>
          <w:tcPr>
            <w:tcW w:w="100" w:type="dxa"/>
            <w:vAlign w:val="bottom"/>
            <w:shd w:val="clear" w:color="auto" w:fill="DCE2EF"/>
          </w:tcPr>
          <w:p>
            <w:pPr>
              <w:spacing w:after="0"/>
              <w:rPr>
                <w:sz w:val="24"/>
                <w:szCs w:val="24"/>
                <w:color w:val="auto"/>
              </w:rPr>
            </w:pPr>
          </w:p>
        </w:tc>
        <w:tc>
          <w:tcPr>
            <w:tcW w:w="320" w:type="dxa"/>
            <w:vAlign w:val="bottom"/>
            <w:shd w:val="clear" w:color="auto" w:fill="DCE2EF"/>
          </w:tcPr>
          <w:p>
            <w:pPr>
              <w:spacing w:after="0"/>
              <w:rPr>
                <w:sz w:val="24"/>
                <w:szCs w:val="24"/>
                <w:color w:val="auto"/>
              </w:rPr>
            </w:pPr>
          </w:p>
        </w:tc>
        <w:tc>
          <w:tcPr>
            <w:tcW w:w="920" w:type="dxa"/>
            <w:vAlign w:val="bottom"/>
            <w:shd w:val="clear" w:color="auto" w:fill="DCE2EF"/>
          </w:tcPr>
          <w:p>
            <w:pPr>
              <w:jc w:val="right"/>
              <w:ind w:right="21"/>
              <w:spacing w:after="0"/>
              <w:rPr>
                <w:sz w:val="20"/>
                <w:szCs w:val="20"/>
                <w:color w:val="auto"/>
              </w:rPr>
            </w:pPr>
            <w:r>
              <w:rPr>
                <w:rFonts w:ascii="Arial" w:cs="Arial" w:eastAsia="Arial" w:hAnsi="Arial"/>
                <w:sz w:val="16"/>
                <w:szCs w:val="16"/>
                <w:color w:val="auto"/>
              </w:rPr>
              <w:t>0.3</w:t>
            </w:r>
          </w:p>
        </w:tc>
        <w:tc>
          <w:tcPr>
            <w:tcW w:w="1340" w:type="dxa"/>
            <w:vAlign w:val="bottom"/>
            <w:shd w:val="clear" w:color="auto" w:fill="DCE2EF"/>
          </w:tcPr>
          <w:p>
            <w:pPr>
              <w:jc w:val="center"/>
              <w:ind w:left="39"/>
              <w:spacing w:after="0"/>
              <w:rPr>
                <w:sz w:val="20"/>
                <w:szCs w:val="20"/>
                <w:color w:val="auto"/>
              </w:rPr>
            </w:pPr>
            <w:r>
              <w:rPr>
                <w:rFonts w:ascii="Arial" w:cs="Arial" w:eastAsia="Arial" w:hAnsi="Arial"/>
                <w:sz w:val="16"/>
                <w:szCs w:val="16"/>
                <w:color w:val="auto"/>
              </w:rPr>
              <w:t>8.9%</w:t>
            </w:r>
          </w:p>
        </w:tc>
        <w:tc>
          <w:tcPr>
            <w:tcW w:w="0" w:type="dxa"/>
            <w:vAlign w:val="bottom"/>
          </w:tcPr>
          <w:p>
            <w:pPr>
              <w:spacing w:after="0"/>
              <w:rPr>
                <w:sz w:val="1"/>
                <w:szCs w:val="1"/>
                <w:color w:val="auto"/>
              </w:rPr>
            </w:pPr>
          </w:p>
        </w:tc>
      </w:tr>
      <w:tr>
        <w:trPr>
          <w:trHeight w:val="264"/>
        </w:trPr>
        <w:tc>
          <w:tcPr>
            <w:tcW w:w="40" w:type="dxa"/>
            <w:vAlign w:val="bottom"/>
          </w:tcPr>
          <w:p>
            <w:pPr>
              <w:spacing w:after="0"/>
              <w:rPr>
                <w:sz w:val="22"/>
                <w:szCs w:val="22"/>
                <w:color w:val="auto"/>
              </w:rPr>
            </w:pPr>
          </w:p>
        </w:tc>
        <w:tc>
          <w:tcPr>
            <w:tcW w:w="4960" w:type="dxa"/>
            <w:vAlign w:val="bottom"/>
            <w:gridSpan w:val="2"/>
          </w:tcPr>
          <w:p>
            <w:pPr>
              <w:ind w:left="140"/>
              <w:spacing w:after="0"/>
              <w:rPr>
                <w:sz w:val="20"/>
                <w:szCs w:val="20"/>
                <w:color w:val="auto"/>
              </w:rPr>
            </w:pPr>
            <w:r>
              <w:rPr>
                <w:rFonts w:ascii="Arial" w:cs="Arial" w:eastAsia="Arial" w:hAnsi="Arial"/>
                <w:sz w:val="14"/>
                <w:szCs w:val="14"/>
                <w:i w:val="1"/>
                <w:iCs w:val="1"/>
                <w:color w:val="auto"/>
              </w:rPr>
              <w:t>Operating profit margin</w:t>
            </w:r>
          </w:p>
        </w:tc>
        <w:tc>
          <w:tcPr>
            <w:tcW w:w="400" w:type="dxa"/>
            <w:vAlign w:val="bottom"/>
          </w:tcPr>
          <w:p>
            <w:pPr>
              <w:spacing w:after="0"/>
              <w:rPr>
                <w:sz w:val="22"/>
                <w:szCs w:val="22"/>
                <w:color w:val="auto"/>
              </w:rPr>
            </w:pPr>
          </w:p>
        </w:tc>
        <w:tc>
          <w:tcPr>
            <w:tcW w:w="1340" w:type="dxa"/>
            <w:vAlign w:val="bottom"/>
          </w:tcPr>
          <w:p>
            <w:pPr>
              <w:jc w:val="right"/>
              <w:spacing w:after="0"/>
              <w:rPr>
                <w:sz w:val="20"/>
                <w:szCs w:val="20"/>
                <w:color w:val="auto"/>
              </w:rPr>
            </w:pPr>
            <w:r>
              <w:rPr>
                <w:rFonts w:ascii="Arial" w:cs="Arial" w:eastAsia="Arial" w:hAnsi="Arial"/>
                <w:sz w:val="14"/>
                <w:szCs w:val="14"/>
                <w:i w:val="1"/>
                <w:iCs w:val="1"/>
                <w:color w:val="auto"/>
              </w:rPr>
              <w:t>3.8%</w:t>
            </w:r>
          </w:p>
        </w:tc>
        <w:tc>
          <w:tcPr>
            <w:tcW w:w="1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340" w:type="dxa"/>
            <w:vAlign w:val="bottom"/>
          </w:tcPr>
          <w:p>
            <w:pPr>
              <w:jc w:val="right"/>
              <w:spacing w:after="0"/>
              <w:rPr>
                <w:sz w:val="20"/>
                <w:szCs w:val="20"/>
                <w:color w:val="auto"/>
              </w:rPr>
            </w:pPr>
            <w:r>
              <w:rPr>
                <w:rFonts w:ascii="Arial" w:cs="Arial" w:eastAsia="Arial" w:hAnsi="Arial"/>
                <w:sz w:val="14"/>
                <w:szCs w:val="14"/>
                <w:i w:val="1"/>
                <w:iCs w:val="1"/>
                <w:color w:val="auto"/>
              </w:rPr>
              <w:t>4.0%</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920" w:type="dxa"/>
            <w:vAlign w:val="bottom"/>
          </w:tcPr>
          <w:p>
            <w:pPr>
              <w:jc w:val="right"/>
              <w:ind w:right="21"/>
              <w:spacing w:after="0"/>
              <w:rPr>
                <w:sz w:val="20"/>
                <w:szCs w:val="20"/>
                <w:color w:val="auto"/>
              </w:rPr>
            </w:pPr>
            <w:r>
              <w:rPr>
                <w:rFonts w:ascii="Arial" w:cs="Arial" w:eastAsia="Arial" w:hAnsi="Arial"/>
                <w:sz w:val="14"/>
                <w:szCs w:val="14"/>
                <w:i w:val="1"/>
                <w:iCs w:val="1"/>
                <w:color w:val="auto"/>
              </w:rPr>
              <w:t>(22) bps</w:t>
            </w:r>
          </w:p>
        </w:tc>
        <w:tc>
          <w:tcPr>
            <w:tcW w:w="13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5000" w:type="dxa"/>
            <w:vAlign w:val="bottom"/>
            <w:gridSpan w:val="3"/>
            <w:shd w:val="clear" w:color="auto" w:fill="DCE2EF"/>
          </w:tcPr>
          <w:p>
            <w:pPr>
              <w:ind w:left="40"/>
              <w:spacing w:after="0"/>
              <w:rPr>
                <w:sz w:val="20"/>
                <w:szCs w:val="20"/>
                <w:color w:val="auto"/>
              </w:rPr>
            </w:pPr>
            <w:r>
              <w:rPr>
                <w:rFonts w:ascii="Arial" w:cs="Arial" w:eastAsia="Arial" w:hAnsi="Arial"/>
                <w:sz w:val="16"/>
                <w:szCs w:val="16"/>
                <w:color w:val="auto"/>
              </w:rPr>
              <w:t>Government Services</w:t>
            </w:r>
          </w:p>
        </w:tc>
        <w:tc>
          <w:tcPr>
            <w:tcW w:w="400" w:type="dxa"/>
            <w:vAlign w:val="bottom"/>
            <w:shd w:val="clear" w:color="auto" w:fill="DCE2EF"/>
          </w:tcPr>
          <w:p>
            <w:pPr>
              <w:spacing w:after="0"/>
              <w:rPr>
                <w:sz w:val="24"/>
                <w:szCs w:val="24"/>
                <w:color w:val="auto"/>
              </w:rPr>
            </w:pPr>
          </w:p>
        </w:tc>
        <w:tc>
          <w:tcPr>
            <w:tcW w:w="1460" w:type="dxa"/>
            <w:vAlign w:val="bottom"/>
            <w:gridSpan w:val="2"/>
            <w:shd w:val="clear" w:color="auto" w:fill="DCE2EF"/>
          </w:tcPr>
          <w:p>
            <w:pPr>
              <w:jc w:val="right"/>
              <w:ind w:right="280"/>
              <w:spacing w:after="0"/>
              <w:rPr>
                <w:sz w:val="20"/>
                <w:szCs w:val="20"/>
                <w:color w:val="auto"/>
              </w:rPr>
            </w:pPr>
            <w:r>
              <w:rPr>
                <w:rFonts w:ascii="Arial" w:cs="Arial" w:eastAsia="Arial" w:hAnsi="Arial"/>
                <w:sz w:val="16"/>
                <w:szCs w:val="16"/>
                <w:color w:val="auto"/>
              </w:rPr>
              <w:t>—</w:t>
            </w:r>
          </w:p>
        </w:tc>
        <w:tc>
          <w:tcPr>
            <w:tcW w:w="400" w:type="dxa"/>
            <w:vAlign w:val="bottom"/>
            <w:shd w:val="clear" w:color="auto" w:fill="DCE2EF"/>
          </w:tcPr>
          <w:p>
            <w:pPr>
              <w:spacing w:after="0"/>
              <w:rPr>
                <w:sz w:val="24"/>
                <w:szCs w:val="24"/>
                <w:color w:val="auto"/>
              </w:rPr>
            </w:pPr>
          </w:p>
        </w:tc>
        <w:tc>
          <w:tcPr>
            <w:tcW w:w="1340" w:type="dxa"/>
            <w:vAlign w:val="bottom"/>
            <w:shd w:val="clear" w:color="auto" w:fill="DCE2EF"/>
          </w:tcPr>
          <w:p>
            <w:pPr>
              <w:jc w:val="right"/>
              <w:ind w:right="81"/>
              <w:spacing w:after="0"/>
              <w:rPr>
                <w:sz w:val="20"/>
                <w:szCs w:val="20"/>
                <w:color w:val="auto"/>
              </w:rPr>
            </w:pPr>
            <w:r>
              <w:rPr>
                <w:rFonts w:ascii="Arial" w:cs="Arial" w:eastAsia="Arial" w:hAnsi="Arial"/>
                <w:sz w:val="16"/>
                <w:szCs w:val="16"/>
                <w:color w:val="auto"/>
              </w:rPr>
              <w:t>18.2</w:t>
            </w:r>
          </w:p>
        </w:tc>
        <w:tc>
          <w:tcPr>
            <w:tcW w:w="100" w:type="dxa"/>
            <w:vAlign w:val="bottom"/>
            <w:shd w:val="clear" w:color="auto" w:fill="DCE2EF"/>
          </w:tcPr>
          <w:p>
            <w:pPr>
              <w:spacing w:after="0"/>
              <w:rPr>
                <w:sz w:val="24"/>
                <w:szCs w:val="24"/>
                <w:color w:val="auto"/>
              </w:rPr>
            </w:pPr>
          </w:p>
        </w:tc>
        <w:tc>
          <w:tcPr>
            <w:tcW w:w="320" w:type="dxa"/>
            <w:vAlign w:val="bottom"/>
            <w:shd w:val="clear" w:color="auto" w:fill="DCE2EF"/>
          </w:tcPr>
          <w:p>
            <w:pPr>
              <w:spacing w:after="0"/>
              <w:rPr>
                <w:sz w:val="24"/>
                <w:szCs w:val="24"/>
                <w:color w:val="auto"/>
              </w:rPr>
            </w:pPr>
          </w:p>
        </w:tc>
        <w:tc>
          <w:tcPr>
            <w:tcW w:w="920" w:type="dxa"/>
            <w:vAlign w:val="bottom"/>
            <w:shd w:val="clear" w:color="auto" w:fill="DCE2EF"/>
          </w:tcPr>
          <w:p>
            <w:pPr>
              <w:jc w:val="right"/>
              <w:spacing w:after="0"/>
              <w:rPr>
                <w:sz w:val="20"/>
                <w:szCs w:val="20"/>
                <w:color w:val="auto"/>
              </w:rPr>
            </w:pPr>
            <w:r>
              <w:rPr>
                <w:rFonts w:ascii="Arial" w:cs="Arial" w:eastAsia="Arial" w:hAnsi="Arial"/>
                <w:sz w:val="16"/>
                <w:szCs w:val="16"/>
                <w:color w:val="auto"/>
              </w:rPr>
              <w:t>(18.2)</w:t>
            </w:r>
          </w:p>
        </w:tc>
        <w:tc>
          <w:tcPr>
            <w:tcW w:w="1340" w:type="dxa"/>
            <w:vAlign w:val="bottom"/>
            <w:shd w:val="clear" w:color="auto" w:fill="DCE2EF"/>
          </w:tcPr>
          <w:p>
            <w:pPr>
              <w:ind w:left="580"/>
              <w:spacing w:after="0"/>
              <w:rPr>
                <w:sz w:val="20"/>
                <w:szCs w:val="20"/>
                <w:color w:val="auto"/>
              </w:rPr>
            </w:pPr>
            <w:r>
              <w:rPr>
                <w:rFonts w:ascii="Arial" w:cs="Arial" w:eastAsia="Arial" w:hAnsi="Arial"/>
                <w:sz w:val="16"/>
                <w:szCs w:val="16"/>
                <w:color w:val="auto"/>
              </w:rPr>
              <w:t>NM*</w:t>
            </w:r>
          </w:p>
        </w:tc>
        <w:tc>
          <w:tcPr>
            <w:tcW w:w="0" w:type="dxa"/>
            <w:vAlign w:val="bottom"/>
          </w:tcPr>
          <w:p>
            <w:pPr>
              <w:spacing w:after="0"/>
              <w:rPr>
                <w:sz w:val="1"/>
                <w:szCs w:val="1"/>
                <w:color w:val="auto"/>
              </w:rPr>
            </w:pPr>
          </w:p>
        </w:tc>
      </w:tr>
      <w:tr>
        <w:trPr>
          <w:trHeight w:val="264"/>
        </w:trPr>
        <w:tc>
          <w:tcPr>
            <w:tcW w:w="40" w:type="dxa"/>
            <w:vAlign w:val="bottom"/>
          </w:tcPr>
          <w:p>
            <w:pPr>
              <w:spacing w:after="0"/>
              <w:rPr>
                <w:sz w:val="22"/>
                <w:szCs w:val="22"/>
                <w:color w:val="auto"/>
              </w:rPr>
            </w:pPr>
          </w:p>
        </w:tc>
        <w:tc>
          <w:tcPr>
            <w:tcW w:w="4960" w:type="dxa"/>
            <w:vAlign w:val="bottom"/>
            <w:gridSpan w:val="2"/>
          </w:tcPr>
          <w:p>
            <w:pPr>
              <w:ind w:left="140"/>
              <w:spacing w:after="0"/>
              <w:rPr>
                <w:sz w:val="20"/>
                <w:szCs w:val="20"/>
                <w:color w:val="auto"/>
              </w:rPr>
            </w:pPr>
            <w:r>
              <w:rPr>
                <w:rFonts w:ascii="Arial" w:cs="Arial" w:eastAsia="Arial" w:hAnsi="Arial"/>
                <w:sz w:val="14"/>
                <w:szCs w:val="14"/>
                <w:i w:val="1"/>
                <w:iCs w:val="1"/>
                <w:color w:val="auto"/>
              </w:rPr>
              <w:t>Operating profit margin</w:t>
            </w:r>
          </w:p>
        </w:tc>
        <w:tc>
          <w:tcPr>
            <w:tcW w:w="400" w:type="dxa"/>
            <w:vAlign w:val="bottom"/>
          </w:tcPr>
          <w:p>
            <w:pPr>
              <w:spacing w:after="0"/>
              <w:rPr>
                <w:sz w:val="22"/>
                <w:szCs w:val="22"/>
                <w:color w:val="auto"/>
              </w:rPr>
            </w:pPr>
          </w:p>
        </w:tc>
        <w:tc>
          <w:tcPr>
            <w:tcW w:w="1460" w:type="dxa"/>
            <w:vAlign w:val="bottom"/>
            <w:gridSpan w:val="2"/>
          </w:tcPr>
          <w:p>
            <w:pPr>
              <w:ind w:left="900"/>
              <w:spacing w:after="0"/>
              <w:rPr>
                <w:sz w:val="20"/>
                <w:szCs w:val="20"/>
                <w:color w:val="auto"/>
              </w:rPr>
            </w:pPr>
            <w:r>
              <w:rPr>
                <w:rFonts w:ascii="Arial" w:cs="Arial" w:eastAsia="Arial" w:hAnsi="Arial"/>
                <w:sz w:val="14"/>
                <w:szCs w:val="14"/>
                <w:i w:val="1"/>
                <w:iCs w:val="1"/>
                <w:color w:val="auto"/>
              </w:rPr>
              <w:t>NM*</w:t>
            </w:r>
          </w:p>
        </w:tc>
        <w:tc>
          <w:tcPr>
            <w:tcW w:w="400" w:type="dxa"/>
            <w:vAlign w:val="bottom"/>
          </w:tcPr>
          <w:p>
            <w:pPr>
              <w:spacing w:after="0"/>
              <w:rPr>
                <w:sz w:val="22"/>
                <w:szCs w:val="22"/>
                <w:color w:val="auto"/>
              </w:rPr>
            </w:pPr>
          </w:p>
        </w:tc>
        <w:tc>
          <w:tcPr>
            <w:tcW w:w="1340" w:type="dxa"/>
            <w:vAlign w:val="bottom"/>
          </w:tcPr>
          <w:p>
            <w:pPr>
              <w:jc w:val="right"/>
              <w:spacing w:after="0"/>
              <w:rPr>
                <w:sz w:val="20"/>
                <w:szCs w:val="20"/>
                <w:color w:val="auto"/>
              </w:rPr>
            </w:pPr>
            <w:r>
              <w:rPr>
                <w:rFonts w:ascii="Arial" w:cs="Arial" w:eastAsia="Arial" w:hAnsi="Arial"/>
                <w:sz w:val="14"/>
                <w:szCs w:val="14"/>
                <w:i w:val="1"/>
                <w:iCs w:val="1"/>
                <w:color w:val="auto"/>
              </w:rPr>
              <w:t>42.3%</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920" w:type="dxa"/>
            <w:vAlign w:val="bottom"/>
          </w:tcPr>
          <w:p>
            <w:pPr>
              <w:jc w:val="right"/>
              <w:ind w:right="21"/>
              <w:spacing w:after="0"/>
              <w:rPr>
                <w:sz w:val="20"/>
                <w:szCs w:val="20"/>
                <w:color w:val="auto"/>
              </w:rPr>
            </w:pPr>
            <w:r>
              <w:rPr>
                <w:rFonts w:ascii="Arial" w:cs="Arial" w:eastAsia="Arial" w:hAnsi="Arial"/>
                <w:sz w:val="14"/>
                <w:szCs w:val="14"/>
                <w:i w:val="1"/>
                <w:iCs w:val="1"/>
                <w:color w:val="auto"/>
              </w:rPr>
              <w:t>NM*</w:t>
            </w:r>
          </w:p>
        </w:tc>
        <w:tc>
          <w:tcPr>
            <w:tcW w:w="13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5000" w:type="dxa"/>
            <w:vAlign w:val="bottom"/>
            <w:gridSpan w:val="3"/>
            <w:shd w:val="clear" w:color="auto" w:fill="DCE2EF"/>
          </w:tcPr>
          <w:p>
            <w:pPr>
              <w:ind w:left="40"/>
              <w:spacing w:after="0"/>
              <w:rPr>
                <w:sz w:val="20"/>
                <w:szCs w:val="20"/>
                <w:color w:val="auto"/>
              </w:rPr>
            </w:pPr>
            <w:r>
              <w:rPr>
                <w:rFonts w:ascii="Arial" w:cs="Arial" w:eastAsia="Arial" w:hAnsi="Arial"/>
                <w:sz w:val="16"/>
                <w:szCs w:val="16"/>
                <w:color w:val="auto"/>
              </w:rPr>
              <w:t>Corporate</w:t>
            </w:r>
          </w:p>
        </w:tc>
        <w:tc>
          <w:tcPr>
            <w:tcW w:w="400" w:type="dxa"/>
            <w:vAlign w:val="bottom"/>
            <w:shd w:val="clear" w:color="auto" w:fill="DCE2EF"/>
          </w:tcPr>
          <w:p>
            <w:pPr>
              <w:spacing w:after="0"/>
              <w:rPr>
                <w:sz w:val="24"/>
                <w:szCs w:val="24"/>
                <w:color w:val="auto"/>
              </w:rPr>
            </w:pPr>
          </w:p>
        </w:tc>
        <w:tc>
          <w:tcPr>
            <w:tcW w:w="1340" w:type="dxa"/>
            <w:vAlign w:val="bottom"/>
            <w:shd w:val="clear" w:color="auto" w:fill="DCE2EF"/>
          </w:tcPr>
          <w:p>
            <w:pPr>
              <w:jc w:val="right"/>
              <w:ind w:right="21"/>
              <w:spacing w:after="0"/>
              <w:rPr>
                <w:sz w:val="20"/>
                <w:szCs w:val="20"/>
                <w:color w:val="auto"/>
              </w:rPr>
            </w:pPr>
            <w:r>
              <w:rPr>
                <w:rFonts w:ascii="Arial" w:cs="Arial" w:eastAsia="Arial" w:hAnsi="Arial"/>
                <w:sz w:val="16"/>
                <w:szCs w:val="16"/>
                <w:color w:val="auto"/>
              </w:rPr>
              <w:t>(37.1)</w:t>
            </w:r>
          </w:p>
        </w:tc>
        <w:tc>
          <w:tcPr>
            <w:tcW w:w="120" w:type="dxa"/>
            <w:vAlign w:val="bottom"/>
            <w:shd w:val="clear" w:color="auto" w:fill="DCE2EF"/>
          </w:tcPr>
          <w:p>
            <w:pPr>
              <w:spacing w:after="0"/>
              <w:rPr>
                <w:sz w:val="24"/>
                <w:szCs w:val="24"/>
                <w:color w:val="auto"/>
              </w:rPr>
            </w:pPr>
          </w:p>
        </w:tc>
        <w:tc>
          <w:tcPr>
            <w:tcW w:w="400" w:type="dxa"/>
            <w:vAlign w:val="bottom"/>
            <w:shd w:val="clear" w:color="auto" w:fill="DCE2EF"/>
          </w:tcPr>
          <w:p>
            <w:pPr>
              <w:spacing w:after="0"/>
              <w:rPr>
                <w:sz w:val="24"/>
                <w:szCs w:val="24"/>
                <w:color w:val="auto"/>
              </w:rPr>
            </w:pPr>
          </w:p>
        </w:tc>
        <w:tc>
          <w:tcPr>
            <w:tcW w:w="1340" w:type="dxa"/>
            <w:vAlign w:val="bottom"/>
            <w:shd w:val="clear" w:color="auto" w:fill="DCE2EF"/>
          </w:tcPr>
          <w:p>
            <w:pPr>
              <w:jc w:val="right"/>
              <w:ind w:right="41"/>
              <w:spacing w:after="0"/>
              <w:rPr>
                <w:sz w:val="20"/>
                <w:szCs w:val="20"/>
                <w:color w:val="auto"/>
              </w:rPr>
            </w:pPr>
            <w:r>
              <w:rPr>
                <w:rFonts w:ascii="Arial" w:cs="Arial" w:eastAsia="Arial" w:hAnsi="Arial"/>
                <w:sz w:val="16"/>
                <w:szCs w:val="16"/>
                <w:color w:val="auto"/>
              </w:rPr>
              <w:t>(36.4)</w:t>
            </w:r>
          </w:p>
        </w:tc>
        <w:tc>
          <w:tcPr>
            <w:tcW w:w="100" w:type="dxa"/>
            <w:vAlign w:val="bottom"/>
            <w:shd w:val="clear" w:color="auto" w:fill="DCE2EF"/>
          </w:tcPr>
          <w:p>
            <w:pPr>
              <w:spacing w:after="0"/>
              <w:rPr>
                <w:sz w:val="24"/>
                <w:szCs w:val="24"/>
                <w:color w:val="auto"/>
              </w:rPr>
            </w:pPr>
          </w:p>
        </w:tc>
        <w:tc>
          <w:tcPr>
            <w:tcW w:w="320" w:type="dxa"/>
            <w:vAlign w:val="bottom"/>
            <w:shd w:val="clear" w:color="auto" w:fill="DCE2EF"/>
          </w:tcPr>
          <w:p>
            <w:pPr>
              <w:spacing w:after="0"/>
              <w:rPr>
                <w:sz w:val="24"/>
                <w:szCs w:val="24"/>
                <w:color w:val="auto"/>
              </w:rPr>
            </w:pPr>
          </w:p>
        </w:tc>
        <w:tc>
          <w:tcPr>
            <w:tcW w:w="920" w:type="dxa"/>
            <w:vAlign w:val="bottom"/>
            <w:shd w:val="clear" w:color="auto" w:fill="DCE2EF"/>
          </w:tcPr>
          <w:p>
            <w:pPr>
              <w:jc w:val="right"/>
              <w:spacing w:after="0"/>
              <w:rPr>
                <w:sz w:val="20"/>
                <w:szCs w:val="20"/>
                <w:color w:val="auto"/>
              </w:rPr>
            </w:pPr>
            <w:r>
              <w:rPr>
                <w:rFonts w:ascii="Arial" w:cs="Arial" w:eastAsia="Arial" w:hAnsi="Arial"/>
                <w:sz w:val="16"/>
                <w:szCs w:val="16"/>
                <w:color w:val="auto"/>
              </w:rPr>
              <w:t>(0.7)</w:t>
            </w:r>
          </w:p>
        </w:tc>
        <w:tc>
          <w:tcPr>
            <w:tcW w:w="1340" w:type="dxa"/>
            <w:vAlign w:val="bottom"/>
            <w:shd w:val="clear" w:color="auto" w:fill="DCE2EF"/>
          </w:tcPr>
          <w:p>
            <w:pPr>
              <w:jc w:val="center"/>
              <w:ind w:left="39"/>
              <w:spacing w:after="0"/>
              <w:rPr>
                <w:sz w:val="20"/>
                <w:szCs w:val="20"/>
                <w:color w:val="auto"/>
              </w:rPr>
            </w:pPr>
            <w:r>
              <w:rPr>
                <w:rFonts w:ascii="Arial" w:cs="Arial" w:eastAsia="Arial" w:hAnsi="Arial"/>
                <w:sz w:val="16"/>
                <w:szCs w:val="16"/>
                <w:color w:val="auto"/>
              </w:rPr>
              <w:t>1.8%</w:t>
            </w:r>
          </w:p>
        </w:tc>
        <w:tc>
          <w:tcPr>
            <w:tcW w:w="0" w:type="dxa"/>
            <w:vAlign w:val="bottom"/>
          </w:tcPr>
          <w:p>
            <w:pPr>
              <w:spacing w:after="0"/>
              <w:rPr>
                <w:sz w:val="1"/>
                <w:szCs w:val="1"/>
                <w:color w:val="auto"/>
              </w:rPr>
            </w:pPr>
          </w:p>
        </w:tc>
      </w:tr>
      <w:tr>
        <w:trPr>
          <w:trHeight w:val="218"/>
        </w:trPr>
        <w:tc>
          <w:tcPr>
            <w:tcW w:w="5000" w:type="dxa"/>
            <w:vAlign w:val="bottom"/>
            <w:gridSpan w:val="3"/>
          </w:tcPr>
          <w:p>
            <w:pPr>
              <w:ind w:left="40"/>
              <w:spacing w:after="0"/>
              <w:rPr>
                <w:sz w:val="20"/>
                <w:szCs w:val="20"/>
                <w:color w:val="auto"/>
              </w:rPr>
            </w:pPr>
            <w:r>
              <w:rPr>
                <w:rFonts w:ascii="Arial" w:cs="Arial" w:eastAsia="Arial" w:hAnsi="Arial"/>
                <w:sz w:val="16"/>
                <w:szCs w:val="16"/>
                <w:color w:val="auto"/>
              </w:rPr>
              <w:t>Adjustment for income from unconsolidated affiliates, net, included in</w:t>
            </w:r>
          </w:p>
        </w:tc>
        <w:tc>
          <w:tcPr>
            <w:tcW w:w="4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4"/>
        </w:trPr>
        <w:tc>
          <w:tcPr>
            <w:tcW w:w="40" w:type="dxa"/>
            <w:vAlign w:val="bottom"/>
          </w:tcPr>
          <w:p>
            <w:pPr>
              <w:spacing w:after="0"/>
              <w:rPr>
                <w:sz w:val="17"/>
                <w:szCs w:val="17"/>
                <w:color w:val="auto"/>
              </w:rPr>
            </w:pPr>
          </w:p>
        </w:tc>
        <w:tc>
          <w:tcPr>
            <w:tcW w:w="4960" w:type="dxa"/>
            <w:vAlign w:val="bottom"/>
            <w:gridSpan w:val="2"/>
          </w:tcPr>
          <w:p>
            <w:pPr>
              <w:ind w:left="160"/>
              <w:spacing w:after="0"/>
              <w:rPr>
                <w:sz w:val="20"/>
                <w:szCs w:val="20"/>
                <w:color w:val="auto"/>
              </w:rPr>
            </w:pPr>
            <w:r>
              <w:rPr>
                <w:rFonts w:ascii="Arial" w:cs="Arial" w:eastAsia="Arial" w:hAnsi="Arial"/>
                <w:sz w:val="16"/>
                <w:szCs w:val="16"/>
                <w:color w:val="auto"/>
              </w:rPr>
              <w:t>Aviation and Government Services</w:t>
            </w:r>
          </w:p>
        </w:tc>
        <w:tc>
          <w:tcPr>
            <w:tcW w:w="400" w:type="dxa"/>
            <w:vAlign w:val="bottom"/>
          </w:tcPr>
          <w:p>
            <w:pPr>
              <w:spacing w:after="0"/>
              <w:rPr>
                <w:sz w:val="17"/>
                <w:szCs w:val="17"/>
                <w:color w:val="auto"/>
              </w:rPr>
            </w:pPr>
          </w:p>
        </w:tc>
        <w:tc>
          <w:tcPr>
            <w:tcW w:w="1340" w:type="dxa"/>
            <w:vAlign w:val="bottom"/>
          </w:tcPr>
          <w:p>
            <w:pPr>
              <w:jc w:val="right"/>
              <w:ind w:right="21"/>
              <w:spacing w:after="0"/>
              <w:rPr>
                <w:sz w:val="20"/>
                <w:szCs w:val="20"/>
                <w:color w:val="auto"/>
              </w:rPr>
            </w:pPr>
            <w:r>
              <w:rPr>
                <w:rFonts w:ascii="Arial" w:cs="Arial" w:eastAsia="Arial" w:hAnsi="Arial"/>
                <w:sz w:val="16"/>
                <w:szCs w:val="16"/>
                <w:color w:val="auto"/>
              </w:rPr>
              <w:t>(1.0)</w:t>
            </w:r>
          </w:p>
        </w:tc>
        <w:tc>
          <w:tcPr>
            <w:tcW w:w="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340" w:type="dxa"/>
            <w:vAlign w:val="bottom"/>
          </w:tcPr>
          <w:p>
            <w:pPr>
              <w:jc w:val="right"/>
              <w:ind w:right="41"/>
              <w:spacing w:after="0"/>
              <w:rPr>
                <w:sz w:val="20"/>
                <w:szCs w:val="20"/>
                <w:color w:val="auto"/>
              </w:rPr>
            </w:pPr>
            <w:r>
              <w:rPr>
                <w:rFonts w:ascii="Arial" w:cs="Arial" w:eastAsia="Arial" w:hAnsi="Arial"/>
                <w:sz w:val="16"/>
                <w:szCs w:val="16"/>
                <w:color w:val="auto"/>
              </w:rPr>
              <w:t>(1.1)</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20" w:type="dxa"/>
            <w:vAlign w:val="bottom"/>
          </w:tcPr>
          <w:p>
            <w:pPr>
              <w:jc w:val="right"/>
              <w:ind w:right="21"/>
              <w:spacing w:after="0"/>
              <w:rPr>
                <w:sz w:val="20"/>
                <w:szCs w:val="20"/>
                <w:color w:val="auto"/>
              </w:rPr>
            </w:pPr>
            <w:r>
              <w:rPr>
                <w:rFonts w:ascii="Arial" w:cs="Arial" w:eastAsia="Arial" w:hAnsi="Arial"/>
                <w:sz w:val="16"/>
                <w:szCs w:val="16"/>
                <w:color w:val="auto"/>
              </w:rPr>
              <w:t>0.1</w:t>
            </w:r>
          </w:p>
        </w:tc>
        <w:tc>
          <w:tcPr>
            <w:tcW w:w="1340" w:type="dxa"/>
            <w:vAlign w:val="bottom"/>
          </w:tcPr>
          <w:p>
            <w:pPr>
              <w:jc w:val="center"/>
              <w:ind w:left="39"/>
              <w:spacing w:after="0"/>
              <w:rPr>
                <w:sz w:val="20"/>
                <w:szCs w:val="20"/>
                <w:color w:val="auto"/>
              </w:rPr>
            </w:pPr>
            <w:r>
              <w:rPr>
                <w:rFonts w:ascii="Arial" w:cs="Arial" w:eastAsia="Arial" w:hAnsi="Arial"/>
                <w:sz w:val="16"/>
                <w:szCs w:val="16"/>
                <w:color w:val="auto"/>
              </w:rPr>
              <w:t>8.1%</w:t>
            </w:r>
          </w:p>
        </w:tc>
        <w:tc>
          <w:tcPr>
            <w:tcW w:w="0" w:type="dxa"/>
            <w:vAlign w:val="bottom"/>
          </w:tcPr>
          <w:p>
            <w:pPr>
              <w:spacing w:after="0"/>
              <w:rPr>
                <w:sz w:val="1"/>
                <w:szCs w:val="1"/>
                <w:color w:val="auto"/>
              </w:rPr>
            </w:pPr>
          </w:p>
        </w:tc>
      </w:tr>
      <w:tr>
        <w:trPr>
          <w:trHeight w:val="226"/>
        </w:trPr>
        <w:tc>
          <w:tcPr>
            <w:tcW w:w="40" w:type="dxa"/>
            <w:vAlign w:val="bottom"/>
            <w:shd w:val="clear" w:color="auto" w:fill="DCE2EF"/>
          </w:tcPr>
          <w:p>
            <w:pPr>
              <w:spacing w:after="0"/>
              <w:rPr>
                <w:sz w:val="19"/>
                <w:szCs w:val="19"/>
                <w:color w:val="auto"/>
              </w:rPr>
            </w:pPr>
          </w:p>
        </w:tc>
        <w:tc>
          <w:tcPr>
            <w:tcW w:w="4960" w:type="dxa"/>
            <w:vAlign w:val="bottom"/>
            <w:gridSpan w:val="2"/>
            <w:shd w:val="clear" w:color="auto" w:fill="DCE2EF"/>
          </w:tcPr>
          <w:p>
            <w:pPr>
              <w:spacing w:after="0"/>
              <w:rPr>
                <w:sz w:val="20"/>
                <w:szCs w:val="20"/>
                <w:color w:val="auto"/>
              </w:rPr>
            </w:pPr>
            <w:r>
              <w:rPr>
                <w:rFonts w:ascii="Arial" w:cs="Arial" w:eastAsia="Arial" w:hAnsi="Arial"/>
                <w:sz w:val="16"/>
                <w:szCs w:val="16"/>
                <w:color w:val="auto"/>
                <w:shd w:val="clear" w:color="auto" w:fill="DCE2EF"/>
              </w:rPr>
              <w:t>Adjustment for tax deductions for energy efficient government</w:t>
            </w:r>
          </w:p>
        </w:tc>
        <w:tc>
          <w:tcPr>
            <w:tcW w:w="400" w:type="dxa"/>
            <w:vAlign w:val="bottom"/>
            <w:shd w:val="clear" w:color="auto" w:fill="DCE2EF"/>
          </w:tcPr>
          <w:p>
            <w:pPr>
              <w:spacing w:after="0"/>
              <w:rPr>
                <w:sz w:val="19"/>
                <w:szCs w:val="19"/>
                <w:color w:val="auto"/>
              </w:rPr>
            </w:pPr>
          </w:p>
        </w:tc>
        <w:tc>
          <w:tcPr>
            <w:tcW w:w="1340" w:type="dxa"/>
            <w:vAlign w:val="bottom"/>
            <w:shd w:val="clear" w:color="auto" w:fill="DCE2EF"/>
          </w:tcPr>
          <w:p>
            <w:pPr>
              <w:spacing w:after="0"/>
              <w:rPr>
                <w:sz w:val="19"/>
                <w:szCs w:val="19"/>
                <w:color w:val="auto"/>
              </w:rPr>
            </w:pPr>
          </w:p>
        </w:tc>
        <w:tc>
          <w:tcPr>
            <w:tcW w:w="120" w:type="dxa"/>
            <w:vAlign w:val="bottom"/>
            <w:shd w:val="clear" w:color="auto" w:fill="DCE2EF"/>
          </w:tcPr>
          <w:p>
            <w:pPr>
              <w:spacing w:after="0"/>
              <w:rPr>
                <w:sz w:val="19"/>
                <w:szCs w:val="19"/>
                <w:color w:val="auto"/>
              </w:rPr>
            </w:pPr>
          </w:p>
        </w:tc>
        <w:tc>
          <w:tcPr>
            <w:tcW w:w="400" w:type="dxa"/>
            <w:vAlign w:val="bottom"/>
            <w:shd w:val="clear" w:color="auto" w:fill="DCE2EF"/>
          </w:tcPr>
          <w:p>
            <w:pPr>
              <w:spacing w:after="0"/>
              <w:rPr>
                <w:sz w:val="19"/>
                <w:szCs w:val="19"/>
                <w:color w:val="auto"/>
              </w:rPr>
            </w:pPr>
          </w:p>
        </w:tc>
        <w:tc>
          <w:tcPr>
            <w:tcW w:w="1340" w:type="dxa"/>
            <w:vAlign w:val="bottom"/>
            <w:shd w:val="clear" w:color="auto" w:fill="DCE2EF"/>
          </w:tcPr>
          <w:p>
            <w:pPr>
              <w:spacing w:after="0"/>
              <w:rPr>
                <w:sz w:val="19"/>
                <w:szCs w:val="19"/>
                <w:color w:val="auto"/>
              </w:rPr>
            </w:pPr>
          </w:p>
        </w:tc>
        <w:tc>
          <w:tcPr>
            <w:tcW w:w="100" w:type="dxa"/>
            <w:vAlign w:val="bottom"/>
            <w:shd w:val="clear" w:color="auto" w:fill="DCE2EF"/>
          </w:tcPr>
          <w:p>
            <w:pPr>
              <w:spacing w:after="0"/>
              <w:rPr>
                <w:sz w:val="19"/>
                <w:szCs w:val="19"/>
                <w:color w:val="auto"/>
              </w:rPr>
            </w:pPr>
          </w:p>
        </w:tc>
        <w:tc>
          <w:tcPr>
            <w:tcW w:w="320" w:type="dxa"/>
            <w:vAlign w:val="bottom"/>
            <w:shd w:val="clear" w:color="auto" w:fill="DCE2EF"/>
          </w:tcPr>
          <w:p>
            <w:pPr>
              <w:spacing w:after="0"/>
              <w:rPr>
                <w:sz w:val="19"/>
                <w:szCs w:val="19"/>
                <w:color w:val="auto"/>
              </w:rPr>
            </w:pPr>
          </w:p>
        </w:tc>
        <w:tc>
          <w:tcPr>
            <w:tcW w:w="920" w:type="dxa"/>
            <w:vAlign w:val="bottom"/>
            <w:shd w:val="clear" w:color="auto" w:fill="DCE2EF"/>
          </w:tcPr>
          <w:p>
            <w:pPr>
              <w:spacing w:after="0"/>
              <w:rPr>
                <w:sz w:val="19"/>
                <w:szCs w:val="19"/>
                <w:color w:val="auto"/>
              </w:rPr>
            </w:pPr>
          </w:p>
        </w:tc>
        <w:tc>
          <w:tcPr>
            <w:tcW w:w="1340" w:type="dxa"/>
            <w:vAlign w:val="bottom"/>
            <w:shd w:val="clear" w:color="auto" w:fill="DCE2E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0" w:type="dxa"/>
            <w:vAlign w:val="bottom"/>
            <w:tcBorders>
              <w:bottom w:val="single" w:sz="8" w:color="DCE2EF"/>
            </w:tcBorders>
            <w:shd w:val="clear" w:color="auto" w:fill="DCE2EF"/>
          </w:tcPr>
          <w:p>
            <w:pPr>
              <w:spacing w:after="0"/>
              <w:rPr>
                <w:sz w:val="18"/>
                <w:szCs w:val="18"/>
                <w:color w:val="auto"/>
              </w:rPr>
            </w:pPr>
          </w:p>
        </w:tc>
        <w:tc>
          <w:tcPr>
            <w:tcW w:w="4960" w:type="dxa"/>
            <w:vAlign w:val="bottom"/>
            <w:tcBorders>
              <w:bottom w:val="single" w:sz="8" w:color="DCE2EF"/>
            </w:tcBorders>
            <w:gridSpan w:val="2"/>
            <w:shd w:val="clear" w:color="auto" w:fill="DCE2EF"/>
          </w:tcPr>
          <w:p>
            <w:pPr>
              <w:ind w:left="160"/>
              <w:spacing w:after="0"/>
              <w:rPr>
                <w:sz w:val="20"/>
                <w:szCs w:val="20"/>
                <w:color w:val="auto"/>
              </w:rPr>
            </w:pPr>
            <w:r>
              <w:rPr>
                <w:rFonts w:ascii="Arial" w:cs="Arial" w:eastAsia="Arial" w:hAnsi="Arial"/>
                <w:sz w:val="16"/>
                <w:szCs w:val="16"/>
                <w:color w:val="auto"/>
                <w:shd w:val="clear" w:color="auto" w:fill="DCE2EF"/>
              </w:rPr>
              <w:t>buildings, included in Technical Solutions</w:t>
            </w:r>
          </w:p>
        </w:tc>
        <w:tc>
          <w:tcPr>
            <w:tcW w:w="400" w:type="dxa"/>
            <w:vAlign w:val="bottom"/>
            <w:tcBorders>
              <w:bottom w:val="single" w:sz="8" w:color="DCE2EF"/>
            </w:tcBorders>
            <w:shd w:val="clear" w:color="auto" w:fill="DCE2EF"/>
          </w:tcPr>
          <w:p>
            <w:pPr>
              <w:spacing w:after="0"/>
              <w:rPr>
                <w:sz w:val="18"/>
                <w:szCs w:val="18"/>
                <w:color w:val="auto"/>
              </w:rPr>
            </w:pPr>
          </w:p>
        </w:tc>
        <w:tc>
          <w:tcPr>
            <w:tcW w:w="1340" w:type="dxa"/>
            <w:vAlign w:val="bottom"/>
            <w:tcBorders>
              <w:bottom w:val="single" w:sz="8" w:color="DCE2EF"/>
            </w:tcBorders>
            <w:shd w:val="clear" w:color="auto" w:fill="DCE2EF"/>
          </w:tcPr>
          <w:p>
            <w:pPr>
              <w:jc w:val="right"/>
              <w:ind w:right="21"/>
              <w:spacing w:after="0"/>
              <w:rPr>
                <w:sz w:val="20"/>
                <w:szCs w:val="20"/>
                <w:color w:val="auto"/>
              </w:rPr>
            </w:pPr>
            <w:r>
              <w:rPr>
                <w:rFonts w:ascii="Arial" w:cs="Arial" w:eastAsia="Arial" w:hAnsi="Arial"/>
                <w:sz w:val="16"/>
                <w:szCs w:val="16"/>
                <w:color w:val="auto"/>
              </w:rPr>
              <w:t>(2.0)</w:t>
            </w:r>
          </w:p>
        </w:tc>
        <w:tc>
          <w:tcPr>
            <w:tcW w:w="120" w:type="dxa"/>
            <w:vAlign w:val="bottom"/>
            <w:tcBorders>
              <w:bottom w:val="single" w:sz="8" w:color="DCE2EF"/>
            </w:tcBorders>
            <w:shd w:val="clear" w:color="auto" w:fill="DCE2EF"/>
          </w:tcPr>
          <w:p>
            <w:pPr>
              <w:spacing w:after="0"/>
              <w:rPr>
                <w:sz w:val="18"/>
                <w:szCs w:val="18"/>
                <w:color w:val="auto"/>
              </w:rPr>
            </w:pPr>
          </w:p>
        </w:tc>
        <w:tc>
          <w:tcPr>
            <w:tcW w:w="400" w:type="dxa"/>
            <w:vAlign w:val="bottom"/>
            <w:tcBorders>
              <w:bottom w:val="single" w:sz="8" w:color="DCE2EF"/>
            </w:tcBorders>
            <w:shd w:val="clear" w:color="auto" w:fill="DCE2EF"/>
          </w:tcPr>
          <w:p>
            <w:pPr>
              <w:spacing w:after="0"/>
              <w:rPr>
                <w:sz w:val="18"/>
                <w:szCs w:val="18"/>
                <w:color w:val="auto"/>
              </w:rPr>
            </w:pPr>
          </w:p>
        </w:tc>
        <w:tc>
          <w:tcPr>
            <w:tcW w:w="1340" w:type="dxa"/>
            <w:vAlign w:val="bottom"/>
            <w:tcBorders>
              <w:bottom w:val="single" w:sz="8" w:color="DCE2EF"/>
            </w:tcBorders>
            <w:shd w:val="clear" w:color="auto" w:fill="DCE2EF"/>
          </w:tcPr>
          <w:p>
            <w:pPr>
              <w:jc w:val="right"/>
              <w:ind w:right="41"/>
              <w:spacing w:after="0"/>
              <w:rPr>
                <w:sz w:val="20"/>
                <w:szCs w:val="20"/>
                <w:color w:val="auto"/>
              </w:rPr>
            </w:pPr>
            <w:r>
              <w:rPr>
                <w:rFonts w:ascii="Arial" w:cs="Arial" w:eastAsia="Arial" w:hAnsi="Arial"/>
                <w:sz w:val="16"/>
                <w:szCs w:val="16"/>
                <w:color w:val="auto"/>
              </w:rPr>
              <w:t>(0.8)</w:t>
            </w:r>
          </w:p>
        </w:tc>
        <w:tc>
          <w:tcPr>
            <w:tcW w:w="100" w:type="dxa"/>
            <w:vAlign w:val="bottom"/>
            <w:tcBorders>
              <w:bottom w:val="single" w:sz="8" w:color="DCE2EF"/>
            </w:tcBorders>
            <w:shd w:val="clear" w:color="auto" w:fill="DCE2EF"/>
          </w:tcPr>
          <w:p>
            <w:pPr>
              <w:spacing w:after="0"/>
              <w:rPr>
                <w:sz w:val="18"/>
                <w:szCs w:val="18"/>
                <w:color w:val="auto"/>
              </w:rPr>
            </w:pPr>
          </w:p>
        </w:tc>
        <w:tc>
          <w:tcPr>
            <w:tcW w:w="320" w:type="dxa"/>
            <w:vAlign w:val="bottom"/>
            <w:tcBorders>
              <w:bottom w:val="single" w:sz="8" w:color="DCE2EF"/>
            </w:tcBorders>
            <w:shd w:val="clear" w:color="auto" w:fill="DCE2EF"/>
          </w:tcPr>
          <w:p>
            <w:pPr>
              <w:spacing w:after="0"/>
              <w:rPr>
                <w:sz w:val="18"/>
                <w:szCs w:val="18"/>
                <w:color w:val="auto"/>
              </w:rPr>
            </w:pPr>
          </w:p>
        </w:tc>
        <w:tc>
          <w:tcPr>
            <w:tcW w:w="920" w:type="dxa"/>
            <w:vAlign w:val="bottom"/>
            <w:tcBorders>
              <w:bottom w:val="single" w:sz="8" w:color="DCE2EF"/>
            </w:tcBorders>
            <w:shd w:val="clear" w:color="auto" w:fill="DCE2EF"/>
          </w:tcPr>
          <w:p>
            <w:pPr>
              <w:jc w:val="right"/>
              <w:spacing w:after="0"/>
              <w:rPr>
                <w:sz w:val="20"/>
                <w:szCs w:val="20"/>
                <w:color w:val="auto"/>
              </w:rPr>
            </w:pPr>
            <w:r>
              <w:rPr>
                <w:rFonts w:ascii="Arial" w:cs="Arial" w:eastAsia="Arial" w:hAnsi="Arial"/>
                <w:sz w:val="16"/>
                <w:szCs w:val="16"/>
                <w:color w:val="auto"/>
              </w:rPr>
              <w:t>(1.2)</w:t>
            </w:r>
          </w:p>
        </w:tc>
        <w:tc>
          <w:tcPr>
            <w:tcW w:w="1340" w:type="dxa"/>
            <w:vAlign w:val="bottom"/>
            <w:tcBorders>
              <w:bottom w:val="single" w:sz="8" w:color="DCE2EF"/>
            </w:tcBorders>
            <w:shd w:val="clear" w:color="auto" w:fill="DCE2EF"/>
          </w:tcPr>
          <w:p>
            <w:pPr>
              <w:ind w:left="580"/>
              <w:spacing w:after="0"/>
              <w:rPr>
                <w:sz w:val="20"/>
                <w:szCs w:val="20"/>
                <w:color w:val="auto"/>
              </w:rPr>
            </w:pPr>
            <w:r>
              <w:rPr>
                <w:rFonts w:ascii="Arial" w:cs="Arial" w:eastAsia="Arial" w:hAnsi="Arial"/>
                <w:sz w:val="16"/>
                <w:szCs w:val="16"/>
                <w:color w:val="auto"/>
              </w:rPr>
              <w:t>NM*</w:t>
            </w:r>
          </w:p>
        </w:tc>
        <w:tc>
          <w:tcPr>
            <w:tcW w:w="0" w:type="dxa"/>
            <w:vAlign w:val="bottom"/>
          </w:tcPr>
          <w:p>
            <w:pPr>
              <w:spacing w:after="0"/>
              <w:rPr>
                <w:sz w:val="1"/>
                <w:szCs w:val="1"/>
                <w:color w:val="auto"/>
              </w:rPr>
            </w:pPr>
          </w:p>
        </w:tc>
      </w:tr>
      <w:tr>
        <w:trPr>
          <w:trHeight w:val="234"/>
        </w:trPr>
        <w:tc>
          <w:tcPr>
            <w:tcW w:w="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4140" w:type="dxa"/>
            <w:vAlign w:val="bottom"/>
          </w:tcPr>
          <w:p>
            <w:pPr>
              <w:spacing w:after="0"/>
              <w:rPr>
                <w:sz w:val="20"/>
                <w:szCs w:val="20"/>
                <w:color w:val="auto"/>
              </w:rPr>
            </w:pPr>
          </w:p>
        </w:tc>
        <w:tc>
          <w:tcPr>
            <w:tcW w:w="400" w:type="dxa"/>
            <w:vAlign w:val="bottom"/>
            <w:tcBorders>
              <w:top w:val="single" w:sz="8" w:color="auto"/>
              <w:bottom w:val="single" w:sz="8" w:color="auto"/>
            </w:tcBorders>
          </w:tcPr>
          <w:p>
            <w:pPr>
              <w:jc w:val="right"/>
              <w:ind w:right="199"/>
              <w:spacing w:after="0"/>
              <w:rPr>
                <w:sz w:val="20"/>
                <w:szCs w:val="20"/>
                <w:color w:val="auto"/>
              </w:rPr>
            </w:pPr>
            <w:r>
              <w:rPr>
                <w:rFonts w:ascii="Arial" w:cs="Arial" w:eastAsia="Arial" w:hAnsi="Arial"/>
                <w:sz w:val="16"/>
                <w:szCs w:val="16"/>
                <w:color w:val="auto"/>
              </w:rPr>
              <w:t>$</w:t>
            </w:r>
          </w:p>
        </w:tc>
        <w:tc>
          <w:tcPr>
            <w:tcW w:w="1340" w:type="dxa"/>
            <w:vAlign w:val="bottom"/>
            <w:tcBorders>
              <w:top w:val="single" w:sz="8" w:color="auto"/>
              <w:bottom w:val="single" w:sz="8" w:color="auto"/>
            </w:tcBorders>
          </w:tcPr>
          <w:p>
            <w:pPr>
              <w:jc w:val="right"/>
              <w:ind w:right="81"/>
              <w:spacing w:after="0"/>
              <w:rPr>
                <w:sz w:val="20"/>
                <w:szCs w:val="20"/>
                <w:color w:val="auto"/>
              </w:rPr>
            </w:pPr>
            <w:r>
              <w:rPr>
                <w:rFonts w:ascii="Arial" w:cs="Arial" w:eastAsia="Arial" w:hAnsi="Arial"/>
                <w:sz w:val="16"/>
                <w:szCs w:val="16"/>
                <w:color w:val="auto"/>
              </w:rPr>
              <w:t>45.3</w:t>
            </w:r>
          </w:p>
        </w:tc>
        <w:tc>
          <w:tcPr>
            <w:tcW w:w="120" w:type="dxa"/>
            <w:vAlign w:val="bottom"/>
          </w:tcPr>
          <w:p>
            <w:pPr>
              <w:spacing w:after="0"/>
              <w:rPr>
                <w:sz w:val="20"/>
                <w:szCs w:val="20"/>
                <w:color w:val="auto"/>
              </w:rPr>
            </w:pPr>
          </w:p>
        </w:tc>
        <w:tc>
          <w:tcPr>
            <w:tcW w:w="400" w:type="dxa"/>
            <w:vAlign w:val="bottom"/>
            <w:tcBorders>
              <w:top w:val="single" w:sz="8" w:color="auto"/>
              <w:bottom w:val="single" w:sz="8" w:color="auto"/>
            </w:tcBorders>
          </w:tcPr>
          <w:p>
            <w:pPr>
              <w:jc w:val="right"/>
              <w:ind w:right="199"/>
              <w:spacing w:after="0"/>
              <w:rPr>
                <w:sz w:val="20"/>
                <w:szCs w:val="20"/>
                <w:color w:val="auto"/>
              </w:rPr>
            </w:pPr>
            <w:r>
              <w:rPr>
                <w:rFonts w:ascii="Arial" w:cs="Arial" w:eastAsia="Arial" w:hAnsi="Arial"/>
                <w:sz w:val="16"/>
                <w:szCs w:val="16"/>
                <w:color w:val="auto"/>
              </w:rPr>
              <w:t>$</w:t>
            </w:r>
          </w:p>
        </w:tc>
        <w:tc>
          <w:tcPr>
            <w:tcW w:w="1340" w:type="dxa"/>
            <w:vAlign w:val="bottom"/>
            <w:tcBorders>
              <w:top w:val="single" w:sz="8" w:color="auto"/>
              <w:bottom w:val="single" w:sz="8" w:color="auto"/>
            </w:tcBorders>
          </w:tcPr>
          <w:p>
            <w:pPr>
              <w:jc w:val="right"/>
              <w:ind w:right="81"/>
              <w:spacing w:after="0"/>
              <w:rPr>
                <w:sz w:val="20"/>
                <w:szCs w:val="20"/>
                <w:color w:val="auto"/>
              </w:rPr>
            </w:pPr>
            <w:r>
              <w:rPr>
                <w:rFonts w:ascii="Arial" w:cs="Arial" w:eastAsia="Arial" w:hAnsi="Arial"/>
                <w:sz w:val="16"/>
                <w:szCs w:val="16"/>
                <w:color w:val="auto"/>
              </w:rPr>
              <w:t>51.0</w:t>
            </w:r>
          </w:p>
        </w:tc>
        <w:tc>
          <w:tcPr>
            <w:tcW w:w="100" w:type="dxa"/>
            <w:vAlign w:val="bottom"/>
          </w:tcPr>
          <w:p>
            <w:pPr>
              <w:spacing w:after="0"/>
              <w:rPr>
                <w:sz w:val="20"/>
                <w:szCs w:val="20"/>
                <w:color w:val="auto"/>
              </w:rPr>
            </w:pPr>
          </w:p>
        </w:tc>
        <w:tc>
          <w:tcPr>
            <w:tcW w:w="320" w:type="dxa"/>
            <w:vAlign w:val="bottom"/>
            <w:tcBorders>
              <w:top w:val="single" w:sz="8" w:color="auto"/>
              <w:bottom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(5.7)</w:t>
            </w:r>
          </w:p>
        </w:tc>
        <w:tc>
          <w:tcPr>
            <w:tcW w:w="1340" w:type="dxa"/>
            <w:vAlign w:val="bottom"/>
          </w:tcPr>
          <w:p>
            <w:pPr>
              <w:jc w:val="center"/>
              <w:ind w:left="39"/>
              <w:spacing w:after="0"/>
              <w:rPr>
                <w:sz w:val="20"/>
                <w:szCs w:val="20"/>
                <w:color w:val="auto"/>
              </w:rPr>
            </w:pPr>
            <w:r>
              <w:rPr>
                <w:rFonts w:ascii="Arial" w:cs="Arial" w:eastAsia="Arial" w:hAnsi="Arial"/>
                <w:sz w:val="16"/>
                <w:szCs w:val="16"/>
                <w:color w:val="auto"/>
              </w:rPr>
              <w:t>(11.2)%</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14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3700" w:type="dxa"/>
            <w:vAlign w:val="bottom"/>
            <w:gridSpan w:val="3"/>
          </w:tcPr>
          <w:p>
            <w:pPr>
              <w:ind w:left="40"/>
              <w:spacing w:after="0"/>
              <w:rPr>
                <w:sz w:val="20"/>
                <w:szCs w:val="20"/>
                <w:color w:val="auto"/>
              </w:rPr>
            </w:pPr>
            <w:r>
              <w:rPr>
                <w:rFonts w:ascii="Arial" w:cs="Arial" w:eastAsia="Arial" w:hAnsi="Arial"/>
                <w:sz w:val="16"/>
                <w:szCs w:val="16"/>
                <w:color w:val="auto"/>
              </w:rPr>
              <w:t>*Not meaningful</w:t>
            </w:r>
          </w:p>
        </w:tc>
        <w:tc>
          <w:tcPr>
            <w:tcW w:w="40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700" w:type="dxa"/>
            <w:vAlign w:val="bottom"/>
          </w:tcPr>
          <w:p>
            <w:pPr>
              <w:spacing w:after="0"/>
              <w:rPr>
                <w:sz w:val="16"/>
                <w:szCs w:val="16"/>
                <w:color w:val="auto"/>
              </w:rPr>
            </w:pPr>
          </w:p>
        </w:tc>
        <w:tc>
          <w:tcPr>
            <w:tcW w:w="1320" w:type="dxa"/>
            <w:vAlign w:val="bottom"/>
          </w:tcPr>
          <w:p>
            <w:pPr>
              <w:spacing w:after="0"/>
              <w:rPr>
                <w:sz w:val="16"/>
                <w:szCs w:val="16"/>
                <w:color w:val="auto"/>
              </w:rPr>
            </w:pPr>
          </w:p>
        </w:tc>
      </w:tr>
      <w:tr>
        <w:trPr>
          <w:trHeight w:val="411"/>
        </w:trPr>
        <w:tc>
          <w:tcPr>
            <w:tcW w:w="3700" w:type="dxa"/>
            <w:vAlign w:val="bottom"/>
            <w:gridSpan w:val="3"/>
          </w:tcPr>
          <w:p>
            <w:pPr>
              <w:ind w:left="40"/>
              <w:spacing w:after="0"/>
              <w:rPr>
                <w:sz w:val="20"/>
                <w:szCs w:val="20"/>
                <w:color w:val="auto"/>
              </w:rPr>
            </w:pPr>
            <w:r>
              <w:rPr>
                <w:rFonts w:ascii="Arial" w:cs="Arial" w:eastAsia="Arial" w:hAnsi="Arial"/>
                <w:sz w:val="18"/>
                <w:szCs w:val="18"/>
                <w:b w:val="1"/>
                <w:bCs w:val="1"/>
                <w:i w:val="1"/>
                <w:iCs w:val="1"/>
                <w:color w:val="0046AD"/>
              </w:rPr>
              <w:t>Business &amp; Industry</w:t>
            </w:r>
          </w:p>
        </w:tc>
        <w:tc>
          <w:tcPr>
            <w:tcW w:w="40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1320" w:type="dxa"/>
            <w:vAlign w:val="bottom"/>
          </w:tcPr>
          <w:p>
            <w:pPr>
              <w:spacing w:after="0"/>
              <w:rPr>
                <w:sz w:val="24"/>
                <w:szCs w:val="24"/>
                <w:color w:val="auto"/>
              </w:rPr>
            </w:pPr>
          </w:p>
        </w:tc>
      </w:tr>
      <w:tr>
        <w:trPr>
          <w:trHeight w:val="277"/>
        </w:trPr>
        <w:tc>
          <w:tcPr>
            <w:tcW w:w="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8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560" w:type="dxa"/>
            <w:vAlign w:val="bottom"/>
            <w:gridSpan w:val="5"/>
          </w:tcPr>
          <w:p>
            <w:pPr>
              <w:ind w:left="260"/>
              <w:spacing w:after="0"/>
              <w:rPr>
                <w:sz w:val="20"/>
                <w:szCs w:val="20"/>
                <w:color w:val="auto"/>
              </w:rPr>
            </w:pPr>
            <w:r>
              <w:rPr>
                <w:rFonts w:ascii="Arial" w:cs="Arial" w:eastAsia="Arial" w:hAnsi="Arial"/>
                <w:sz w:val="18"/>
                <w:szCs w:val="18"/>
                <w:b w:val="1"/>
                <w:bCs w:val="1"/>
                <w:color w:val="auto"/>
              </w:rPr>
              <w:t>Three Months Ended April 30,</w:t>
            </w:r>
          </w:p>
        </w:tc>
        <w:tc>
          <w:tcPr>
            <w:tcW w:w="72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1320" w:type="dxa"/>
            <w:vAlign w:val="bottom"/>
          </w:tcPr>
          <w:p>
            <w:pPr>
              <w:spacing w:after="0"/>
              <w:rPr>
                <w:sz w:val="24"/>
                <w:szCs w:val="24"/>
                <w:color w:val="auto"/>
              </w:rPr>
            </w:pPr>
          </w:p>
        </w:tc>
      </w:tr>
      <w:tr>
        <w:trPr>
          <w:trHeight w:val="230"/>
        </w:trPr>
        <w:tc>
          <w:tcPr>
            <w:tcW w:w="3700" w:type="dxa"/>
            <w:vAlign w:val="bottom"/>
            <w:gridSpan w:val="3"/>
          </w:tcPr>
          <w:p>
            <w:pPr>
              <w:ind w:left="40"/>
              <w:spacing w:after="0"/>
              <w:rPr>
                <w:sz w:val="20"/>
                <w:szCs w:val="20"/>
                <w:color w:val="auto"/>
              </w:rPr>
            </w:pPr>
            <w:r>
              <w:rPr>
                <w:rFonts w:ascii="Arial" w:cs="Arial" w:eastAsia="Arial" w:hAnsi="Arial"/>
                <w:sz w:val="14"/>
                <w:szCs w:val="14"/>
                <w:i w:val="1"/>
                <w:iCs w:val="1"/>
                <w:u w:val="single" w:color="auto"/>
                <w:color w:val="auto"/>
              </w:rPr>
              <w:t>(</w:t>
            </w:r>
            <w:r>
              <w:rPr>
                <w:rFonts w:ascii="Arial" w:cs="Arial" w:eastAsia="Arial" w:hAnsi="Arial"/>
                <w:sz w:val="14"/>
                <w:szCs w:val="14"/>
                <w:i w:val="1"/>
                <w:iCs w:val="1"/>
                <w:color w:val="auto"/>
              </w:rPr>
              <w:t>$ in millions)</w:t>
            </w:r>
          </w:p>
        </w:tc>
        <w:tc>
          <w:tcPr>
            <w:tcW w:w="400" w:type="dxa"/>
            <w:vAlign w:val="bottom"/>
            <w:tcBorders>
              <w:top w:val="single" w:sz="8" w:color="auto"/>
            </w:tcBorders>
          </w:tcPr>
          <w:p>
            <w:pPr>
              <w:spacing w:after="0"/>
              <w:rPr>
                <w:sz w:val="19"/>
                <w:szCs w:val="19"/>
                <w:color w:val="auto"/>
              </w:rPr>
            </w:pPr>
          </w:p>
        </w:tc>
        <w:tc>
          <w:tcPr>
            <w:tcW w:w="1480" w:type="dxa"/>
            <w:vAlign w:val="bottom"/>
            <w:tcBorders>
              <w:top w:val="single" w:sz="8" w:color="auto"/>
            </w:tcBorders>
          </w:tcPr>
          <w:p>
            <w:pPr>
              <w:jc w:val="right"/>
              <w:ind w:right="654"/>
              <w:spacing w:after="0"/>
              <w:rPr>
                <w:sz w:val="20"/>
                <w:szCs w:val="20"/>
                <w:color w:val="auto"/>
              </w:rPr>
            </w:pPr>
            <w:r>
              <w:rPr>
                <w:rFonts w:ascii="Arial" w:cs="Arial" w:eastAsia="Arial" w:hAnsi="Arial"/>
                <w:sz w:val="18"/>
                <w:szCs w:val="18"/>
                <w:b w:val="1"/>
                <w:bCs w:val="1"/>
                <w:color w:val="auto"/>
              </w:rPr>
              <w:t>2018</w:t>
            </w:r>
          </w:p>
        </w:tc>
        <w:tc>
          <w:tcPr>
            <w:tcW w:w="100" w:type="dxa"/>
            <w:vAlign w:val="bottom"/>
            <w:tcBorders>
              <w:top w:val="single" w:sz="8" w:color="auto"/>
            </w:tcBorders>
          </w:tcPr>
          <w:p>
            <w:pPr>
              <w:spacing w:after="0"/>
              <w:rPr>
                <w:sz w:val="19"/>
                <w:szCs w:val="19"/>
                <w:color w:val="auto"/>
              </w:rPr>
            </w:pPr>
          </w:p>
        </w:tc>
        <w:tc>
          <w:tcPr>
            <w:tcW w:w="440" w:type="dxa"/>
            <w:vAlign w:val="bottom"/>
            <w:tcBorders>
              <w:top w:val="single" w:sz="8" w:color="auto"/>
            </w:tcBorders>
          </w:tcPr>
          <w:p>
            <w:pPr>
              <w:spacing w:after="0"/>
              <w:rPr>
                <w:sz w:val="19"/>
                <w:szCs w:val="19"/>
                <w:color w:val="auto"/>
              </w:rPr>
            </w:pPr>
          </w:p>
        </w:tc>
        <w:tc>
          <w:tcPr>
            <w:tcW w:w="1440" w:type="dxa"/>
            <w:vAlign w:val="bottom"/>
            <w:tcBorders>
              <w:top w:val="single" w:sz="8" w:color="auto"/>
            </w:tcBorders>
          </w:tcPr>
          <w:p>
            <w:pPr>
              <w:jc w:val="right"/>
              <w:ind w:right="654"/>
              <w:spacing w:after="0"/>
              <w:rPr>
                <w:sz w:val="20"/>
                <w:szCs w:val="20"/>
                <w:color w:val="auto"/>
              </w:rPr>
            </w:pPr>
            <w:r>
              <w:rPr>
                <w:rFonts w:ascii="Arial" w:cs="Arial" w:eastAsia="Arial" w:hAnsi="Arial"/>
                <w:sz w:val="18"/>
                <w:szCs w:val="18"/>
                <w:b w:val="1"/>
                <w:bCs w:val="1"/>
                <w:color w:val="auto"/>
              </w:rPr>
              <w:t>2017</w:t>
            </w:r>
          </w:p>
        </w:tc>
        <w:tc>
          <w:tcPr>
            <w:tcW w:w="1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700" w:type="dxa"/>
            <w:vAlign w:val="bottom"/>
          </w:tcPr>
          <w:p>
            <w:pPr>
              <w:jc w:val="right"/>
              <w:ind w:right="74"/>
              <w:spacing w:after="0"/>
              <w:rPr>
                <w:sz w:val="20"/>
                <w:szCs w:val="20"/>
                <w:color w:val="auto"/>
              </w:rPr>
            </w:pPr>
            <w:r>
              <w:rPr>
                <w:rFonts w:ascii="Arial" w:cs="Arial" w:eastAsia="Arial" w:hAnsi="Arial"/>
                <w:sz w:val="18"/>
                <w:szCs w:val="18"/>
                <w:b w:val="1"/>
                <w:bCs w:val="1"/>
                <w:color w:val="auto"/>
              </w:rPr>
              <w:t>Increase</w:t>
            </w:r>
          </w:p>
        </w:tc>
        <w:tc>
          <w:tcPr>
            <w:tcW w:w="1320" w:type="dxa"/>
            <w:vAlign w:val="bottom"/>
          </w:tcPr>
          <w:p>
            <w:pPr>
              <w:spacing w:after="0"/>
              <w:rPr>
                <w:sz w:val="19"/>
                <w:szCs w:val="19"/>
                <w:color w:val="auto"/>
              </w:rPr>
            </w:pPr>
          </w:p>
        </w:tc>
      </w:tr>
      <w:tr>
        <w:trPr>
          <w:trHeight w:val="21"/>
        </w:trPr>
        <w:tc>
          <w:tcPr>
            <w:tcW w:w="40" w:type="dxa"/>
            <w:vAlign w:val="bottom"/>
            <w:tcBorders>
              <w:bottom w:val="single" w:sz="8" w:color="DCE2EF"/>
            </w:tcBorders>
          </w:tcPr>
          <w:p>
            <w:pPr>
              <w:spacing w:after="0" w:line="20" w:lineRule="exact"/>
              <w:rPr>
                <w:sz w:val="1"/>
                <w:szCs w:val="1"/>
                <w:color w:val="auto"/>
              </w:rPr>
            </w:pPr>
          </w:p>
        </w:tc>
        <w:tc>
          <w:tcPr>
            <w:tcW w:w="820" w:type="dxa"/>
            <w:vAlign w:val="bottom"/>
            <w:tcBorders>
              <w:top w:val="single" w:sz="8" w:color="auto"/>
              <w:bottom w:val="single" w:sz="8" w:color="DCE2EF"/>
            </w:tcBorders>
          </w:tcPr>
          <w:p>
            <w:pPr>
              <w:spacing w:after="0" w:line="20" w:lineRule="exact"/>
              <w:rPr>
                <w:sz w:val="1"/>
                <w:szCs w:val="1"/>
                <w:color w:val="auto"/>
              </w:rPr>
            </w:pPr>
          </w:p>
        </w:tc>
        <w:tc>
          <w:tcPr>
            <w:tcW w:w="2840" w:type="dxa"/>
            <w:vAlign w:val="bottom"/>
            <w:tcBorders>
              <w:bottom w:val="single" w:sz="8" w:color="DCE2E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DCE2E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DCE2EF"/>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r>
        <w:trPr>
          <w:trHeight w:val="264"/>
        </w:trPr>
        <w:tc>
          <w:tcPr>
            <w:tcW w:w="3700" w:type="dxa"/>
            <w:vAlign w:val="bottom"/>
            <w:gridSpan w:val="3"/>
            <w:shd w:val="clear" w:color="auto" w:fill="DCE2EF"/>
          </w:tcPr>
          <w:p>
            <w:pPr>
              <w:ind w:left="40"/>
              <w:spacing w:after="0"/>
              <w:rPr>
                <w:sz w:val="20"/>
                <w:szCs w:val="20"/>
                <w:color w:val="auto"/>
              </w:rPr>
            </w:pPr>
            <w:r>
              <w:rPr>
                <w:rFonts w:ascii="Arial" w:cs="Arial" w:eastAsia="Arial" w:hAnsi="Arial"/>
                <w:sz w:val="18"/>
                <w:szCs w:val="18"/>
                <w:color w:val="auto"/>
              </w:rPr>
              <w:t>Revenues</w:t>
            </w:r>
          </w:p>
        </w:tc>
        <w:tc>
          <w:tcPr>
            <w:tcW w:w="400" w:type="dxa"/>
            <w:vAlign w:val="bottom"/>
            <w:shd w:val="clear" w:color="auto" w:fill="DCE2EF"/>
          </w:tcPr>
          <w:p>
            <w:pPr>
              <w:jc w:val="right"/>
              <w:ind w:right="190"/>
              <w:spacing w:after="0"/>
              <w:rPr>
                <w:sz w:val="20"/>
                <w:szCs w:val="20"/>
                <w:color w:val="auto"/>
              </w:rPr>
            </w:pPr>
            <w:r>
              <w:rPr>
                <w:rFonts w:ascii="Arial" w:cs="Arial" w:eastAsia="Arial" w:hAnsi="Arial"/>
                <w:sz w:val="18"/>
                <w:szCs w:val="18"/>
                <w:color w:val="auto"/>
                <w:w w:val="99"/>
              </w:rPr>
              <w:t>$</w:t>
            </w:r>
          </w:p>
        </w:tc>
        <w:tc>
          <w:tcPr>
            <w:tcW w:w="1480" w:type="dxa"/>
            <w:vAlign w:val="bottom"/>
            <w:shd w:val="clear" w:color="auto" w:fill="DCE2EF"/>
          </w:tcPr>
          <w:p>
            <w:pPr>
              <w:jc w:val="right"/>
              <w:ind w:right="74"/>
              <w:spacing w:after="0"/>
              <w:rPr>
                <w:sz w:val="20"/>
                <w:szCs w:val="20"/>
                <w:color w:val="auto"/>
              </w:rPr>
            </w:pPr>
            <w:r>
              <w:rPr>
                <w:rFonts w:ascii="Arial" w:cs="Arial" w:eastAsia="Arial" w:hAnsi="Arial"/>
                <w:sz w:val="18"/>
                <w:szCs w:val="18"/>
                <w:color w:val="auto"/>
              </w:rPr>
              <w:t>723.2</w:t>
            </w:r>
          </w:p>
        </w:tc>
        <w:tc>
          <w:tcPr>
            <w:tcW w:w="100" w:type="dxa"/>
            <w:vAlign w:val="bottom"/>
            <w:shd w:val="clear" w:color="auto" w:fill="DCE2EF"/>
          </w:tcPr>
          <w:p>
            <w:pPr>
              <w:spacing w:after="0"/>
              <w:rPr>
                <w:sz w:val="22"/>
                <w:szCs w:val="22"/>
                <w:color w:val="auto"/>
              </w:rPr>
            </w:pPr>
          </w:p>
        </w:tc>
        <w:tc>
          <w:tcPr>
            <w:tcW w:w="440" w:type="dxa"/>
            <w:vAlign w:val="bottom"/>
            <w:shd w:val="clear" w:color="auto" w:fill="DCE2EF"/>
          </w:tcPr>
          <w:p>
            <w:pPr>
              <w:jc w:val="right"/>
              <w:ind w:right="230"/>
              <w:spacing w:after="0"/>
              <w:rPr>
                <w:sz w:val="20"/>
                <w:szCs w:val="20"/>
                <w:color w:val="auto"/>
              </w:rPr>
            </w:pPr>
            <w:r>
              <w:rPr>
                <w:rFonts w:ascii="Arial" w:cs="Arial" w:eastAsia="Arial" w:hAnsi="Arial"/>
                <w:sz w:val="18"/>
                <w:szCs w:val="18"/>
                <w:color w:val="auto"/>
                <w:w w:val="99"/>
              </w:rPr>
              <w:t>$</w:t>
            </w:r>
          </w:p>
        </w:tc>
        <w:tc>
          <w:tcPr>
            <w:tcW w:w="1440" w:type="dxa"/>
            <w:vAlign w:val="bottom"/>
            <w:shd w:val="clear" w:color="auto" w:fill="DCE2EF"/>
          </w:tcPr>
          <w:p>
            <w:pPr>
              <w:jc w:val="right"/>
              <w:ind w:right="74"/>
              <w:spacing w:after="0"/>
              <w:rPr>
                <w:sz w:val="20"/>
                <w:szCs w:val="20"/>
                <w:color w:val="auto"/>
              </w:rPr>
            </w:pPr>
            <w:r>
              <w:rPr>
                <w:rFonts w:ascii="Arial" w:cs="Arial" w:eastAsia="Arial" w:hAnsi="Arial"/>
                <w:sz w:val="18"/>
                <w:szCs w:val="18"/>
                <w:color w:val="auto"/>
              </w:rPr>
              <w:t>637.5</w:t>
            </w:r>
          </w:p>
        </w:tc>
        <w:tc>
          <w:tcPr>
            <w:tcW w:w="100" w:type="dxa"/>
            <w:vAlign w:val="bottom"/>
            <w:shd w:val="clear" w:color="auto" w:fill="DCE2EF"/>
          </w:tcPr>
          <w:p>
            <w:pPr>
              <w:spacing w:after="0"/>
              <w:rPr>
                <w:sz w:val="22"/>
                <w:szCs w:val="22"/>
                <w:color w:val="auto"/>
              </w:rPr>
            </w:pPr>
          </w:p>
        </w:tc>
        <w:tc>
          <w:tcPr>
            <w:tcW w:w="720" w:type="dxa"/>
            <w:vAlign w:val="bottom"/>
            <w:shd w:val="clear" w:color="auto" w:fill="DCE2EF"/>
          </w:tcPr>
          <w:p>
            <w:pPr>
              <w:jc w:val="right"/>
              <w:ind w:right="490"/>
              <w:spacing w:after="0"/>
              <w:rPr>
                <w:sz w:val="20"/>
                <w:szCs w:val="20"/>
                <w:color w:val="auto"/>
              </w:rPr>
            </w:pPr>
            <w:r>
              <w:rPr>
                <w:rFonts w:ascii="Arial" w:cs="Arial" w:eastAsia="Arial" w:hAnsi="Arial"/>
                <w:sz w:val="18"/>
                <w:szCs w:val="18"/>
                <w:color w:val="auto"/>
              </w:rPr>
              <w:t>$</w:t>
            </w:r>
          </w:p>
        </w:tc>
        <w:tc>
          <w:tcPr>
            <w:tcW w:w="1700" w:type="dxa"/>
            <w:vAlign w:val="bottom"/>
            <w:shd w:val="clear" w:color="auto" w:fill="DCE2EF"/>
          </w:tcPr>
          <w:p>
            <w:pPr>
              <w:jc w:val="right"/>
              <w:ind w:right="614"/>
              <w:spacing w:after="0"/>
              <w:rPr>
                <w:sz w:val="20"/>
                <w:szCs w:val="20"/>
                <w:color w:val="auto"/>
              </w:rPr>
            </w:pPr>
            <w:r>
              <w:rPr>
                <w:rFonts w:ascii="Arial" w:cs="Arial" w:eastAsia="Arial" w:hAnsi="Arial"/>
                <w:sz w:val="18"/>
                <w:szCs w:val="18"/>
                <w:color w:val="auto"/>
              </w:rPr>
              <w:t>85.7</w:t>
            </w:r>
          </w:p>
        </w:tc>
        <w:tc>
          <w:tcPr>
            <w:tcW w:w="1320" w:type="dxa"/>
            <w:vAlign w:val="bottom"/>
            <w:shd w:val="clear" w:color="auto" w:fill="DCE2EF"/>
          </w:tcPr>
          <w:p>
            <w:pPr>
              <w:jc w:val="right"/>
              <w:ind w:right="550"/>
              <w:spacing w:after="0"/>
              <w:rPr>
                <w:sz w:val="20"/>
                <w:szCs w:val="20"/>
                <w:color w:val="auto"/>
              </w:rPr>
            </w:pPr>
            <w:r>
              <w:rPr>
                <w:rFonts w:ascii="Arial" w:cs="Arial" w:eastAsia="Arial" w:hAnsi="Arial"/>
                <w:sz w:val="18"/>
                <w:szCs w:val="18"/>
                <w:color w:val="auto"/>
              </w:rPr>
              <w:t>13.4%</w:t>
            </w:r>
          </w:p>
        </w:tc>
      </w:tr>
      <w:tr>
        <w:trPr>
          <w:trHeight w:val="270"/>
        </w:trPr>
        <w:tc>
          <w:tcPr>
            <w:tcW w:w="3700" w:type="dxa"/>
            <w:vAlign w:val="bottom"/>
            <w:gridSpan w:val="3"/>
          </w:tcPr>
          <w:p>
            <w:pPr>
              <w:ind w:left="40"/>
              <w:spacing w:after="0"/>
              <w:rPr>
                <w:sz w:val="20"/>
                <w:szCs w:val="20"/>
                <w:color w:val="auto"/>
              </w:rPr>
            </w:pPr>
            <w:r>
              <w:rPr>
                <w:rFonts w:ascii="Arial" w:cs="Arial" w:eastAsia="Arial" w:hAnsi="Arial"/>
                <w:sz w:val="18"/>
                <w:szCs w:val="18"/>
                <w:color w:val="auto"/>
              </w:rPr>
              <w:t>Operating profit</w:t>
            </w:r>
            <w:r>
              <w:rPr>
                <w:rFonts w:ascii="Arial" w:cs="Arial" w:eastAsia="Arial" w:hAnsi="Arial"/>
                <w:sz w:val="21"/>
                <w:szCs w:val="21"/>
                <w:color w:val="auto"/>
                <w:vertAlign w:val="superscript"/>
              </w:rPr>
              <w:t>(1)</w:t>
            </w:r>
          </w:p>
        </w:tc>
        <w:tc>
          <w:tcPr>
            <w:tcW w:w="400" w:type="dxa"/>
            <w:vAlign w:val="bottom"/>
          </w:tcPr>
          <w:p>
            <w:pPr>
              <w:spacing w:after="0"/>
              <w:rPr>
                <w:sz w:val="23"/>
                <w:szCs w:val="23"/>
                <w:color w:val="auto"/>
              </w:rPr>
            </w:pPr>
          </w:p>
        </w:tc>
        <w:tc>
          <w:tcPr>
            <w:tcW w:w="1480" w:type="dxa"/>
            <w:vAlign w:val="bottom"/>
          </w:tcPr>
          <w:p>
            <w:pPr>
              <w:jc w:val="right"/>
              <w:ind w:right="74"/>
              <w:spacing w:after="0"/>
              <w:rPr>
                <w:sz w:val="20"/>
                <w:szCs w:val="20"/>
                <w:color w:val="auto"/>
              </w:rPr>
            </w:pPr>
            <w:r>
              <w:rPr>
                <w:rFonts w:ascii="Arial" w:cs="Arial" w:eastAsia="Arial" w:hAnsi="Arial"/>
                <w:sz w:val="18"/>
                <w:szCs w:val="18"/>
                <w:color w:val="auto"/>
              </w:rPr>
              <w:t>43.5</w:t>
            </w:r>
          </w:p>
        </w:tc>
        <w:tc>
          <w:tcPr>
            <w:tcW w:w="1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440" w:type="dxa"/>
            <w:vAlign w:val="bottom"/>
          </w:tcPr>
          <w:p>
            <w:pPr>
              <w:jc w:val="right"/>
              <w:ind w:right="74"/>
              <w:spacing w:after="0"/>
              <w:rPr>
                <w:sz w:val="20"/>
                <w:szCs w:val="20"/>
                <w:color w:val="auto"/>
              </w:rPr>
            </w:pPr>
            <w:r>
              <w:rPr>
                <w:rFonts w:ascii="Arial" w:cs="Arial" w:eastAsia="Arial" w:hAnsi="Arial"/>
                <w:sz w:val="18"/>
                <w:szCs w:val="18"/>
                <w:color w:val="auto"/>
              </w:rPr>
              <w:t>36.0</w:t>
            </w:r>
          </w:p>
        </w:tc>
        <w:tc>
          <w:tcPr>
            <w:tcW w:w="10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1700" w:type="dxa"/>
            <w:vAlign w:val="bottom"/>
          </w:tcPr>
          <w:p>
            <w:pPr>
              <w:jc w:val="right"/>
              <w:ind w:right="614"/>
              <w:spacing w:after="0"/>
              <w:rPr>
                <w:sz w:val="20"/>
                <w:szCs w:val="20"/>
                <w:color w:val="auto"/>
              </w:rPr>
            </w:pPr>
            <w:r>
              <w:rPr>
                <w:rFonts w:ascii="Arial" w:cs="Arial" w:eastAsia="Arial" w:hAnsi="Arial"/>
                <w:sz w:val="18"/>
                <w:szCs w:val="18"/>
                <w:color w:val="auto"/>
              </w:rPr>
              <w:t>7.5</w:t>
            </w:r>
          </w:p>
        </w:tc>
        <w:tc>
          <w:tcPr>
            <w:tcW w:w="1320" w:type="dxa"/>
            <w:vAlign w:val="bottom"/>
          </w:tcPr>
          <w:p>
            <w:pPr>
              <w:jc w:val="right"/>
              <w:ind w:right="550"/>
              <w:spacing w:after="0"/>
              <w:rPr>
                <w:sz w:val="20"/>
                <w:szCs w:val="20"/>
                <w:color w:val="auto"/>
              </w:rPr>
            </w:pPr>
            <w:r>
              <w:rPr>
                <w:rFonts w:ascii="Arial" w:cs="Arial" w:eastAsia="Arial" w:hAnsi="Arial"/>
                <w:sz w:val="18"/>
                <w:szCs w:val="18"/>
                <w:color w:val="auto"/>
              </w:rPr>
              <w:t>20.7%</w:t>
            </w:r>
          </w:p>
        </w:tc>
      </w:tr>
      <w:tr>
        <w:trPr>
          <w:trHeight w:val="270"/>
        </w:trPr>
        <w:tc>
          <w:tcPr>
            <w:tcW w:w="40" w:type="dxa"/>
            <w:vAlign w:val="bottom"/>
            <w:shd w:val="clear" w:color="auto" w:fill="DCE2EF"/>
          </w:tcPr>
          <w:p>
            <w:pPr>
              <w:spacing w:after="0"/>
              <w:rPr>
                <w:sz w:val="23"/>
                <w:szCs w:val="23"/>
                <w:color w:val="auto"/>
              </w:rPr>
            </w:pPr>
          </w:p>
        </w:tc>
        <w:tc>
          <w:tcPr>
            <w:tcW w:w="3660" w:type="dxa"/>
            <w:vAlign w:val="bottom"/>
            <w:gridSpan w:val="2"/>
            <w:shd w:val="clear" w:color="auto" w:fill="DCE2EF"/>
          </w:tcPr>
          <w:p>
            <w:pPr>
              <w:ind w:left="140"/>
              <w:spacing w:after="0"/>
              <w:rPr>
                <w:sz w:val="20"/>
                <w:szCs w:val="20"/>
                <w:color w:val="auto"/>
              </w:rPr>
            </w:pPr>
            <w:r>
              <w:rPr>
                <w:rFonts w:ascii="Arial" w:cs="Arial" w:eastAsia="Arial" w:hAnsi="Arial"/>
                <w:sz w:val="14"/>
                <w:szCs w:val="14"/>
                <w:i w:val="1"/>
                <w:iCs w:val="1"/>
                <w:color w:val="auto"/>
              </w:rPr>
              <w:t>Operating profit margin</w:t>
            </w:r>
          </w:p>
        </w:tc>
        <w:tc>
          <w:tcPr>
            <w:tcW w:w="400" w:type="dxa"/>
            <w:vAlign w:val="bottom"/>
            <w:shd w:val="clear" w:color="auto" w:fill="DCE2EF"/>
          </w:tcPr>
          <w:p>
            <w:pPr>
              <w:spacing w:after="0"/>
              <w:rPr>
                <w:sz w:val="23"/>
                <w:szCs w:val="23"/>
                <w:color w:val="auto"/>
              </w:rPr>
            </w:pPr>
          </w:p>
        </w:tc>
        <w:tc>
          <w:tcPr>
            <w:tcW w:w="1480" w:type="dxa"/>
            <w:vAlign w:val="bottom"/>
            <w:shd w:val="clear" w:color="auto" w:fill="DCE2EF"/>
          </w:tcPr>
          <w:p>
            <w:pPr>
              <w:jc w:val="right"/>
              <w:spacing w:after="0"/>
              <w:rPr>
                <w:sz w:val="20"/>
                <w:szCs w:val="20"/>
                <w:color w:val="auto"/>
              </w:rPr>
            </w:pPr>
            <w:r>
              <w:rPr>
                <w:rFonts w:ascii="Arial" w:cs="Arial" w:eastAsia="Arial" w:hAnsi="Arial"/>
                <w:sz w:val="14"/>
                <w:szCs w:val="14"/>
                <w:i w:val="1"/>
                <w:iCs w:val="1"/>
                <w:color w:val="auto"/>
              </w:rPr>
              <w:t>6.0%</w:t>
            </w:r>
          </w:p>
        </w:tc>
        <w:tc>
          <w:tcPr>
            <w:tcW w:w="100" w:type="dxa"/>
            <w:vAlign w:val="bottom"/>
            <w:shd w:val="clear" w:color="auto" w:fill="DCE2EF"/>
          </w:tcPr>
          <w:p>
            <w:pPr>
              <w:spacing w:after="0"/>
              <w:rPr>
                <w:sz w:val="23"/>
                <w:szCs w:val="23"/>
                <w:color w:val="auto"/>
              </w:rPr>
            </w:pPr>
          </w:p>
        </w:tc>
        <w:tc>
          <w:tcPr>
            <w:tcW w:w="440" w:type="dxa"/>
            <w:vAlign w:val="bottom"/>
            <w:shd w:val="clear" w:color="auto" w:fill="DCE2EF"/>
          </w:tcPr>
          <w:p>
            <w:pPr>
              <w:spacing w:after="0"/>
              <w:rPr>
                <w:sz w:val="23"/>
                <w:szCs w:val="23"/>
                <w:color w:val="auto"/>
              </w:rPr>
            </w:pPr>
          </w:p>
        </w:tc>
        <w:tc>
          <w:tcPr>
            <w:tcW w:w="1440" w:type="dxa"/>
            <w:vAlign w:val="bottom"/>
            <w:shd w:val="clear" w:color="auto" w:fill="DCE2EF"/>
          </w:tcPr>
          <w:p>
            <w:pPr>
              <w:jc w:val="right"/>
              <w:spacing w:after="0"/>
              <w:rPr>
                <w:sz w:val="20"/>
                <w:szCs w:val="20"/>
                <w:color w:val="auto"/>
              </w:rPr>
            </w:pPr>
            <w:r>
              <w:rPr>
                <w:rFonts w:ascii="Arial" w:cs="Arial" w:eastAsia="Arial" w:hAnsi="Arial"/>
                <w:sz w:val="14"/>
                <w:szCs w:val="14"/>
                <w:i w:val="1"/>
                <w:iCs w:val="1"/>
                <w:color w:val="auto"/>
              </w:rPr>
              <w:t>5.7%</w:t>
            </w:r>
          </w:p>
        </w:tc>
        <w:tc>
          <w:tcPr>
            <w:tcW w:w="100" w:type="dxa"/>
            <w:vAlign w:val="bottom"/>
            <w:shd w:val="clear" w:color="auto" w:fill="DCE2EF"/>
          </w:tcPr>
          <w:p>
            <w:pPr>
              <w:spacing w:after="0"/>
              <w:rPr>
                <w:sz w:val="23"/>
                <w:szCs w:val="23"/>
                <w:color w:val="auto"/>
              </w:rPr>
            </w:pPr>
          </w:p>
        </w:tc>
        <w:tc>
          <w:tcPr>
            <w:tcW w:w="720" w:type="dxa"/>
            <w:vAlign w:val="bottom"/>
            <w:shd w:val="clear" w:color="auto" w:fill="DCE2EF"/>
          </w:tcPr>
          <w:p>
            <w:pPr>
              <w:spacing w:after="0"/>
              <w:rPr>
                <w:sz w:val="23"/>
                <w:szCs w:val="23"/>
                <w:color w:val="auto"/>
              </w:rPr>
            </w:pPr>
          </w:p>
        </w:tc>
        <w:tc>
          <w:tcPr>
            <w:tcW w:w="1700" w:type="dxa"/>
            <w:vAlign w:val="bottom"/>
            <w:shd w:val="clear" w:color="auto" w:fill="DCE2EF"/>
          </w:tcPr>
          <w:p>
            <w:pPr>
              <w:jc w:val="right"/>
              <w:ind w:right="614"/>
              <w:spacing w:after="0"/>
              <w:rPr>
                <w:sz w:val="20"/>
                <w:szCs w:val="20"/>
                <w:color w:val="auto"/>
              </w:rPr>
            </w:pPr>
            <w:r>
              <w:rPr>
                <w:rFonts w:ascii="Arial" w:cs="Arial" w:eastAsia="Arial" w:hAnsi="Arial"/>
                <w:sz w:val="14"/>
                <w:szCs w:val="14"/>
                <w:i w:val="1"/>
                <w:iCs w:val="1"/>
                <w:color w:val="auto"/>
              </w:rPr>
              <w:t>36 bps</w:t>
            </w:r>
          </w:p>
        </w:tc>
        <w:tc>
          <w:tcPr>
            <w:tcW w:w="1320" w:type="dxa"/>
            <w:vAlign w:val="bottom"/>
            <w:shd w:val="clear" w:color="auto" w:fill="DCE2EF"/>
          </w:tcPr>
          <w:p>
            <w:pPr>
              <w:spacing w:after="0"/>
              <w:rPr>
                <w:sz w:val="23"/>
                <w:szCs w:val="23"/>
                <w:color w:val="auto"/>
              </w:rPr>
            </w:pPr>
          </w:p>
        </w:tc>
      </w:tr>
    </w:tbl>
    <w:p>
      <w:pPr>
        <w:spacing w:after="0" w:line="23" w:lineRule="exact"/>
        <w:rPr>
          <w:sz w:val="20"/>
          <w:szCs w:val="20"/>
          <w:color w:val="auto"/>
        </w:rPr>
      </w:pPr>
    </w:p>
    <w:p>
      <w:pPr>
        <w:ind w:left="180" w:hanging="172"/>
        <w:spacing w:after="0"/>
        <w:tabs>
          <w:tab w:leader="none" w:pos="180" w:val="left"/>
        </w:tabs>
        <w:numPr>
          <w:ilvl w:val="0"/>
          <w:numId w:val="13"/>
        </w:numPr>
        <w:rPr>
          <w:rFonts w:ascii="Arial" w:cs="Arial" w:eastAsia="Arial" w:hAnsi="Arial"/>
          <w:sz w:val="21"/>
          <w:szCs w:val="21"/>
          <w:color w:val="auto"/>
          <w:vertAlign w:val="superscript"/>
        </w:rPr>
      </w:pPr>
      <w:r>
        <w:rPr>
          <w:rFonts w:ascii="Arial" w:cs="Arial" w:eastAsia="Arial" w:hAnsi="Arial"/>
          <w:sz w:val="15"/>
          <w:szCs w:val="15"/>
          <w:color w:val="auto"/>
        </w:rPr>
        <w:t>The three months ended April 30, 2018 includes $1.9 million of amortization expense related to the GCA acquisition.</w:t>
      </w:r>
    </w:p>
    <w:p>
      <w:pPr>
        <w:spacing w:after="0" w:line="167"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B&amp;I revenues increased by $85.7 million, or 13.4%, during the three months ended April 30, 2018, as compared to the three months ended April 30, 2017. The increase was primarily attributable to net new janitorial business, including new contract wins in the U.K. and expansion of existing accounts, and incremental revenues from the GCA acquisition of $ 42.5 million. Management reimbursement revenues for this segment totaled $63.5 million and $58.1 million for the three months ended April 30, 2018 and 2017, respectively.</w:t>
      </w:r>
    </w:p>
    <w:p>
      <w:pPr>
        <w:sectPr>
          <w:pgSz w:w="11900" w:h="16838" w:orient="portrait"/>
          <w:cols w:equalWidth="0" w:num="1">
            <w:col w:w="11420"/>
          </w:cols>
          <w:pgMar w:left="240" w:top="360" w:right="239" w:bottom="1440" w:gutter="0" w:footer="0" w:header="0"/>
        </w:sectPr>
      </w:pPr>
    </w:p>
    <w:p>
      <w:pPr>
        <w:spacing w:after="0" w:line="231"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30</w:t>
      </w:r>
    </w:p>
    <w:p>
      <w:pPr>
        <w:sectPr>
          <w:pgSz w:w="11900" w:h="16838" w:orient="portrait"/>
          <w:cols w:equalWidth="0" w:num="1">
            <w:col w:w="11420"/>
          </w:cols>
          <w:pgMar w:left="240" w:top="360" w:right="239" w:bottom="1440" w:gutter="0" w:footer="0" w:header="0"/>
          <w:type w:val="continuous"/>
        </w:sectPr>
      </w:pPr>
    </w:p>
    <w:bookmarkStart w:id="33" w:name="page34"/>
    <w:bookmarkEnd w:id="33"/>
    <w:p>
      <w:pPr>
        <w:jc w:val="both"/>
        <w:ind w:firstLine="648"/>
        <w:spacing w:after="0" w:line="252" w:lineRule="auto"/>
        <w:rPr>
          <w:sz w:val="20"/>
          <w:szCs w:val="20"/>
          <w:color w:val="auto"/>
        </w:rPr>
      </w:pPr>
      <w:r>
        <w:rPr>
          <w:rFonts w:ascii="Arial" w:cs="Arial" w:eastAsia="Arial" w:hAnsi="Arial"/>
          <w:sz w:val="18"/>
          <w:szCs w:val="18"/>
          <w:color w:val="auto"/>
        </w:rPr>
        <w:t xml:space="preserve">Operating profit increased by $7.5 million, or 20.7%, during the three months ended April 30, 2018, as compared to the three months ended April 30, 2017. Operating profit margin increased by 36 bps to 6.0% in the three months ended April 30, 2018 from 5.7% in the three months ended April 30, 2017. The increase in operating profit margin was primarily associated with </w:t>
      </w:r>
      <w:r>
        <w:rPr>
          <w:rFonts w:ascii="Arial" w:cs="Arial" w:eastAsia="Arial" w:hAnsi="Arial"/>
          <w:sz w:val="17"/>
          <w:szCs w:val="17"/>
          <w:color w:val="auto"/>
        </w:rPr>
        <w:t>a non-recurring adjustment related to a client</w:t>
      </w:r>
      <w:r>
        <w:rPr>
          <w:rFonts w:ascii="Arial" w:cs="Arial" w:eastAsia="Arial" w:hAnsi="Arial"/>
          <w:sz w:val="18"/>
          <w:szCs w:val="18"/>
          <w:color w:val="auto"/>
        </w:rPr>
        <w:t xml:space="preserve"> </w:t>
      </w:r>
      <w:r>
        <w:rPr>
          <w:rFonts w:ascii="Arial" w:cs="Arial" w:eastAsia="Arial" w:hAnsi="Arial"/>
          <w:sz w:val="17"/>
          <w:szCs w:val="17"/>
          <w:color w:val="auto"/>
        </w:rPr>
        <w:t xml:space="preserve">account and </w:t>
      </w:r>
      <w:r>
        <w:rPr>
          <w:rFonts w:ascii="Arial" w:cs="Arial" w:eastAsia="Arial" w:hAnsi="Arial"/>
          <w:sz w:val="18"/>
          <w:szCs w:val="18"/>
          <w:color w:val="auto"/>
        </w:rPr>
        <w:t>the management of selling, general and administrative expenses. This increase was partially offset by lower margins on Vehicle</w:t>
      </w:r>
      <w:r>
        <w:rPr>
          <w:rFonts w:ascii="Arial" w:cs="Arial" w:eastAsia="Arial" w:hAnsi="Arial"/>
          <w:sz w:val="17"/>
          <w:szCs w:val="17"/>
          <w:color w:val="auto"/>
        </w:rPr>
        <w:t xml:space="preserve"> </w:t>
      </w:r>
      <w:r>
        <w:rPr>
          <w:rFonts w:ascii="Arial" w:cs="Arial" w:eastAsia="Arial" w:hAnsi="Arial"/>
          <w:sz w:val="18"/>
          <w:szCs w:val="18"/>
          <w:color w:val="auto"/>
        </w:rPr>
        <w:t>Services Contracts and certain janitorial accounts, as well as an increase in amortization expense related to the GCA acquisition. While labor challenges are present in certain areas of our B&amp;I business, it is our most mature business and has the highest proportion of unionized labor, which allows us to manage labor costs more efficiently.</w:t>
      </w:r>
    </w:p>
    <w:p>
      <w:pPr>
        <w:spacing w:after="0" w:line="307"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3700" w:type="dxa"/>
            <w:vAlign w:val="bottom"/>
            <w:gridSpan w:val="3"/>
          </w:tcPr>
          <w:p>
            <w:pPr>
              <w:ind w:left="40"/>
              <w:spacing w:after="0"/>
              <w:rPr>
                <w:sz w:val="20"/>
                <w:szCs w:val="20"/>
                <w:color w:val="auto"/>
              </w:rPr>
            </w:pPr>
            <w:r>
              <w:rPr>
                <w:rFonts w:ascii="Arial" w:cs="Arial" w:eastAsia="Arial" w:hAnsi="Arial"/>
                <w:sz w:val="18"/>
                <w:szCs w:val="18"/>
                <w:b w:val="1"/>
                <w:bCs w:val="1"/>
                <w:i w:val="1"/>
                <w:iCs w:val="1"/>
                <w:color w:val="0046AD"/>
              </w:rPr>
              <w:t>Aviation</w:t>
            </w:r>
          </w:p>
        </w:tc>
        <w:tc>
          <w:tcPr>
            <w:tcW w:w="40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1580" w:type="dxa"/>
            <w:vAlign w:val="bottom"/>
          </w:tcPr>
          <w:p>
            <w:pPr>
              <w:spacing w:after="0"/>
              <w:rPr>
                <w:sz w:val="20"/>
                <w:szCs w:val="20"/>
                <w:color w:val="auto"/>
              </w:rPr>
            </w:pPr>
          </w:p>
        </w:tc>
      </w:tr>
      <w:tr>
        <w:trPr>
          <w:trHeight w:val="277"/>
        </w:trPr>
        <w:tc>
          <w:tcPr>
            <w:tcW w:w="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8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560" w:type="dxa"/>
            <w:vAlign w:val="bottom"/>
            <w:gridSpan w:val="5"/>
          </w:tcPr>
          <w:p>
            <w:pPr>
              <w:ind w:left="260"/>
              <w:spacing w:after="0"/>
              <w:rPr>
                <w:sz w:val="20"/>
                <w:szCs w:val="20"/>
                <w:color w:val="auto"/>
              </w:rPr>
            </w:pPr>
            <w:r>
              <w:rPr>
                <w:rFonts w:ascii="Arial" w:cs="Arial" w:eastAsia="Arial" w:hAnsi="Arial"/>
                <w:sz w:val="18"/>
                <w:szCs w:val="18"/>
                <w:b w:val="1"/>
                <w:bCs w:val="1"/>
                <w:color w:val="auto"/>
              </w:rPr>
              <w:t>Three Months Ended April 30,</w:t>
            </w:r>
          </w:p>
        </w:tc>
        <w:tc>
          <w:tcPr>
            <w:tcW w:w="56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580" w:type="dxa"/>
            <w:vAlign w:val="bottom"/>
          </w:tcPr>
          <w:p>
            <w:pPr>
              <w:spacing w:after="0"/>
              <w:rPr>
                <w:sz w:val="24"/>
                <w:szCs w:val="24"/>
                <w:color w:val="auto"/>
              </w:rPr>
            </w:pPr>
          </w:p>
        </w:tc>
      </w:tr>
      <w:tr>
        <w:trPr>
          <w:trHeight w:val="230"/>
        </w:trPr>
        <w:tc>
          <w:tcPr>
            <w:tcW w:w="3700" w:type="dxa"/>
            <w:vAlign w:val="bottom"/>
            <w:gridSpan w:val="3"/>
          </w:tcPr>
          <w:p>
            <w:pPr>
              <w:ind w:left="40"/>
              <w:spacing w:after="0"/>
              <w:rPr>
                <w:sz w:val="20"/>
                <w:szCs w:val="20"/>
                <w:color w:val="auto"/>
              </w:rPr>
            </w:pPr>
            <w:r>
              <w:rPr>
                <w:rFonts w:ascii="Arial" w:cs="Arial" w:eastAsia="Arial" w:hAnsi="Arial"/>
                <w:sz w:val="14"/>
                <w:szCs w:val="14"/>
                <w:i w:val="1"/>
                <w:iCs w:val="1"/>
                <w:u w:val="single" w:color="auto"/>
                <w:color w:val="auto"/>
              </w:rPr>
              <w:t>(</w:t>
            </w:r>
            <w:r>
              <w:rPr>
                <w:rFonts w:ascii="Arial" w:cs="Arial" w:eastAsia="Arial" w:hAnsi="Arial"/>
                <w:sz w:val="14"/>
                <w:szCs w:val="14"/>
                <w:i w:val="1"/>
                <w:iCs w:val="1"/>
                <w:color w:val="auto"/>
              </w:rPr>
              <w:t>$ in millions)</w:t>
            </w:r>
          </w:p>
        </w:tc>
        <w:tc>
          <w:tcPr>
            <w:tcW w:w="400" w:type="dxa"/>
            <w:vAlign w:val="bottom"/>
            <w:tcBorders>
              <w:top w:val="single" w:sz="8" w:color="auto"/>
            </w:tcBorders>
          </w:tcPr>
          <w:p>
            <w:pPr>
              <w:spacing w:after="0"/>
              <w:rPr>
                <w:sz w:val="19"/>
                <w:szCs w:val="19"/>
                <w:color w:val="auto"/>
              </w:rPr>
            </w:pPr>
          </w:p>
        </w:tc>
        <w:tc>
          <w:tcPr>
            <w:tcW w:w="1480" w:type="dxa"/>
            <w:vAlign w:val="bottom"/>
            <w:tcBorders>
              <w:top w:val="single" w:sz="8" w:color="auto"/>
            </w:tcBorders>
          </w:tcPr>
          <w:p>
            <w:pPr>
              <w:jc w:val="right"/>
              <w:ind w:right="654"/>
              <w:spacing w:after="0"/>
              <w:rPr>
                <w:sz w:val="20"/>
                <w:szCs w:val="20"/>
                <w:color w:val="auto"/>
              </w:rPr>
            </w:pPr>
            <w:r>
              <w:rPr>
                <w:rFonts w:ascii="Arial" w:cs="Arial" w:eastAsia="Arial" w:hAnsi="Arial"/>
                <w:sz w:val="18"/>
                <w:szCs w:val="18"/>
                <w:b w:val="1"/>
                <w:bCs w:val="1"/>
                <w:color w:val="auto"/>
              </w:rPr>
              <w:t>2018</w:t>
            </w:r>
          </w:p>
        </w:tc>
        <w:tc>
          <w:tcPr>
            <w:tcW w:w="100" w:type="dxa"/>
            <w:vAlign w:val="bottom"/>
            <w:tcBorders>
              <w:top w:val="single" w:sz="8" w:color="auto"/>
            </w:tcBorders>
          </w:tcPr>
          <w:p>
            <w:pPr>
              <w:spacing w:after="0"/>
              <w:rPr>
                <w:sz w:val="19"/>
                <w:szCs w:val="19"/>
                <w:color w:val="auto"/>
              </w:rPr>
            </w:pPr>
          </w:p>
        </w:tc>
        <w:tc>
          <w:tcPr>
            <w:tcW w:w="440" w:type="dxa"/>
            <w:vAlign w:val="bottom"/>
            <w:tcBorders>
              <w:top w:val="single" w:sz="8" w:color="auto"/>
            </w:tcBorders>
          </w:tcPr>
          <w:p>
            <w:pPr>
              <w:spacing w:after="0"/>
              <w:rPr>
                <w:sz w:val="19"/>
                <w:szCs w:val="19"/>
                <w:color w:val="auto"/>
              </w:rPr>
            </w:pPr>
          </w:p>
        </w:tc>
        <w:tc>
          <w:tcPr>
            <w:tcW w:w="1440" w:type="dxa"/>
            <w:vAlign w:val="bottom"/>
            <w:tcBorders>
              <w:top w:val="single" w:sz="8" w:color="auto"/>
            </w:tcBorders>
          </w:tcPr>
          <w:p>
            <w:pPr>
              <w:jc w:val="right"/>
              <w:ind w:right="654"/>
              <w:spacing w:after="0"/>
              <w:rPr>
                <w:sz w:val="20"/>
                <w:szCs w:val="20"/>
                <w:color w:val="auto"/>
              </w:rPr>
            </w:pPr>
            <w:r>
              <w:rPr>
                <w:rFonts w:ascii="Arial" w:cs="Arial" w:eastAsia="Arial" w:hAnsi="Arial"/>
                <w:sz w:val="18"/>
                <w:szCs w:val="18"/>
                <w:b w:val="1"/>
                <w:bCs w:val="1"/>
                <w:color w:val="auto"/>
              </w:rPr>
              <w:t>2017</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180" w:type="dxa"/>
            <w:vAlign w:val="bottom"/>
            <w:gridSpan w:val="2"/>
          </w:tcPr>
          <w:p>
            <w:pPr>
              <w:ind w:left="420"/>
              <w:spacing w:after="0"/>
              <w:rPr>
                <w:sz w:val="20"/>
                <w:szCs w:val="20"/>
                <w:color w:val="auto"/>
              </w:rPr>
            </w:pPr>
            <w:r>
              <w:rPr>
                <w:rFonts w:ascii="Arial" w:cs="Arial" w:eastAsia="Arial" w:hAnsi="Arial"/>
                <w:sz w:val="18"/>
                <w:szCs w:val="18"/>
                <w:b w:val="1"/>
                <w:bCs w:val="1"/>
                <w:color w:val="auto"/>
              </w:rPr>
              <w:t>Increase / (Decrease)</w:t>
            </w:r>
          </w:p>
        </w:tc>
      </w:tr>
      <w:tr>
        <w:trPr>
          <w:trHeight w:val="21"/>
        </w:trPr>
        <w:tc>
          <w:tcPr>
            <w:tcW w:w="40" w:type="dxa"/>
            <w:vAlign w:val="bottom"/>
            <w:tcBorders>
              <w:bottom w:val="single" w:sz="8" w:color="DCE2EF"/>
            </w:tcBorders>
          </w:tcPr>
          <w:p>
            <w:pPr>
              <w:spacing w:after="0" w:line="20" w:lineRule="exact"/>
              <w:rPr>
                <w:sz w:val="1"/>
                <w:szCs w:val="1"/>
                <w:color w:val="auto"/>
              </w:rPr>
            </w:pPr>
          </w:p>
        </w:tc>
        <w:tc>
          <w:tcPr>
            <w:tcW w:w="820" w:type="dxa"/>
            <w:vAlign w:val="bottom"/>
            <w:tcBorders>
              <w:top w:val="single" w:sz="8" w:color="auto"/>
              <w:bottom w:val="single" w:sz="8" w:color="DCE2EF"/>
            </w:tcBorders>
          </w:tcPr>
          <w:p>
            <w:pPr>
              <w:spacing w:after="0" w:line="20" w:lineRule="exact"/>
              <w:rPr>
                <w:sz w:val="1"/>
                <w:szCs w:val="1"/>
                <w:color w:val="auto"/>
              </w:rPr>
            </w:pPr>
          </w:p>
        </w:tc>
        <w:tc>
          <w:tcPr>
            <w:tcW w:w="2840" w:type="dxa"/>
            <w:vAlign w:val="bottom"/>
            <w:tcBorders>
              <w:bottom w:val="single" w:sz="8" w:color="DCE2E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DCE2E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DCE2EF"/>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r>
      <w:tr>
        <w:trPr>
          <w:trHeight w:val="264"/>
        </w:trPr>
        <w:tc>
          <w:tcPr>
            <w:tcW w:w="3700" w:type="dxa"/>
            <w:vAlign w:val="bottom"/>
            <w:gridSpan w:val="3"/>
            <w:shd w:val="clear" w:color="auto" w:fill="DCE2EF"/>
          </w:tcPr>
          <w:p>
            <w:pPr>
              <w:ind w:left="40"/>
              <w:spacing w:after="0"/>
              <w:rPr>
                <w:sz w:val="20"/>
                <w:szCs w:val="20"/>
                <w:color w:val="auto"/>
              </w:rPr>
            </w:pPr>
            <w:r>
              <w:rPr>
                <w:rFonts w:ascii="Arial" w:cs="Arial" w:eastAsia="Arial" w:hAnsi="Arial"/>
                <w:sz w:val="18"/>
                <w:szCs w:val="18"/>
                <w:color w:val="auto"/>
              </w:rPr>
              <w:t>Revenues</w:t>
            </w:r>
          </w:p>
        </w:tc>
        <w:tc>
          <w:tcPr>
            <w:tcW w:w="400" w:type="dxa"/>
            <w:vAlign w:val="bottom"/>
            <w:shd w:val="clear" w:color="auto" w:fill="DCE2EF"/>
          </w:tcPr>
          <w:p>
            <w:pPr>
              <w:jc w:val="right"/>
              <w:ind w:right="190"/>
              <w:spacing w:after="0"/>
              <w:rPr>
                <w:sz w:val="20"/>
                <w:szCs w:val="20"/>
                <w:color w:val="auto"/>
              </w:rPr>
            </w:pPr>
            <w:r>
              <w:rPr>
                <w:rFonts w:ascii="Arial" w:cs="Arial" w:eastAsia="Arial" w:hAnsi="Arial"/>
                <w:sz w:val="18"/>
                <w:szCs w:val="18"/>
                <w:color w:val="auto"/>
                <w:w w:val="99"/>
              </w:rPr>
              <w:t>$</w:t>
            </w:r>
          </w:p>
        </w:tc>
        <w:tc>
          <w:tcPr>
            <w:tcW w:w="1480" w:type="dxa"/>
            <w:vAlign w:val="bottom"/>
            <w:shd w:val="clear" w:color="auto" w:fill="DCE2EF"/>
          </w:tcPr>
          <w:p>
            <w:pPr>
              <w:jc w:val="right"/>
              <w:ind w:right="74"/>
              <w:spacing w:after="0"/>
              <w:rPr>
                <w:sz w:val="20"/>
                <w:szCs w:val="20"/>
                <w:color w:val="auto"/>
              </w:rPr>
            </w:pPr>
            <w:r>
              <w:rPr>
                <w:rFonts w:ascii="Arial" w:cs="Arial" w:eastAsia="Arial" w:hAnsi="Arial"/>
                <w:sz w:val="18"/>
                <w:szCs w:val="18"/>
                <w:color w:val="auto"/>
              </w:rPr>
              <w:t>245.4</w:t>
            </w:r>
          </w:p>
        </w:tc>
        <w:tc>
          <w:tcPr>
            <w:tcW w:w="100" w:type="dxa"/>
            <w:vAlign w:val="bottom"/>
            <w:shd w:val="clear" w:color="auto" w:fill="DCE2EF"/>
          </w:tcPr>
          <w:p>
            <w:pPr>
              <w:spacing w:after="0"/>
              <w:rPr>
                <w:sz w:val="22"/>
                <w:szCs w:val="22"/>
                <w:color w:val="auto"/>
              </w:rPr>
            </w:pPr>
          </w:p>
        </w:tc>
        <w:tc>
          <w:tcPr>
            <w:tcW w:w="440" w:type="dxa"/>
            <w:vAlign w:val="bottom"/>
            <w:shd w:val="clear" w:color="auto" w:fill="DCE2EF"/>
          </w:tcPr>
          <w:p>
            <w:pPr>
              <w:jc w:val="right"/>
              <w:ind w:right="230"/>
              <w:spacing w:after="0"/>
              <w:rPr>
                <w:sz w:val="20"/>
                <w:szCs w:val="20"/>
                <w:color w:val="auto"/>
              </w:rPr>
            </w:pPr>
            <w:r>
              <w:rPr>
                <w:rFonts w:ascii="Arial" w:cs="Arial" w:eastAsia="Arial" w:hAnsi="Arial"/>
                <w:sz w:val="18"/>
                <w:szCs w:val="18"/>
                <w:color w:val="auto"/>
                <w:w w:val="99"/>
              </w:rPr>
              <w:t>$</w:t>
            </w:r>
          </w:p>
        </w:tc>
        <w:tc>
          <w:tcPr>
            <w:tcW w:w="1440" w:type="dxa"/>
            <w:vAlign w:val="bottom"/>
            <w:shd w:val="clear" w:color="auto" w:fill="DCE2EF"/>
          </w:tcPr>
          <w:p>
            <w:pPr>
              <w:jc w:val="right"/>
              <w:ind w:right="74"/>
              <w:spacing w:after="0"/>
              <w:rPr>
                <w:sz w:val="20"/>
                <w:szCs w:val="20"/>
                <w:color w:val="auto"/>
              </w:rPr>
            </w:pPr>
            <w:r>
              <w:rPr>
                <w:rFonts w:ascii="Arial" w:cs="Arial" w:eastAsia="Arial" w:hAnsi="Arial"/>
                <w:sz w:val="18"/>
                <w:szCs w:val="18"/>
                <w:color w:val="auto"/>
              </w:rPr>
              <w:t>232.1</w:t>
            </w:r>
          </w:p>
        </w:tc>
        <w:tc>
          <w:tcPr>
            <w:tcW w:w="100" w:type="dxa"/>
            <w:vAlign w:val="bottom"/>
            <w:shd w:val="clear" w:color="auto" w:fill="DCE2EF"/>
          </w:tcPr>
          <w:p>
            <w:pPr>
              <w:spacing w:after="0"/>
              <w:rPr>
                <w:sz w:val="22"/>
                <w:szCs w:val="22"/>
                <w:color w:val="auto"/>
              </w:rPr>
            </w:pPr>
          </w:p>
        </w:tc>
        <w:tc>
          <w:tcPr>
            <w:tcW w:w="560" w:type="dxa"/>
            <w:vAlign w:val="bottom"/>
            <w:shd w:val="clear" w:color="auto" w:fill="DCE2EF"/>
          </w:tcPr>
          <w:p>
            <w:pPr>
              <w:jc w:val="right"/>
              <w:ind w:right="330"/>
              <w:spacing w:after="0"/>
              <w:rPr>
                <w:sz w:val="20"/>
                <w:szCs w:val="20"/>
                <w:color w:val="auto"/>
              </w:rPr>
            </w:pPr>
            <w:r>
              <w:rPr>
                <w:rFonts w:ascii="Arial" w:cs="Arial" w:eastAsia="Arial" w:hAnsi="Arial"/>
                <w:sz w:val="18"/>
                <w:szCs w:val="18"/>
                <w:color w:val="auto"/>
              </w:rPr>
              <w:t>$</w:t>
            </w:r>
          </w:p>
        </w:tc>
        <w:tc>
          <w:tcPr>
            <w:tcW w:w="1600" w:type="dxa"/>
            <w:vAlign w:val="bottom"/>
            <w:shd w:val="clear" w:color="auto" w:fill="DCE2EF"/>
          </w:tcPr>
          <w:p>
            <w:pPr>
              <w:jc w:val="right"/>
              <w:ind w:right="354"/>
              <w:spacing w:after="0"/>
              <w:rPr>
                <w:sz w:val="20"/>
                <w:szCs w:val="20"/>
                <w:color w:val="auto"/>
              </w:rPr>
            </w:pPr>
            <w:r>
              <w:rPr>
                <w:rFonts w:ascii="Arial" w:cs="Arial" w:eastAsia="Arial" w:hAnsi="Arial"/>
                <w:sz w:val="18"/>
                <w:szCs w:val="18"/>
                <w:color w:val="auto"/>
              </w:rPr>
              <w:t>13.3</w:t>
            </w:r>
          </w:p>
        </w:tc>
        <w:tc>
          <w:tcPr>
            <w:tcW w:w="1580" w:type="dxa"/>
            <w:vAlign w:val="bottom"/>
            <w:shd w:val="clear" w:color="auto" w:fill="DCE2EF"/>
          </w:tcPr>
          <w:p>
            <w:pPr>
              <w:jc w:val="right"/>
              <w:ind w:right="610"/>
              <w:spacing w:after="0"/>
              <w:rPr>
                <w:sz w:val="20"/>
                <w:szCs w:val="20"/>
                <w:color w:val="auto"/>
              </w:rPr>
            </w:pPr>
            <w:r>
              <w:rPr>
                <w:rFonts w:ascii="Arial" w:cs="Arial" w:eastAsia="Arial" w:hAnsi="Arial"/>
                <w:sz w:val="18"/>
                <w:szCs w:val="18"/>
                <w:color w:val="auto"/>
              </w:rPr>
              <w:t>5.8%</w:t>
            </w:r>
          </w:p>
        </w:tc>
      </w:tr>
      <w:tr>
        <w:trPr>
          <w:trHeight w:val="263"/>
        </w:trPr>
        <w:tc>
          <w:tcPr>
            <w:tcW w:w="3700" w:type="dxa"/>
            <w:vAlign w:val="bottom"/>
            <w:gridSpan w:val="3"/>
          </w:tcPr>
          <w:p>
            <w:pPr>
              <w:ind w:left="40"/>
              <w:spacing w:after="0"/>
              <w:rPr>
                <w:sz w:val="20"/>
                <w:szCs w:val="20"/>
                <w:color w:val="auto"/>
              </w:rPr>
            </w:pPr>
            <w:r>
              <w:rPr>
                <w:rFonts w:ascii="Arial" w:cs="Arial" w:eastAsia="Arial" w:hAnsi="Arial"/>
                <w:sz w:val="18"/>
                <w:szCs w:val="18"/>
                <w:color w:val="auto"/>
              </w:rPr>
              <w:t>Operating profit</w:t>
            </w:r>
          </w:p>
        </w:tc>
        <w:tc>
          <w:tcPr>
            <w:tcW w:w="400" w:type="dxa"/>
            <w:vAlign w:val="bottom"/>
          </w:tcPr>
          <w:p>
            <w:pPr>
              <w:spacing w:after="0"/>
              <w:rPr>
                <w:sz w:val="22"/>
                <w:szCs w:val="22"/>
                <w:color w:val="auto"/>
              </w:rPr>
            </w:pPr>
          </w:p>
        </w:tc>
        <w:tc>
          <w:tcPr>
            <w:tcW w:w="1480" w:type="dxa"/>
            <w:vAlign w:val="bottom"/>
          </w:tcPr>
          <w:p>
            <w:pPr>
              <w:jc w:val="right"/>
              <w:ind w:right="74"/>
              <w:spacing w:after="0"/>
              <w:rPr>
                <w:sz w:val="20"/>
                <w:szCs w:val="20"/>
                <w:color w:val="auto"/>
              </w:rPr>
            </w:pPr>
            <w:r>
              <w:rPr>
                <w:rFonts w:ascii="Arial" w:cs="Arial" w:eastAsia="Arial" w:hAnsi="Arial"/>
                <w:sz w:val="18"/>
                <w:szCs w:val="18"/>
                <w:color w:val="auto"/>
              </w:rPr>
              <w:t>5.1</w:t>
            </w:r>
          </w:p>
        </w:tc>
        <w:tc>
          <w:tcPr>
            <w:tcW w:w="1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440" w:type="dxa"/>
            <w:vAlign w:val="bottom"/>
          </w:tcPr>
          <w:p>
            <w:pPr>
              <w:jc w:val="right"/>
              <w:ind w:right="74"/>
              <w:spacing w:after="0"/>
              <w:rPr>
                <w:sz w:val="20"/>
                <w:szCs w:val="20"/>
                <w:color w:val="auto"/>
              </w:rPr>
            </w:pPr>
            <w:r>
              <w:rPr>
                <w:rFonts w:ascii="Arial" w:cs="Arial" w:eastAsia="Arial" w:hAnsi="Arial"/>
                <w:sz w:val="18"/>
                <w:szCs w:val="18"/>
                <w:color w:val="auto"/>
              </w:rPr>
              <w:t>6.8</w:t>
            </w:r>
          </w:p>
        </w:tc>
        <w:tc>
          <w:tcPr>
            <w:tcW w:w="10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600" w:type="dxa"/>
            <w:vAlign w:val="bottom"/>
          </w:tcPr>
          <w:p>
            <w:pPr>
              <w:jc w:val="right"/>
              <w:ind w:right="294"/>
              <w:spacing w:after="0"/>
              <w:rPr>
                <w:sz w:val="20"/>
                <w:szCs w:val="20"/>
                <w:color w:val="auto"/>
              </w:rPr>
            </w:pPr>
            <w:r>
              <w:rPr>
                <w:rFonts w:ascii="Arial" w:cs="Arial" w:eastAsia="Arial" w:hAnsi="Arial"/>
                <w:sz w:val="18"/>
                <w:szCs w:val="18"/>
                <w:color w:val="auto"/>
              </w:rPr>
              <w:t>(1.7)</w:t>
            </w:r>
          </w:p>
        </w:tc>
        <w:tc>
          <w:tcPr>
            <w:tcW w:w="1580" w:type="dxa"/>
            <w:vAlign w:val="bottom"/>
          </w:tcPr>
          <w:p>
            <w:pPr>
              <w:jc w:val="right"/>
              <w:ind w:right="490"/>
              <w:spacing w:after="0"/>
              <w:rPr>
                <w:sz w:val="20"/>
                <w:szCs w:val="20"/>
                <w:color w:val="auto"/>
              </w:rPr>
            </w:pPr>
            <w:r>
              <w:rPr>
                <w:rFonts w:ascii="Arial" w:cs="Arial" w:eastAsia="Arial" w:hAnsi="Arial"/>
                <w:sz w:val="18"/>
                <w:szCs w:val="18"/>
                <w:color w:val="auto"/>
              </w:rPr>
              <w:t>(24.4)%</w:t>
            </w:r>
          </w:p>
        </w:tc>
      </w:tr>
      <w:tr>
        <w:trPr>
          <w:trHeight w:val="277"/>
        </w:trPr>
        <w:tc>
          <w:tcPr>
            <w:tcW w:w="40" w:type="dxa"/>
            <w:vAlign w:val="bottom"/>
            <w:shd w:val="clear" w:color="auto" w:fill="DCE2EF"/>
          </w:tcPr>
          <w:p>
            <w:pPr>
              <w:spacing w:after="0"/>
              <w:rPr>
                <w:sz w:val="24"/>
                <w:szCs w:val="24"/>
                <w:color w:val="auto"/>
              </w:rPr>
            </w:pPr>
          </w:p>
        </w:tc>
        <w:tc>
          <w:tcPr>
            <w:tcW w:w="3660" w:type="dxa"/>
            <w:vAlign w:val="bottom"/>
            <w:gridSpan w:val="2"/>
            <w:shd w:val="clear" w:color="auto" w:fill="DCE2EF"/>
          </w:tcPr>
          <w:p>
            <w:pPr>
              <w:ind w:left="140"/>
              <w:spacing w:after="0"/>
              <w:rPr>
                <w:sz w:val="20"/>
                <w:szCs w:val="20"/>
                <w:color w:val="auto"/>
              </w:rPr>
            </w:pPr>
            <w:r>
              <w:rPr>
                <w:rFonts w:ascii="Arial" w:cs="Arial" w:eastAsia="Arial" w:hAnsi="Arial"/>
                <w:sz w:val="14"/>
                <w:szCs w:val="14"/>
                <w:i w:val="1"/>
                <w:iCs w:val="1"/>
                <w:color w:val="auto"/>
              </w:rPr>
              <w:t>Operating profit margin</w:t>
            </w:r>
          </w:p>
        </w:tc>
        <w:tc>
          <w:tcPr>
            <w:tcW w:w="400" w:type="dxa"/>
            <w:vAlign w:val="bottom"/>
            <w:shd w:val="clear" w:color="auto" w:fill="DCE2EF"/>
          </w:tcPr>
          <w:p>
            <w:pPr>
              <w:spacing w:after="0"/>
              <w:rPr>
                <w:sz w:val="24"/>
                <w:szCs w:val="24"/>
                <w:color w:val="auto"/>
              </w:rPr>
            </w:pPr>
          </w:p>
        </w:tc>
        <w:tc>
          <w:tcPr>
            <w:tcW w:w="1480" w:type="dxa"/>
            <w:vAlign w:val="bottom"/>
            <w:shd w:val="clear" w:color="auto" w:fill="DCE2EF"/>
          </w:tcPr>
          <w:p>
            <w:pPr>
              <w:jc w:val="right"/>
              <w:spacing w:after="0"/>
              <w:rPr>
                <w:sz w:val="20"/>
                <w:szCs w:val="20"/>
                <w:color w:val="auto"/>
              </w:rPr>
            </w:pPr>
            <w:r>
              <w:rPr>
                <w:rFonts w:ascii="Arial" w:cs="Arial" w:eastAsia="Arial" w:hAnsi="Arial"/>
                <w:sz w:val="14"/>
                <w:szCs w:val="14"/>
                <w:i w:val="1"/>
                <w:iCs w:val="1"/>
                <w:color w:val="auto"/>
              </w:rPr>
              <w:t>2.1%</w:t>
            </w:r>
          </w:p>
        </w:tc>
        <w:tc>
          <w:tcPr>
            <w:tcW w:w="100" w:type="dxa"/>
            <w:vAlign w:val="bottom"/>
            <w:shd w:val="clear" w:color="auto" w:fill="DCE2EF"/>
          </w:tcPr>
          <w:p>
            <w:pPr>
              <w:spacing w:after="0"/>
              <w:rPr>
                <w:sz w:val="24"/>
                <w:szCs w:val="24"/>
                <w:color w:val="auto"/>
              </w:rPr>
            </w:pPr>
          </w:p>
        </w:tc>
        <w:tc>
          <w:tcPr>
            <w:tcW w:w="440" w:type="dxa"/>
            <w:vAlign w:val="bottom"/>
            <w:shd w:val="clear" w:color="auto" w:fill="DCE2EF"/>
          </w:tcPr>
          <w:p>
            <w:pPr>
              <w:spacing w:after="0"/>
              <w:rPr>
                <w:sz w:val="24"/>
                <w:szCs w:val="24"/>
                <w:color w:val="auto"/>
              </w:rPr>
            </w:pPr>
          </w:p>
        </w:tc>
        <w:tc>
          <w:tcPr>
            <w:tcW w:w="1440" w:type="dxa"/>
            <w:vAlign w:val="bottom"/>
            <w:shd w:val="clear" w:color="auto" w:fill="DCE2EF"/>
          </w:tcPr>
          <w:p>
            <w:pPr>
              <w:jc w:val="right"/>
              <w:spacing w:after="0"/>
              <w:rPr>
                <w:sz w:val="20"/>
                <w:szCs w:val="20"/>
                <w:color w:val="auto"/>
              </w:rPr>
            </w:pPr>
            <w:r>
              <w:rPr>
                <w:rFonts w:ascii="Arial" w:cs="Arial" w:eastAsia="Arial" w:hAnsi="Arial"/>
                <w:sz w:val="14"/>
                <w:szCs w:val="14"/>
                <w:i w:val="1"/>
                <w:iCs w:val="1"/>
                <w:color w:val="auto"/>
              </w:rPr>
              <w:t>2.9%</w:t>
            </w:r>
          </w:p>
        </w:tc>
        <w:tc>
          <w:tcPr>
            <w:tcW w:w="100" w:type="dxa"/>
            <w:vAlign w:val="bottom"/>
            <w:shd w:val="clear" w:color="auto" w:fill="DCE2EF"/>
          </w:tcPr>
          <w:p>
            <w:pPr>
              <w:spacing w:after="0"/>
              <w:rPr>
                <w:sz w:val="24"/>
                <w:szCs w:val="24"/>
                <w:color w:val="auto"/>
              </w:rPr>
            </w:pPr>
          </w:p>
        </w:tc>
        <w:tc>
          <w:tcPr>
            <w:tcW w:w="560" w:type="dxa"/>
            <w:vAlign w:val="bottom"/>
            <w:shd w:val="clear" w:color="auto" w:fill="DCE2EF"/>
          </w:tcPr>
          <w:p>
            <w:pPr>
              <w:spacing w:after="0"/>
              <w:rPr>
                <w:sz w:val="24"/>
                <w:szCs w:val="24"/>
                <w:color w:val="auto"/>
              </w:rPr>
            </w:pPr>
          </w:p>
        </w:tc>
        <w:tc>
          <w:tcPr>
            <w:tcW w:w="1600" w:type="dxa"/>
            <w:vAlign w:val="bottom"/>
            <w:shd w:val="clear" w:color="auto" w:fill="DCE2EF"/>
          </w:tcPr>
          <w:p>
            <w:pPr>
              <w:jc w:val="right"/>
              <w:ind w:right="354"/>
              <w:spacing w:after="0"/>
              <w:rPr>
                <w:sz w:val="20"/>
                <w:szCs w:val="20"/>
                <w:color w:val="auto"/>
              </w:rPr>
            </w:pPr>
            <w:r>
              <w:rPr>
                <w:rFonts w:ascii="Arial" w:cs="Arial" w:eastAsia="Arial" w:hAnsi="Arial"/>
                <w:sz w:val="14"/>
                <w:szCs w:val="14"/>
                <w:i w:val="1"/>
                <w:iCs w:val="1"/>
                <w:color w:val="auto"/>
              </w:rPr>
              <w:t>(83) bps</w:t>
            </w:r>
          </w:p>
        </w:tc>
        <w:tc>
          <w:tcPr>
            <w:tcW w:w="1580" w:type="dxa"/>
            <w:vAlign w:val="bottom"/>
            <w:shd w:val="clear" w:color="auto" w:fill="DCE2EF"/>
          </w:tcPr>
          <w:p>
            <w:pPr>
              <w:spacing w:after="0"/>
              <w:rPr>
                <w:sz w:val="24"/>
                <w:szCs w:val="24"/>
                <w:color w:val="auto"/>
              </w:rPr>
            </w:pPr>
          </w:p>
        </w:tc>
      </w:tr>
    </w:tbl>
    <w:p>
      <w:pPr>
        <w:spacing w:after="0" w:line="161" w:lineRule="exact"/>
        <w:rPr>
          <w:sz w:val="20"/>
          <w:szCs w:val="20"/>
          <w:color w:val="auto"/>
        </w:rPr>
      </w:pPr>
    </w:p>
    <w:p>
      <w:pPr>
        <w:jc w:val="both"/>
        <w:ind w:firstLine="648"/>
        <w:spacing w:after="0" w:line="274" w:lineRule="auto"/>
        <w:rPr>
          <w:sz w:val="20"/>
          <w:szCs w:val="20"/>
          <w:color w:val="auto"/>
        </w:rPr>
      </w:pPr>
      <w:r>
        <w:rPr>
          <w:rFonts w:ascii="Arial" w:cs="Arial" w:eastAsia="Arial" w:hAnsi="Arial"/>
          <w:sz w:val="17"/>
          <w:szCs w:val="17"/>
          <w:color w:val="auto"/>
        </w:rPr>
        <w:t>Aviation revenues increased by $ 13.3 million, or 5.8%, during the three months ended April 30, 2018, as compared to the three months ended April 30, 2017. The increase was primarily attributable to organic growth in parking and transportation and to incremental revenues of $4.3 million from the GCA acquisition. This increase was partially offset by the loss of certain accounts. Management reimbursement revenues for this segment totaled $27.6 million and $16.2 million for the three months ended April 30, 2018 and 2017, respectively.</w:t>
      </w:r>
    </w:p>
    <w:p>
      <w:pPr>
        <w:spacing w:after="0" w:line="134"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Operating profit decreased by $1.7 million, or 24.4%, during the three months ended April 30, 2018, as compared to the three months ended April 30, 2017. Operating profit margin decreased by 83 bps to 2.1% in the three months ended April 30, 2018 from 2.9% in the three months ended April 30, 2017. The decrease in operating profit margin was primarily attributable to lower margins and operational issues on certain accounts and an increase in legal settlement costs. This decrease was partially offset by the termination of an unprofitable contract at the end of 2017.</w:t>
      </w:r>
    </w:p>
    <w:p>
      <w:pPr>
        <w:spacing w:after="0" w:line="305" w:lineRule="exact"/>
        <w:rPr>
          <w:sz w:val="20"/>
          <w:szCs w:val="20"/>
          <w:color w:val="auto"/>
        </w:rPr>
      </w:pPr>
    </w:p>
    <w:tbl>
      <w:tblPr>
        <w:tblLayout w:type="fixed"/>
        <w:tblInd w:w="20" w:type="dxa"/>
        <w:tblCellMar>
          <w:top w:w="0" w:type="dxa"/>
          <w:left w:w="0" w:type="dxa"/>
          <w:bottom w:w="0" w:type="dxa"/>
          <w:right w:w="0" w:type="dxa"/>
        </w:tblCellMar>
      </w:tblPr>
      <w:tr>
        <w:trPr>
          <w:trHeight w:val="239"/>
        </w:trPr>
        <w:tc>
          <w:tcPr>
            <w:tcW w:w="3680" w:type="dxa"/>
            <w:vAlign w:val="bottom"/>
            <w:gridSpan w:val="3"/>
          </w:tcPr>
          <w:p>
            <w:pPr>
              <w:ind w:left="20"/>
              <w:spacing w:after="0"/>
              <w:rPr>
                <w:sz w:val="20"/>
                <w:szCs w:val="20"/>
                <w:color w:val="auto"/>
              </w:rPr>
            </w:pPr>
            <w:r>
              <w:rPr>
                <w:rFonts w:ascii="Arial" w:cs="Arial" w:eastAsia="Arial" w:hAnsi="Arial"/>
                <w:sz w:val="18"/>
                <w:szCs w:val="18"/>
                <w:b w:val="1"/>
                <w:bCs w:val="1"/>
                <w:i w:val="1"/>
                <w:iCs w:val="1"/>
                <w:color w:val="0046AD"/>
              </w:rPr>
              <w:t>Technology &amp; Manufacturing</w:t>
            </w:r>
          </w:p>
        </w:tc>
        <w:tc>
          <w:tcPr>
            <w:tcW w:w="40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1600" w:type="dxa"/>
            <w:vAlign w:val="bottom"/>
          </w:tcPr>
          <w:p>
            <w:pPr>
              <w:spacing w:after="0"/>
              <w:rPr>
                <w:sz w:val="20"/>
                <w:szCs w:val="20"/>
                <w:color w:val="auto"/>
              </w:rPr>
            </w:pPr>
          </w:p>
        </w:tc>
      </w:tr>
      <w:tr>
        <w:trPr>
          <w:trHeight w:val="277"/>
        </w:trPr>
        <w:tc>
          <w:tcPr>
            <w:tcW w:w="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8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580" w:type="dxa"/>
            <w:vAlign w:val="bottom"/>
            <w:gridSpan w:val="5"/>
          </w:tcPr>
          <w:p>
            <w:pPr>
              <w:ind w:left="280"/>
              <w:spacing w:after="0"/>
              <w:rPr>
                <w:sz w:val="20"/>
                <w:szCs w:val="20"/>
                <w:color w:val="auto"/>
              </w:rPr>
            </w:pPr>
            <w:r>
              <w:rPr>
                <w:rFonts w:ascii="Arial" w:cs="Arial" w:eastAsia="Arial" w:hAnsi="Arial"/>
                <w:sz w:val="18"/>
                <w:szCs w:val="18"/>
                <w:b w:val="1"/>
                <w:bCs w:val="1"/>
                <w:color w:val="auto"/>
              </w:rPr>
              <w:t>Three Months Ended April 30,</w:t>
            </w:r>
          </w:p>
        </w:tc>
        <w:tc>
          <w:tcPr>
            <w:tcW w:w="54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600" w:type="dxa"/>
            <w:vAlign w:val="bottom"/>
          </w:tcPr>
          <w:p>
            <w:pPr>
              <w:spacing w:after="0"/>
              <w:rPr>
                <w:sz w:val="24"/>
                <w:szCs w:val="24"/>
                <w:color w:val="auto"/>
              </w:rPr>
            </w:pPr>
          </w:p>
        </w:tc>
      </w:tr>
      <w:tr>
        <w:trPr>
          <w:trHeight w:val="230"/>
        </w:trPr>
        <w:tc>
          <w:tcPr>
            <w:tcW w:w="3680" w:type="dxa"/>
            <w:vAlign w:val="bottom"/>
            <w:gridSpan w:val="3"/>
          </w:tcPr>
          <w:p>
            <w:pPr>
              <w:ind w:left="20"/>
              <w:spacing w:after="0"/>
              <w:rPr>
                <w:sz w:val="20"/>
                <w:szCs w:val="20"/>
                <w:color w:val="auto"/>
              </w:rPr>
            </w:pPr>
            <w:r>
              <w:rPr>
                <w:rFonts w:ascii="Arial" w:cs="Arial" w:eastAsia="Arial" w:hAnsi="Arial"/>
                <w:sz w:val="14"/>
                <w:szCs w:val="14"/>
                <w:i w:val="1"/>
                <w:iCs w:val="1"/>
                <w:u w:val="single" w:color="auto"/>
                <w:color w:val="auto"/>
              </w:rPr>
              <w:t>(</w:t>
            </w:r>
            <w:r>
              <w:rPr>
                <w:rFonts w:ascii="Arial" w:cs="Arial" w:eastAsia="Arial" w:hAnsi="Arial"/>
                <w:sz w:val="14"/>
                <w:szCs w:val="14"/>
                <w:i w:val="1"/>
                <w:iCs w:val="1"/>
                <w:color w:val="auto"/>
              </w:rPr>
              <w:t>$ in millions)</w:t>
            </w:r>
          </w:p>
        </w:tc>
        <w:tc>
          <w:tcPr>
            <w:tcW w:w="400" w:type="dxa"/>
            <w:vAlign w:val="bottom"/>
            <w:tcBorders>
              <w:top w:val="single" w:sz="8" w:color="auto"/>
            </w:tcBorders>
          </w:tcPr>
          <w:p>
            <w:pPr>
              <w:spacing w:after="0"/>
              <w:rPr>
                <w:sz w:val="19"/>
                <w:szCs w:val="19"/>
                <w:color w:val="auto"/>
              </w:rPr>
            </w:pPr>
          </w:p>
        </w:tc>
        <w:tc>
          <w:tcPr>
            <w:tcW w:w="1480" w:type="dxa"/>
            <w:vAlign w:val="bottom"/>
            <w:tcBorders>
              <w:top w:val="single" w:sz="8" w:color="auto"/>
            </w:tcBorders>
          </w:tcPr>
          <w:p>
            <w:pPr>
              <w:jc w:val="right"/>
              <w:ind w:right="654"/>
              <w:spacing w:after="0"/>
              <w:rPr>
                <w:sz w:val="20"/>
                <w:szCs w:val="20"/>
                <w:color w:val="auto"/>
              </w:rPr>
            </w:pPr>
            <w:r>
              <w:rPr>
                <w:rFonts w:ascii="Arial" w:cs="Arial" w:eastAsia="Arial" w:hAnsi="Arial"/>
                <w:sz w:val="18"/>
                <w:szCs w:val="18"/>
                <w:b w:val="1"/>
                <w:bCs w:val="1"/>
                <w:color w:val="auto"/>
              </w:rPr>
              <w:t>2018</w:t>
            </w:r>
          </w:p>
        </w:tc>
        <w:tc>
          <w:tcPr>
            <w:tcW w:w="120" w:type="dxa"/>
            <w:vAlign w:val="bottom"/>
            <w:tcBorders>
              <w:top w:val="single" w:sz="8" w:color="auto"/>
            </w:tcBorders>
          </w:tcPr>
          <w:p>
            <w:pPr>
              <w:spacing w:after="0"/>
              <w:rPr>
                <w:sz w:val="19"/>
                <w:szCs w:val="19"/>
                <w:color w:val="auto"/>
              </w:rPr>
            </w:pPr>
          </w:p>
        </w:tc>
        <w:tc>
          <w:tcPr>
            <w:tcW w:w="420" w:type="dxa"/>
            <w:vAlign w:val="bottom"/>
            <w:tcBorders>
              <w:top w:val="single" w:sz="8" w:color="auto"/>
            </w:tcBorders>
          </w:tcPr>
          <w:p>
            <w:pPr>
              <w:spacing w:after="0"/>
              <w:rPr>
                <w:sz w:val="19"/>
                <w:szCs w:val="19"/>
                <w:color w:val="auto"/>
              </w:rPr>
            </w:pPr>
          </w:p>
        </w:tc>
        <w:tc>
          <w:tcPr>
            <w:tcW w:w="1460" w:type="dxa"/>
            <w:vAlign w:val="bottom"/>
            <w:tcBorders>
              <w:top w:val="single" w:sz="8" w:color="auto"/>
            </w:tcBorders>
          </w:tcPr>
          <w:p>
            <w:pPr>
              <w:jc w:val="right"/>
              <w:ind w:right="674"/>
              <w:spacing w:after="0"/>
              <w:rPr>
                <w:sz w:val="20"/>
                <w:szCs w:val="20"/>
                <w:color w:val="auto"/>
              </w:rPr>
            </w:pPr>
            <w:r>
              <w:rPr>
                <w:rFonts w:ascii="Arial" w:cs="Arial" w:eastAsia="Arial" w:hAnsi="Arial"/>
                <w:sz w:val="18"/>
                <w:szCs w:val="18"/>
                <w:b w:val="1"/>
                <w:bCs w:val="1"/>
                <w:color w:val="auto"/>
              </w:rPr>
              <w:t>2017</w:t>
            </w: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3200" w:type="dxa"/>
            <w:vAlign w:val="bottom"/>
            <w:gridSpan w:val="2"/>
          </w:tcPr>
          <w:p>
            <w:pPr>
              <w:jc w:val="right"/>
              <w:ind w:right="870"/>
              <w:spacing w:after="0"/>
              <w:rPr>
                <w:sz w:val="20"/>
                <w:szCs w:val="20"/>
                <w:color w:val="auto"/>
              </w:rPr>
            </w:pPr>
            <w:r>
              <w:rPr>
                <w:rFonts w:ascii="Arial" w:cs="Arial" w:eastAsia="Arial" w:hAnsi="Arial"/>
                <w:sz w:val="18"/>
                <w:szCs w:val="18"/>
                <w:b w:val="1"/>
                <w:bCs w:val="1"/>
                <w:color w:val="auto"/>
              </w:rPr>
              <w:t>Increase / (Decrease)</w:t>
            </w:r>
          </w:p>
        </w:tc>
      </w:tr>
      <w:tr>
        <w:trPr>
          <w:trHeight w:val="21"/>
        </w:trPr>
        <w:tc>
          <w:tcPr>
            <w:tcW w:w="20" w:type="dxa"/>
            <w:vAlign w:val="bottom"/>
            <w:tcBorders>
              <w:bottom w:val="single" w:sz="8" w:color="DCE2EF"/>
            </w:tcBorders>
          </w:tcPr>
          <w:p>
            <w:pPr>
              <w:spacing w:after="0" w:line="20" w:lineRule="exact"/>
              <w:rPr>
                <w:sz w:val="1"/>
                <w:szCs w:val="1"/>
                <w:color w:val="auto"/>
              </w:rPr>
            </w:pPr>
          </w:p>
        </w:tc>
        <w:tc>
          <w:tcPr>
            <w:tcW w:w="820" w:type="dxa"/>
            <w:vAlign w:val="bottom"/>
            <w:tcBorders>
              <w:top w:val="single" w:sz="8" w:color="auto"/>
              <w:bottom w:val="single" w:sz="8" w:color="DCE2EF"/>
            </w:tcBorders>
          </w:tcPr>
          <w:p>
            <w:pPr>
              <w:spacing w:after="0" w:line="20" w:lineRule="exact"/>
              <w:rPr>
                <w:sz w:val="1"/>
                <w:szCs w:val="1"/>
                <w:color w:val="auto"/>
              </w:rPr>
            </w:pPr>
          </w:p>
        </w:tc>
        <w:tc>
          <w:tcPr>
            <w:tcW w:w="2840" w:type="dxa"/>
            <w:vAlign w:val="bottom"/>
            <w:tcBorders>
              <w:bottom w:val="single" w:sz="8" w:color="DCE2E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DCE2E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DCE2EF"/>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r>
      <w:tr>
        <w:trPr>
          <w:trHeight w:val="264"/>
        </w:trPr>
        <w:tc>
          <w:tcPr>
            <w:tcW w:w="3680" w:type="dxa"/>
            <w:vAlign w:val="bottom"/>
            <w:gridSpan w:val="3"/>
            <w:shd w:val="clear" w:color="auto" w:fill="DCE2EF"/>
          </w:tcPr>
          <w:p>
            <w:pPr>
              <w:ind w:left="20"/>
              <w:spacing w:after="0"/>
              <w:rPr>
                <w:sz w:val="20"/>
                <w:szCs w:val="20"/>
                <w:color w:val="auto"/>
              </w:rPr>
            </w:pPr>
            <w:r>
              <w:rPr>
                <w:rFonts w:ascii="Arial" w:cs="Arial" w:eastAsia="Arial" w:hAnsi="Arial"/>
                <w:sz w:val="18"/>
                <w:szCs w:val="18"/>
                <w:color w:val="auto"/>
              </w:rPr>
              <w:t>Revenues</w:t>
            </w:r>
          </w:p>
        </w:tc>
        <w:tc>
          <w:tcPr>
            <w:tcW w:w="400" w:type="dxa"/>
            <w:vAlign w:val="bottom"/>
            <w:shd w:val="clear" w:color="auto" w:fill="DCE2EF"/>
          </w:tcPr>
          <w:p>
            <w:pPr>
              <w:jc w:val="right"/>
              <w:ind w:right="190"/>
              <w:spacing w:after="0"/>
              <w:rPr>
                <w:sz w:val="20"/>
                <w:szCs w:val="20"/>
                <w:color w:val="auto"/>
              </w:rPr>
            </w:pPr>
            <w:r>
              <w:rPr>
                <w:rFonts w:ascii="Arial" w:cs="Arial" w:eastAsia="Arial" w:hAnsi="Arial"/>
                <w:sz w:val="18"/>
                <w:szCs w:val="18"/>
                <w:color w:val="auto"/>
                <w:w w:val="99"/>
              </w:rPr>
              <w:t>$</w:t>
            </w:r>
          </w:p>
        </w:tc>
        <w:tc>
          <w:tcPr>
            <w:tcW w:w="1480" w:type="dxa"/>
            <w:vAlign w:val="bottom"/>
            <w:shd w:val="clear" w:color="auto" w:fill="DCE2EF"/>
          </w:tcPr>
          <w:p>
            <w:pPr>
              <w:jc w:val="right"/>
              <w:ind w:right="74"/>
              <w:spacing w:after="0"/>
              <w:rPr>
                <w:sz w:val="20"/>
                <w:szCs w:val="20"/>
                <w:color w:val="auto"/>
              </w:rPr>
            </w:pPr>
            <w:r>
              <w:rPr>
                <w:rFonts w:ascii="Arial" w:cs="Arial" w:eastAsia="Arial" w:hAnsi="Arial"/>
                <w:sz w:val="18"/>
                <w:szCs w:val="18"/>
                <w:color w:val="auto"/>
              </w:rPr>
              <w:t>227.5</w:t>
            </w:r>
          </w:p>
        </w:tc>
        <w:tc>
          <w:tcPr>
            <w:tcW w:w="120" w:type="dxa"/>
            <w:vAlign w:val="bottom"/>
            <w:shd w:val="clear" w:color="auto" w:fill="DCE2EF"/>
          </w:tcPr>
          <w:p>
            <w:pPr>
              <w:spacing w:after="0"/>
              <w:rPr>
                <w:sz w:val="22"/>
                <w:szCs w:val="22"/>
                <w:color w:val="auto"/>
              </w:rPr>
            </w:pPr>
          </w:p>
        </w:tc>
        <w:tc>
          <w:tcPr>
            <w:tcW w:w="420" w:type="dxa"/>
            <w:vAlign w:val="bottom"/>
            <w:shd w:val="clear" w:color="auto" w:fill="DCE2EF"/>
          </w:tcPr>
          <w:p>
            <w:pPr>
              <w:jc w:val="right"/>
              <w:ind w:right="210"/>
              <w:spacing w:after="0"/>
              <w:rPr>
                <w:sz w:val="20"/>
                <w:szCs w:val="20"/>
                <w:color w:val="auto"/>
              </w:rPr>
            </w:pPr>
            <w:r>
              <w:rPr>
                <w:rFonts w:ascii="Arial" w:cs="Arial" w:eastAsia="Arial" w:hAnsi="Arial"/>
                <w:sz w:val="18"/>
                <w:szCs w:val="18"/>
                <w:color w:val="auto"/>
                <w:w w:val="99"/>
              </w:rPr>
              <w:t>$</w:t>
            </w:r>
          </w:p>
        </w:tc>
        <w:tc>
          <w:tcPr>
            <w:tcW w:w="1460" w:type="dxa"/>
            <w:vAlign w:val="bottom"/>
            <w:shd w:val="clear" w:color="auto" w:fill="DCE2EF"/>
          </w:tcPr>
          <w:p>
            <w:pPr>
              <w:jc w:val="right"/>
              <w:ind w:right="94"/>
              <w:spacing w:after="0"/>
              <w:rPr>
                <w:sz w:val="20"/>
                <w:szCs w:val="20"/>
                <w:color w:val="auto"/>
              </w:rPr>
            </w:pPr>
            <w:r>
              <w:rPr>
                <w:rFonts w:ascii="Arial" w:cs="Arial" w:eastAsia="Arial" w:hAnsi="Arial"/>
                <w:sz w:val="18"/>
                <w:szCs w:val="18"/>
                <w:color w:val="auto"/>
              </w:rPr>
              <w:t>161.4</w:t>
            </w:r>
          </w:p>
        </w:tc>
        <w:tc>
          <w:tcPr>
            <w:tcW w:w="100" w:type="dxa"/>
            <w:vAlign w:val="bottom"/>
            <w:shd w:val="clear" w:color="auto" w:fill="DCE2EF"/>
          </w:tcPr>
          <w:p>
            <w:pPr>
              <w:spacing w:after="0"/>
              <w:rPr>
                <w:sz w:val="22"/>
                <w:szCs w:val="22"/>
                <w:color w:val="auto"/>
              </w:rPr>
            </w:pPr>
          </w:p>
        </w:tc>
        <w:tc>
          <w:tcPr>
            <w:tcW w:w="540" w:type="dxa"/>
            <w:vAlign w:val="bottom"/>
            <w:shd w:val="clear" w:color="auto" w:fill="DCE2EF"/>
          </w:tcPr>
          <w:p>
            <w:pPr>
              <w:jc w:val="right"/>
              <w:ind w:right="330"/>
              <w:spacing w:after="0"/>
              <w:rPr>
                <w:sz w:val="20"/>
                <w:szCs w:val="20"/>
                <w:color w:val="auto"/>
              </w:rPr>
            </w:pPr>
            <w:r>
              <w:rPr>
                <w:rFonts w:ascii="Arial" w:cs="Arial" w:eastAsia="Arial" w:hAnsi="Arial"/>
                <w:sz w:val="18"/>
                <w:szCs w:val="18"/>
                <w:color w:val="auto"/>
                <w:w w:val="99"/>
              </w:rPr>
              <w:t>$</w:t>
            </w:r>
          </w:p>
        </w:tc>
        <w:tc>
          <w:tcPr>
            <w:tcW w:w="1600" w:type="dxa"/>
            <w:vAlign w:val="bottom"/>
            <w:shd w:val="clear" w:color="auto" w:fill="DCE2EF"/>
          </w:tcPr>
          <w:p>
            <w:pPr>
              <w:jc w:val="right"/>
              <w:ind w:right="354"/>
              <w:spacing w:after="0"/>
              <w:rPr>
                <w:sz w:val="20"/>
                <w:szCs w:val="20"/>
                <w:color w:val="auto"/>
              </w:rPr>
            </w:pPr>
            <w:r>
              <w:rPr>
                <w:rFonts w:ascii="Arial" w:cs="Arial" w:eastAsia="Arial" w:hAnsi="Arial"/>
                <w:sz w:val="18"/>
                <w:szCs w:val="18"/>
                <w:color w:val="auto"/>
              </w:rPr>
              <w:t>66.1</w:t>
            </w:r>
          </w:p>
        </w:tc>
        <w:tc>
          <w:tcPr>
            <w:tcW w:w="1600" w:type="dxa"/>
            <w:vAlign w:val="bottom"/>
            <w:shd w:val="clear" w:color="auto" w:fill="DCE2EF"/>
          </w:tcPr>
          <w:p>
            <w:pPr>
              <w:jc w:val="right"/>
              <w:ind w:right="570"/>
              <w:spacing w:after="0"/>
              <w:rPr>
                <w:sz w:val="20"/>
                <w:szCs w:val="20"/>
                <w:color w:val="auto"/>
              </w:rPr>
            </w:pPr>
            <w:r>
              <w:rPr>
                <w:rFonts w:ascii="Arial" w:cs="Arial" w:eastAsia="Arial" w:hAnsi="Arial"/>
                <w:sz w:val="18"/>
                <w:szCs w:val="18"/>
                <w:color w:val="auto"/>
              </w:rPr>
              <w:t>41.0%</w:t>
            </w:r>
          </w:p>
        </w:tc>
      </w:tr>
      <w:tr>
        <w:trPr>
          <w:trHeight w:val="270"/>
        </w:trPr>
        <w:tc>
          <w:tcPr>
            <w:tcW w:w="3680" w:type="dxa"/>
            <w:vAlign w:val="bottom"/>
            <w:gridSpan w:val="3"/>
          </w:tcPr>
          <w:p>
            <w:pPr>
              <w:ind w:left="20"/>
              <w:spacing w:after="0"/>
              <w:rPr>
                <w:sz w:val="20"/>
                <w:szCs w:val="20"/>
                <w:color w:val="auto"/>
              </w:rPr>
            </w:pPr>
            <w:r>
              <w:rPr>
                <w:rFonts w:ascii="Arial" w:cs="Arial" w:eastAsia="Arial" w:hAnsi="Arial"/>
                <w:sz w:val="18"/>
                <w:szCs w:val="18"/>
                <w:color w:val="auto"/>
              </w:rPr>
              <w:t>Operating profit</w:t>
            </w:r>
            <w:r>
              <w:rPr>
                <w:rFonts w:ascii="Arial" w:cs="Arial" w:eastAsia="Arial" w:hAnsi="Arial"/>
                <w:sz w:val="21"/>
                <w:szCs w:val="21"/>
                <w:color w:val="auto"/>
                <w:vertAlign w:val="superscript"/>
              </w:rPr>
              <w:t>(1)</w:t>
            </w:r>
          </w:p>
        </w:tc>
        <w:tc>
          <w:tcPr>
            <w:tcW w:w="400" w:type="dxa"/>
            <w:vAlign w:val="bottom"/>
          </w:tcPr>
          <w:p>
            <w:pPr>
              <w:spacing w:after="0"/>
              <w:rPr>
                <w:sz w:val="23"/>
                <w:szCs w:val="23"/>
                <w:color w:val="auto"/>
              </w:rPr>
            </w:pPr>
          </w:p>
        </w:tc>
        <w:tc>
          <w:tcPr>
            <w:tcW w:w="1480" w:type="dxa"/>
            <w:vAlign w:val="bottom"/>
          </w:tcPr>
          <w:p>
            <w:pPr>
              <w:jc w:val="right"/>
              <w:ind w:right="74"/>
              <w:spacing w:after="0"/>
              <w:rPr>
                <w:sz w:val="20"/>
                <w:szCs w:val="20"/>
                <w:color w:val="auto"/>
              </w:rPr>
            </w:pPr>
            <w:r>
              <w:rPr>
                <w:rFonts w:ascii="Arial" w:cs="Arial" w:eastAsia="Arial" w:hAnsi="Arial"/>
                <w:sz w:val="18"/>
                <w:szCs w:val="18"/>
                <w:color w:val="auto"/>
              </w:rPr>
              <w:t>16.0</w:t>
            </w:r>
          </w:p>
        </w:tc>
        <w:tc>
          <w:tcPr>
            <w:tcW w:w="1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460" w:type="dxa"/>
            <w:vAlign w:val="bottom"/>
          </w:tcPr>
          <w:p>
            <w:pPr>
              <w:jc w:val="right"/>
              <w:ind w:right="94"/>
              <w:spacing w:after="0"/>
              <w:rPr>
                <w:sz w:val="20"/>
                <w:szCs w:val="20"/>
                <w:color w:val="auto"/>
              </w:rPr>
            </w:pPr>
            <w:r>
              <w:rPr>
                <w:rFonts w:ascii="Arial" w:cs="Arial" w:eastAsia="Arial" w:hAnsi="Arial"/>
                <w:sz w:val="18"/>
                <w:szCs w:val="18"/>
                <w:color w:val="auto"/>
              </w:rPr>
              <w:t>12.1</w:t>
            </w:r>
          </w:p>
        </w:tc>
        <w:tc>
          <w:tcPr>
            <w:tcW w:w="10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1600" w:type="dxa"/>
            <w:vAlign w:val="bottom"/>
          </w:tcPr>
          <w:p>
            <w:pPr>
              <w:jc w:val="right"/>
              <w:ind w:right="354"/>
              <w:spacing w:after="0"/>
              <w:rPr>
                <w:sz w:val="20"/>
                <w:szCs w:val="20"/>
                <w:color w:val="auto"/>
              </w:rPr>
            </w:pPr>
            <w:r>
              <w:rPr>
                <w:rFonts w:ascii="Arial" w:cs="Arial" w:eastAsia="Arial" w:hAnsi="Arial"/>
                <w:sz w:val="18"/>
                <w:szCs w:val="18"/>
                <w:color w:val="auto"/>
              </w:rPr>
              <w:t>3.9</w:t>
            </w:r>
          </w:p>
        </w:tc>
        <w:tc>
          <w:tcPr>
            <w:tcW w:w="1600" w:type="dxa"/>
            <w:vAlign w:val="bottom"/>
          </w:tcPr>
          <w:p>
            <w:pPr>
              <w:jc w:val="right"/>
              <w:ind w:right="570"/>
              <w:spacing w:after="0"/>
              <w:rPr>
                <w:sz w:val="20"/>
                <w:szCs w:val="20"/>
                <w:color w:val="auto"/>
              </w:rPr>
            </w:pPr>
            <w:r>
              <w:rPr>
                <w:rFonts w:ascii="Arial" w:cs="Arial" w:eastAsia="Arial" w:hAnsi="Arial"/>
                <w:sz w:val="18"/>
                <w:szCs w:val="18"/>
                <w:color w:val="auto"/>
              </w:rPr>
              <w:t>32.0%</w:t>
            </w:r>
          </w:p>
        </w:tc>
      </w:tr>
      <w:tr>
        <w:trPr>
          <w:trHeight w:val="270"/>
        </w:trPr>
        <w:tc>
          <w:tcPr>
            <w:tcW w:w="20" w:type="dxa"/>
            <w:vAlign w:val="bottom"/>
            <w:shd w:val="clear" w:color="auto" w:fill="DCE2EF"/>
          </w:tcPr>
          <w:p>
            <w:pPr>
              <w:spacing w:after="0"/>
              <w:rPr>
                <w:sz w:val="23"/>
                <w:szCs w:val="23"/>
                <w:color w:val="auto"/>
              </w:rPr>
            </w:pPr>
          </w:p>
        </w:tc>
        <w:tc>
          <w:tcPr>
            <w:tcW w:w="3660" w:type="dxa"/>
            <w:vAlign w:val="bottom"/>
            <w:gridSpan w:val="2"/>
            <w:shd w:val="clear" w:color="auto" w:fill="DCE2EF"/>
          </w:tcPr>
          <w:p>
            <w:pPr>
              <w:ind w:left="140"/>
              <w:spacing w:after="0"/>
              <w:rPr>
                <w:sz w:val="20"/>
                <w:szCs w:val="20"/>
                <w:color w:val="auto"/>
              </w:rPr>
            </w:pPr>
            <w:r>
              <w:rPr>
                <w:rFonts w:ascii="Arial" w:cs="Arial" w:eastAsia="Arial" w:hAnsi="Arial"/>
                <w:sz w:val="14"/>
                <w:szCs w:val="14"/>
                <w:i w:val="1"/>
                <w:iCs w:val="1"/>
                <w:color w:val="auto"/>
              </w:rPr>
              <w:t>Operating profit margin</w:t>
            </w:r>
          </w:p>
        </w:tc>
        <w:tc>
          <w:tcPr>
            <w:tcW w:w="400" w:type="dxa"/>
            <w:vAlign w:val="bottom"/>
            <w:shd w:val="clear" w:color="auto" w:fill="DCE2EF"/>
          </w:tcPr>
          <w:p>
            <w:pPr>
              <w:spacing w:after="0"/>
              <w:rPr>
                <w:sz w:val="23"/>
                <w:szCs w:val="23"/>
                <w:color w:val="auto"/>
              </w:rPr>
            </w:pPr>
          </w:p>
        </w:tc>
        <w:tc>
          <w:tcPr>
            <w:tcW w:w="1480" w:type="dxa"/>
            <w:vAlign w:val="bottom"/>
            <w:shd w:val="clear" w:color="auto" w:fill="DCE2EF"/>
          </w:tcPr>
          <w:p>
            <w:pPr>
              <w:jc w:val="right"/>
              <w:spacing w:after="0"/>
              <w:rPr>
                <w:sz w:val="20"/>
                <w:szCs w:val="20"/>
                <w:color w:val="auto"/>
              </w:rPr>
            </w:pPr>
            <w:r>
              <w:rPr>
                <w:rFonts w:ascii="Arial" w:cs="Arial" w:eastAsia="Arial" w:hAnsi="Arial"/>
                <w:sz w:val="14"/>
                <w:szCs w:val="14"/>
                <w:i w:val="1"/>
                <w:iCs w:val="1"/>
                <w:color w:val="auto"/>
              </w:rPr>
              <w:t>7.0%</w:t>
            </w:r>
          </w:p>
        </w:tc>
        <w:tc>
          <w:tcPr>
            <w:tcW w:w="120" w:type="dxa"/>
            <w:vAlign w:val="bottom"/>
            <w:shd w:val="clear" w:color="auto" w:fill="DCE2EF"/>
          </w:tcPr>
          <w:p>
            <w:pPr>
              <w:spacing w:after="0"/>
              <w:rPr>
                <w:sz w:val="23"/>
                <w:szCs w:val="23"/>
                <w:color w:val="auto"/>
              </w:rPr>
            </w:pPr>
          </w:p>
        </w:tc>
        <w:tc>
          <w:tcPr>
            <w:tcW w:w="420" w:type="dxa"/>
            <w:vAlign w:val="bottom"/>
            <w:shd w:val="clear" w:color="auto" w:fill="DCE2EF"/>
          </w:tcPr>
          <w:p>
            <w:pPr>
              <w:spacing w:after="0"/>
              <w:rPr>
                <w:sz w:val="23"/>
                <w:szCs w:val="23"/>
                <w:color w:val="auto"/>
              </w:rPr>
            </w:pPr>
          </w:p>
        </w:tc>
        <w:tc>
          <w:tcPr>
            <w:tcW w:w="1460" w:type="dxa"/>
            <w:vAlign w:val="bottom"/>
            <w:shd w:val="clear" w:color="auto" w:fill="DCE2EF"/>
          </w:tcPr>
          <w:p>
            <w:pPr>
              <w:jc w:val="right"/>
              <w:spacing w:after="0"/>
              <w:rPr>
                <w:sz w:val="20"/>
                <w:szCs w:val="20"/>
                <w:color w:val="auto"/>
              </w:rPr>
            </w:pPr>
            <w:r>
              <w:rPr>
                <w:rFonts w:ascii="Arial" w:cs="Arial" w:eastAsia="Arial" w:hAnsi="Arial"/>
                <w:sz w:val="14"/>
                <w:szCs w:val="14"/>
                <w:i w:val="1"/>
                <w:iCs w:val="1"/>
                <w:color w:val="auto"/>
              </w:rPr>
              <w:t>7.5%</w:t>
            </w:r>
          </w:p>
        </w:tc>
        <w:tc>
          <w:tcPr>
            <w:tcW w:w="100" w:type="dxa"/>
            <w:vAlign w:val="bottom"/>
            <w:shd w:val="clear" w:color="auto" w:fill="DCE2EF"/>
          </w:tcPr>
          <w:p>
            <w:pPr>
              <w:spacing w:after="0"/>
              <w:rPr>
                <w:sz w:val="23"/>
                <w:szCs w:val="23"/>
                <w:color w:val="auto"/>
              </w:rPr>
            </w:pPr>
          </w:p>
        </w:tc>
        <w:tc>
          <w:tcPr>
            <w:tcW w:w="540" w:type="dxa"/>
            <w:vAlign w:val="bottom"/>
            <w:shd w:val="clear" w:color="auto" w:fill="DCE2EF"/>
          </w:tcPr>
          <w:p>
            <w:pPr>
              <w:spacing w:after="0"/>
              <w:rPr>
                <w:sz w:val="23"/>
                <w:szCs w:val="23"/>
                <w:color w:val="auto"/>
              </w:rPr>
            </w:pPr>
          </w:p>
        </w:tc>
        <w:tc>
          <w:tcPr>
            <w:tcW w:w="1600" w:type="dxa"/>
            <w:vAlign w:val="bottom"/>
            <w:shd w:val="clear" w:color="auto" w:fill="DCE2EF"/>
          </w:tcPr>
          <w:p>
            <w:pPr>
              <w:jc w:val="right"/>
              <w:ind w:right="354"/>
              <w:spacing w:after="0"/>
              <w:rPr>
                <w:sz w:val="20"/>
                <w:szCs w:val="20"/>
                <w:color w:val="auto"/>
              </w:rPr>
            </w:pPr>
            <w:r>
              <w:rPr>
                <w:rFonts w:ascii="Arial" w:cs="Arial" w:eastAsia="Arial" w:hAnsi="Arial"/>
                <w:sz w:val="14"/>
                <w:szCs w:val="14"/>
                <w:i w:val="1"/>
                <w:iCs w:val="1"/>
                <w:color w:val="auto"/>
              </w:rPr>
              <w:t>(48) bps</w:t>
            </w:r>
          </w:p>
        </w:tc>
        <w:tc>
          <w:tcPr>
            <w:tcW w:w="1600" w:type="dxa"/>
            <w:vAlign w:val="bottom"/>
            <w:shd w:val="clear" w:color="auto" w:fill="DCE2EF"/>
          </w:tcPr>
          <w:p>
            <w:pPr>
              <w:spacing w:after="0"/>
              <w:rPr>
                <w:sz w:val="23"/>
                <w:szCs w:val="23"/>
                <w:color w:val="auto"/>
              </w:rPr>
            </w:pPr>
          </w:p>
        </w:tc>
      </w:tr>
    </w:tbl>
    <w:p>
      <w:pPr>
        <w:spacing w:after="0" w:line="9" w:lineRule="exact"/>
        <w:rPr>
          <w:sz w:val="20"/>
          <w:szCs w:val="20"/>
          <w:color w:val="auto"/>
        </w:rPr>
      </w:pPr>
    </w:p>
    <w:p>
      <w:pPr>
        <w:ind w:left="180" w:hanging="172"/>
        <w:spacing w:after="0"/>
        <w:tabs>
          <w:tab w:leader="none" w:pos="180" w:val="left"/>
        </w:tabs>
        <w:numPr>
          <w:ilvl w:val="0"/>
          <w:numId w:val="14"/>
        </w:numPr>
        <w:rPr>
          <w:rFonts w:ascii="Arial" w:cs="Arial" w:eastAsia="Arial" w:hAnsi="Arial"/>
          <w:sz w:val="21"/>
          <w:szCs w:val="21"/>
          <w:color w:val="auto"/>
          <w:vertAlign w:val="superscript"/>
        </w:rPr>
      </w:pPr>
      <w:r>
        <w:rPr>
          <w:rFonts w:ascii="Arial" w:cs="Arial" w:eastAsia="Arial" w:hAnsi="Arial"/>
          <w:sz w:val="15"/>
          <w:szCs w:val="15"/>
          <w:color w:val="auto"/>
        </w:rPr>
        <w:t>The three months ended April 30, 2018 includes $2.7 million of amortization expense related to the GCA acquisition.</w:t>
      </w:r>
    </w:p>
    <w:p>
      <w:pPr>
        <w:spacing w:after="0" w:line="154" w:lineRule="exact"/>
        <w:rPr>
          <w:sz w:val="20"/>
          <w:szCs w:val="20"/>
          <w:color w:val="auto"/>
        </w:rPr>
      </w:pPr>
    </w:p>
    <w:p>
      <w:pPr>
        <w:jc w:val="both"/>
        <w:ind w:firstLine="648"/>
        <w:spacing w:after="0" w:line="262" w:lineRule="auto"/>
        <w:rPr>
          <w:sz w:val="20"/>
          <w:szCs w:val="20"/>
          <w:color w:val="auto"/>
        </w:rPr>
      </w:pPr>
      <w:r>
        <w:rPr>
          <w:rFonts w:ascii="Arial" w:cs="Arial" w:eastAsia="Arial" w:hAnsi="Arial"/>
          <w:sz w:val="18"/>
          <w:szCs w:val="18"/>
          <w:color w:val="auto"/>
        </w:rPr>
        <w:t>T&amp;M revenues increased by $66.1 million, or 41.0%, during the three months ended April 30, 2018, as compared to the three months ended April 30, 2017. The increase was primarily related to incremental revenues from the GCA acquisition of $60.6 million.</w:t>
      </w:r>
    </w:p>
    <w:p>
      <w:pPr>
        <w:spacing w:after="0" w:line="142"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Operating profit increased by $3.9 million, or 32.0%, during the three months ended April 30, 2018, as compared to the three months ended April 30, 2017. Operating profit margin decreased by 48 bps to 7.0% in the three months ended April 30, 2018 from 7.5% in the three months ended April 30, 2017. The decrease in operating profit margin was primarily attributable to higher amortization expense related to the GCA acquisition and an increase in wages and related personnel costs due to a tight labor market. This decrease was partially offset by certain higher margin acquired contracts and the management of selling, general and administrative expenses.</w:t>
      </w: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20"/>
          </w:cols>
          <w:pgMar w:left="240" w:top="544" w:right="239" w:bottom="1440" w:gutter="0" w:footer="0" w:header="0"/>
        </w:sectPr>
      </w:pPr>
    </w:p>
    <w:bookmarkStart w:id="34" w:name="page35"/>
    <w:bookmarkEnd w:id="34"/>
    <w:tbl>
      <w:tblPr>
        <w:tblLayout w:type="fixed"/>
        <w:tblInd w:w="20" w:type="dxa"/>
        <w:tblCellMar>
          <w:top w:w="0" w:type="dxa"/>
          <w:left w:w="0" w:type="dxa"/>
          <w:bottom w:w="0" w:type="dxa"/>
          <w:right w:w="0" w:type="dxa"/>
        </w:tblCellMar>
      </w:tblPr>
      <w:tr>
        <w:trPr>
          <w:trHeight w:val="239"/>
        </w:trPr>
        <w:tc>
          <w:tcPr>
            <w:tcW w:w="3680" w:type="dxa"/>
            <w:vAlign w:val="bottom"/>
            <w:gridSpan w:val="3"/>
          </w:tcPr>
          <w:p>
            <w:pPr>
              <w:ind w:left="20"/>
              <w:spacing w:after="0"/>
              <w:rPr>
                <w:sz w:val="20"/>
                <w:szCs w:val="20"/>
                <w:color w:val="auto"/>
              </w:rPr>
            </w:pPr>
            <w:r>
              <w:rPr>
                <w:rFonts w:ascii="Arial" w:cs="Arial" w:eastAsia="Arial" w:hAnsi="Arial"/>
                <w:sz w:val="18"/>
                <w:szCs w:val="18"/>
                <w:b w:val="1"/>
                <w:bCs w:val="1"/>
                <w:i w:val="1"/>
                <w:iCs w:val="1"/>
                <w:color w:val="0046AD"/>
              </w:rPr>
              <w:t>Education</w:t>
            </w:r>
          </w:p>
        </w:tc>
        <w:tc>
          <w:tcPr>
            <w:tcW w:w="40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1560" w:type="dxa"/>
            <w:vAlign w:val="bottom"/>
          </w:tcPr>
          <w:p>
            <w:pPr>
              <w:spacing w:after="0"/>
              <w:rPr>
                <w:sz w:val="20"/>
                <w:szCs w:val="20"/>
                <w:color w:val="auto"/>
              </w:rPr>
            </w:pPr>
          </w:p>
        </w:tc>
      </w:tr>
      <w:tr>
        <w:trPr>
          <w:trHeight w:val="277"/>
        </w:trPr>
        <w:tc>
          <w:tcPr>
            <w:tcW w:w="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8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580" w:type="dxa"/>
            <w:vAlign w:val="bottom"/>
            <w:gridSpan w:val="5"/>
          </w:tcPr>
          <w:p>
            <w:pPr>
              <w:ind w:left="280"/>
              <w:spacing w:after="0"/>
              <w:rPr>
                <w:sz w:val="20"/>
                <w:szCs w:val="20"/>
                <w:color w:val="auto"/>
              </w:rPr>
            </w:pPr>
            <w:r>
              <w:rPr>
                <w:rFonts w:ascii="Arial" w:cs="Arial" w:eastAsia="Arial" w:hAnsi="Arial"/>
                <w:sz w:val="18"/>
                <w:szCs w:val="18"/>
                <w:b w:val="1"/>
                <w:bCs w:val="1"/>
                <w:color w:val="auto"/>
              </w:rPr>
              <w:t>Three Months Ended April 30,</w:t>
            </w:r>
          </w:p>
        </w:tc>
        <w:tc>
          <w:tcPr>
            <w:tcW w:w="54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560" w:type="dxa"/>
            <w:vAlign w:val="bottom"/>
          </w:tcPr>
          <w:p>
            <w:pPr>
              <w:spacing w:after="0"/>
              <w:rPr>
                <w:sz w:val="24"/>
                <w:szCs w:val="24"/>
                <w:color w:val="auto"/>
              </w:rPr>
            </w:pPr>
          </w:p>
        </w:tc>
      </w:tr>
      <w:tr>
        <w:trPr>
          <w:trHeight w:val="230"/>
        </w:trPr>
        <w:tc>
          <w:tcPr>
            <w:tcW w:w="3680" w:type="dxa"/>
            <w:vAlign w:val="bottom"/>
            <w:gridSpan w:val="3"/>
          </w:tcPr>
          <w:p>
            <w:pPr>
              <w:ind w:left="20"/>
              <w:spacing w:after="0"/>
              <w:rPr>
                <w:sz w:val="20"/>
                <w:szCs w:val="20"/>
                <w:color w:val="auto"/>
              </w:rPr>
            </w:pPr>
            <w:r>
              <w:rPr>
                <w:rFonts w:ascii="Arial" w:cs="Arial" w:eastAsia="Arial" w:hAnsi="Arial"/>
                <w:sz w:val="14"/>
                <w:szCs w:val="14"/>
                <w:i w:val="1"/>
                <w:iCs w:val="1"/>
                <w:u w:val="single" w:color="auto"/>
                <w:color w:val="auto"/>
              </w:rPr>
              <w:t>(</w:t>
            </w:r>
            <w:r>
              <w:rPr>
                <w:rFonts w:ascii="Arial" w:cs="Arial" w:eastAsia="Arial" w:hAnsi="Arial"/>
                <w:sz w:val="14"/>
                <w:szCs w:val="14"/>
                <w:i w:val="1"/>
                <w:iCs w:val="1"/>
                <w:color w:val="auto"/>
              </w:rPr>
              <w:t>$ in millions)</w:t>
            </w:r>
          </w:p>
        </w:tc>
        <w:tc>
          <w:tcPr>
            <w:tcW w:w="400" w:type="dxa"/>
            <w:vAlign w:val="bottom"/>
            <w:tcBorders>
              <w:top w:val="single" w:sz="8" w:color="auto"/>
            </w:tcBorders>
          </w:tcPr>
          <w:p>
            <w:pPr>
              <w:spacing w:after="0"/>
              <w:rPr>
                <w:sz w:val="19"/>
                <w:szCs w:val="19"/>
                <w:color w:val="auto"/>
              </w:rPr>
            </w:pPr>
          </w:p>
        </w:tc>
        <w:tc>
          <w:tcPr>
            <w:tcW w:w="1480" w:type="dxa"/>
            <w:vAlign w:val="bottom"/>
            <w:tcBorders>
              <w:top w:val="single" w:sz="8" w:color="auto"/>
            </w:tcBorders>
          </w:tcPr>
          <w:p>
            <w:pPr>
              <w:jc w:val="right"/>
              <w:ind w:right="654"/>
              <w:spacing w:after="0"/>
              <w:rPr>
                <w:sz w:val="20"/>
                <w:szCs w:val="20"/>
                <w:color w:val="auto"/>
              </w:rPr>
            </w:pPr>
            <w:r>
              <w:rPr>
                <w:rFonts w:ascii="Arial" w:cs="Arial" w:eastAsia="Arial" w:hAnsi="Arial"/>
                <w:sz w:val="18"/>
                <w:szCs w:val="18"/>
                <w:b w:val="1"/>
                <w:bCs w:val="1"/>
                <w:color w:val="auto"/>
              </w:rPr>
              <w:t>2018</w:t>
            </w:r>
          </w:p>
        </w:tc>
        <w:tc>
          <w:tcPr>
            <w:tcW w:w="120" w:type="dxa"/>
            <w:vAlign w:val="bottom"/>
            <w:tcBorders>
              <w:top w:val="single" w:sz="8" w:color="auto"/>
            </w:tcBorders>
          </w:tcPr>
          <w:p>
            <w:pPr>
              <w:spacing w:after="0"/>
              <w:rPr>
                <w:sz w:val="19"/>
                <w:szCs w:val="19"/>
                <w:color w:val="auto"/>
              </w:rPr>
            </w:pPr>
          </w:p>
        </w:tc>
        <w:tc>
          <w:tcPr>
            <w:tcW w:w="420" w:type="dxa"/>
            <w:vAlign w:val="bottom"/>
            <w:tcBorders>
              <w:top w:val="single" w:sz="8" w:color="auto"/>
            </w:tcBorders>
          </w:tcPr>
          <w:p>
            <w:pPr>
              <w:spacing w:after="0"/>
              <w:rPr>
                <w:sz w:val="19"/>
                <w:szCs w:val="19"/>
                <w:color w:val="auto"/>
              </w:rPr>
            </w:pPr>
          </w:p>
        </w:tc>
        <w:tc>
          <w:tcPr>
            <w:tcW w:w="1460" w:type="dxa"/>
            <w:vAlign w:val="bottom"/>
            <w:tcBorders>
              <w:top w:val="single" w:sz="8" w:color="auto"/>
            </w:tcBorders>
          </w:tcPr>
          <w:p>
            <w:pPr>
              <w:jc w:val="right"/>
              <w:ind w:right="674"/>
              <w:spacing w:after="0"/>
              <w:rPr>
                <w:sz w:val="20"/>
                <w:szCs w:val="20"/>
                <w:color w:val="auto"/>
              </w:rPr>
            </w:pPr>
            <w:r>
              <w:rPr>
                <w:rFonts w:ascii="Arial" w:cs="Arial" w:eastAsia="Arial" w:hAnsi="Arial"/>
                <w:sz w:val="18"/>
                <w:szCs w:val="18"/>
                <w:b w:val="1"/>
                <w:bCs w:val="1"/>
                <w:color w:val="auto"/>
              </w:rPr>
              <w:t>2017</w:t>
            </w: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3200" w:type="dxa"/>
            <w:vAlign w:val="bottom"/>
            <w:gridSpan w:val="2"/>
          </w:tcPr>
          <w:p>
            <w:pPr>
              <w:ind w:left="440"/>
              <w:spacing w:after="0"/>
              <w:rPr>
                <w:sz w:val="20"/>
                <w:szCs w:val="20"/>
                <w:color w:val="auto"/>
              </w:rPr>
            </w:pPr>
            <w:r>
              <w:rPr>
                <w:rFonts w:ascii="Arial" w:cs="Arial" w:eastAsia="Arial" w:hAnsi="Arial"/>
                <w:sz w:val="18"/>
                <w:szCs w:val="18"/>
                <w:b w:val="1"/>
                <w:bCs w:val="1"/>
                <w:color w:val="auto"/>
              </w:rPr>
              <w:t>Increase / (Decrease)</w:t>
            </w:r>
          </w:p>
        </w:tc>
      </w:tr>
      <w:tr>
        <w:trPr>
          <w:trHeight w:val="21"/>
        </w:trPr>
        <w:tc>
          <w:tcPr>
            <w:tcW w:w="20" w:type="dxa"/>
            <w:vAlign w:val="bottom"/>
            <w:tcBorders>
              <w:bottom w:val="single" w:sz="8" w:color="DCE2EF"/>
            </w:tcBorders>
          </w:tcPr>
          <w:p>
            <w:pPr>
              <w:spacing w:after="0" w:line="20" w:lineRule="exact"/>
              <w:rPr>
                <w:sz w:val="1"/>
                <w:szCs w:val="1"/>
                <w:color w:val="auto"/>
              </w:rPr>
            </w:pPr>
          </w:p>
        </w:tc>
        <w:tc>
          <w:tcPr>
            <w:tcW w:w="820" w:type="dxa"/>
            <w:vAlign w:val="bottom"/>
            <w:tcBorders>
              <w:top w:val="single" w:sz="8" w:color="auto"/>
              <w:bottom w:val="single" w:sz="8" w:color="DCE2EF"/>
            </w:tcBorders>
          </w:tcPr>
          <w:p>
            <w:pPr>
              <w:spacing w:after="0" w:line="20" w:lineRule="exact"/>
              <w:rPr>
                <w:sz w:val="1"/>
                <w:szCs w:val="1"/>
                <w:color w:val="auto"/>
              </w:rPr>
            </w:pPr>
          </w:p>
        </w:tc>
        <w:tc>
          <w:tcPr>
            <w:tcW w:w="2840" w:type="dxa"/>
            <w:vAlign w:val="bottom"/>
            <w:tcBorders>
              <w:bottom w:val="single" w:sz="8" w:color="DCE2E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DCE2E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DCE2EF"/>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r>
      <w:tr>
        <w:trPr>
          <w:trHeight w:val="264"/>
        </w:trPr>
        <w:tc>
          <w:tcPr>
            <w:tcW w:w="3680" w:type="dxa"/>
            <w:vAlign w:val="bottom"/>
            <w:gridSpan w:val="3"/>
            <w:shd w:val="clear" w:color="auto" w:fill="DCE2EF"/>
          </w:tcPr>
          <w:p>
            <w:pPr>
              <w:ind w:left="20"/>
              <w:spacing w:after="0"/>
              <w:rPr>
                <w:sz w:val="20"/>
                <w:szCs w:val="20"/>
                <w:color w:val="auto"/>
              </w:rPr>
            </w:pPr>
            <w:r>
              <w:rPr>
                <w:rFonts w:ascii="Arial" w:cs="Arial" w:eastAsia="Arial" w:hAnsi="Arial"/>
                <w:sz w:val="18"/>
                <w:szCs w:val="18"/>
                <w:color w:val="auto"/>
              </w:rPr>
              <w:t>Revenues</w:t>
            </w:r>
          </w:p>
        </w:tc>
        <w:tc>
          <w:tcPr>
            <w:tcW w:w="400" w:type="dxa"/>
            <w:vAlign w:val="bottom"/>
            <w:shd w:val="clear" w:color="auto" w:fill="DCE2EF"/>
          </w:tcPr>
          <w:p>
            <w:pPr>
              <w:jc w:val="right"/>
              <w:ind w:right="190"/>
              <w:spacing w:after="0"/>
              <w:rPr>
                <w:sz w:val="20"/>
                <w:szCs w:val="20"/>
                <w:color w:val="auto"/>
              </w:rPr>
            </w:pPr>
            <w:r>
              <w:rPr>
                <w:rFonts w:ascii="Arial" w:cs="Arial" w:eastAsia="Arial" w:hAnsi="Arial"/>
                <w:sz w:val="18"/>
                <w:szCs w:val="18"/>
                <w:color w:val="auto"/>
                <w:w w:val="99"/>
              </w:rPr>
              <w:t>$</w:t>
            </w:r>
          </w:p>
        </w:tc>
        <w:tc>
          <w:tcPr>
            <w:tcW w:w="1480" w:type="dxa"/>
            <w:vAlign w:val="bottom"/>
            <w:shd w:val="clear" w:color="auto" w:fill="DCE2EF"/>
          </w:tcPr>
          <w:p>
            <w:pPr>
              <w:jc w:val="right"/>
              <w:ind w:right="74"/>
              <w:spacing w:after="0"/>
              <w:rPr>
                <w:sz w:val="20"/>
                <w:szCs w:val="20"/>
                <w:color w:val="auto"/>
              </w:rPr>
            </w:pPr>
            <w:r>
              <w:rPr>
                <w:rFonts w:ascii="Arial" w:cs="Arial" w:eastAsia="Arial" w:hAnsi="Arial"/>
                <w:sz w:val="18"/>
                <w:szCs w:val="18"/>
                <w:color w:val="auto"/>
              </w:rPr>
              <w:t>206.3</w:t>
            </w:r>
          </w:p>
        </w:tc>
        <w:tc>
          <w:tcPr>
            <w:tcW w:w="120" w:type="dxa"/>
            <w:vAlign w:val="bottom"/>
            <w:shd w:val="clear" w:color="auto" w:fill="DCE2EF"/>
          </w:tcPr>
          <w:p>
            <w:pPr>
              <w:spacing w:after="0"/>
              <w:rPr>
                <w:sz w:val="22"/>
                <w:szCs w:val="22"/>
                <w:color w:val="auto"/>
              </w:rPr>
            </w:pPr>
          </w:p>
        </w:tc>
        <w:tc>
          <w:tcPr>
            <w:tcW w:w="420" w:type="dxa"/>
            <w:vAlign w:val="bottom"/>
            <w:shd w:val="clear" w:color="auto" w:fill="DCE2EF"/>
          </w:tcPr>
          <w:p>
            <w:pPr>
              <w:jc w:val="right"/>
              <w:ind w:right="210"/>
              <w:spacing w:after="0"/>
              <w:rPr>
                <w:sz w:val="20"/>
                <w:szCs w:val="20"/>
                <w:color w:val="auto"/>
              </w:rPr>
            </w:pPr>
            <w:r>
              <w:rPr>
                <w:rFonts w:ascii="Arial" w:cs="Arial" w:eastAsia="Arial" w:hAnsi="Arial"/>
                <w:sz w:val="18"/>
                <w:szCs w:val="18"/>
                <w:color w:val="auto"/>
                <w:w w:val="99"/>
              </w:rPr>
              <w:t>$</w:t>
            </w:r>
          </w:p>
        </w:tc>
        <w:tc>
          <w:tcPr>
            <w:tcW w:w="1460" w:type="dxa"/>
            <w:vAlign w:val="bottom"/>
            <w:shd w:val="clear" w:color="auto" w:fill="DCE2EF"/>
          </w:tcPr>
          <w:p>
            <w:pPr>
              <w:jc w:val="right"/>
              <w:ind w:right="94"/>
              <w:spacing w:after="0"/>
              <w:rPr>
                <w:sz w:val="20"/>
                <w:szCs w:val="20"/>
                <w:color w:val="auto"/>
              </w:rPr>
            </w:pPr>
            <w:r>
              <w:rPr>
                <w:rFonts w:ascii="Arial" w:cs="Arial" w:eastAsia="Arial" w:hAnsi="Arial"/>
                <w:sz w:val="18"/>
                <w:szCs w:val="18"/>
                <w:color w:val="auto"/>
              </w:rPr>
              <w:t>65.2</w:t>
            </w:r>
          </w:p>
        </w:tc>
        <w:tc>
          <w:tcPr>
            <w:tcW w:w="100" w:type="dxa"/>
            <w:vAlign w:val="bottom"/>
            <w:shd w:val="clear" w:color="auto" w:fill="DCE2EF"/>
          </w:tcPr>
          <w:p>
            <w:pPr>
              <w:spacing w:after="0"/>
              <w:rPr>
                <w:sz w:val="22"/>
                <w:szCs w:val="22"/>
                <w:color w:val="auto"/>
              </w:rPr>
            </w:pPr>
          </w:p>
        </w:tc>
        <w:tc>
          <w:tcPr>
            <w:tcW w:w="540" w:type="dxa"/>
            <w:vAlign w:val="bottom"/>
            <w:shd w:val="clear" w:color="auto" w:fill="DCE2EF"/>
          </w:tcPr>
          <w:p>
            <w:pPr>
              <w:jc w:val="right"/>
              <w:ind w:right="330"/>
              <w:spacing w:after="0"/>
              <w:rPr>
                <w:sz w:val="20"/>
                <w:szCs w:val="20"/>
                <w:color w:val="auto"/>
              </w:rPr>
            </w:pPr>
            <w:r>
              <w:rPr>
                <w:rFonts w:ascii="Arial" w:cs="Arial" w:eastAsia="Arial" w:hAnsi="Arial"/>
                <w:sz w:val="18"/>
                <w:szCs w:val="18"/>
                <w:color w:val="auto"/>
                <w:w w:val="99"/>
              </w:rPr>
              <w:t>$</w:t>
            </w:r>
          </w:p>
        </w:tc>
        <w:tc>
          <w:tcPr>
            <w:tcW w:w="1640" w:type="dxa"/>
            <w:vAlign w:val="bottom"/>
            <w:shd w:val="clear" w:color="auto" w:fill="DCE2EF"/>
          </w:tcPr>
          <w:p>
            <w:pPr>
              <w:jc w:val="right"/>
              <w:ind w:right="394"/>
              <w:spacing w:after="0"/>
              <w:rPr>
                <w:sz w:val="20"/>
                <w:szCs w:val="20"/>
                <w:color w:val="auto"/>
              </w:rPr>
            </w:pPr>
            <w:r>
              <w:rPr>
                <w:rFonts w:ascii="Arial" w:cs="Arial" w:eastAsia="Arial" w:hAnsi="Arial"/>
                <w:sz w:val="18"/>
                <w:szCs w:val="18"/>
                <w:color w:val="auto"/>
              </w:rPr>
              <w:t>141.1</w:t>
            </w:r>
          </w:p>
        </w:tc>
        <w:tc>
          <w:tcPr>
            <w:tcW w:w="1560" w:type="dxa"/>
            <w:vAlign w:val="bottom"/>
            <w:shd w:val="clear" w:color="auto" w:fill="DCE2EF"/>
          </w:tcPr>
          <w:p>
            <w:pPr>
              <w:ind w:left="480"/>
              <w:spacing w:after="0"/>
              <w:rPr>
                <w:sz w:val="20"/>
                <w:szCs w:val="20"/>
                <w:color w:val="auto"/>
              </w:rPr>
            </w:pPr>
            <w:r>
              <w:rPr>
                <w:rFonts w:ascii="Arial" w:cs="Arial" w:eastAsia="Arial" w:hAnsi="Arial"/>
                <w:sz w:val="18"/>
                <w:szCs w:val="18"/>
                <w:color w:val="auto"/>
              </w:rPr>
              <w:t>NM*</w:t>
            </w:r>
          </w:p>
        </w:tc>
      </w:tr>
      <w:tr>
        <w:trPr>
          <w:trHeight w:val="270"/>
        </w:trPr>
        <w:tc>
          <w:tcPr>
            <w:tcW w:w="3680" w:type="dxa"/>
            <w:vAlign w:val="bottom"/>
            <w:gridSpan w:val="3"/>
          </w:tcPr>
          <w:p>
            <w:pPr>
              <w:ind w:left="20"/>
              <w:spacing w:after="0"/>
              <w:rPr>
                <w:sz w:val="20"/>
                <w:szCs w:val="20"/>
                <w:color w:val="auto"/>
              </w:rPr>
            </w:pPr>
            <w:r>
              <w:rPr>
                <w:rFonts w:ascii="Arial" w:cs="Arial" w:eastAsia="Arial" w:hAnsi="Arial"/>
                <w:sz w:val="18"/>
                <w:szCs w:val="18"/>
                <w:color w:val="auto"/>
              </w:rPr>
              <w:t>Operating profit</w:t>
            </w:r>
            <w:r>
              <w:rPr>
                <w:rFonts w:ascii="Arial" w:cs="Arial" w:eastAsia="Arial" w:hAnsi="Arial"/>
                <w:sz w:val="21"/>
                <w:szCs w:val="21"/>
                <w:color w:val="auto"/>
                <w:vertAlign w:val="superscript"/>
              </w:rPr>
              <w:t>(1)</w:t>
            </w:r>
          </w:p>
        </w:tc>
        <w:tc>
          <w:tcPr>
            <w:tcW w:w="400" w:type="dxa"/>
            <w:vAlign w:val="bottom"/>
          </w:tcPr>
          <w:p>
            <w:pPr>
              <w:spacing w:after="0"/>
              <w:rPr>
                <w:sz w:val="23"/>
                <w:szCs w:val="23"/>
                <w:color w:val="auto"/>
              </w:rPr>
            </w:pPr>
          </w:p>
        </w:tc>
        <w:tc>
          <w:tcPr>
            <w:tcW w:w="1480" w:type="dxa"/>
            <w:vAlign w:val="bottom"/>
          </w:tcPr>
          <w:p>
            <w:pPr>
              <w:jc w:val="right"/>
              <w:ind w:right="74"/>
              <w:spacing w:after="0"/>
              <w:rPr>
                <w:sz w:val="20"/>
                <w:szCs w:val="20"/>
                <w:color w:val="auto"/>
              </w:rPr>
            </w:pPr>
            <w:r>
              <w:rPr>
                <w:rFonts w:ascii="Arial" w:cs="Arial" w:eastAsia="Arial" w:hAnsi="Arial"/>
                <w:sz w:val="18"/>
                <w:szCs w:val="18"/>
                <w:color w:val="auto"/>
              </w:rPr>
              <w:t>10.6</w:t>
            </w:r>
          </w:p>
        </w:tc>
        <w:tc>
          <w:tcPr>
            <w:tcW w:w="1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460" w:type="dxa"/>
            <w:vAlign w:val="bottom"/>
          </w:tcPr>
          <w:p>
            <w:pPr>
              <w:jc w:val="right"/>
              <w:ind w:right="94"/>
              <w:spacing w:after="0"/>
              <w:rPr>
                <w:sz w:val="20"/>
                <w:szCs w:val="20"/>
                <w:color w:val="auto"/>
              </w:rPr>
            </w:pPr>
            <w:r>
              <w:rPr>
                <w:rFonts w:ascii="Arial" w:cs="Arial" w:eastAsia="Arial" w:hAnsi="Arial"/>
                <w:sz w:val="18"/>
                <w:szCs w:val="18"/>
                <w:color w:val="auto"/>
              </w:rPr>
              <w:t>3.6</w:t>
            </w:r>
          </w:p>
        </w:tc>
        <w:tc>
          <w:tcPr>
            <w:tcW w:w="10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1640" w:type="dxa"/>
            <w:vAlign w:val="bottom"/>
          </w:tcPr>
          <w:p>
            <w:pPr>
              <w:jc w:val="right"/>
              <w:ind w:right="394"/>
              <w:spacing w:after="0"/>
              <w:rPr>
                <w:sz w:val="20"/>
                <w:szCs w:val="20"/>
                <w:color w:val="auto"/>
              </w:rPr>
            </w:pPr>
            <w:r>
              <w:rPr>
                <w:rFonts w:ascii="Arial" w:cs="Arial" w:eastAsia="Arial" w:hAnsi="Arial"/>
                <w:sz w:val="18"/>
                <w:szCs w:val="18"/>
                <w:color w:val="auto"/>
              </w:rPr>
              <w:t>7.0</w:t>
            </w:r>
          </w:p>
        </w:tc>
        <w:tc>
          <w:tcPr>
            <w:tcW w:w="1560" w:type="dxa"/>
            <w:vAlign w:val="bottom"/>
          </w:tcPr>
          <w:p>
            <w:pPr>
              <w:ind w:left="480"/>
              <w:spacing w:after="0"/>
              <w:rPr>
                <w:sz w:val="20"/>
                <w:szCs w:val="20"/>
                <w:color w:val="auto"/>
              </w:rPr>
            </w:pPr>
            <w:r>
              <w:rPr>
                <w:rFonts w:ascii="Arial" w:cs="Arial" w:eastAsia="Arial" w:hAnsi="Arial"/>
                <w:sz w:val="18"/>
                <w:szCs w:val="18"/>
                <w:color w:val="auto"/>
              </w:rPr>
              <w:t>NM*</w:t>
            </w:r>
          </w:p>
        </w:tc>
      </w:tr>
      <w:tr>
        <w:trPr>
          <w:trHeight w:val="270"/>
        </w:trPr>
        <w:tc>
          <w:tcPr>
            <w:tcW w:w="20" w:type="dxa"/>
            <w:vAlign w:val="bottom"/>
            <w:shd w:val="clear" w:color="auto" w:fill="DCE2EF"/>
          </w:tcPr>
          <w:p>
            <w:pPr>
              <w:spacing w:after="0"/>
              <w:rPr>
                <w:sz w:val="23"/>
                <w:szCs w:val="23"/>
                <w:color w:val="auto"/>
              </w:rPr>
            </w:pPr>
          </w:p>
        </w:tc>
        <w:tc>
          <w:tcPr>
            <w:tcW w:w="3660" w:type="dxa"/>
            <w:vAlign w:val="bottom"/>
            <w:gridSpan w:val="2"/>
            <w:shd w:val="clear" w:color="auto" w:fill="DCE2EF"/>
          </w:tcPr>
          <w:p>
            <w:pPr>
              <w:ind w:left="140"/>
              <w:spacing w:after="0"/>
              <w:rPr>
                <w:sz w:val="20"/>
                <w:szCs w:val="20"/>
                <w:color w:val="auto"/>
              </w:rPr>
            </w:pPr>
            <w:r>
              <w:rPr>
                <w:rFonts w:ascii="Arial" w:cs="Arial" w:eastAsia="Arial" w:hAnsi="Arial"/>
                <w:sz w:val="14"/>
                <w:szCs w:val="14"/>
                <w:i w:val="1"/>
                <w:iCs w:val="1"/>
                <w:color w:val="auto"/>
              </w:rPr>
              <w:t>Operating profit margin</w:t>
            </w:r>
          </w:p>
        </w:tc>
        <w:tc>
          <w:tcPr>
            <w:tcW w:w="400" w:type="dxa"/>
            <w:vAlign w:val="bottom"/>
            <w:shd w:val="clear" w:color="auto" w:fill="DCE2EF"/>
          </w:tcPr>
          <w:p>
            <w:pPr>
              <w:spacing w:after="0"/>
              <w:rPr>
                <w:sz w:val="23"/>
                <w:szCs w:val="23"/>
                <w:color w:val="auto"/>
              </w:rPr>
            </w:pPr>
          </w:p>
        </w:tc>
        <w:tc>
          <w:tcPr>
            <w:tcW w:w="1480" w:type="dxa"/>
            <w:vAlign w:val="bottom"/>
            <w:shd w:val="clear" w:color="auto" w:fill="DCE2EF"/>
          </w:tcPr>
          <w:p>
            <w:pPr>
              <w:jc w:val="right"/>
              <w:spacing w:after="0"/>
              <w:rPr>
                <w:sz w:val="20"/>
                <w:szCs w:val="20"/>
                <w:color w:val="auto"/>
              </w:rPr>
            </w:pPr>
            <w:r>
              <w:rPr>
                <w:rFonts w:ascii="Arial" w:cs="Arial" w:eastAsia="Arial" w:hAnsi="Arial"/>
                <w:sz w:val="14"/>
                <w:szCs w:val="14"/>
                <w:i w:val="1"/>
                <w:iCs w:val="1"/>
                <w:color w:val="auto"/>
              </w:rPr>
              <w:t>5.1%</w:t>
            </w:r>
          </w:p>
        </w:tc>
        <w:tc>
          <w:tcPr>
            <w:tcW w:w="120" w:type="dxa"/>
            <w:vAlign w:val="bottom"/>
            <w:shd w:val="clear" w:color="auto" w:fill="DCE2EF"/>
          </w:tcPr>
          <w:p>
            <w:pPr>
              <w:spacing w:after="0"/>
              <w:rPr>
                <w:sz w:val="23"/>
                <w:szCs w:val="23"/>
                <w:color w:val="auto"/>
              </w:rPr>
            </w:pPr>
          </w:p>
        </w:tc>
        <w:tc>
          <w:tcPr>
            <w:tcW w:w="420" w:type="dxa"/>
            <w:vAlign w:val="bottom"/>
            <w:shd w:val="clear" w:color="auto" w:fill="DCE2EF"/>
          </w:tcPr>
          <w:p>
            <w:pPr>
              <w:spacing w:after="0"/>
              <w:rPr>
                <w:sz w:val="23"/>
                <w:szCs w:val="23"/>
                <w:color w:val="auto"/>
              </w:rPr>
            </w:pPr>
          </w:p>
        </w:tc>
        <w:tc>
          <w:tcPr>
            <w:tcW w:w="1460" w:type="dxa"/>
            <w:vAlign w:val="bottom"/>
            <w:shd w:val="clear" w:color="auto" w:fill="DCE2EF"/>
          </w:tcPr>
          <w:p>
            <w:pPr>
              <w:jc w:val="right"/>
              <w:spacing w:after="0"/>
              <w:rPr>
                <w:sz w:val="20"/>
                <w:szCs w:val="20"/>
                <w:color w:val="auto"/>
              </w:rPr>
            </w:pPr>
            <w:r>
              <w:rPr>
                <w:rFonts w:ascii="Arial" w:cs="Arial" w:eastAsia="Arial" w:hAnsi="Arial"/>
                <w:sz w:val="14"/>
                <w:szCs w:val="14"/>
                <w:i w:val="1"/>
                <w:iCs w:val="1"/>
                <w:color w:val="auto"/>
              </w:rPr>
              <w:t>5.5%</w:t>
            </w:r>
          </w:p>
        </w:tc>
        <w:tc>
          <w:tcPr>
            <w:tcW w:w="100" w:type="dxa"/>
            <w:vAlign w:val="bottom"/>
            <w:shd w:val="clear" w:color="auto" w:fill="DCE2EF"/>
          </w:tcPr>
          <w:p>
            <w:pPr>
              <w:spacing w:after="0"/>
              <w:rPr>
                <w:sz w:val="23"/>
                <w:szCs w:val="23"/>
                <w:color w:val="auto"/>
              </w:rPr>
            </w:pPr>
          </w:p>
        </w:tc>
        <w:tc>
          <w:tcPr>
            <w:tcW w:w="540" w:type="dxa"/>
            <w:vAlign w:val="bottom"/>
            <w:shd w:val="clear" w:color="auto" w:fill="DCE2EF"/>
          </w:tcPr>
          <w:p>
            <w:pPr>
              <w:spacing w:after="0"/>
              <w:rPr>
                <w:sz w:val="23"/>
                <w:szCs w:val="23"/>
                <w:color w:val="auto"/>
              </w:rPr>
            </w:pPr>
          </w:p>
        </w:tc>
        <w:tc>
          <w:tcPr>
            <w:tcW w:w="1640" w:type="dxa"/>
            <w:vAlign w:val="bottom"/>
            <w:shd w:val="clear" w:color="auto" w:fill="DCE2EF"/>
          </w:tcPr>
          <w:p>
            <w:pPr>
              <w:jc w:val="right"/>
              <w:ind w:right="394"/>
              <w:spacing w:after="0"/>
              <w:rPr>
                <w:sz w:val="20"/>
                <w:szCs w:val="20"/>
                <w:color w:val="auto"/>
              </w:rPr>
            </w:pPr>
            <w:r>
              <w:rPr>
                <w:rFonts w:ascii="Arial" w:cs="Arial" w:eastAsia="Arial" w:hAnsi="Arial"/>
                <w:sz w:val="14"/>
                <w:szCs w:val="14"/>
                <w:i w:val="1"/>
                <w:iCs w:val="1"/>
                <w:color w:val="auto"/>
              </w:rPr>
              <w:t>(40) bps</w:t>
            </w:r>
          </w:p>
        </w:tc>
        <w:tc>
          <w:tcPr>
            <w:tcW w:w="1560" w:type="dxa"/>
            <w:vAlign w:val="bottom"/>
            <w:shd w:val="clear" w:color="auto" w:fill="DCE2EF"/>
          </w:tcPr>
          <w:p>
            <w:pPr>
              <w:spacing w:after="0"/>
              <w:rPr>
                <w:sz w:val="23"/>
                <w:szCs w:val="23"/>
                <w:color w:val="auto"/>
              </w:rPr>
            </w:pPr>
          </w:p>
        </w:tc>
      </w:tr>
    </w:tbl>
    <w:p>
      <w:pPr>
        <w:spacing w:after="0" w:line="245" w:lineRule="exact"/>
        <w:rPr>
          <w:sz w:val="20"/>
          <w:szCs w:val="20"/>
          <w:color w:val="auto"/>
        </w:rPr>
      </w:pPr>
    </w:p>
    <w:p>
      <w:pPr>
        <w:ind w:left="40"/>
        <w:spacing w:after="0"/>
        <w:rPr>
          <w:sz w:val="20"/>
          <w:szCs w:val="20"/>
          <w:color w:val="auto"/>
        </w:rPr>
      </w:pPr>
      <w:r>
        <w:rPr>
          <w:rFonts w:ascii="Arial" w:cs="Arial" w:eastAsia="Arial" w:hAnsi="Arial"/>
          <w:sz w:val="16"/>
          <w:szCs w:val="16"/>
          <w:color w:val="auto"/>
        </w:rPr>
        <w:t>*Not meaningful</w:t>
      </w:r>
    </w:p>
    <w:p>
      <w:pPr>
        <w:spacing w:after="0" w:line="39" w:lineRule="exact"/>
        <w:rPr>
          <w:sz w:val="20"/>
          <w:szCs w:val="20"/>
          <w:color w:val="auto"/>
        </w:rPr>
      </w:pPr>
    </w:p>
    <w:p>
      <w:pPr>
        <w:ind w:left="180" w:hanging="172"/>
        <w:spacing w:after="0"/>
        <w:tabs>
          <w:tab w:leader="none" w:pos="180" w:val="left"/>
        </w:tabs>
        <w:numPr>
          <w:ilvl w:val="0"/>
          <w:numId w:val="15"/>
        </w:numPr>
        <w:rPr>
          <w:rFonts w:ascii="Arial" w:cs="Arial" w:eastAsia="Arial" w:hAnsi="Arial"/>
          <w:sz w:val="21"/>
          <w:szCs w:val="21"/>
          <w:color w:val="auto"/>
          <w:vertAlign w:val="superscript"/>
        </w:rPr>
      </w:pPr>
      <w:r>
        <w:rPr>
          <w:rFonts w:ascii="Arial" w:cs="Arial" w:eastAsia="Arial" w:hAnsi="Arial"/>
          <w:sz w:val="15"/>
          <w:szCs w:val="15"/>
          <w:color w:val="auto"/>
        </w:rPr>
        <w:t>The three months ended April 30, 2018 includes $6.5 million of amortization expense related to the GCA acquisition.</w:t>
      </w:r>
    </w:p>
    <w:p>
      <w:pPr>
        <w:spacing w:after="0" w:line="154" w:lineRule="exact"/>
        <w:rPr>
          <w:sz w:val="20"/>
          <w:szCs w:val="20"/>
          <w:color w:val="auto"/>
        </w:rPr>
      </w:pPr>
    </w:p>
    <w:p>
      <w:pPr>
        <w:jc w:val="both"/>
        <w:ind w:right="20" w:firstLine="648"/>
        <w:spacing w:after="0" w:line="262" w:lineRule="auto"/>
        <w:rPr>
          <w:sz w:val="20"/>
          <w:szCs w:val="20"/>
          <w:color w:val="auto"/>
        </w:rPr>
      </w:pPr>
      <w:r>
        <w:rPr>
          <w:rFonts w:ascii="Arial" w:cs="Arial" w:eastAsia="Arial" w:hAnsi="Arial"/>
          <w:sz w:val="18"/>
          <w:szCs w:val="18"/>
          <w:color w:val="auto"/>
        </w:rPr>
        <w:t>Education revenues increased by $141.1 million during the three months ended April 30, 2018, as compared to the three months ended April 30, 2017. The increase was attributable to incremental revenues from the GCA acquisition of $141.5 million.</w:t>
      </w:r>
    </w:p>
    <w:p>
      <w:pPr>
        <w:spacing w:after="0" w:line="142"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Operating profit increased by $7.0 million during the three months ended April 30, 2018, as compared to the three months ended April 30, 2017. Operating profit margin decreased by 40 bps to 5.1% in the three months ended April 30, 2018 from 5.5% in the three months ended April 30, 2017. The decrease in operating profit margin was primarily associated with higher amortization expense related to the GCA acquisition and an increase in wages and related personnel costs due to a tight labor market. This decrease was partially offset by certain higher margin acquired contracts and the management of selling, general and administrative expenses.</w:t>
      </w:r>
    </w:p>
    <w:p>
      <w:pPr>
        <w:spacing w:after="0" w:line="305"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3700" w:type="dxa"/>
            <w:vAlign w:val="bottom"/>
            <w:gridSpan w:val="3"/>
          </w:tcPr>
          <w:p>
            <w:pPr>
              <w:ind w:left="40"/>
              <w:spacing w:after="0"/>
              <w:rPr>
                <w:sz w:val="20"/>
                <w:szCs w:val="20"/>
                <w:color w:val="auto"/>
              </w:rPr>
            </w:pPr>
            <w:r>
              <w:rPr>
                <w:rFonts w:ascii="Arial" w:cs="Arial" w:eastAsia="Arial" w:hAnsi="Arial"/>
                <w:sz w:val="18"/>
                <w:szCs w:val="18"/>
                <w:b w:val="1"/>
                <w:bCs w:val="1"/>
                <w:i w:val="1"/>
                <w:iCs w:val="1"/>
                <w:color w:val="0046AD"/>
              </w:rPr>
              <w:t>Technical Solutions</w:t>
            </w:r>
          </w:p>
        </w:tc>
        <w:tc>
          <w:tcPr>
            <w:tcW w:w="40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780" w:type="dxa"/>
            <w:vAlign w:val="bottom"/>
          </w:tcPr>
          <w:p>
            <w:pPr>
              <w:spacing w:after="0"/>
              <w:rPr>
                <w:sz w:val="20"/>
                <w:szCs w:val="20"/>
                <w:color w:val="auto"/>
              </w:rPr>
            </w:pPr>
          </w:p>
        </w:tc>
        <w:tc>
          <w:tcPr>
            <w:tcW w:w="1340" w:type="dxa"/>
            <w:vAlign w:val="bottom"/>
          </w:tcPr>
          <w:p>
            <w:pPr>
              <w:spacing w:after="0"/>
              <w:rPr>
                <w:sz w:val="20"/>
                <w:szCs w:val="20"/>
                <w:color w:val="auto"/>
              </w:rPr>
            </w:pPr>
          </w:p>
        </w:tc>
      </w:tr>
      <w:tr>
        <w:trPr>
          <w:trHeight w:val="277"/>
        </w:trPr>
        <w:tc>
          <w:tcPr>
            <w:tcW w:w="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8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560" w:type="dxa"/>
            <w:vAlign w:val="bottom"/>
            <w:gridSpan w:val="5"/>
          </w:tcPr>
          <w:p>
            <w:pPr>
              <w:ind w:left="260"/>
              <w:spacing w:after="0"/>
              <w:rPr>
                <w:sz w:val="20"/>
                <w:szCs w:val="20"/>
                <w:color w:val="auto"/>
              </w:rPr>
            </w:pPr>
            <w:r>
              <w:rPr>
                <w:rFonts w:ascii="Arial" w:cs="Arial" w:eastAsia="Arial" w:hAnsi="Arial"/>
                <w:sz w:val="18"/>
                <w:szCs w:val="18"/>
                <w:b w:val="1"/>
                <w:bCs w:val="1"/>
                <w:color w:val="auto"/>
              </w:rPr>
              <w:t>Three Months Ended April 30,</w:t>
            </w:r>
          </w:p>
        </w:tc>
        <w:tc>
          <w:tcPr>
            <w:tcW w:w="62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340" w:type="dxa"/>
            <w:vAlign w:val="bottom"/>
          </w:tcPr>
          <w:p>
            <w:pPr>
              <w:spacing w:after="0"/>
              <w:rPr>
                <w:sz w:val="24"/>
                <w:szCs w:val="24"/>
                <w:color w:val="auto"/>
              </w:rPr>
            </w:pPr>
          </w:p>
        </w:tc>
      </w:tr>
      <w:tr>
        <w:trPr>
          <w:trHeight w:val="230"/>
        </w:trPr>
        <w:tc>
          <w:tcPr>
            <w:tcW w:w="3700" w:type="dxa"/>
            <w:vAlign w:val="bottom"/>
            <w:gridSpan w:val="3"/>
          </w:tcPr>
          <w:p>
            <w:pPr>
              <w:ind w:left="40"/>
              <w:spacing w:after="0"/>
              <w:rPr>
                <w:sz w:val="20"/>
                <w:szCs w:val="20"/>
                <w:color w:val="auto"/>
              </w:rPr>
            </w:pPr>
            <w:r>
              <w:rPr>
                <w:rFonts w:ascii="Arial" w:cs="Arial" w:eastAsia="Arial" w:hAnsi="Arial"/>
                <w:sz w:val="14"/>
                <w:szCs w:val="14"/>
                <w:i w:val="1"/>
                <w:iCs w:val="1"/>
                <w:u w:val="single" w:color="auto"/>
                <w:color w:val="auto"/>
              </w:rPr>
              <w:t>(</w:t>
            </w:r>
            <w:r>
              <w:rPr>
                <w:rFonts w:ascii="Arial" w:cs="Arial" w:eastAsia="Arial" w:hAnsi="Arial"/>
                <w:sz w:val="14"/>
                <w:szCs w:val="14"/>
                <w:i w:val="1"/>
                <w:iCs w:val="1"/>
                <w:color w:val="auto"/>
              </w:rPr>
              <w:t>$ in millions)</w:t>
            </w:r>
          </w:p>
        </w:tc>
        <w:tc>
          <w:tcPr>
            <w:tcW w:w="400" w:type="dxa"/>
            <w:vAlign w:val="bottom"/>
            <w:tcBorders>
              <w:top w:val="single" w:sz="8" w:color="auto"/>
            </w:tcBorders>
          </w:tcPr>
          <w:p>
            <w:pPr>
              <w:spacing w:after="0"/>
              <w:rPr>
                <w:sz w:val="19"/>
                <w:szCs w:val="19"/>
                <w:color w:val="auto"/>
              </w:rPr>
            </w:pPr>
          </w:p>
        </w:tc>
        <w:tc>
          <w:tcPr>
            <w:tcW w:w="1480" w:type="dxa"/>
            <w:vAlign w:val="bottom"/>
            <w:tcBorders>
              <w:top w:val="single" w:sz="8" w:color="auto"/>
            </w:tcBorders>
          </w:tcPr>
          <w:p>
            <w:pPr>
              <w:jc w:val="right"/>
              <w:ind w:right="654"/>
              <w:spacing w:after="0"/>
              <w:rPr>
                <w:sz w:val="20"/>
                <w:szCs w:val="20"/>
                <w:color w:val="auto"/>
              </w:rPr>
            </w:pPr>
            <w:r>
              <w:rPr>
                <w:rFonts w:ascii="Arial" w:cs="Arial" w:eastAsia="Arial" w:hAnsi="Arial"/>
                <w:sz w:val="18"/>
                <w:szCs w:val="18"/>
                <w:b w:val="1"/>
                <w:bCs w:val="1"/>
                <w:color w:val="auto"/>
              </w:rPr>
              <w:t>2018</w:t>
            </w:r>
          </w:p>
        </w:tc>
        <w:tc>
          <w:tcPr>
            <w:tcW w:w="100" w:type="dxa"/>
            <w:vAlign w:val="bottom"/>
            <w:tcBorders>
              <w:top w:val="single" w:sz="8" w:color="auto"/>
            </w:tcBorders>
          </w:tcPr>
          <w:p>
            <w:pPr>
              <w:spacing w:after="0"/>
              <w:rPr>
                <w:sz w:val="19"/>
                <w:szCs w:val="19"/>
                <w:color w:val="auto"/>
              </w:rPr>
            </w:pPr>
          </w:p>
        </w:tc>
        <w:tc>
          <w:tcPr>
            <w:tcW w:w="440" w:type="dxa"/>
            <w:vAlign w:val="bottom"/>
            <w:tcBorders>
              <w:top w:val="single" w:sz="8" w:color="auto"/>
            </w:tcBorders>
          </w:tcPr>
          <w:p>
            <w:pPr>
              <w:spacing w:after="0"/>
              <w:rPr>
                <w:sz w:val="19"/>
                <w:szCs w:val="19"/>
                <w:color w:val="auto"/>
              </w:rPr>
            </w:pPr>
          </w:p>
        </w:tc>
        <w:tc>
          <w:tcPr>
            <w:tcW w:w="1440" w:type="dxa"/>
            <w:vAlign w:val="bottom"/>
            <w:tcBorders>
              <w:top w:val="single" w:sz="8" w:color="auto"/>
            </w:tcBorders>
          </w:tcPr>
          <w:p>
            <w:pPr>
              <w:jc w:val="right"/>
              <w:ind w:right="654"/>
              <w:spacing w:after="0"/>
              <w:rPr>
                <w:sz w:val="20"/>
                <w:szCs w:val="20"/>
                <w:color w:val="auto"/>
              </w:rPr>
            </w:pPr>
            <w:r>
              <w:rPr>
                <w:rFonts w:ascii="Arial" w:cs="Arial" w:eastAsia="Arial" w:hAnsi="Arial"/>
                <w:sz w:val="18"/>
                <w:szCs w:val="18"/>
                <w:b w:val="1"/>
                <w:bCs w:val="1"/>
                <w:color w:val="auto"/>
              </w:rPr>
              <w:t>2017</w:t>
            </w: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780" w:type="dxa"/>
            <w:vAlign w:val="bottom"/>
          </w:tcPr>
          <w:p>
            <w:pPr>
              <w:jc w:val="right"/>
              <w:ind w:right="34"/>
              <w:spacing w:after="0"/>
              <w:rPr>
                <w:sz w:val="20"/>
                <w:szCs w:val="20"/>
                <w:color w:val="auto"/>
              </w:rPr>
            </w:pPr>
            <w:r>
              <w:rPr>
                <w:rFonts w:ascii="Arial" w:cs="Arial" w:eastAsia="Arial" w:hAnsi="Arial"/>
                <w:sz w:val="18"/>
                <w:szCs w:val="18"/>
                <w:b w:val="1"/>
                <w:bCs w:val="1"/>
                <w:color w:val="auto"/>
              </w:rPr>
              <w:t>Decrease</w:t>
            </w:r>
          </w:p>
        </w:tc>
        <w:tc>
          <w:tcPr>
            <w:tcW w:w="1340" w:type="dxa"/>
            <w:vAlign w:val="bottom"/>
          </w:tcPr>
          <w:p>
            <w:pPr>
              <w:spacing w:after="0"/>
              <w:rPr>
                <w:sz w:val="19"/>
                <w:szCs w:val="19"/>
                <w:color w:val="auto"/>
              </w:rPr>
            </w:pPr>
          </w:p>
        </w:tc>
      </w:tr>
      <w:tr>
        <w:trPr>
          <w:trHeight w:val="21"/>
        </w:trPr>
        <w:tc>
          <w:tcPr>
            <w:tcW w:w="40" w:type="dxa"/>
            <w:vAlign w:val="bottom"/>
            <w:tcBorders>
              <w:bottom w:val="single" w:sz="8" w:color="DCE2EF"/>
            </w:tcBorders>
          </w:tcPr>
          <w:p>
            <w:pPr>
              <w:spacing w:after="0" w:line="20" w:lineRule="exact"/>
              <w:rPr>
                <w:sz w:val="1"/>
                <w:szCs w:val="1"/>
                <w:color w:val="auto"/>
              </w:rPr>
            </w:pPr>
          </w:p>
        </w:tc>
        <w:tc>
          <w:tcPr>
            <w:tcW w:w="820" w:type="dxa"/>
            <w:vAlign w:val="bottom"/>
            <w:tcBorders>
              <w:top w:val="single" w:sz="8" w:color="auto"/>
              <w:bottom w:val="single" w:sz="8" w:color="DCE2EF"/>
            </w:tcBorders>
          </w:tcPr>
          <w:p>
            <w:pPr>
              <w:spacing w:after="0" w:line="20" w:lineRule="exact"/>
              <w:rPr>
                <w:sz w:val="1"/>
                <w:szCs w:val="1"/>
                <w:color w:val="auto"/>
              </w:rPr>
            </w:pPr>
          </w:p>
        </w:tc>
        <w:tc>
          <w:tcPr>
            <w:tcW w:w="2840" w:type="dxa"/>
            <w:vAlign w:val="bottom"/>
            <w:tcBorders>
              <w:bottom w:val="single" w:sz="8" w:color="DCE2E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DCE2E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DCE2EF"/>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r>
        <w:trPr>
          <w:trHeight w:val="264"/>
        </w:trPr>
        <w:tc>
          <w:tcPr>
            <w:tcW w:w="3700" w:type="dxa"/>
            <w:vAlign w:val="bottom"/>
            <w:gridSpan w:val="3"/>
            <w:shd w:val="clear" w:color="auto" w:fill="DCE2EF"/>
          </w:tcPr>
          <w:p>
            <w:pPr>
              <w:ind w:left="40"/>
              <w:spacing w:after="0"/>
              <w:rPr>
                <w:sz w:val="20"/>
                <w:szCs w:val="20"/>
                <w:color w:val="auto"/>
              </w:rPr>
            </w:pPr>
            <w:r>
              <w:rPr>
                <w:rFonts w:ascii="Arial" w:cs="Arial" w:eastAsia="Arial" w:hAnsi="Arial"/>
                <w:sz w:val="18"/>
                <w:szCs w:val="18"/>
                <w:color w:val="auto"/>
              </w:rPr>
              <w:t>Revenues</w:t>
            </w:r>
          </w:p>
        </w:tc>
        <w:tc>
          <w:tcPr>
            <w:tcW w:w="400" w:type="dxa"/>
            <w:vAlign w:val="bottom"/>
            <w:shd w:val="clear" w:color="auto" w:fill="DCE2EF"/>
          </w:tcPr>
          <w:p>
            <w:pPr>
              <w:jc w:val="right"/>
              <w:ind w:right="190"/>
              <w:spacing w:after="0"/>
              <w:rPr>
                <w:sz w:val="20"/>
                <w:szCs w:val="20"/>
                <w:color w:val="auto"/>
              </w:rPr>
            </w:pPr>
            <w:r>
              <w:rPr>
                <w:rFonts w:ascii="Arial" w:cs="Arial" w:eastAsia="Arial" w:hAnsi="Arial"/>
                <w:sz w:val="18"/>
                <w:szCs w:val="18"/>
                <w:color w:val="auto"/>
                <w:w w:val="99"/>
              </w:rPr>
              <w:t>$</w:t>
            </w:r>
          </w:p>
        </w:tc>
        <w:tc>
          <w:tcPr>
            <w:tcW w:w="1480" w:type="dxa"/>
            <w:vAlign w:val="bottom"/>
            <w:shd w:val="clear" w:color="auto" w:fill="DCE2EF"/>
          </w:tcPr>
          <w:p>
            <w:pPr>
              <w:jc w:val="right"/>
              <w:ind w:right="74"/>
              <w:spacing w:after="0"/>
              <w:rPr>
                <w:sz w:val="20"/>
                <w:szCs w:val="20"/>
                <w:color w:val="auto"/>
              </w:rPr>
            </w:pPr>
            <w:r>
              <w:rPr>
                <w:rFonts w:ascii="Arial" w:cs="Arial" w:eastAsia="Arial" w:hAnsi="Arial"/>
                <w:sz w:val="18"/>
                <w:szCs w:val="18"/>
                <w:color w:val="auto"/>
              </w:rPr>
              <w:t>108.5</w:t>
            </w:r>
          </w:p>
        </w:tc>
        <w:tc>
          <w:tcPr>
            <w:tcW w:w="100" w:type="dxa"/>
            <w:vAlign w:val="bottom"/>
            <w:shd w:val="clear" w:color="auto" w:fill="DCE2EF"/>
          </w:tcPr>
          <w:p>
            <w:pPr>
              <w:spacing w:after="0"/>
              <w:rPr>
                <w:sz w:val="22"/>
                <w:szCs w:val="22"/>
                <w:color w:val="auto"/>
              </w:rPr>
            </w:pPr>
          </w:p>
        </w:tc>
        <w:tc>
          <w:tcPr>
            <w:tcW w:w="440" w:type="dxa"/>
            <w:vAlign w:val="bottom"/>
            <w:shd w:val="clear" w:color="auto" w:fill="DCE2EF"/>
          </w:tcPr>
          <w:p>
            <w:pPr>
              <w:jc w:val="right"/>
              <w:ind w:right="230"/>
              <w:spacing w:after="0"/>
              <w:rPr>
                <w:sz w:val="20"/>
                <w:szCs w:val="20"/>
                <w:color w:val="auto"/>
              </w:rPr>
            </w:pPr>
            <w:r>
              <w:rPr>
                <w:rFonts w:ascii="Arial" w:cs="Arial" w:eastAsia="Arial" w:hAnsi="Arial"/>
                <w:sz w:val="18"/>
                <w:szCs w:val="18"/>
                <w:color w:val="auto"/>
                <w:w w:val="99"/>
              </w:rPr>
              <w:t>$</w:t>
            </w:r>
          </w:p>
        </w:tc>
        <w:tc>
          <w:tcPr>
            <w:tcW w:w="1440" w:type="dxa"/>
            <w:vAlign w:val="bottom"/>
            <w:shd w:val="clear" w:color="auto" w:fill="DCE2EF"/>
          </w:tcPr>
          <w:p>
            <w:pPr>
              <w:jc w:val="right"/>
              <w:ind w:right="74"/>
              <w:spacing w:after="0"/>
              <w:rPr>
                <w:sz w:val="20"/>
                <w:szCs w:val="20"/>
                <w:color w:val="auto"/>
              </w:rPr>
            </w:pPr>
            <w:r>
              <w:rPr>
                <w:rFonts w:ascii="Arial" w:cs="Arial" w:eastAsia="Arial" w:hAnsi="Arial"/>
                <w:sz w:val="18"/>
                <w:szCs w:val="18"/>
                <w:color w:val="auto"/>
              </w:rPr>
              <w:t>110.8</w:t>
            </w:r>
          </w:p>
        </w:tc>
        <w:tc>
          <w:tcPr>
            <w:tcW w:w="100" w:type="dxa"/>
            <w:vAlign w:val="bottom"/>
            <w:shd w:val="clear" w:color="auto" w:fill="DCE2EF"/>
          </w:tcPr>
          <w:p>
            <w:pPr>
              <w:spacing w:after="0"/>
              <w:rPr>
                <w:sz w:val="22"/>
                <w:szCs w:val="22"/>
                <w:color w:val="auto"/>
              </w:rPr>
            </w:pPr>
          </w:p>
        </w:tc>
        <w:tc>
          <w:tcPr>
            <w:tcW w:w="620" w:type="dxa"/>
            <w:vAlign w:val="bottom"/>
            <w:shd w:val="clear" w:color="auto" w:fill="DCE2EF"/>
          </w:tcPr>
          <w:p>
            <w:pPr>
              <w:jc w:val="right"/>
              <w:ind w:right="390"/>
              <w:spacing w:after="0"/>
              <w:rPr>
                <w:sz w:val="20"/>
                <w:szCs w:val="20"/>
                <w:color w:val="auto"/>
              </w:rPr>
            </w:pPr>
            <w:r>
              <w:rPr>
                <w:rFonts w:ascii="Arial" w:cs="Arial" w:eastAsia="Arial" w:hAnsi="Arial"/>
                <w:sz w:val="18"/>
                <w:szCs w:val="18"/>
                <w:color w:val="auto"/>
              </w:rPr>
              <w:t>$</w:t>
            </w:r>
          </w:p>
        </w:tc>
        <w:tc>
          <w:tcPr>
            <w:tcW w:w="1780" w:type="dxa"/>
            <w:vAlign w:val="bottom"/>
            <w:shd w:val="clear" w:color="auto" w:fill="DCE2EF"/>
          </w:tcPr>
          <w:p>
            <w:pPr>
              <w:jc w:val="right"/>
              <w:ind w:right="534"/>
              <w:spacing w:after="0"/>
              <w:rPr>
                <w:sz w:val="20"/>
                <w:szCs w:val="20"/>
                <w:color w:val="auto"/>
              </w:rPr>
            </w:pPr>
            <w:r>
              <w:rPr>
                <w:rFonts w:ascii="Arial" w:cs="Arial" w:eastAsia="Arial" w:hAnsi="Arial"/>
                <w:sz w:val="18"/>
                <w:szCs w:val="18"/>
                <w:color w:val="auto"/>
              </w:rPr>
              <w:t>(2.3)</w:t>
            </w:r>
          </w:p>
        </w:tc>
        <w:tc>
          <w:tcPr>
            <w:tcW w:w="1340" w:type="dxa"/>
            <w:vAlign w:val="bottom"/>
            <w:shd w:val="clear" w:color="auto" w:fill="DCE2EF"/>
          </w:tcPr>
          <w:p>
            <w:pPr>
              <w:jc w:val="right"/>
              <w:ind w:right="550"/>
              <w:spacing w:after="0"/>
              <w:rPr>
                <w:sz w:val="20"/>
                <w:szCs w:val="20"/>
                <w:color w:val="auto"/>
              </w:rPr>
            </w:pPr>
            <w:r>
              <w:rPr>
                <w:rFonts w:ascii="Arial" w:cs="Arial" w:eastAsia="Arial" w:hAnsi="Arial"/>
                <w:sz w:val="18"/>
                <w:szCs w:val="18"/>
                <w:color w:val="auto"/>
              </w:rPr>
              <w:t>(2.1)%</w:t>
            </w:r>
          </w:p>
        </w:tc>
      </w:tr>
      <w:tr>
        <w:trPr>
          <w:trHeight w:val="263"/>
        </w:trPr>
        <w:tc>
          <w:tcPr>
            <w:tcW w:w="3700" w:type="dxa"/>
            <w:vAlign w:val="bottom"/>
            <w:gridSpan w:val="3"/>
          </w:tcPr>
          <w:p>
            <w:pPr>
              <w:ind w:left="40"/>
              <w:spacing w:after="0"/>
              <w:rPr>
                <w:sz w:val="20"/>
                <w:szCs w:val="20"/>
                <w:color w:val="auto"/>
              </w:rPr>
            </w:pPr>
            <w:r>
              <w:rPr>
                <w:rFonts w:ascii="Arial" w:cs="Arial" w:eastAsia="Arial" w:hAnsi="Arial"/>
                <w:sz w:val="18"/>
                <w:szCs w:val="18"/>
                <w:color w:val="auto"/>
              </w:rPr>
              <w:t>Operating profit</w:t>
            </w:r>
          </w:p>
        </w:tc>
        <w:tc>
          <w:tcPr>
            <w:tcW w:w="400" w:type="dxa"/>
            <w:vAlign w:val="bottom"/>
          </w:tcPr>
          <w:p>
            <w:pPr>
              <w:spacing w:after="0"/>
              <w:rPr>
                <w:sz w:val="22"/>
                <w:szCs w:val="22"/>
                <w:color w:val="auto"/>
              </w:rPr>
            </w:pPr>
          </w:p>
        </w:tc>
        <w:tc>
          <w:tcPr>
            <w:tcW w:w="1480" w:type="dxa"/>
            <w:vAlign w:val="bottom"/>
          </w:tcPr>
          <w:p>
            <w:pPr>
              <w:jc w:val="right"/>
              <w:ind w:right="74"/>
              <w:spacing w:after="0"/>
              <w:rPr>
                <w:sz w:val="20"/>
                <w:szCs w:val="20"/>
                <w:color w:val="auto"/>
              </w:rPr>
            </w:pPr>
            <w:r>
              <w:rPr>
                <w:rFonts w:ascii="Arial" w:cs="Arial" w:eastAsia="Arial" w:hAnsi="Arial"/>
                <w:sz w:val="18"/>
                <w:szCs w:val="18"/>
                <w:color w:val="auto"/>
              </w:rPr>
              <w:t>7.5</w:t>
            </w:r>
          </w:p>
        </w:tc>
        <w:tc>
          <w:tcPr>
            <w:tcW w:w="1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440" w:type="dxa"/>
            <w:vAlign w:val="bottom"/>
          </w:tcPr>
          <w:p>
            <w:pPr>
              <w:jc w:val="right"/>
              <w:ind w:right="74"/>
              <w:spacing w:after="0"/>
              <w:rPr>
                <w:sz w:val="20"/>
                <w:szCs w:val="20"/>
                <w:color w:val="auto"/>
              </w:rPr>
            </w:pPr>
            <w:r>
              <w:rPr>
                <w:rFonts w:ascii="Arial" w:cs="Arial" w:eastAsia="Arial" w:hAnsi="Arial"/>
                <w:sz w:val="18"/>
                <w:szCs w:val="18"/>
                <w:color w:val="auto"/>
              </w:rPr>
              <w:t>10.2</w:t>
            </w:r>
          </w:p>
        </w:tc>
        <w:tc>
          <w:tcPr>
            <w:tcW w:w="10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1780" w:type="dxa"/>
            <w:vAlign w:val="bottom"/>
          </w:tcPr>
          <w:p>
            <w:pPr>
              <w:jc w:val="right"/>
              <w:ind w:right="534"/>
              <w:spacing w:after="0"/>
              <w:rPr>
                <w:sz w:val="20"/>
                <w:szCs w:val="20"/>
                <w:color w:val="auto"/>
              </w:rPr>
            </w:pPr>
            <w:r>
              <w:rPr>
                <w:rFonts w:ascii="Arial" w:cs="Arial" w:eastAsia="Arial" w:hAnsi="Arial"/>
                <w:sz w:val="18"/>
                <w:szCs w:val="18"/>
                <w:color w:val="auto"/>
              </w:rPr>
              <w:t>(2.7)</w:t>
            </w:r>
          </w:p>
        </w:tc>
        <w:tc>
          <w:tcPr>
            <w:tcW w:w="1340" w:type="dxa"/>
            <w:vAlign w:val="bottom"/>
          </w:tcPr>
          <w:p>
            <w:pPr>
              <w:jc w:val="right"/>
              <w:ind w:right="490"/>
              <w:spacing w:after="0"/>
              <w:rPr>
                <w:sz w:val="20"/>
                <w:szCs w:val="20"/>
                <w:color w:val="auto"/>
              </w:rPr>
            </w:pPr>
            <w:r>
              <w:rPr>
                <w:rFonts w:ascii="Arial" w:cs="Arial" w:eastAsia="Arial" w:hAnsi="Arial"/>
                <w:sz w:val="18"/>
                <w:szCs w:val="18"/>
                <w:color w:val="auto"/>
              </w:rPr>
              <w:t>(26.1)%</w:t>
            </w:r>
          </w:p>
        </w:tc>
      </w:tr>
      <w:tr>
        <w:trPr>
          <w:trHeight w:val="277"/>
        </w:trPr>
        <w:tc>
          <w:tcPr>
            <w:tcW w:w="40" w:type="dxa"/>
            <w:vAlign w:val="bottom"/>
            <w:shd w:val="clear" w:color="auto" w:fill="DCE2EF"/>
          </w:tcPr>
          <w:p>
            <w:pPr>
              <w:spacing w:after="0"/>
              <w:rPr>
                <w:sz w:val="24"/>
                <w:szCs w:val="24"/>
                <w:color w:val="auto"/>
              </w:rPr>
            </w:pPr>
          </w:p>
        </w:tc>
        <w:tc>
          <w:tcPr>
            <w:tcW w:w="3660" w:type="dxa"/>
            <w:vAlign w:val="bottom"/>
            <w:gridSpan w:val="2"/>
            <w:shd w:val="clear" w:color="auto" w:fill="DCE2EF"/>
          </w:tcPr>
          <w:p>
            <w:pPr>
              <w:ind w:left="140"/>
              <w:spacing w:after="0"/>
              <w:rPr>
                <w:sz w:val="20"/>
                <w:szCs w:val="20"/>
                <w:color w:val="auto"/>
              </w:rPr>
            </w:pPr>
            <w:r>
              <w:rPr>
                <w:rFonts w:ascii="Arial" w:cs="Arial" w:eastAsia="Arial" w:hAnsi="Arial"/>
                <w:sz w:val="14"/>
                <w:szCs w:val="14"/>
                <w:i w:val="1"/>
                <w:iCs w:val="1"/>
                <w:color w:val="auto"/>
              </w:rPr>
              <w:t>Operating profit margin</w:t>
            </w:r>
          </w:p>
        </w:tc>
        <w:tc>
          <w:tcPr>
            <w:tcW w:w="400" w:type="dxa"/>
            <w:vAlign w:val="bottom"/>
            <w:shd w:val="clear" w:color="auto" w:fill="DCE2EF"/>
          </w:tcPr>
          <w:p>
            <w:pPr>
              <w:spacing w:after="0"/>
              <w:rPr>
                <w:sz w:val="24"/>
                <w:szCs w:val="24"/>
                <w:color w:val="auto"/>
              </w:rPr>
            </w:pPr>
          </w:p>
        </w:tc>
        <w:tc>
          <w:tcPr>
            <w:tcW w:w="1480" w:type="dxa"/>
            <w:vAlign w:val="bottom"/>
            <w:shd w:val="clear" w:color="auto" w:fill="DCE2EF"/>
          </w:tcPr>
          <w:p>
            <w:pPr>
              <w:jc w:val="right"/>
              <w:spacing w:after="0"/>
              <w:rPr>
                <w:sz w:val="20"/>
                <w:szCs w:val="20"/>
                <w:color w:val="auto"/>
              </w:rPr>
            </w:pPr>
            <w:r>
              <w:rPr>
                <w:rFonts w:ascii="Arial" w:cs="Arial" w:eastAsia="Arial" w:hAnsi="Arial"/>
                <w:sz w:val="14"/>
                <w:szCs w:val="14"/>
                <w:i w:val="1"/>
                <w:iCs w:val="1"/>
                <w:color w:val="auto"/>
              </w:rPr>
              <w:t>7.0%</w:t>
            </w:r>
          </w:p>
        </w:tc>
        <w:tc>
          <w:tcPr>
            <w:tcW w:w="100" w:type="dxa"/>
            <w:vAlign w:val="bottom"/>
            <w:shd w:val="clear" w:color="auto" w:fill="DCE2EF"/>
          </w:tcPr>
          <w:p>
            <w:pPr>
              <w:spacing w:after="0"/>
              <w:rPr>
                <w:sz w:val="24"/>
                <w:szCs w:val="24"/>
                <w:color w:val="auto"/>
              </w:rPr>
            </w:pPr>
          </w:p>
        </w:tc>
        <w:tc>
          <w:tcPr>
            <w:tcW w:w="440" w:type="dxa"/>
            <w:vAlign w:val="bottom"/>
            <w:shd w:val="clear" w:color="auto" w:fill="DCE2EF"/>
          </w:tcPr>
          <w:p>
            <w:pPr>
              <w:spacing w:after="0"/>
              <w:rPr>
                <w:sz w:val="24"/>
                <w:szCs w:val="24"/>
                <w:color w:val="auto"/>
              </w:rPr>
            </w:pPr>
          </w:p>
        </w:tc>
        <w:tc>
          <w:tcPr>
            <w:tcW w:w="1440" w:type="dxa"/>
            <w:vAlign w:val="bottom"/>
            <w:shd w:val="clear" w:color="auto" w:fill="DCE2EF"/>
          </w:tcPr>
          <w:p>
            <w:pPr>
              <w:jc w:val="right"/>
              <w:spacing w:after="0"/>
              <w:rPr>
                <w:sz w:val="20"/>
                <w:szCs w:val="20"/>
                <w:color w:val="auto"/>
              </w:rPr>
            </w:pPr>
            <w:r>
              <w:rPr>
                <w:rFonts w:ascii="Arial" w:cs="Arial" w:eastAsia="Arial" w:hAnsi="Arial"/>
                <w:sz w:val="14"/>
                <w:szCs w:val="14"/>
                <w:i w:val="1"/>
                <w:iCs w:val="1"/>
                <w:color w:val="auto"/>
              </w:rPr>
              <w:t>9.2%</w:t>
            </w:r>
          </w:p>
        </w:tc>
        <w:tc>
          <w:tcPr>
            <w:tcW w:w="100" w:type="dxa"/>
            <w:vAlign w:val="bottom"/>
            <w:shd w:val="clear" w:color="auto" w:fill="DCE2EF"/>
          </w:tcPr>
          <w:p>
            <w:pPr>
              <w:spacing w:after="0"/>
              <w:rPr>
                <w:sz w:val="24"/>
                <w:szCs w:val="24"/>
                <w:color w:val="auto"/>
              </w:rPr>
            </w:pPr>
          </w:p>
        </w:tc>
        <w:tc>
          <w:tcPr>
            <w:tcW w:w="620" w:type="dxa"/>
            <w:vAlign w:val="bottom"/>
            <w:shd w:val="clear" w:color="auto" w:fill="DCE2EF"/>
          </w:tcPr>
          <w:p>
            <w:pPr>
              <w:spacing w:after="0"/>
              <w:rPr>
                <w:sz w:val="24"/>
                <w:szCs w:val="24"/>
                <w:color w:val="auto"/>
              </w:rPr>
            </w:pPr>
          </w:p>
        </w:tc>
        <w:tc>
          <w:tcPr>
            <w:tcW w:w="1780" w:type="dxa"/>
            <w:vAlign w:val="bottom"/>
            <w:shd w:val="clear" w:color="auto" w:fill="DCE2EF"/>
          </w:tcPr>
          <w:p>
            <w:pPr>
              <w:jc w:val="right"/>
              <w:ind w:right="594"/>
              <w:spacing w:after="0"/>
              <w:rPr>
                <w:sz w:val="20"/>
                <w:szCs w:val="20"/>
                <w:color w:val="auto"/>
              </w:rPr>
            </w:pPr>
            <w:r>
              <w:rPr>
                <w:rFonts w:ascii="Arial" w:cs="Arial" w:eastAsia="Arial" w:hAnsi="Arial"/>
                <w:sz w:val="14"/>
                <w:szCs w:val="14"/>
                <w:i w:val="1"/>
                <w:iCs w:val="1"/>
                <w:color w:val="auto"/>
              </w:rPr>
              <w:t>(226) bps</w:t>
            </w:r>
          </w:p>
        </w:tc>
        <w:tc>
          <w:tcPr>
            <w:tcW w:w="1340" w:type="dxa"/>
            <w:vAlign w:val="bottom"/>
            <w:shd w:val="clear" w:color="auto" w:fill="DCE2EF"/>
          </w:tcPr>
          <w:p>
            <w:pPr>
              <w:spacing w:after="0"/>
              <w:rPr>
                <w:sz w:val="24"/>
                <w:szCs w:val="24"/>
                <w:color w:val="auto"/>
              </w:rPr>
            </w:pPr>
          </w:p>
        </w:tc>
      </w:tr>
    </w:tbl>
    <w:p>
      <w:pPr>
        <w:spacing w:after="0" w:line="161"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color w:val="auto"/>
        </w:rPr>
        <w:t>Technical Solutions revenues decreased by $2.3 million, or 2.1%, during the three months ended April 30, 2018, as compared to the three months ended April 30, 2017. This decrease was primarily attributable to the timing of new project bookings and the completion of certain bundled energy solutions projects.</w:t>
      </w:r>
    </w:p>
    <w:p>
      <w:pPr>
        <w:spacing w:after="0" w:line="148"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Operating profit decreased by $2.7 million, or 26.1%, during the three months ended April 30, 2018, as compared to the three months ended April 30, 2017. Operating profit margin decreased by 226 bps to 7.0% in the three months ended April 30, 2018 from 9.2% in the three months ended April 30, 2017. The decrease in operating profit margin was primarily attributable to the investment in sales personnel and the loss of certain higher margin contracts in our U.K. business. This decrease was partially offset by higher tax deductions for energy efficient government building projects.</w:t>
      </w:r>
    </w:p>
    <w:p>
      <w:pPr>
        <w:spacing w:after="0" w:line="305"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3700" w:type="dxa"/>
            <w:vAlign w:val="bottom"/>
            <w:gridSpan w:val="3"/>
          </w:tcPr>
          <w:p>
            <w:pPr>
              <w:ind w:left="40"/>
              <w:spacing w:after="0"/>
              <w:rPr>
                <w:sz w:val="20"/>
                <w:szCs w:val="20"/>
                <w:color w:val="auto"/>
              </w:rPr>
            </w:pPr>
            <w:r>
              <w:rPr>
                <w:rFonts w:ascii="Arial" w:cs="Arial" w:eastAsia="Arial" w:hAnsi="Arial"/>
                <w:sz w:val="18"/>
                <w:szCs w:val="18"/>
                <w:b w:val="1"/>
                <w:bCs w:val="1"/>
                <w:i w:val="1"/>
                <w:iCs w:val="1"/>
                <w:color w:val="0046AD"/>
              </w:rPr>
              <w:t>Healthcare</w:t>
            </w:r>
          </w:p>
        </w:tc>
        <w:tc>
          <w:tcPr>
            <w:tcW w:w="40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1580" w:type="dxa"/>
            <w:vAlign w:val="bottom"/>
          </w:tcPr>
          <w:p>
            <w:pPr>
              <w:spacing w:after="0"/>
              <w:rPr>
                <w:sz w:val="20"/>
                <w:szCs w:val="20"/>
                <w:color w:val="auto"/>
              </w:rPr>
            </w:pPr>
          </w:p>
        </w:tc>
      </w:tr>
      <w:tr>
        <w:trPr>
          <w:trHeight w:val="277"/>
        </w:trPr>
        <w:tc>
          <w:tcPr>
            <w:tcW w:w="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8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560" w:type="dxa"/>
            <w:vAlign w:val="bottom"/>
            <w:gridSpan w:val="5"/>
          </w:tcPr>
          <w:p>
            <w:pPr>
              <w:ind w:left="260"/>
              <w:spacing w:after="0"/>
              <w:rPr>
                <w:sz w:val="20"/>
                <w:szCs w:val="20"/>
                <w:color w:val="auto"/>
              </w:rPr>
            </w:pPr>
            <w:r>
              <w:rPr>
                <w:rFonts w:ascii="Arial" w:cs="Arial" w:eastAsia="Arial" w:hAnsi="Arial"/>
                <w:sz w:val="18"/>
                <w:szCs w:val="18"/>
                <w:b w:val="1"/>
                <w:bCs w:val="1"/>
                <w:color w:val="auto"/>
              </w:rPr>
              <w:t>Three Months Ended April 30,</w:t>
            </w:r>
          </w:p>
        </w:tc>
        <w:tc>
          <w:tcPr>
            <w:tcW w:w="56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580" w:type="dxa"/>
            <w:vAlign w:val="bottom"/>
          </w:tcPr>
          <w:p>
            <w:pPr>
              <w:spacing w:after="0"/>
              <w:rPr>
                <w:sz w:val="24"/>
                <w:szCs w:val="24"/>
                <w:color w:val="auto"/>
              </w:rPr>
            </w:pPr>
          </w:p>
        </w:tc>
      </w:tr>
      <w:tr>
        <w:trPr>
          <w:trHeight w:val="230"/>
        </w:trPr>
        <w:tc>
          <w:tcPr>
            <w:tcW w:w="3700" w:type="dxa"/>
            <w:vAlign w:val="bottom"/>
            <w:gridSpan w:val="3"/>
          </w:tcPr>
          <w:p>
            <w:pPr>
              <w:ind w:left="40"/>
              <w:spacing w:after="0"/>
              <w:rPr>
                <w:sz w:val="20"/>
                <w:szCs w:val="20"/>
                <w:color w:val="auto"/>
              </w:rPr>
            </w:pPr>
            <w:r>
              <w:rPr>
                <w:rFonts w:ascii="Arial" w:cs="Arial" w:eastAsia="Arial" w:hAnsi="Arial"/>
                <w:sz w:val="14"/>
                <w:szCs w:val="14"/>
                <w:i w:val="1"/>
                <w:iCs w:val="1"/>
                <w:u w:val="single" w:color="auto"/>
                <w:color w:val="auto"/>
              </w:rPr>
              <w:t>(</w:t>
            </w:r>
            <w:r>
              <w:rPr>
                <w:rFonts w:ascii="Arial" w:cs="Arial" w:eastAsia="Arial" w:hAnsi="Arial"/>
                <w:sz w:val="14"/>
                <w:szCs w:val="14"/>
                <w:i w:val="1"/>
                <w:iCs w:val="1"/>
                <w:color w:val="auto"/>
              </w:rPr>
              <w:t>$ in millions)</w:t>
            </w:r>
          </w:p>
        </w:tc>
        <w:tc>
          <w:tcPr>
            <w:tcW w:w="400" w:type="dxa"/>
            <w:vAlign w:val="bottom"/>
            <w:tcBorders>
              <w:top w:val="single" w:sz="8" w:color="auto"/>
            </w:tcBorders>
          </w:tcPr>
          <w:p>
            <w:pPr>
              <w:spacing w:after="0"/>
              <w:rPr>
                <w:sz w:val="19"/>
                <w:szCs w:val="19"/>
                <w:color w:val="auto"/>
              </w:rPr>
            </w:pPr>
          </w:p>
        </w:tc>
        <w:tc>
          <w:tcPr>
            <w:tcW w:w="1480" w:type="dxa"/>
            <w:vAlign w:val="bottom"/>
            <w:tcBorders>
              <w:top w:val="single" w:sz="8" w:color="auto"/>
            </w:tcBorders>
          </w:tcPr>
          <w:p>
            <w:pPr>
              <w:jc w:val="right"/>
              <w:ind w:right="654"/>
              <w:spacing w:after="0"/>
              <w:rPr>
                <w:sz w:val="20"/>
                <w:szCs w:val="20"/>
                <w:color w:val="auto"/>
              </w:rPr>
            </w:pPr>
            <w:r>
              <w:rPr>
                <w:rFonts w:ascii="Arial" w:cs="Arial" w:eastAsia="Arial" w:hAnsi="Arial"/>
                <w:sz w:val="18"/>
                <w:szCs w:val="18"/>
                <w:b w:val="1"/>
                <w:bCs w:val="1"/>
                <w:color w:val="auto"/>
              </w:rPr>
              <w:t>2018</w:t>
            </w:r>
          </w:p>
        </w:tc>
        <w:tc>
          <w:tcPr>
            <w:tcW w:w="100" w:type="dxa"/>
            <w:vAlign w:val="bottom"/>
            <w:tcBorders>
              <w:top w:val="single" w:sz="8" w:color="auto"/>
            </w:tcBorders>
          </w:tcPr>
          <w:p>
            <w:pPr>
              <w:spacing w:after="0"/>
              <w:rPr>
                <w:sz w:val="19"/>
                <w:szCs w:val="19"/>
                <w:color w:val="auto"/>
              </w:rPr>
            </w:pPr>
          </w:p>
        </w:tc>
        <w:tc>
          <w:tcPr>
            <w:tcW w:w="440" w:type="dxa"/>
            <w:vAlign w:val="bottom"/>
            <w:tcBorders>
              <w:top w:val="single" w:sz="8" w:color="auto"/>
            </w:tcBorders>
          </w:tcPr>
          <w:p>
            <w:pPr>
              <w:spacing w:after="0"/>
              <w:rPr>
                <w:sz w:val="19"/>
                <w:szCs w:val="19"/>
                <w:color w:val="auto"/>
              </w:rPr>
            </w:pPr>
          </w:p>
        </w:tc>
        <w:tc>
          <w:tcPr>
            <w:tcW w:w="1440" w:type="dxa"/>
            <w:vAlign w:val="bottom"/>
            <w:tcBorders>
              <w:top w:val="single" w:sz="8" w:color="auto"/>
            </w:tcBorders>
          </w:tcPr>
          <w:p>
            <w:pPr>
              <w:jc w:val="right"/>
              <w:ind w:right="654"/>
              <w:spacing w:after="0"/>
              <w:rPr>
                <w:sz w:val="20"/>
                <w:szCs w:val="20"/>
                <w:color w:val="auto"/>
              </w:rPr>
            </w:pPr>
            <w:r>
              <w:rPr>
                <w:rFonts w:ascii="Arial" w:cs="Arial" w:eastAsia="Arial" w:hAnsi="Arial"/>
                <w:sz w:val="18"/>
                <w:szCs w:val="18"/>
                <w:b w:val="1"/>
                <w:bCs w:val="1"/>
                <w:color w:val="auto"/>
              </w:rPr>
              <w:t>2017</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180" w:type="dxa"/>
            <w:vAlign w:val="bottom"/>
            <w:gridSpan w:val="2"/>
          </w:tcPr>
          <w:p>
            <w:pPr>
              <w:ind w:left="420"/>
              <w:spacing w:after="0"/>
              <w:rPr>
                <w:sz w:val="20"/>
                <w:szCs w:val="20"/>
                <w:color w:val="auto"/>
              </w:rPr>
            </w:pPr>
            <w:r>
              <w:rPr>
                <w:rFonts w:ascii="Arial" w:cs="Arial" w:eastAsia="Arial" w:hAnsi="Arial"/>
                <w:sz w:val="18"/>
                <w:szCs w:val="18"/>
                <w:b w:val="1"/>
                <w:bCs w:val="1"/>
                <w:color w:val="auto"/>
              </w:rPr>
              <w:t>Increase / (Decrease)</w:t>
            </w:r>
          </w:p>
        </w:tc>
      </w:tr>
      <w:tr>
        <w:trPr>
          <w:trHeight w:val="21"/>
        </w:trPr>
        <w:tc>
          <w:tcPr>
            <w:tcW w:w="40" w:type="dxa"/>
            <w:vAlign w:val="bottom"/>
            <w:tcBorders>
              <w:bottom w:val="single" w:sz="8" w:color="DCE2EF"/>
            </w:tcBorders>
          </w:tcPr>
          <w:p>
            <w:pPr>
              <w:spacing w:after="0" w:line="20" w:lineRule="exact"/>
              <w:rPr>
                <w:sz w:val="1"/>
                <w:szCs w:val="1"/>
                <w:color w:val="auto"/>
              </w:rPr>
            </w:pPr>
          </w:p>
        </w:tc>
        <w:tc>
          <w:tcPr>
            <w:tcW w:w="820" w:type="dxa"/>
            <w:vAlign w:val="bottom"/>
            <w:tcBorders>
              <w:top w:val="single" w:sz="8" w:color="auto"/>
              <w:bottom w:val="single" w:sz="8" w:color="DCE2EF"/>
            </w:tcBorders>
          </w:tcPr>
          <w:p>
            <w:pPr>
              <w:spacing w:after="0" w:line="20" w:lineRule="exact"/>
              <w:rPr>
                <w:sz w:val="1"/>
                <w:szCs w:val="1"/>
                <w:color w:val="auto"/>
              </w:rPr>
            </w:pPr>
          </w:p>
        </w:tc>
        <w:tc>
          <w:tcPr>
            <w:tcW w:w="2840" w:type="dxa"/>
            <w:vAlign w:val="bottom"/>
            <w:tcBorders>
              <w:bottom w:val="single" w:sz="8" w:color="DCE2E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DCE2E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DCE2EF"/>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r>
      <w:tr>
        <w:trPr>
          <w:trHeight w:val="264"/>
        </w:trPr>
        <w:tc>
          <w:tcPr>
            <w:tcW w:w="3700" w:type="dxa"/>
            <w:vAlign w:val="bottom"/>
            <w:gridSpan w:val="3"/>
            <w:shd w:val="clear" w:color="auto" w:fill="DCE2EF"/>
          </w:tcPr>
          <w:p>
            <w:pPr>
              <w:ind w:left="40"/>
              <w:spacing w:after="0"/>
              <w:rPr>
                <w:sz w:val="20"/>
                <w:szCs w:val="20"/>
                <w:color w:val="auto"/>
              </w:rPr>
            </w:pPr>
            <w:r>
              <w:rPr>
                <w:rFonts w:ascii="Arial" w:cs="Arial" w:eastAsia="Arial" w:hAnsi="Arial"/>
                <w:sz w:val="18"/>
                <w:szCs w:val="18"/>
                <w:color w:val="auto"/>
              </w:rPr>
              <w:t>Revenues</w:t>
            </w:r>
          </w:p>
        </w:tc>
        <w:tc>
          <w:tcPr>
            <w:tcW w:w="400" w:type="dxa"/>
            <w:vAlign w:val="bottom"/>
            <w:shd w:val="clear" w:color="auto" w:fill="DCE2EF"/>
          </w:tcPr>
          <w:p>
            <w:pPr>
              <w:jc w:val="right"/>
              <w:ind w:right="190"/>
              <w:spacing w:after="0"/>
              <w:rPr>
                <w:sz w:val="20"/>
                <w:szCs w:val="20"/>
                <w:color w:val="auto"/>
              </w:rPr>
            </w:pPr>
            <w:r>
              <w:rPr>
                <w:rFonts w:ascii="Arial" w:cs="Arial" w:eastAsia="Arial" w:hAnsi="Arial"/>
                <w:sz w:val="18"/>
                <w:szCs w:val="18"/>
                <w:color w:val="auto"/>
                <w:w w:val="99"/>
              </w:rPr>
              <w:t>$</w:t>
            </w:r>
          </w:p>
        </w:tc>
        <w:tc>
          <w:tcPr>
            <w:tcW w:w="1480" w:type="dxa"/>
            <w:vAlign w:val="bottom"/>
            <w:shd w:val="clear" w:color="auto" w:fill="DCE2EF"/>
          </w:tcPr>
          <w:p>
            <w:pPr>
              <w:jc w:val="right"/>
              <w:ind w:right="74"/>
              <w:spacing w:after="0"/>
              <w:rPr>
                <w:sz w:val="20"/>
                <w:szCs w:val="20"/>
                <w:color w:val="auto"/>
              </w:rPr>
            </w:pPr>
            <w:r>
              <w:rPr>
                <w:rFonts w:ascii="Arial" w:cs="Arial" w:eastAsia="Arial" w:hAnsi="Arial"/>
                <w:sz w:val="18"/>
                <w:szCs w:val="18"/>
                <w:color w:val="auto"/>
              </w:rPr>
              <w:t>69.9</w:t>
            </w:r>
          </w:p>
        </w:tc>
        <w:tc>
          <w:tcPr>
            <w:tcW w:w="100" w:type="dxa"/>
            <w:vAlign w:val="bottom"/>
            <w:shd w:val="clear" w:color="auto" w:fill="DCE2EF"/>
          </w:tcPr>
          <w:p>
            <w:pPr>
              <w:spacing w:after="0"/>
              <w:rPr>
                <w:sz w:val="22"/>
                <w:szCs w:val="22"/>
                <w:color w:val="auto"/>
              </w:rPr>
            </w:pPr>
          </w:p>
        </w:tc>
        <w:tc>
          <w:tcPr>
            <w:tcW w:w="440" w:type="dxa"/>
            <w:vAlign w:val="bottom"/>
            <w:shd w:val="clear" w:color="auto" w:fill="DCE2EF"/>
          </w:tcPr>
          <w:p>
            <w:pPr>
              <w:jc w:val="right"/>
              <w:ind w:right="230"/>
              <w:spacing w:after="0"/>
              <w:rPr>
                <w:sz w:val="20"/>
                <w:szCs w:val="20"/>
                <w:color w:val="auto"/>
              </w:rPr>
            </w:pPr>
            <w:r>
              <w:rPr>
                <w:rFonts w:ascii="Arial" w:cs="Arial" w:eastAsia="Arial" w:hAnsi="Arial"/>
                <w:sz w:val="18"/>
                <w:szCs w:val="18"/>
                <w:color w:val="auto"/>
                <w:w w:val="99"/>
              </w:rPr>
              <w:t>$</w:t>
            </w:r>
          </w:p>
        </w:tc>
        <w:tc>
          <w:tcPr>
            <w:tcW w:w="1440" w:type="dxa"/>
            <w:vAlign w:val="bottom"/>
            <w:shd w:val="clear" w:color="auto" w:fill="DCE2EF"/>
          </w:tcPr>
          <w:p>
            <w:pPr>
              <w:jc w:val="right"/>
              <w:ind w:right="74"/>
              <w:spacing w:after="0"/>
              <w:rPr>
                <w:sz w:val="20"/>
                <w:szCs w:val="20"/>
                <w:color w:val="auto"/>
              </w:rPr>
            </w:pPr>
            <w:r>
              <w:rPr>
                <w:rFonts w:ascii="Arial" w:cs="Arial" w:eastAsia="Arial" w:hAnsi="Arial"/>
                <w:sz w:val="18"/>
                <w:szCs w:val="18"/>
                <w:color w:val="auto"/>
              </w:rPr>
              <w:t>60.6</w:t>
            </w:r>
          </w:p>
        </w:tc>
        <w:tc>
          <w:tcPr>
            <w:tcW w:w="100" w:type="dxa"/>
            <w:vAlign w:val="bottom"/>
            <w:shd w:val="clear" w:color="auto" w:fill="DCE2EF"/>
          </w:tcPr>
          <w:p>
            <w:pPr>
              <w:spacing w:after="0"/>
              <w:rPr>
                <w:sz w:val="22"/>
                <w:szCs w:val="22"/>
                <w:color w:val="auto"/>
              </w:rPr>
            </w:pPr>
          </w:p>
        </w:tc>
        <w:tc>
          <w:tcPr>
            <w:tcW w:w="560" w:type="dxa"/>
            <w:vAlign w:val="bottom"/>
            <w:shd w:val="clear" w:color="auto" w:fill="DCE2EF"/>
          </w:tcPr>
          <w:p>
            <w:pPr>
              <w:jc w:val="right"/>
              <w:ind w:right="330"/>
              <w:spacing w:after="0"/>
              <w:rPr>
                <w:sz w:val="20"/>
                <w:szCs w:val="20"/>
                <w:color w:val="auto"/>
              </w:rPr>
            </w:pPr>
            <w:r>
              <w:rPr>
                <w:rFonts w:ascii="Arial" w:cs="Arial" w:eastAsia="Arial" w:hAnsi="Arial"/>
                <w:sz w:val="18"/>
                <w:szCs w:val="18"/>
                <w:color w:val="auto"/>
              </w:rPr>
              <w:t>$</w:t>
            </w:r>
          </w:p>
        </w:tc>
        <w:tc>
          <w:tcPr>
            <w:tcW w:w="1600" w:type="dxa"/>
            <w:vAlign w:val="bottom"/>
            <w:shd w:val="clear" w:color="auto" w:fill="DCE2EF"/>
          </w:tcPr>
          <w:p>
            <w:pPr>
              <w:jc w:val="right"/>
              <w:ind w:right="354"/>
              <w:spacing w:after="0"/>
              <w:rPr>
                <w:sz w:val="20"/>
                <w:szCs w:val="20"/>
                <w:color w:val="auto"/>
              </w:rPr>
            </w:pPr>
            <w:r>
              <w:rPr>
                <w:rFonts w:ascii="Arial" w:cs="Arial" w:eastAsia="Arial" w:hAnsi="Arial"/>
                <w:sz w:val="18"/>
                <w:szCs w:val="18"/>
                <w:color w:val="auto"/>
              </w:rPr>
              <w:t>9.3</w:t>
            </w:r>
          </w:p>
        </w:tc>
        <w:tc>
          <w:tcPr>
            <w:tcW w:w="1580" w:type="dxa"/>
            <w:vAlign w:val="bottom"/>
            <w:shd w:val="clear" w:color="auto" w:fill="DCE2EF"/>
          </w:tcPr>
          <w:p>
            <w:pPr>
              <w:jc w:val="right"/>
              <w:ind w:right="550"/>
              <w:spacing w:after="0"/>
              <w:rPr>
                <w:sz w:val="20"/>
                <w:szCs w:val="20"/>
                <w:color w:val="auto"/>
              </w:rPr>
            </w:pPr>
            <w:r>
              <w:rPr>
                <w:rFonts w:ascii="Arial" w:cs="Arial" w:eastAsia="Arial" w:hAnsi="Arial"/>
                <w:sz w:val="18"/>
                <w:szCs w:val="18"/>
                <w:color w:val="auto"/>
              </w:rPr>
              <w:t>15.3%</w:t>
            </w:r>
          </w:p>
        </w:tc>
      </w:tr>
      <w:tr>
        <w:trPr>
          <w:trHeight w:val="263"/>
        </w:trPr>
        <w:tc>
          <w:tcPr>
            <w:tcW w:w="3700" w:type="dxa"/>
            <w:vAlign w:val="bottom"/>
            <w:gridSpan w:val="3"/>
          </w:tcPr>
          <w:p>
            <w:pPr>
              <w:ind w:left="40"/>
              <w:spacing w:after="0"/>
              <w:rPr>
                <w:sz w:val="20"/>
                <w:szCs w:val="20"/>
                <w:color w:val="auto"/>
              </w:rPr>
            </w:pPr>
            <w:r>
              <w:rPr>
                <w:rFonts w:ascii="Arial" w:cs="Arial" w:eastAsia="Arial" w:hAnsi="Arial"/>
                <w:sz w:val="18"/>
                <w:szCs w:val="18"/>
                <w:color w:val="auto"/>
              </w:rPr>
              <w:t>Operating profit</w:t>
            </w:r>
          </w:p>
        </w:tc>
        <w:tc>
          <w:tcPr>
            <w:tcW w:w="400" w:type="dxa"/>
            <w:vAlign w:val="bottom"/>
          </w:tcPr>
          <w:p>
            <w:pPr>
              <w:spacing w:after="0"/>
              <w:rPr>
                <w:sz w:val="22"/>
                <w:szCs w:val="22"/>
                <w:color w:val="auto"/>
              </w:rPr>
            </w:pPr>
          </w:p>
        </w:tc>
        <w:tc>
          <w:tcPr>
            <w:tcW w:w="1480" w:type="dxa"/>
            <w:vAlign w:val="bottom"/>
          </w:tcPr>
          <w:p>
            <w:pPr>
              <w:jc w:val="right"/>
              <w:ind w:right="74"/>
              <w:spacing w:after="0"/>
              <w:rPr>
                <w:sz w:val="20"/>
                <w:szCs w:val="20"/>
                <w:color w:val="auto"/>
              </w:rPr>
            </w:pPr>
            <w:r>
              <w:rPr>
                <w:rFonts w:ascii="Arial" w:cs="Arial" w:eastAsia="Arial" w:hAnsi="Arial"/>
                <w:sz w:val="18"/>
                <w:szCs w:val="18"/>
                <w:color w:val="auto"/>
              </w:rPr>
              <w:t>2.7</w:t>
            </w:r>
          </w:p>
        </w:tc>
        <w:tc>
          <w:tcPr>
            <w:tcW w:w="1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440" w:type="dxa"/>
            <w:vAlign w:val="bottom"/>
          </w:tcPr>
          <w:p>
            <w:pPr>
              <w:jc w:val="right"/>
              <w:ind w:right="74"/>
              <w:spacing w:after="0"/>
              <w:rPr>
                <w:sz w:val="20"/>
                <w:szCs w:val="20"/>
                <w:color w:val="auto"/>
              </w:rPr>
            </w:pPr>
            <w:r>
              <w:rPr>
                <w:rFonts w:ascii="Arial" w:cs="Arial" w:eastAsia="Arial" w:hAnsi="Arial"/>
                <w:sz w:val="18"/>
                <w:szCs w:val="18"/>
                <w:color w:val="auto"/>
              </w:rPr>
              <w:t>2.4</w:t>
            </w:r>
          </w:p>
        </w:tc>
        <w:tc>
          <w:tcPr>
            <w:tcW w:w="10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600" w:type="dxa"/>
            <w:vAlign w:val="bottom"/>
          </w:tcPr>
          <w:p>
            <w:pPr>
              <w:jc w:val="right"/>
              <w:ind w:right="354"/>
              <w:spacing w:after="0"/>
              <w:rPr>
                <w:sz w:val="20"/>
                <w:szCs w:val="20"/>
                <w:color w:val="auto"/>
              </w:rPr>
            </w:pPr>
            <w:r>
              <w:rPr>
                <w:rFonts w:ascii="Arial" w:cs="Arial" w:eastAsia="Arial" w:hAnsi="Arial"/>
                <w:sz w:val="18"/>
                <w:szCs w:val="18"/>
                <w:color w:val="auto"/>
              </w:rPr>
              <w:t>0.3</w:t>
            </w:r>
          </w:p>
        </w:tc>
        <w:tc>
          <w:tcPr>
            <w:tcW w:w="1580" w:type="dxa"/>
            <w:vAlign w:val="bottom"/>
          </w:tcPr>
          <w:p>
            <w:pPr>
              <w:jc w:val="right"/>
              <w:ind w:right="610"/>
              <w:spacing w:after="0"/>
              <w:rPr>
                <w:sz w:val="20"/>
                <w:szCs w:val="20"/>
                <w:color w:val="auto"/>
              </w:rPr>
            </w:pPr>
            <w:r>
              <w:rPr>
                <w:rFonts w:ascii="Arial" w:cs="Arial" w:eastAsia="Arial" w:hAnsi="Arial"/>
                <w:sz w:val="18"/>
                <w:szCs w:val="18"/>
                <w:color w:val="auto"/>
              </w:rPr>
              <w:t>8.9%</w:t>
            </w:r>
          </w:p>
        </w:tc>
      </w:tr>
      <w:tr>
        <w:trPr>
          <w:trHeight w:val="277"/>
        </w:trPr>
        <w:tc>
          <w:tcPr>
            <w:tcW w:w="40" w:type="dxa"/>
            <w:vAlign w:val="bottom"/>
            <w:shd w:val="clear" w:color="auto" w:fill="DCE2EF"/>
          </w:tcPr>
          <w:p>
            <w:pPr>
              <w:spacing w:after="0"/>
              <w:rPr>
                <w:sz w:val="24"/>
                <w:szCs w:val="24"/>
                <w:color w:val="auto"/>
              </w:rPr>
            </w:pPr>
          </w:p>
        </w:tc>
        <w:tc>
          <w:tcPr>
            <w:tcW w:w="3660" w:type="dxa"/>
            <w:vAlign w:val="bottom"/>
            <w:gridSpan w:val="2"/>
            <w:shd w:val="clear" w:color="auto" w:fill="DCE2EF"/>
          </w:tcPr>
          <w:p>
            <w:pPr>
              <w:ind w:left="140"/>
              <w:spacing w:after="0"/>
              <w:rPr>
                <w:sz w:val="20"/>
                <w:szCs w:val="20"/>
                <w:color w:val="auto"/>
              </w:rPr>
            </w:pPr>
            <w:r>
              <w:rPr>
                <w:rFonts w:ascii="Arial" w:cs="Arial" w:eastAsia="Arial" w:hAnsi="Arial"/>
                <w:sz w:val="14"/>
                <w:szCs w:val="14"/>
                <w:i w:val="1"/>
                <w:iCs w:val="1"/>
                <w:color w:val="auto"/>
              </w:rPr>
              <w:t>Operating profit margin</w:t>
            </w:r>
          </w:p>
        </w:tc>
        <w:tc>
          <w:tcPr>
            <w:tcW w:w="400" w:type="dxa"/>
            <w:vAlign w:val="bottom"/>
            <w:shd w:val="clear" w:color="auto" w:fill="DCE2EF"/>
          </w:tcPr>
          <w:p>
            <w:pPr>
              <w:spacing w:after="0"/>
              <w:rPr>
                <w:sz w:val="24"/>
                <w:szCs w:val="24"/>
                <w:color w:val="auto"/>
              </w:rPr>
            </w:pPr>
          </w:p>
        </w:tc>
        <w:tc>
          <w:tcPr>
            <w:tcW w:w="1480" w:type="dxa"/>
            <w:vAlign w:val="bottom"/>
            <w:shd w:val="clear" w:color="auto" w:fill="DCE2EF"/>
          </w:tcPr>
          <w:p>
            <w:pPr>
              <w:jc w:val="right"/>
              <w:spacing w:after="0"/>
              <w:rPr>
                <w:sz w:val="20"/>
                <w:szCs w:val="20"/>
                <w:color w:val="auto"/>
              </w:rPr>
            </w:pPr>
            <w:r>
              <w:rPr>
                <w:rFonts w:ascii="Arial" w:cs="Arial" w:eastAsia="Arial" w:hAnsi="Arial"/>
                <w:sz w:val="14"/>
                <w:szCs w:val="14"/>
                <w:i w:val="1"/>
                <w:iCs w:val="1"/>
                <w:color w:val="auto"/>
              </w:rPr>
              <w:t>3.8%</w:t>
            </w:r>
          </w:p>
        </w:tc>
        <w:tc>
          <w:tcPr>
            <w:tcW w:w="100" w:type="dxa"/>
            <w:vAlign w:val="bottom"/>
            <w:shd w:val="clear" w:color="auto" w:fill="DCE2EF"/>
          </w:tcPr>
          <w:p>
            <w:pPr>
              <w:spacing w:after="0"/>
              <w:rPr>
                <w:sz w:val="24"/>
                <w:szCs w:val="24"/>
                <w:color w:val="auto"/>
              </w:rPr>
            </w:pPr>
          </w:p>
        </w:tc>
        <w:tc>
          <w:tcPr>
            <w:tcW w:w="440" w:type="dxa"/>
            <w:vAlign w:val="bottom"/>
            <w:shd w:val="clear" w:color="auto" w:fill="DCE2EF"/>
          </w:tcPr>
          <w:p>
            <w:pPr>
              <w:spacing w:after="0"/>
              <w:rPr>
                <w:sz w:val="24"/>
                <w:szCs w:val="24"/>
                <w:color w:val="auto"/>
              </w:rPr>
            </w:pPr>
          </w:p>
        </w:tc>
        <w:tc>
          <w:tcPr>
            <w:tcW w:w="1440" w:type="dxa"/>
            <w:vAlign w:val="bottom"/>
            <w:shd w:val="clear" w:color="auto" w:fill="DCE2EF"/>
          </w:tcPr>
          <w:p>
            <w:pPr>
              <w:jc w:val="right"/>
              <w:spacing w:after="0"/>
              <w:rPr>
                <w:sz w:val="20"/>
                <w:szCs w:val="20"/>
                <w:color w:val="auto"/>
              </w:rPr>
            </w:pPr>
            <w:r>
              <w:rPr>
                <w:rFonts w:ascii="Arial" w:cs="Arial" w:eastAsia="Arial" w:hAnsi="Arial"/>
                <w:sz w:val="14"/>
                <w:szCs w:val="14"/>
                <w:i w:val="1"/>
                <w:iCs w:val="1"/>
                <w:color w:val="auto"/>
              </w:rPr>
              <w:t>4.0%</w:t>
            </w:r>
          </w:p>
        </w:tc>
        <w:tc>
          <w:tcPr>
            <w:tcW w:w="100" w:type="dxa"/>
            <w:vAlign w:val="bottom"/>
            <w:shd w:val="clear" w:color="auto" w:fill="DCE2EF"/>
          </w:tcPr>
          <w:p>
            <w:pPr>
              <w:spacing w:after="0"/>
              <w:rPr>
                <w:sz w:val="24"/>
                <w:szCs w:val="24"/>
                <w:color w:val="auto"/>
              </w:rPr>
            </w:pPr>
          </w:p>
        </w:tc>
        <w:tc>
          <w:tcPr>
            <w:tcW w:w="560" w:type="dxa"/>
            <w:vAlign w:val="bottom"/>
            <w:shd w:val="clear" w:color="auto" w:fill="DCE2EF"/>
          </w:tcPr>
          <w:p>
            <w:pPr>
              <w:spacing w:after="0"/>
              <w:rPr>
                <w:sz w:val="24"/>
                <w:szCs w:val="24"/>
                <w:color w:val="auto"/>
              </w:rPr>
            </w:pPr>
          </w:p>
        </w:tc>
        <w:tc>
          <w:tcPr>
            <w:tcW w:w="1600" w:type="dxa"/>
            <w:vAlign w:val="bottom"/>
            <w:shd w:val="clear" w:color="auto" w:fill="DCE2EF"/>
          </w:tcPr>
          <w:p>
            <w:pPr>
              <w:jc w:val="right"/>
              <w:ind w:right="354"/>
              <w:spacing w:after="0"/>
              <w:rPr>
                <w:sz w:val="20"/>
                <w:szCs w:val="20"/>
                <w:color w:val="auto"/>
              </w:rPr>
            </w:pPr>
            <w:r>
              <w:rPr>
                <w:rFonts w:ascii="Arial" w:cs="Arial" w:eastAsia="Arial" w:hAnsi="Arial"/>
                <w:sz w:val="14"/>
                <w:szCs w:val="14"/>
                <w:i w:val="1"/>
                <w:iCs w:val="1"/>
                <w:color w:val="auto"/>
              </w:rPr>
              <w:t>(22) bps</w:t>
            </w:r>
          </w:p>
        </w:tc>
        <w:tc>
          <w:tcPr>
            <w:tcW w:w="1580" w:type="dxa"/>
            <w:vAlign w:val="bottom"/>
            <w:shd w:val="clear" w:color="auto" w:fill="DCE2EF"/>
          </w:tcPr>
          <w:p>
            <w:pPr>
              <w:spacing w:after="0"/>
              <w:rPr>
                <w:sz w:val="24"/>
                <w:szCs w:val="24"/>
                <w:color w:val="auto"/>
              </w:rPr>
            </w:pPr>
          </w:p>
        </w:tc>
      </w:tr>
    </w:tbl>
    <w:p>
      <w:pPr>
        <w:spacing w:after="0" w:line="161"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color w:val="auto"/>
        </w:rPr>
        <w:t>Healthcare revenues increased by $9.3 million, or 15.3%, during the three months ended April 30, 2018, as compared to the three months ended April 30, 2017. This increase was primarily attributable to incremental revenues from the GCA acquisition of $7.6 million and net new business.</w:t>
      </w:r>
    </w:p>
    <w:p>
      <w:pPr>
        <w:spacing w:after="0" w:line="148"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Operating profit increased by $0.3 million, or 8.9%, during the three months ended April 30, 2018, as compared to the three months ended April 30, 2017. Operating profit margin decreased by 22 bps to 3.8% in the three months ended April 30, 2018 from 4.0% in the three months ended April 30, 2017. This decrease was primarily attributable to lower margin new business, partially offset by the management of selling, general and administrative expenses.</w:t>
      </w: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20"/>
          </w:cols>
          <w:pgMar w:left="240" w:top="589" w:right="239" w:bottom="1440" w:gutter="0" w:footer="0" w:header="0"/>
        </w:sectPr>
      </w:pPr>
    </w:p>
    <w:bookmarkStart w:id="35" w:name="page36"/>
    <w:bookmarkEnd w:id="35"/>
    <w:tbl>
      <w:tblPr>
        <w:tblLayout w:type="fixed"/>
        <w:tblInd w:w="0" w:type="dxa"/>
        <w:tblCellMar>
          <w:top w:w="0" w:type="dxa"/>
          <w:left w:w="0" w:type="dxa"/>
          <w:bottom w:w="0" w:type="dxa"/>
          <w:right w:w="0" w:type="dxa"/>
        </w:tblCellMar>
      </w:tblPr>
      <w:tr>
        <w:trPr>
          <w:trHeight w:val="239"/>
        </w:trPr>
        <w:tc>
          <w:tcPr>
            <w:tcW w:w="3740" w:type="dxa"/>
            <w:vAlign w:val="bottom"/>
            <w:gridSpan w:val="3"/>
          </w:tcPr>
          <w:p>
            <w:pPr>
              <w:ind w:left="40"/>
              <w:spacing w:after="0"/>
              <w:rPr>
                <w:sz w:val="20"/>
                <w:szCs w:val="20"/>
                <w:color w:val="auto"/>
              </w:rPr>
            </w:pPr>
            <w:r>
              <w:rPr>
                <w:rFonts w:ascii="Arial" w:cs="Arial" w:eastAsia="Arial" w:hAnsi="Arial"/>
                <w:sz w:val="18"/>
                <w:szCs w:val="18"/>
                <w:b w:val="1"/>
                <w:bCs w:val="1"/>
                <w:i w:val="1"/>
                <w:iCs w:val="1"/>
                <w:color w:val="0046AD"/>
              </w:rPr>
              <w:t>Corporate</w:t>
            </w:r>
          </w:p>
        </w:tc>
        <w:tc>
          <w:tcPr>
            <w:tcW w:w="12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1300" w:type="dxa"/>
            <w:vAlign w:val="bottom"/>
          </w:tcPr>
          <w:p>
            <w:pPr>
              <w:spacing w:after="0"/>
              <w:rPr>
                <w:sz w:val="20"/>
                <w:szCs w:val="20"/>
                <w:color w:val="auto"/>
              </w:rPr>
            </w:pPr>
          </w:p>
        </w:tc>
      </w:tr>
      <w:tr>
        <w:trPr>
          <w:trHeight w:val="277"/>
        </w:trPr>
        <w:tc>
          <w:tcPr>
            <w:tcW w:w="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880" w:type="dxa"/>
            <w:vAlign w:val="bottom"/>
          </w:tcPr>
          <w:p>
            <w:pPr>
              <w:spacing w:after="0"/>
              <w:rPr>
                <w:sz w:val="24"/>
                <w:szCs w:val="24"/>
                <w:color w:val="auto"/>
              </w:rPr>
            </w:pPr>
          </w:p>
        </w:tc>
        <w:tc>
          <w:tcPr>
            <w:tcW w:w="326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b w:val="1"/>
                <w:bCs w:val="1"/>
                <w:color w:val="auto"/>
              </w:rPr>
              <w:t>Three Months Ended April 30,</w:t>
            </w:r>
          </w:p>
        </w:tc>
        <w:tc>
          <w:tcPr>
            <w:tcW w:w="5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230"/>
        </w:trPr>
        <w:tc>
          <w:tcPr>
            <w:tcW w:w="3740" w:type="dxa"/>
            <w:vAlign w:val="bottom"/>
            <w:gridSpan w:val="3"/>
          </w:tcPr>
          <w:p>
            <w:pPr>
              <w:ind w:left="40"/>
              <w:spacing w:after="0"/>
              <w:rPr>
                <w:sz w:val="20"/>
                <w:szCs w:val="20"/>
                <w:color w:val="auto"/>
              </w:rPr>
            </w:pPr>
            <w:r>
              <w:rPr>
                <w:rFonts w:ascii="Arial" w:cs="Arial" w:eastAsia="Arial" w:hAnsi="Arial"/>
                <w:sz w:val="14"/>
                <w:szCs w:val="14"/>
                <w:i w:val="1"/>
                <w:iCs w:val="1"/>
                <w:u w:val="single" w:color="auto"/>
                <w:color w:val="auto"/>
              </w:rPr>
              <w:t>(</w:t>
            </w:r>
            <w:r>
              <w:rPr>
                <w:rFonts w:ascii="Arial" w:cs="Arial" w:eastAsia="Arial" w:hAnsi="Arial"/>
                <w:sz w:val="14"/>
                <w:szCs w:val="14"/>
                <w:i w:val="1"/>
                <w:iCs w:val="1"/>
                <w:color w:val="auto"/>
              </w:rPr>
              <w:t>$ in millions)</w:t>
            </w:r>
          </w:p>
        </w:tc>
        <w:tc>
          <w:tcPr>
            <w:tcW w:w="1260" w:type="dxa"/>
            <w:vAlign w:val="bottom"/>
          </w:tcPr>
          <w:p>
            <w:pPr>
              <w:jc w:val="right"/>
              <w:ind w:right="50"/>
              <w:spacing w:after="0"/>
              <w:rPr>
                <w:sz w:val="20"/>
                <w:szCs w:val="20"/>
                <w:color w:val="auto"/>
              </w:rPr>
            </w:pPr>
            <w:r>
              <w:rPr>
                <w:rFonts w:ascii="Arial" w:cs="Arial" w:eastAsia="Arial" w:hAnsi="Arial"/>
                <w:sz w:val="18"/>
                <w:szCs w:val="18"/>
                <w:b w:val="1"/>
                <w:bCs w:val="1"/>
                <w:color w:val="auto"/>
              </w:rPr>
              <w:t>2018</w:t>
            </w:r>
          </w:p>
        </w:tc>
        <w:tc>
          <w:tcPr>
            <w:tcW w:w="5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00" w:type="dxa"/>
            <w:vAlign w:val="bottom"/>
          </w:tcPr>
          <w:p>
            <w:pPr>
              <w:jc w:val="right"/>
              <w:ind w:right="90"/>
              <w:spacing w:after="0"/>
              <w:rPr>
                <w:sz w:val="20"/>
                <w:szCs w:val="20"/>
                <w:color w:val="auto"/>
              </w:rPr>
            </w:pPr>
            <w:r>
              <w:rPr>
                <w:rFonts w:ascii="Arial" w:cs="Arial" w:eastAsia="Arial" w:hAnsi="Arial"/>
                <w:sz w:val="18"/>
                <w:szCs w:val="18"/>
                <w:b w:val="1"/>
                <w:bCs w:val="1"/>
                <w:color w:val="auto"/>
              </w:rPr>
              <w:t>2017</w:t>
            </w:r>
          </w:p>
        </w:tc>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660" w:type="dxa"/>
            <w:vAlign w:val="bottom"/>
          </w:tcPr>
          <w:p>
            <w:pPr>
              <w:jc w:val="right"/>
              <w:ind w:right="110"/>
              <w:spacing w:after="0"/>
              <w:rPr>
                <w:sz w:val="20"/>
                <w:szCs w:val="20"/>
                <w:color w:val="auto"/>
              </w:rPr>
            </w:pPr>
            <w:r>
              <w:rPr>
                <w:rFonts w:ascii="Arial" w:cs="Arial" w:eastAsia="Arial" w:hAnsi="Arial"/>
                <w:sz w:val="18"/>
                <w:szCs w:val="18"/>
                <w:b w:val="1"/>
                <w:bCs w:val="1"/>
                <w:color w:val="auto"/>
              </w:rPr>
              <w:t>Increase</w:t>
            </w:r>
          </w:p>
        </w:tc>
        <w:tc>
          <w:tcPr>
            <w:tcW w:w="1300" w:type="dxa"/>
            <w:vAlign w:val="bottom"/>
          </w:tcPr>
          <w:p>
            <w:pPr>
              <w:spacing w:after="0"/>
              <w:rPr>
                <w:sz w:val="19"/>
                <w:szCs w:val="19"/>
                <w:color w:val="auto"/>
              </w:rPr>
            </w:pPr>
          </w:p>
        </w:tc>
      </w:tr>
      <w:tr>
        <w:trPr>
          <w:trHeight w:val="21"/>
        </w:trPr>
        <w:tc>
          <w:tcPr>
            <w:tcW w:w="40" w:type="dxa"/>
            <w:vAlign w:val="bottom"/>
            <w:tcBorders>
              <w:bottom w:val="single" w:sz="8" w:color="DCE2EF"/>
            </w:tcBorders>
          </w:tcPr>
          <w:p>
            <w:pPr>
              <w:spacing w:after="0" w:line="20" w:lineRule="exact"/>
              <w:rPr>
                <w:sz w:val="1"/>
                <w:szCs w:val="1"/>
                <w:color w:val="auto"/>
              </w:rPr>
            </w:pPr>
          </w:p>
        </w:tc>
        <w:tc>
          <w:tcPr>
            <w:tcW w:w="820" w:type="dxa"/>
            <w:vAlign w:val="bottom"/>
            <w:tcBorders>
              <w:top w:val="single" w:sz="8" w:color="auto"/>
              <w:bottom w:val="single" w:sz="8" w:color="DCE2EF"/>
            </w:tcBorders>
          </w:tcPr>
          <w:p>
            <w:pPr>
              <w:spacing w:after="0" w:line="20" w:lineRule="exact"/>
              <w:rPr>
                <w:sz w:val="1"/>
                <w:szCs w:val="1"/>
                <w:color w:val="auto"/>
              </w:rPr>
            </w:pPr>
          </w:p>
        </w:tc>
        <w:tc>
          <w:tcPr>
            <w:tcW w:w="2880" w:type="dxa"/>
            <w:vAlign w:val="bottom"/>
            <w:tcBorders>
              <w:bottom w:val="single" w:sz="8" w:color="DCE2EF"/>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DCE2EF"/>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DCE2EF"/>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r>
        <w:trPr>
          <w:trHeight w:val="264"/>
        </w:trPr>
        <w:tc>
          <w:tcPr>
            <w:tcW w:w="3740" w:type="dxa"/>
            <w:vAlign w:val="bottom"/>
            <w:gridSpan w:val="3"/>
            <w:shd w:val="clear" w:color="auto" w:fill="DCE2EF"/>
          </w:tcPr>
          <w:p>
            <w:pPr>
              <w:ind w:left="40"/>
              <w:spacing w:after="0"/>
              <w:rPr>
                <w:sz w:val="20"/>
                <w:szCs w:val="20"/>
                <w:color w:val="auto"/>
              </w:rPr>
            </w:pPr>
            <w:r>
              <w:rPr>
                <w:rFonts w:ascii="Arial" w:cs="Arial" w:eastAsia="Arial" w:hAnsi="Arial"/>
                <w:sz w:val="18"/>
                <w:szCs w:val="18"/>
                <w:color w:val="auto"/>
              </w:rPr>
              <w:t>Corporate expenses</w:t>
            </w:r>
          </w:p>
        </w:tc>
        <w:tc>
          <w:tcPr>
            <w:tcW w:w="1260" w:type="dxa"/>
            <w:vAlign w:val="bottom"/>
            <w:shd w:val="clear" w:color="auto" w:fill="DCE2EF"/>
          </w:tcPr>
          <w:p>
            <w:pPr>
              <w:jc w:val="right"/>
              <w:ind w:right="1030"/>
              <w:spacing w:after="0"/>
              <w:rPr>
                <w:sz w:val="20"/>
                <w:szCs w:val="20"/>
                <w:color w:val="auto"/>
              </w:rPr>
            </w:pPr>
            <w:r>
              <w:rPr>
                <w:rFonts w:ascii="Arial" w:cs="Arial" w:eastAsia="Arial" w:hAnsi="Arial"/>
                <w:sz w:val="18"/>
                <w:szCs w:val="18"/>
                <w:color w:val="auto"/>
              </w:rPr>
              <w:t>$</w:t>
            </w:r>
          </w:p>
        </w:tc>
        <w:tc>
          <w:tcPr>
            <w:tcW w:w="580" w:type="dxa"/>
            <w:vAlign w:val="bottom"/>
            <w:shd w:val="clear" w:color="auto" w:fill="DCE2EF"/>
          </w:tcPr>
          <w:p>
            <w:pPr>
              <w:jc w:val="right"/>
              <w:ind w:right="10"/>
              <w:spacing w:after="0"/>
              <w:rPr>
                <w:sz w:val="20"/>
                <w:szCs w:val="20"/>
                <w:color w:val="auto"/>
              </w:rPr>
            </w:pPr>
            <w:r>
              <w:rPr>
                <w:rFonts w:ascii="Arial" w:cs="Arial" w:eastAsia="Arial" w:hAnsi="Arial"/>
                <w:sz w:val="18"/>
                <w:szCs w:val="18"/>
                <w:color w:val="auto"/>
              </w:rPr>
              <w:t>37.1</w:t>
            </w:r>
          </w:p>
        </w:tc>
        <w:tc>
          <w:tcPr>
            <w:tcW w:w="120" w:type="dxa"/>
            <w:vAlign w:val="bottom"/>
            <w:shd w:val="clear" w:color="auto" w:fill="DCE2EF"/>
          </w:tcPr>
          <w:p>
            <w:pPr>
              <w:spacing w:after="0"/>
              <w:rPr>
                <w:sz w:val="22"/>
                <w:szCs w:val="22"/>
                <w:color w:val="auto"/>
              </w:rPr>
            </w:pPr>
          </w:p>
        </w:tc>
        <w:tc>
          <w:tcPr>
            <w:tcW w:w="1300" w:type="dxa"/>
            <w:vAlign w:val="bottom"/>
            <w:shd w:val="clear" w:color="auto" w:fill="DCE2EF"/>
          </w:tcPr>
          <w:p>
            <w:pPr>
              <w:jc w:val="right"/>
              <w:ind w:right="1090"/>
              <w:spacing w:after="0"/>
              <w:rPr>
                <w:sz w:val="20"/>
                <w:szCs w:val="20"/>
                <w:color w:val="auto"/>
              </w:rPr>
            </w:pPr>
            <w:r>
              <w:rPr>
                <w:rFonts w:ascii="Arial" w:cs="Arial" w:eastAsia="Arial" w:hAnsi="Arial"/>
                <w:sz w:val="18"/>
                <w:szCs w:val="18"/>
                <w:color w:val="auto"/>
                <w:w w:val="99"/>
              </w:rPr>
              <w:t>$</w:t>
            </w:r>
          </w:p>
        </w:tc>
        <w:tc>
          <w:tcPr>
            <w:tcW w:w="540" w:type="dxa"/>
            <w:vAlign w:val="bottom"/>
            <w:shd w:val="clear" w:color="auto" w:fill="DCE2EF"/>
          </w:tcPr>
          <w:p>
            <w:pPr>
              <w:jc w:val="right"/>
              <w:ind w:right="30"/>
              <w:spacing w:after="0"/>
              <w:rPr>
                <w:sz w:val="20"/>
                <w:szCs w:val="20"/>
                <w:color w:val="auto"/>
              </w:rPr>
            </w:pPr>
            <w:r>
              <w:rPr>
                <w:rFonts w:ascii="Arial" w:cs="Arial" w:eastAsia="Arial" w:hAnsi="Arial"/>
                <w:sz w:val="18"/>
                <w:szCs w:val="18"/>
                <w:color w:val="auto"/>
              </w:rPr>
              <w:t>36.4</w:t>
            </w:r>
          </w:p>
        </w:tc>
        <w:tc>
          <w:tcPr>
            <w:tcW w:w="100" w:type="dxa"/>
            <w:vAlign w:val="bottom"/>
            <w:shd w:val="clear" w:color="auto" w:fill="DCE2EF"/>
          </w:tcPr>
          <w:p>
            <w:pPr>
              <w:spacing w:after="0"/>
              <w:rPr>
                <w:sz w:val="22"/>
                <w:szCs w:val="22"/>
                <w:color w:val="auto"/>
              </w:rPr>
            </w:pPr>
          </w:p>
        </w:tc>
        <w:tc>
          <w:tcPr>
            <w:tcW w:w="800" w:type="dxa"/>
            <w:vAlign w:val="bottom"/>
            <w:shd w:val="clear" w:color="auto" w:fill="DCE2EF"/>
          </w:tcPr>
          <w:p>
            <w:pPr>
              <w:jc w:val="right"/>
              <w:ind w:right="590"/>
              <w:spacing w:after="0"/>
              <w:rPr>
                <w:sz w:val="20"/>
                <w:szCs w:val="20"/>
                <w:color w:val="auto"/>
              </w:rPr>
            </w:pPr>
            <w:r>
              <w:rPr>
                <w:rFonts w:ascii="Arial" w:cs="Arial" w:eastAsia="Arial" w:hAnsi="Arial"/>
                <w:sz w:val="18"/>
                <w:szCs w:val="18"/>
                <w:color w:val="auto"/>
                <w:w w:val="99"/>
              </w:rPr>
              <w:t>$</w:t>
            </w:r>
          </w:p>
        </w:tc>
        <w:tc>
          <w:tcPr>
            <w:tcW w:w="1660" w:type="dxa"/>
            <w:vAlign w:val="bottom"/>
            <w:shd w:val="clear" w:color="auto" w:fill="DCE2EF"/>
          </w:tcPr>
          <w:p>
            <w:pPr>
              <w:jc w:val="right"/>
              <w:ind w:right="650"/>
              <w:spacing w:after="0"/>
              <w:rPr>
                <w:sz w:val="20"/>
                <w:szCs w:val="20"/>
                <w:color w:val="auto"/>
              </w:rPr>
            </w:pPr>
            <w:r>
              <w:rPr>
                <w:rFonts w:ascii="Arial" w:cs="Arial" w:eastAsia="Arial" w:hAnsi="Arial"/>
                <w:sz w:val="18"/>
                <w:szCs w:val="18"/>
                <w:color w:val="auto"/>
              </w:rPr>
              <w:t>0.7</w:t>
            </w:r>
          </w:p>
        </w:tc>
        <w:tc>
          <w:tcPr>
            <w:tcW w:w="1300" w:type="dxa"/>
            <w:vAlign w:val="bottom"/>
            <w:shd w:val="clear" w:color="auto" w:fill="DCE2EF"/>
          </w:tcPr>
          <w:p>
            <w:pPr>
              <w:jc w:val="right"/>
              <w:ind w:right="610"/>
              <w:spacing w:after="0"/>
              <w:rPr>
                <w:sz w:val="20"/>
                <w:szCs w:val="20"/>
                <w:color w:val="auto"/>
              </w:rPr>
            </w:pPr>
            <w:r>
              <w:rPr>
                <w:rFonts w:ascii="Arial" w:cs="Arial" w:eastAsia="Arial" w:hAnsi="Arial"/>
                <w:sz w:val="18"/>
                <w:szCs w:val="18"/>
                <w:color w:val="auto"/>
              </w:rPr>
              <w:t>1.8%</w:t>
            </w:r>
          </w:p>
        </w:tc>
      </w:tr>
    </w:tbl>
    <w:p>
      <w:pPr>
        <w:spacing w:after="0" w:line="161" w:lineRule="exact"/>
        <w:rPr>
          <w:sz w:val="20"/>
          <w:szCs w:val="20"/>
          <w:color w:val="auto"/>
        </w:rPr>
      </w:pPr>
    </w:p>
    <w:p>
      <w:pPr>
        <w:jc w:val="both"/>
        <w:ind w:right="20" w:firstLine="648"/>
        <w:spacing w:after="0" w:line="262" w:lineRule="auto"/>
        <w:rPr>
          <w:sz w:val="20"/>
          <w:szCs w:val="20"/>
          <w:color w:val="auto"/>
        </w:rPr>
      </w:pPr>
      <w:r>
        <w:rPr>
          <w:rFonts w:ascii="Arial" w:cs="Arial" w:eastAsia="Arial" w:hAnsi="Arial"/>
          <w:sz w:val="18"/>
          <w:szCs w:val="18"/>
          <w:color w:val="auto"/>
        </w:rPr>
        <w:t>Corporate expenses increased by $0.7 million, or 1.8%, during the three months ended April 30, 2018, as compared to the three months ended April 30, 2017. While corporate expenses were relatively flat, there were increases in corporate expenses primarily related to:</w:t>
      </w:r>
    </w:p>
    <w:p>
      <w:pPr>
        <w:spacing w:after="0" w:line="142" w:lineRule="exact"/>
        <w:rPr>
          <w:sz w:val="20"/>
          <w:szCs w:val="20"/>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 $3.1 million increase in legal settlement costs;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 $2.5 million increase in technology investments; and</w:t>
      </w:r>
    </w:p>
    <w:p>
      <w:pPr>
        <w:spacing w:after="0" w:line="171" w:lineRule="exact"/>
        <w:rPr>
          <w:rFonts w:ascii="Arial" w:cs="Arial" w:eastAsia="Arial" w:hAnsi="Arial"/>
          <w:sz w:val="18"/>
          <w:szCs w:val="18"/>
          <w:color w:val="auto"/>
        </w:rPr>
      </w:pPr>
    </w:p>
    <w:p>
      <w:pPr>
        <w:ind w:right="3060" w:firstLine="332"/>
        <w:spacing w:after="0" w:line="438" w:lineRule="auto"/>
        <w:tabs>
          <w:tab w:leader="none" w:pos="648" w:val="left"/>
        </w:tabs>
        <w:numPr>
          <w:ilvl w:val="0"/>
          <w:numId w:val="16"/>
        </w:numPr>
        <w:rPr>
          <w:rFonts w:ascii="Arial" w:cs="Arial" w:eastAsia="Arial" w:hAnsi="Arial"/>
          <w:sz w:val="18"/>
          <w:szCs w:val="18"/>
          <w:color w:val="auto"/>
        </w:rPr>
      </w:pPr>
      <w:r>
        <w:rPr>
          <w:rFonts w:ascii="Arial" w:cs="Arial" w:eastAsia="Arial" w:hAnsi="Arial"/>
          <w:sz w:val="18"/>
          <w:szCs w:val="18"/>
          <w:color w:val="auto"/>
        </w:rPr>
        <w:t>a $0.8 million increase in expenses related to certain incentive plans due to the timing of awards. However, these increases were partially offset by:</w:t>
      </w:r>
    </w:p>
    <w:p>
      <w:pPr>
        <w:ind w:left="660" w:hanging="328"/>
        <w:spacing w:after="0" w:line="262" w:lineRule="auto"/>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 $3.0 million lower adjustment to self-insurance reserves related to prior year claims as a result of an actuarial review completed in the three months ended January 31, 2018; and</w:t>
      </w:r>
    </w:p>
    <w:p>
      <w:pPr>
        <w:spacing w:after="0" w:line="142" w:lineRule="exact"/>
        <w:rPr>
          <w:rFonts w:ascii="Arial" w:cs="Arial" w:eastAsia="Arial" w:hAnsi="Arial"/>
          <w:sz w:val="18"/>
          <w:szCs w:val="18"/>
          <w:color w:val="auto"/>
        </w:rPr>
      </w:pPr>
    </w:p>
    <w:p>
      <w:pPr>
        <w:ind w:left="660" w:hanging="328"/>
        <w:spacing w:after="0" w:line="262" w:lineRule="auto"/>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 $2.8 million decrease in medical and dental insurance expense as a result of actuarial evaluations performed in the three months ended April 30, 2018.</w:t>
      </w:r>
    </w:p>
    <w:p>
      <w:pPr>
        <w:spacing w:after="0" w:line="2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20"/>
          </w:cols>
          <w:pgMar w:left="240" w:top="697" w:right="239" w:bottom="1440" w:gutter="0" w:footer="0" w:header="0"/>
        </w:sectPr>
      </w:pPr>
    </w:p>
    <w:bookmarkStart w:id="36" w:name="page37"/>
    <w:bookmarkEnd w:id="36"/>
    <w:p>
      <w:pPr>
        <w:ind w:left="40"/>
        <w:spacing w:after="0"/>
        <w:rPr>
          <w:sz w:val="20"/>
          <w:szCs w:val="20"/>
          <w:color w:val="auto"/>
        </w:rPr>
      </w:pPr>
      <w:r>
        <w:rPr>
          <w:rFonts w:ascii="Arial" w:cs="Arial" w:eastAsia="Arial" w:hAnsi="Arial"/>
          <w:sz w:val="18"/>
          <w:szCs w:val="18"/>
          <w:b w:val="1"/>
          <w:bCs w:val="1"/>
          <w:color w:val="0046AD"/>
        </w:rPr>
        <w:t>Results of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28575</wp:posOffset>
            </wp:positionV>
            <wp:extent cx="724662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0046AD"/>
        </w:rPr>
        <w:t>Six Months Ended April 30, 2018 Compared with the Six Months Ended April 30, 2017</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0046AD"/>
        </w:rPr>
        <w:t>Consolidated</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47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020" w:type="dxa"/>
            <w:vAlign w:val="bottom"/>
            <w:gridSpan w:val="5"/>
          </w:tcPr>
          <w:p>
            <w:pPr>
              <w:jc w:val="right"/>
              <w:ind w:right="680"/>
              <w:spacing w:after="0"/>
              <w:rPr>
                <w:sz w:val="20"/>
                <w:szCs w:val="20"/>
                <w:color w:val="auto"/>
              </w:rPr>
            </w:pPr>
            <w:r>
              <w:rPr>
                <w:rFonts w:ascii="Arial" w:cs="Arial" w:eastAsia="Arial" w:hAnsi="Arial"/>
                <w:sz w:val="16"/>
                <w:szCs w:val="16"/>
                <w:b w:val="1"/>
                <w:bCs w:val="1"/>
                <w:color w:val="auto"/>
              </w:rPr>
              <w:t>Six Months Ended April 30,</w:t>
            </w:r>
          </w:p>
        </w:tc>
        <w:tc>
          <w:tcPr>
            <w:tcW w:w="2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40" w:type="dxa"/>
            <w:vAlign w:val="bottom"/>
          </w:tcPr>
          <w:p>
            <w:pPr>
              <w:spacing w:after="0"/>
              <w:rPr>
                <w:sz w:val="19"/>
                <w:szCs w:val="19"/>
                <w:color w:val="auto"/>
              </w:rPr>
            </w:pPr>
          </w:p>
        </w:tc>
      </w:tr>
      <w:tr>
        <w:trPr>
          <w:trHeight w:val="230"/>
        </w:trPr>
        <w:tc>
          <w:tcPr>
            <w:tcW w:w="5640" w:type="dxa"/>
            <w:vAlign w:val="bottom"/>
            <w:gridSpan w:val="3"/>
          </w:tcPr>
          <w:p>
            <w:pPr>
              <w:ind w:left="40"/>
              <w:spacing w:after="0"/>
              <w:rPr>
                <w:sz w:val="20"/>
                <w:szCs w:val="20"/>
                <w:color w:val="auto"/>
              </w:rPr>
            </w:pPr>
            <w:r>
              <w:rPr>
                <w:rFonts w:ascii="Arial" w:cs="Arial" w:eastAsia="Arial" w:hAnsi="Arial"/>
                <w:sz w:val="14"/>
                <w:szCs w:val="14"/>
                <w:i w:val="1"/>
                <w:iCs w:val="1"/>
                <w:u w:val="single" w:color="auto"/>
                <w:color w:val="auto"/>
              </w:rPr>
              <w:t>(</w:t>
            </w:r>
            <w:r>
              <w:rPr>
                <w:rFonts w:ascii="Arial" w:cs="Arial" w:eastAsia="Arial" w:hAnsi="Arial"/>
                <w:sz w:val="14"/>
                <w:szCs w:val="14"/>
                <w:i w:val="1"/>
                <w:iCs w:val="1"/>
                <w:color w:val="auto"/>
              </w:rPr>
              <w:t>$ in millions)</w:t>
            </w:r>
          </w:p>
        </w:tc>
        <w:tc>
          <w:tcPr>
            <w:tcW w:w="360" w:type="dxa"/>
            <w:vAlign w:val="bottom"/>
            <w:tcBorders>
              <w:top w:val="single" w:sz="8" w:color="auto"/>
            </w:tcBorders>
          </w:tcPr>
          <w:p>
            <w:pPr>
              <w:spacing w:after="0"/>
              <w:rPr>
                <w:sz w:val="19"/>
                <w:szCs w:val="19"/>
                <w:color w:val="auto"/>
              </w:rPr>
            </w:pPr>
          </w:p>
        </w:tc>
        <w:tc>
          <w:tcPr>
            <w:tcW w:w="1280" w:type="dxa"/>
            <w:vAlign w:val="bottom"/>
            <w:tcBorders>
              <w:top w:val="single" w:sz="8" w:color="auto"/>
            </w:tcBorders>
          </w:tcPr>
          <w:p>
            <w:pPr>
              <w:jc w:val="right"/>
              <w:ind w:right="559"/>
              <w:spacing w:after="0"/>
              <w:rPr>
                <w:sz w:val="20"/>
                <w:szCs w:val="20"/>
                <w:color w:val="auto"/>
              </w:rPr>
            </w:pPr>
            <w:r>
              <w:rPr>
                <w:rFonts w:ascii="Arial" w:cs="Arial" w:eastAsia="Arial" w:hAnsi="Arial"/>
                <w:sz w:val="16"/>
                <w:szCs w:val="16"/>
                <w:b w:val="1"/>
                <w:bCs w:val="1"/>
                <w:color w:val="auto"/>
              </w:rPr>
              <w:t>2018</w:t>
            </w:r>
          </w:p>
        </w:tc>
        <w:tc>
          <w:tcPr>
            <w:tcW w:w="120" w:type="dxa"/>
            <w:vAlign w:val="bottom"/>
            <w:tcBorders>
              <w:top w:val="single" w:sz="8" w:color="auto"/>
            </w:tcBorders>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1180" w:type="dxa"/>
            <w:vAlign w:val="bottom"/>
            <w:tcBorders>
              <w:top w:val="single" w:sz="8" w:color="auto"/>
            </w:tcBorders>
          </w:tcPr>
          <w:p>
            <w:pPr>
              <w:jc w:val="right"/>
              <w:ind w:right="499"/>
              <w:spacing w:after="0"/>
              <w:rPr>
                <w:sz w:val="20"/>
                <w:szCs w:val="20"/>
                <w:color w:val="auto"/>
              </w:rPr>
            </w:pPr>
            <w:r>
              <w:rPr>
                <w:rFonts w:ascii="Arial" w:cs="Arial" w:eastAsia="Arial" w:hAnsi="Arial"/>
                <w:sz w:val="16"/>
                <w:szCs w:val="16"/>
                <w:b w:val="1"/>
                <w:bCs w:val="1"/>
                <w:color w:val="auto"/>
              </w:rPr>
              <w:t>2017</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120" w:type="dxa"/>
            <w:vAlign w:val="bottom"/>
            <w:gridSpan w:val="2"/>
          </w:tcPr>
          <w:p>
            <w:pPr>
              <w:ind w:left="140"/>
              <w:spacing w:after="0"/>
              <w:rPr>
                <w:sz w:val="20"/>
                <w:szCs w:val="20"/>
                <w:color w:val="auto"/>
              </w:rPr>
            </w:pPr>
            <w:r>
              <w:rPr>
                <w:rFonts w:ascii="Arial" w:cs="Arial" w:eastAsia="Arial" w:hAnsi="Arial"/>
                <w:sz w:val="16"/>
                <w:szCs w:val="16"/>
                <w:b w:val="1"/>
                <w:bCs w:val="1"/>
                <w:color w:val="auto"/>
              </w:rPr>
              <w:t>Increase / (Decrease)</w:t>
            </w:r>
          </w:p>
        </w:tc>
      </w:tr>
      <w:tr>
        <w:trPr>
          <w:trHeight w:val="21"/>
        </w:trPr>
        <w:tc>
          <w:tcPr>
            <w:tcW w:w="40" w:type="dxa"/>
            <w:vAlign w:val="bottom"/>
            <w:tcBorders>
              <w:bottom w:val="single" w:sz="8" w:color="DCE2EF"/>
            </w:tcBorders>
          </w:tcPr>
          <w:p>
            <w:pPr>
              <w:spacing w:after="0" w:line="20" w:lineRule="exact"/>
              <w:rPr>
                <w:sz w:val="1"/>
                <w:szCs w:val="1"/>
                <w:color w:val="auto"/>
              </w:rPr>
            </w:pPr>
          </w:p>
        </w:tc>
        <w:tc>
          <w:tcPr>
            <w:tcW w:w="820" w:type="dxa"/>
            <w:vAlign w:val="bottom"/>
            <w:tcBorders>
              <w:top w:val="single" w:sz="8" w:color="auto"/>
              <w:bottom w:val="single" w:sz="8" w:color="DCE2EF"/>
            </w:tcBorders>
          </w:tcPr>
          <w:p>
            <w:pPr>
              <w:spacing w:after="0" w:line="20" w:lineRule="exact"/>
              <w:rPr>
                <w:sz w:val="1"/>
                <w:szCs w:val="1"/>
                <w:color w:val="auto"/>
              </w:rPr>
            </w:pPr>
          </w:p>
        </w:tc>
        <w:tc>
          <w:tcPr>
            <w:tcW w:w="4780" w:type="dxa"/>
            <w:vAlign w:val="bottom"/>
            <w:tcBorders>
              <w:bottom w:val="single" w:sz="8" w:color="DCE2E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DCE2E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DCE2E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r>
        <w:trPr>
          <w:trHeight w:val="264"/>
        </w:trPr>
        <w:tc>
          <w:tcPr>
            <w:tcW w:w="5640" w:type="dxa"/>
            <w:vAlign w:val="bottom"/>
            <w:gridSpan w:val="3"/>
            <w:shd w:val="clear" w:color="auto" w:fill="DCE2EF"/>
          </w:tcPr>
          <w:p>
            <w:pPr>
              <w:ind w:left="40"/>
              <w:spacing w:after="0"/>
              <w:rPr>
                <w:sz w:val="20"/>
                <w:szCs w:val="20"/>
                <w:color w:val="auto"/>
              </w:rPr>
            </w:pPr>
            <w:r>
              <w:rPr>
                <w:rFonts w:ascii="Arial" w:cs="Arial" w:eastAsia="Arial" w:hAnsi="Arial"/>
                <w:sz w:val="16"/>
                <w:szCs w:val="16"/>
                <w:b w:val="1"/>
                <w:bCs w:val="1"/>
                <w:color w:val="auto"/>
              </w:rPr>
              <w:t>Revenues</w:t>
            </w:r>
          </w:p>
        </w:tc>
        <w:tc>
          <w:tcPr>
            <w:tcW w:w="360" w:type="dxa"/>
            <w:vAlign w:val="bottom"/>
            <w:shd w:val="clear" w:color="auto" w:fill="DCE2EF"/>
          </w:tcPr>
          <w:p>
            <w:pPr>
              <w:jc w:val="right"/>
              <w:ind w:right="159"/>
              <w:spacing w:after="0"/>
              <w:rPr>
                <w:sz w:val="20"/>
                <w:szCs w:val="20"/>
                <w:color w:val="auto"/>
              </w:rPr>
            </w:pPr>
            <w:r>
              <w:rPr>
                <w:rFonts w:ascii="Arial" w:cs="Arial" w:eastAsia="Arial" w:hAnsi="Arial"/>
                <w:sz w:val="16"/>
                <w:szCs w:val="16"/>
                <w:color w:val="auto"/>
              </w:rPr>
              <w:t>$</w:t>
            </w:r>
          </w:p>
        </w:tc>
        <w:tc>
          <w:tcPr>
            <w:tcW w:w="1280" w:type="dxa"/>
            <w:vAlign w:val="bottom"/>
            <w:shd w:val="clear" w:color="auto" w:fill="DCE2EF"/>
          </w:tcPr>
          <w:p>
            <w:pPr>
              <w:jc w:val="right"/>
              <w:ind w:right="79"/>
              <w:spacing w:after="0"/>
              <w:rPr>
                <w:sz w:val="20"/>
                <w:szCs w:val="20"/>
                <w:color w:val="auto"/>
              </w:rPr>
            </w:pPr>
            <w:r>
              <w:rPr>
                <w:rFonts w:ascii="Arial" w:cs="Arial" w:eastAsia="Arial" w:hAnsi="Arial"/>
                <w:sz w:val="16"/>
                <w:szCs w:val="16"/>
                <w:color w:val="auto"/>
              </w:rPr>
              <w:t>3,169.2</w:t>
            </w:r>
          </w:p>
        </w:tc>
        <w:tc>
          <w:tcPr>
            <w:tcW w:w="120" w:type="dxa"/>
            <w:vAlign w:val="bottom"/>
            <w:shd w:val="clear" w:color="auto" w:fill="DCE2EF"/>
          </w:tcPr>
          <w:p>
            <w:pPr>
              <w:spacing w:after="0"/>
              <w:rPr>
                <w:sz w:val="22"/>
                <w:szCs w:val="22"/>
                <w:color w:val="auto"/>
              </w:rPr>
            </w:pPr>
          </w:p>
        </w:tc>
        <w:tc>
          <w:tcPr>
            <w:tcW w:w="340" w:type="dxa"/>
            <w:vAlign w:val="bottom"/>
            <w:shd w:val="clear" w:color="auto" w:fill="DCE2EF"/>
          </w:tcPr>
          <w:p>
            <w:pPr>
              <w:jc w:val="right"/>
              <w:ind w:right="139"/>
              <w:spacing w:after="0"/>
              <w:rPr>
                <w:sz w:val="20"/>
                <w:szCs w:val="20"/>
                <w:color w:val="auto"/>
              </w:rPr>
            </w:pPr>
            <w:r>
              <w:rPr>
                <w:rFonts w:ascii="Arial" w:cs="Arial" w:eastAsia="Arial" w:hAnsi="Arial"/>
                <w:sz w:val="16"/>
                <w:szCs w:val="16"/>
                <w:color w:val="auto"/>
              </w:rPr>
              <w:t>$</w:t>
            </w:r>
          </w:p>
        </w:tc>
        <w:tc>
          <w:tcPr>
            <w:tcW w:w="1180" w:type="dxa"/>
            <w:vAlign w:val="bottom"/>
            <w:shd w:val="clear" w:color="auto" w:fill="DCE2EF"/>
          </w:tcPr>
          <w:p>
            <w:pPr>
              <w:jc w:val="right"/>
              <w:ind w:right="79"/>
              <w:spacing w:after="0"/>
              <w:rPr>
                <w:sz w:val="20"/>
                <w:szCs w:val="20"/>
                <w:color w:val="auto"/>
              </w:rPr>
            </w:pPr>
            <w:r>
              <w:rPr>
                <w:rFonts w:ascii="Arial" w:cs="Arial" w:eastAsia="Arial" w:hAnsi="Arial"/>
                <w:sz w:val="16"/>
                <w:szCs w:val="16"/>
                <w:color w:val="auto"/>
              </w:rPr>
              <w:t>2,637.2</w:t>
            </w:r>
          </w:p>
        </w:tc>
        <w:tc>
          <w:tcPr>
            <w:tcW w:w="100" w:type="dxa"/>
            <w:vAlign w:val="bottom"/>
            <w:shd w:val="clear" w:color="auto" w:fill="DCE2EF"/>
          </w:tcPr>
          <w:p>
            <w:pPr>
              <w:spacing w:after="0"/>
              <w:rPr>
                <w:sz w:val="22"/>
                <w:szCs w:val="22"/>
                <w:color w:val="auto"/>
              </w:rPr>
            </w:pPr>
          </w:p>
        </w:tc>
        <w:tc>
          <w:tcPr>
            <w:tcW w:w="260" w:type="dxa"/>
            <w:vAlign w:val="bottom"/>
            <w:shd w:val="clear" w:color="auto" w:fill="DCE2EF"/>
          </w:tcPr>
          <w:p>
            <w:pPr>
              <w:jc w:val="right"/>
              <w:ind w:right="59"/>
              <w:spacing w:after="0"/>
              <w:rPr>
                <w:sz w:val="20"/>
                <w:szCs w:val="20"/>
                <w:color w:val="auto"/>
              </w:rPr>
            </w:pPr>
            <w:r>
              <w:rPr>
                <w:rFonts w:ascii="Arial" w:cs="Arial" w:eastAsia="Arial" w:hAnsi="Arial"/>
                <w:sz w:val="16"/>
                <w:szCs w:val="16"/>
                <w:color w:val="auto"/>
              </w:rPr>
              <w:t>$</w:t>
            </w:r>
          </w:p>
        </w:tc>
        <w:tc>
          <w:tcPr>
            <w:tcW w:w="880" w:type="dxa"/>
            <w:vAlign w:val="bottom"/>
            <w:shd w:val="clear" w:color="auto" w:fill="DCE2EF"/>
          </w:tcPr>
          <w:p>
            <w:pPr>
              <w:jc w:val="right"/>
              <w:ind w:right="19"/>
              <w:spacing w:after="0"/>
              <w:rPr>
                <w:sz w:val="20"/>
                <w:szCs w:val="20"/>
                <w:color w:val="auto"/>
              </w:rPr>
            </w:pPr>
            <w:r>
              <w:rPr>
                <w:rFonts w:ascii="Arial" w:cs="Arial" w:eastAsia="Arial" w:hAnsi="Arial"/>
                <w:sz w:val="16"/>
                <w:szCs w:val="16"/>
                <w:color w:val="auto"/>
              </w:rPr>
              <w:t>532.0</w:t>
            </w:r>
          </w:p>
        </w:tc>
        <w:tc>
          <w:tcPr>
            <w:tcW w:w="1240" w:type="dxa"/>
            <w:vAlign w:val="bottom"/>
            <w:shd w:val="clear" w:color="auto" w:fill="DCE2EF"/>
          </w:tcPr>
          <w:p>
            <w:pPr>
              <w:jc w:val="center"/>
              <w:ind w:left="19"/>
              <w:spacing w:after="0"/>
              <w:rPr>
                <w:sz w:val="20"/>
                <w:szCs w:val="20"/>
                <w:color w:val="auto"/>
              </w:rPr>
            </w:pPr>
            <w:r>
              <w:rPr>
                <w:rFonts w:ascii="Arial" w:cs="Arial" w:eastAsia="Arial" w:hAnsi="Arial"/>
                <w:sz w:val="16"/>
                <w:szCs w:val="16"/>
                <w:color w:val="auto"/>
              </w:rPr>
              <w:t>20.2%</w:t>
            </w:r>
          </w:p>
        </w:tc>
      </w:tr>
      <w:tr>
        <w:trPr>
          <w:trHeight w:val="260"/>
        </w:trPr>
        <w:tc>
          <w:tcPr>
            <w:tcW w:w="5640" w:type="dxa"/>
            <w:vAlign w:val="bottom"/>
            <w:gridSpan w:val="3"/>
          </w:tcPr>
          <w:p>
            <w:pPr>
              <w:ind w:left="40"/>
              <w:spacing w:after="0"/>
              <w:rPr>
                <w:sz w:val="20"/>
                <w:szCs w:val="20"/>
                <w:color w:val="auto"/>
              </w:rPr>
            </w:pPr>
            <w:r>
              <w:rPr>
                <w:rFonts w:ascii="Arial" w:cs="Arial" w:eastAsia="Arial" w:hAnsi="Arial"/>
                <w:sz w:val="16"/>
                <w:szCs w:val="16"/>
                <w:color w:val="auto"/>
              </w:rPr>
              <w:t>Operating expenses</w:t>
            </w:r>
          </w:p>
        </w:tc>
        <w:tc>
          <w:tcPr>
            <w:tcW w:w="360" w:type="dxa"/>
            <w:vAlign w:val="bottom"/>
          </w:tcPr>
          <w:p>
            <w:pPr>
              <w:spacing w:after="0"/>
              <w:rPr>
                <w:sz w:val="22"/>
                <w:szCs w:val="22"/>
                <w:color w:val="auto"/>
              </w:rPr>
            </w:pPr>
          </w:p>
        </w:tc>
        <w:tc>
          <w:tcPr>
            <w:tcW w:w="1280" w:type="dxa"/>
            <w:vAlign w:val="bottom"/>
          </w:tcPr>
          <w:p>
            <w:pPr>
              <w:jc w:val="right"/>
              <w:ind w:right="79"/>
              <w:spacing w:after="0"/>
              <w:rPr>
                <w:sz w:val="20"/>
                <w:szCs w:val="20"/>
                <w:color w:val="auto"/>
              </w:rPr>
            </w:pPr>
            <w:r>
              <w:rPr>
                <w:rFonts w:ascii="Arial" w:cs="Arial" w:eastAsia="Arial" w:hAnsi="Arial"/>
                <w:sz w:val="16"/>
                <w:szCs w:val="16"/>
                <w:color w:val="auto"/>
              </w:rPr>
              <w:t>2,835.1</w:t>
            </w: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80" w:type="dxa"/>
            <w:vAlign w:val="bottom"/>
          </w:tcPr>
          <w:p>
            <w:pPr>
              <w:jc w:val="right"/>
              <w:ind w:right="79"/>
              <w:spacing w:after="0"/>
              <w:rPr>
                <w:sz w:val="20"/>
                <w:szCs w:val="20"/>
                <w:color w:val="auto"/>
              </w:rPr>
            </w:pPr>
            <w:r>
              <w:rPr>
                <w:rFonts w:ascii="Arial" w:cs="Arial" w:eastAsia="Arial" w:hAnsi="Arial"/>
                <w:sz w:val="16"/>
                <w:szCs w:val="16"/>
                <w:color w:val="auto"/>
              </w:rPr>
              <w:t>2,359.7</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475.4</w:t>
            </w:r>
          </w:p>
        </w:tc>
        <w:tc>
          <w:tcPr>
            <w:tcW w:w="1240" w:type="dxa"/>
            <w:vAlign w:val="bottom"/>
          </w:tcPr>
          <w:p>
            <w:pPr>
              <w:jc w:val="center"/>
              <w:ind w:left="19"/>
              <w:spacing w:after="0"/>
              <w:rPr>
                <w:sz w:val="20"/>
                <w:szCs w:val="20"/>
                <w:color w:val="auto"/>
              </w:rPr>
            </w:pPr>
            <w:r>
              <w:rPr>
                <w:rFonts w:ascii="Arial" w:cs="Arial" w:eastAsia="Arial" w:hAnsi="Arial"/>
                <w:sz w:val="16"/>
                <w:szCs w:val="16"/>
                <w:color w:val="auto"/>
              </w:rPr>
              <w:t>20.1%</w:t>
            </w:r>
          </w:p>
        </w:tc>
      </w:tr>
      <w:tr>
        <w:trPr>
          <w:trHeight w:val="280"/>
        </w:trPr>
        <w:tc>
          <w:tcPr>
            <w:tcW w:w="40" w:type="dxa"/>
            <w:vAlign w:val="bottom"/>
            <w:shd w:val="clear" w:color="auto" w:fill="DCE2EF"/>
          </w:tcPr>
          <w:p>
            <w:pPr>
              <w:spacing w:after="0"/>
              <w:rPr>
                <w:sz w:val="24"/>
                <w:szCs w:val="24"/>
                <w:color w:val="auto"/>
              </w:rPr>
            </w:pPr>
          </w:p>
        </w:tc>
        <w:tc>
          <w:tcPr>
            <w:tcW w:w="5600" w:type="dxa"/>
            <w:vAlign w:val="bottom"/>
            <w:gridSpan w:val="2"/>
            <w:shd w:val="clear" w:color="auto" w:fill="DCE2EF"/>
          </w:tcPr>
          <w:p>
            <w:pPr>
              <w:ind w:left="140"/>
              <w:spacing w:after="0"/>
              <w:rPr>
                <w:sz w:val="20"/>
                <w:szCs w:val="20"/>
                <w:color w:val="auto"/>
              </w:rPr>
            </w:pPr>
            <w:r>
              <w:rPr>
                <w:rFonts w:ascii="Arial" w:cs="Arial" w:eastAsia="Arial" w:hAnsi="Arial"/>
                <w:sz w:val="14"/>
                <w:szCs w:val="14"/>
                <w:i w:val="1"/>
                <w:iCs w:val="1"/>
                <w:color w:val="auto"/>
              </w:rPr>
              <w:t>Gross margin</w:t>
            </w:r>
          </w:p>
        </w:tc>
        <w:tc>
          <w:tcPr>
            <w:tcW w:w="360" w:type="dxa"/>
            <w:vAlign w:val="bottom"/>
            <w:shd w:val="clear" w:color="auto" w:fill="DCE2EF"/>
          </w:tcPr>
          <w:p>
            <w:pPr>
              <w:spacing w:after="0"/>
              <w:rPr>
                <w:sz w:val="24"/>
                <w:szCs w:val="24"/>
                <w:color w:val="auto"/>
              </w:rPr>
            </w:pPr>
          </w:p>
        </w:tc>
        <w:tc>
          <w:tcPr>
            <w:tcW w:w="1280" w:type="dxa"/>
            <w:vAlign w:val="bottom"/>
            <w:shd w:val="clear" w:color="auto" w:fill="DCE2EF"/>
          </w:tcPr>
          <w:p>
            <w:pPr>
              <w:jc w:val="right"/>
              <w:spacing w:after="0"/>
              <w:rPr>
                <w:sz w:val="20"/>
                <w:szCs w:val="20"/>
                <w:color w:val="auto"/>
              </w:rPr>
            </w:pPr>
            <w:r>
              <w:rPr>
                <w:rFonts w:ascii="Arial" w:cs="Arial" w:eastAsia="Arial" w:hAnsi="Arial"/>
                <w:sz w:val="14"/>
                <w:szCs w:val="14"/>
                <w:i w:val="1"/>
                <w:iCs w:val="1"/>
                <w:color w:val="auto"/>
              </w:rPr>
              <w:t>10.5%</w:t>
            </w:r>
          </w:p>
        </w:tc>
        <w:tc>
          <w:tcPr>
            <w:tcW w:w="120" w:type="dxa"/>
            <w:vAlign w:val="bottom"/>
            <w:shd w:val="clear" w:color="auto" w:fill="DCE2EF"/>
          </w:tcPr>
          <w:p>
            <w:pPr>
              <w:spacing w:after="0"/>
              <w:rPr>
                <w:sz w:val="24"/>
                <w:szCs w:val="24"/>
                <w:color w:val="auto"/>
              </w:rPr>
            </w:pPr>
          </w:p>
        </w:tc>
        <w:tc>
          <w:tcPr>
            <w:tcW w:w="340" w:type="dxa"/>
            <w:vAlign w:val="bottom"/>
            <w:shd w:val="clear" w:color="auto" w:fill="DCE2EF"/>
          </w:tcPr>
          <w:p>
            <w:pPr>
              <w:spacing w:after="0"/>
              <w:rPr>
                <w:sz w:val="24"/>
                <w:szCs w:val="24"/>
                <w:color w:val="auto"/>
              </w:rPr>
            </w:pPr>
          </w:p>
        </w:tc>
        <w:tc>
          <w:tcPr>
            <w:tcW w:w="1180" w:type="dxa"/>
            <w:vAlign w:val="bottom"/>
            <w:shd w:val="clear" w:color="auto" w:fill="DCE2EF"/>
          </w:tcPr>
          <w:p>
            <w:pPr>
              <w:jc w:val="right"/>
              <w:spacing w:after="0"/>
              <w:rPr>
                <w:sz w:val="20"/>
                <w:szCs w:val="20"/>
                <w:color w:val="auto"/>
              </w:rPr>
            </w:pPr>
            <w:r>
              <w:rPr>
                <w:rFonts w:ascii="Arial" w:cs="Arial" w:eastAsia="Arial" w:hAnsi="Arial"/>
                <w:sz w:val="14"/>
                <w:szCs w:val="14"/>
                <w:i w:val="1"/>
                <w:iCs w:val="1"/>
                <w:color w:val="auto"/>
              </w:rPr>
              <w:t>10.5%</w:t>
            </w:r>
          </w:p>
        </w:tc>
        <w:tc>
          <w:tcPr>
            <w:tcW w:w="100" w:type="dxa"/>
            <w:vAlign w:val="bottom"/>
            <w:shd w:val="clear" w:color="auto" w:fill="DCE2EF"/>
          </w:tcPr>
          <w:p>
            <w:pPr>
              <w:spacing w:after="0"/>
              <w:rPr>
                <w:sz w:val="24"/>
                <w:szCs w:val="24"/>
                <w:color w:val="auto"/>
              </w:rPr>
            </w:pPr>
          </w:p>
        </w:tc>
        <w:tc>
          <w:tcPr>
            <w:tcW w:w="260" w:type="dxa"/>
            <w:vAlign w:val="bottom"/>
            <w:shd w:val="clear" w:color="auto" w:fill="DCE2EF"/>
          </w:tcPr>
          <w:p>
            <w:pPr>
              <w:spacing w:after="0"/>
              <w:rPr>
                <w:sz w:val="24"/>
                <w:szCs w:val="24"/>
                <w:color w:val="auto"/>
              </w:rPr>
            </w:pPr>
          </w:p>
        </w:tc>
        <w:tc>
          <w:tcPr>
            <w:tcW w:w="880" w:type="dxa"/>
            <w:vAlign w:val="bottom"/>
            <w:shd w:val="clear" w:color="auto" w:fill="DCE2EF"/>
          </w:tcPr>
          <w:p>
            <w:pPr>
              <w:jc w:val="right"/>
              <w:spacing w:after="0"/>
              <w:rPr>
                <w:sz w:val="20"/>
                <w:szCs w:val="20"/>
                <w:color w:val="auto"/>
              </w:rPr>
            </w:pPr>
            <w:r>
              <w:rPr>
                <w:rFonts w:ascii="Arial" w:cs="Arial" w:eastAsia="Arial" w:hAnsi="Arial"/>
                <w:sz w:val="14"/>
                <w:szCs w:val="14"/>
                <w:i w:val="1"/>
                <w:iCs w:val="1"/>
                <w:color w:val="auto"/>
              </w:rPr>
              <w:t>2 bps</w:t>
            </w:r>
          </w:p>
        </w:tc>
        <w:tc>
          <w:tcPr>
            <w:tcW w:w="1240" w:type="dxa"/>
            <w:vAlign w:val="bottom"/>
            <w:shd w:val="clear" w:color="auto" w:fill="DCE2EF"/>
          </w:tcPr>
          <w:p>
            <w:pPr>
              <w:spacing w:after="0"/>
              <w:rPr>
                <w:sz w:val="24"/>
                <w:szCs w:val="24"/>
                <w:color w:val="auto"/>
              </w:rPr>
            </w:pPr>
          </w:p>
        </w:tc>
      </w:tr>
      <w:tr>
        <w:trPr>
          <w:trHeight w:val="260"/>
        </w:trPr>
        <w:tc>
          <w:tcPr>
            <w:tcW w:w="5640" w:type="dxa"/>
            <w:vAlign w:val="bottom"/>
            <w:gridSpan w:val="3"/>
          </w:tcPr>
          <w:p>
            <w:pPr>
              <w:ind w:left="40"/>
              <w:spacing w:after="0"/>
              <w:rPr>
                <w:sz w:val="20"/>
                <w:szCs w:val="20"/>
                <w:color w:val="auto"/>
              </w:rPr>
            </w:pPr>
            <w:r>
              <w:rPr>
                <w:rFonts w:ascii="Arial" w:cs="Arial" w:eastAsia="Arial" w:hAnsi="Arial"/>
                <w:sz w:val="16"/>
                <w:szCs w:val="16"/>
                <w:color w:val="auto"/>
              </w:rPr>
              <w:t>Selling, general and administrative expenses</w:t>
            </w:r>
          </w:p>
        </w:tc>
        <w:tc>
          <w:tcPr>
            <w:tcW w:w="360" w:type="dxa"/>
            <w:vAlign w:val="bottom"/>
          </w:tcPr>
          <w:p>
            <w:pPr>
              <w:spacing w:after="0"/>
              <w:rPr>
                <w:sz w:val="22"/>
                <w:szCs w:val="22"/>
                <w:color w:val="auto"/>
              </w:rPr>
            </w:pPr>
          </w:p>
        </w:tc>
        <w:tc>
          <w:tcPr>
            <w:tcW w:w="1280" w:type="dxa"/>
            <w:vAlign w:val="bottom"/>
          </w:tcPr>
          <w:p>
            <w:pPr>
              <w:jc w:val="right"/>
              <w:ind w:right="79"/>
              <w:spacing w:after="0"/>
              <w:rPr>
                <w:sz w:val="20"/>
                <w:szCs w:val="20"/>
                <w:color w:val="auto"/>
              </w:rPr>
            </w:pPr>
            <w:r>
              <w:rPr>
                <w:rFonts w:ascii="Arial" w:cs="Arial" w:eastAsia="Arial" w:hAnsi="Arial"/>
                <w:sz w:val="16"/>
                <w:szCs w:val="16"/>
                <w:color w:val="auto"/>
              </w:rPr>
              <w:t>216.8</w:t>
            </w: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80" w:type="dxa"/>
            <w:vAlign w:val="bottom"/>
          </w:tcPr>
          <w:p>
            <w:pPr>
              <w:jc w:val="right"/>
              <w:ind w:right="79"/>
              <w:spacing w:after="0"/>
              <w:rPr>
                <w:sz w:val="20"/>
                <w:szCs w:val="20"/>
                <w:color w:val="auto"/>
              </w:rPr>
            </w:pPr>
            <w:r>
              <w:rPr>
                <w:rFonts w:ascii="Arial" w:cs="Arial" w:eastAsia="Arial" w:hAnsi="Arial"/>
                <w:sz w:val="16"/>
                <w:szCs w:val="16"/>
                <w:color w:val="auto"/>
              </w:rPr>
              <w:t>198.0</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18.8</w:t>
            </w:r>
          </w:p>
        </w:tc>
        <w:tc>
          <w:tcPr>
            <w:tcW w:w="1240" w:type="dxa"/>
            <w:vAlign w:val="bottom"/>
          </w:tcPr>
          <w:p>
            <w:pPr>
              <w:jc w:val="center"/>
              <w:ind w:left="39"/>
              <w:spacing w:after="0"/>
              <w:rPr>
                <w:sz w:val="20"/>
                <w:szCs w:val="20"/>
                <w:color w:val="auto"/>
              </w:rPr>
            </w:pPr>
            <w:r>
              <w:rPr>
                <w:rFonts w:ascii="Arial" w:cs="Arial" w:eastAsia="Arial" w:hAnsi="Arial"/>
                <w:sz w:val="16"/>
                <w:szCs w:val="16"/>
                <w:color w:val="auto"/>
                <w:w w:val="98"/>
              </w:rPr>
              <w:t>9.5%</w:t>
            </w:r>
          </w:p>
        </w:tc>
      </w:tr>
      <w:tr>
        <w:trPr>
          <w:trHeight w:val="280"/>
        </w:trPr>
        <w:tc>
          <w:tcPr>
            <w:tcW w:w="5640" w:type="dxa"/>
            <w:vAlign w:val="bottom"/>
            <w:gridSpan w:val="3"/>
            <w:shd w:val="clear" w:color="auto" w:fill="DCE2EF"/>
          </w:tcPr>
          <w:p>
            <w:pPr>
              <w:ind w:left="40"/>
              <w:spacing w:after="0"/>
              <w:rPr>
                <w:sz w:val="20"/>
                <w:szCs w:val="20"/>
                <w:color w:val="auto"/>
              </w:rPr>
            </w:pPr>
            <w:r>
              <w:rPr>
                <w:rFonts w:ascii="Arial" w:cs="Arial" w:eastAsia="Arial" w:hAnsi="Arial"/>
                <w:sz w:val="16"/>
                <w:szCs w:val="16"/>
                <w:color w:val="auto"/>
              </w:rPr>
              <w:t>Restructuring and related expenses</w:t>
            </w:r>
          </w:p>
        </w:tc>
        <w:tc>
          <w:tcPr>
            <w:tcW w:w="360" w:type="dxa"/>
            <w:vAlign w:val="bottom"/>
            <w:shd w:val="clear" w:color="auto" w:fill="DCE2EF"/>
          </w:tcPr>
          <w:p>
            <w:pPr>
              <w:spacing w:after="0"/>
              <w:rPr>
                <w:sz w:val="24"/>
                <w:szCs w:val="24"/>
                <w:color w:val="auto"/>
              </w:rPr>
            </w:pPr>
          </w:p>
        </w:tc>
        <w:tc>
          <w:tcPr>
            <w:tcW w:w="1280" w:type="dxa"/>
            <w:vAlign w:val="bottom"/>
            <w:shd w:val="clear" w:color="auto" w:fill="DCE2EF"/>
          </w:tcPr>
          <w:p>
            <w:pPr>
              <w:jc w:val="right"/>
              <w:ind w:right="79"/>
              <w:spacing w:after="0"/>
              <w:rPr>
                <w:sz w:val="20"/>
                <w:szCs w:val="20"/>
                <w:color w:val="auto"/>
              </w:rPr>
            </w:pPr>
            <w:r>
              <w:rPr>
                <w:rFonts w:ascii="Arial" w:cs="Arial" w:eastAsia="Arial" w:hAnsi="Arial"/>
                <w:sz w:val="16"/>
                <w:szCs w:val="16"/>
                <w:color w:val="auto"/>
              </w:rPr>
              <w:t>19.6</w:t>
            </w:r>
          </w:p>
        </w:tc>
        <w:tc>
          <w:tcPr>
            <w:tcW w:w="120" w:type="dxa"/>
            <w:vAlign w:val="bottom"/>
            <w:shd w:val="clear" w:color="auto" w:fill="DCE2EF"/>
          </w:tcPr>
          <w:p>
            <w:pPr>
              <w:spacing w:after="0"/>
              <w:rPr>
                <w:sz w:val="24"/>
                <w:szCs w:val="24"/>
                <w:color w:val="auto"/>
              </w:rPr>
            </w:pPr>
          </w:p>
        </w:tc>
        <w:tc>
          <w:tcPr>
            <w:tcW w:w="340" w:type="dxa"/>
            <w:vAlign w:val="bottom"/>
            <w:shd w:val="clear" w:color="auto" w:fill="DCE2EF"/>
          </w:tcPr>
          <w:p>
            <w:pPr>
              <w:spacing w:after="0"/>
              <w:rPr>
                <w:sz w:val="24"/>
                <w:szCs w:val="24"/>
                <w:color w:val="auto"/>
              </w:rPr>
            </w:pPr>
          </w:p>
        </w:tc>
        <w:tc>
          <w:tcPr>
            <w:tcW w:w="1180" w:type="dxa"/>
            <w:vAlign w:val="bottom"/>
            <w:shd w:val="clear" w:color="auto" w:fill="DCE2EF"/>
          </w:tcPr>
          <w:p>
            <w:pPr>
              <w:jc w:val="right"/>
              <w:ind w:right="79"/>
              <w:spacing w:after="0"/>
              <w:rPr>
                <w:sz w:val="20"/>
                <w:szCs w:val="20"/>
                <w:color w:val="auto"/>
              </w:rPr>
            </w:pPr>
            <w:r>
              <w:rPr>
                <w:rFonts w:ascii="Arial" w:cs="Arial" w:eastAsia="Arial" w:hAnsi="Arial"/>
                <w:sz w:val="16"/>
                <w:szCs w:val="16"/>
                <w:color w:val="auto"/>
              </w:rPr>
              <w:t>10.8</w:t>
            </w:r>
          </w:p>
        </w:tc>
        <w:tc>
          <w:tcPr>
            <w:tcW w:w="100" w:type="dxa"/>
            <w:vAlign w:val="bottom"/>
            <w:shd w:val="clear" w:color="auto" w:fill="DCE2EF"/>
          </w:tcPr>
          <w:p>
            <w:pPr>
              <w:spacing w:after="0"/>
              <w:rPr>
                <w:sz w:val="24"/>
                <w:szCs w:val="24"/>
                <w:color w:val="auto"/>
              </w:rPr>
            </w:pPr>
          </w:p>
        </w:tc>
        <w:tc>
          <w:tcPr>
            <w:tcW w:w="260" w:type="dxa"/>
            <w:vAlign w:val="bottom"/>
            <w:shd w:val="clear" w:color="auto" w:fill="DCE2EF"/>
          </w:tcPr>
          <w:p>
            <w:pPr>
              <w:spacing w:after="0"/>
              <w:rPr>
                <w:sz w:val="24"/>
                <w:szCs w:val="24"/>
                <w:color w:val="auto"/>
              </w:rPr>
            </w:pPr>
          </w:p>
        </w:tc>
        <w:tc>
          <w:tcPr>
            <w:tcW w:w="880" w:type="dxa"/>
            <w:vAlign w:val="bottom"/>
            <w:shd w:val="clear" w:color="auto" w:fill="DCE2EF"/>
          </w:tcPr>
          <w:p>
            <w:pPr>
              <w:jc w:val="right"/>
              <w:ind w:right="19"/>
              <w:spacing w:after="0"/>
              <w:rPr>
                <w:sz w:val="20"/>
                <w:szCs w:val="20"/>
                <w:color w:val="auto"/>
              </w:rPr>
            </w:pPr>
            <w:r>
              <w:rPr>
                <w:rFonts w:ascii="Arial" w:cs="Arial" w:eastAsia="Arial" w:hAnsi="Arial"/>
                <w:sz w:val="16"/>
                <w:szCs w:val="16"/>
                <w:color w:val="auto"/>
              </w:rPr>
              <w:t>8.8</w:t>
            </w:r>
          </w:p>
        </w:tc>
        <w:tc>
          <w:tcPr>
            <w:tcW w:w="1240" w:type="dxa"/>
            <w:vAlign w:val="bottom"/>
            <w:shd w:val="clear" w:color="auto" w:fill="DCE2EF"/>
          </w:tcPr>
          <w:p>
            <w:pPr>
              <w:jc w:val="center"/>
              <w:ind w:left="19"/>
              <w:spacing w:after="0"/>
              <w:rPr>
                <w:sz w:val="20"/>
                <w:szCs w:val="20"/>
                <w:color w:val="auto"/>
              </w:rPr>
            </w:pPr>
            <w:r>
              <w:rPr>
                <w:rFonts w:ascii="Arial" w:cs="Arial" w:eastAsia="Arial" w:hAnsi="Arial"/>
                <w:sz w:val="16"/>
                <w:szCs w:val="16"/>
                <w:color w:val="auto"/>
              </w:rPr>
              <w:t>81.4%</w:t>
            </w:r>
          </w:p>
        </w:tc>
      </w:tr>
      <w:tr>
        <w:trPr>
          <w:trHeight w:val="260"/>
        </w:trPr>
        <w:tc>
          <w:tcPr>
            <w:tcW w:w="5640" w:type="dxa"/>
            <w:vAlign w:val="bottom"/>
            <w:gridSpan w:val="3"/>
          </w:tcPr>
          <w:p>
            <w:pPr>
              <w:ind w:left="40"/>
              <w:spacing w:after="0"/>
              <w:rPr>
                <w:sz w:val="20"/>
                <w:szCs w:val="20"/>
                <w:color w:val="auto"/>
              </w:rPr>
            </w:pPr>
            <w:r>
              <w:rPr>
                <w:rFonts w:ascii="Arial" w:cs="Arial" w:eastAsia="Arial" w:hAnsi="Arial"/>
                <w:sz w:val="16"/>
                <w:szCs w:val="16"/>
                <w:color w:val="auto"/>
              </w:rPr>
              <w:t>Amortization of intangible assets</w:t>
            </w:r>
          </w:p>
        </w:tc>
        <w:tc>
          <w:tcPr>
            <w:tcW w:w="360" w:type="dxa"/>
            <w:vAlign w:val="bottom"/>
          </w:tcPr>
          <w:p>
            <w:pPr>
              <w:spacing w:after="0"/>
              <w:rPr>
                <w:sz w:val="22"/>
                <w:szCs w:val="22"/>
                <w:color w:val="auto"/>
              </w:rPr>
            </w:pPr>
          </w:p>
        </w:tc>
        <w:tc>
          <w:tcPr>
            <w:tcW w:w="1280" w:type="dxa"/>
            <w:vAlign w:val="bottom"/>
          </w:tcPr>
          <w:p>
            <w:pPr>
              <w:jc w:val="right"/>
              <w:ind w:right="79"/>
              <w:spacing w:after="0"/>
              <w:rPr>
                <w:sz w:val="20"/>
                <w:szCs w:val="20"/>
                <w:color w:val="auto"/>
              </w:rPr>
            </w:pPr>
            <w:r>
              <w:rPr>
                <w:rFonts w:ascii="Arial" w:cs="Arial" w:eastAsia="Arial" w:hAnsi="Arial"/>
                <w:sz w:val="16"/>
                <w:szCs w:val="16"/>
                <w:color w:val="auto"/>
              </w:rPr>
              <w:t>32.9</w:t>
            </w: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80" w:type="dxa"/>
            <w:vAlign w:val="bottom"/>
          </w:tcPr>
          <w:p>
            <w:pPr>
              <w:jc w:val="right"/>
              <w:ind w:right="79"/>
              <w:spacing w:after="0"/>
              <w:rPr>
                <w:sz w:val="20"/>
                <w:szCs w:val="20"/>
                <w:color w:val="auto"/>
              </w:rPr>
            </w:pPr>
            <w:r>
              <w:rPr>
                <w:rFonts w:ascii="Arial" w:cs="Arial" w:eastAsia="Arial" w:hAnsi="Arial"/>
                <w:sz w:val="16"/>
                <w:szCs w:val="16"/>
                <w:color w:val="auto"/>
              </w:rPr>
              <w:t>11.3</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21.6</w:t>
            </w:r>
          </w:p>
        </w:tc>
        <w:tc>
          <w:tcPr>
            <w:tcW w:w="1240" w:type="dxa"/>
            <w:vAlign w:val="bottom"/>
          </w:tcPr>
          <w:p>
            <w:pPr>
              <w:ind w:left="520"/>
              <w:spacing w:after="0"/>
              <w:rPr>
                <w:sz w:val="20"/>
                <w:szCs w:val="20"/>
                <w:color w:val="auto"/>
              </w:rPr>
            </w:pPr>
            <w:r>
              <w:rPr>
                <w:rFonts w:ascii="Arial" w:cs="Arial" w:eastAsia="Arial" w:hAnsi="Arial"/>
                <w:sz w:val="16"/>
                <w:szCs w:val="16"/>
                <w:color w:val="auto"/>
              </w:rPr>
              <w:t>NM*</w:t>
            </w:r>
          </w:p>
        </w:tc>
      </w:tr>
      <w:tr>
        <w:trPr>
          <w:trHeight w:val="280"/>
        </w:trPr>
        <w:tc>
          <w:tcPr>
            <w:tcW w:w="5640" w:type="dxa"/>
            <w:vAlign w:val="bottom"/>
            <w:gridSpan w:val="3"/>
            <w:shd w:val="clear" w:color="auto" w:fill="DCE2EF"/>
          </w:tcPr>
          <w:p>
            <w:pPr>
              <w:ind w:left="40"/>
              <w:spacing w:after="0"/>
              <w:rPr>
                <w:sz w:val="20"/>
                <w:szCs w:val="20"/>
                <w:color w:val="auto"/>
              </w:rPr>
            </w:pPr>
            <w:r>
              <w:rPr>
                <w:rFonts w:ascii="Arial" w:cs="Arial" w:eastAsia="Arial" w:hAnsi="Arial"/>
                <w:sz w:val="16"/>
                <w:szCs w:val="16"/>
                <w:color w:val="auto"/>
              </w:rPr>
              <w:t>Impairment recovery</w:t>
            </w:r>
          </w:p>
        </w:tc>
        <w:tc>
          <w:tcPr>
            <w:tcW w:w="360" w:type="dxa"/>
            <w:vAlign w:val="bottom"/>
            <w:shd w:val="clear" w:color="auto" w:fill="DCE2EF"/>
          </w:tcPr>
          <w:p>
            <w:pPr>
              <w:spacing w:after="0"/>
              <w:rPr>
                <w:sz w:val="24"/>
                <w:szCs w:val="24"/>
                <w:color w:val="auto"/>
              </w:rPr>
            </w:pPr>
          </w:p>
        </w:tc>
        <w:tc>
          <w:tcPr>
            <w:tcW w:w="1400" w:type="dxa"/>
            <w:vAlign w:val="bottom"/>
            <w:gridSpan w:val="2"/>
            <w:shd w:val="clear" w:color="auto" w:fill="DCE2EF"/>
          </w:tcPr>
          <w:p>
            <w:pPr>
              <w:jc w:val="right"/>
              <w:ind w:right="280"/>
              <w:spacing w:after="0"/>
              <w:rPr>
                <w:sz w:val="20"/>
                <w:szCs w:val="20"/>
                <w:color w:val="auto"/>
              </w:rPr>
            </w:pPr>
            <w:r>
              <w:rPr>
                <w:rFonts w:ascii="Arial" w:cs="Arial" w:eastAsia="Arial" w:hAnsi="Arial"/>
                <w:sz w:val="16"/>
                <w:szCs w:val="16"/>
                <w:color w:val="auto"/>
              </w:rPr>
              <w:t>—</w:t>
            </w:r>
          </w:p>
        </w:tc>
        <w:tc>
          <w:tcPr>
            <w:tcW w:w="340" w:type="dxa"/>
            <w:vAlign w:val="bottom"/>
            <w:shd w:val="clear" w:color="auto" w:fill="DCE2EF"/>
          </w:tcPr>
          <w:p>
            <w:pPr>
              <w:spacing w:after="0"/>
              <w:rPr>
                <w:sz w:val="24"/>
                <w:szCs w:val="24"/>
                <w:color w:val="auto"/>
              </w:rPr>
            </w:pPr>
          </w:p>
        </w:tc>
        <w:tc>
          <w:tcPr>
            <w:tcW w:w="1180" w:type="dxa"/>
            <w:vAlign w:val="bottom"/>
            <w:shd w:val="clear" w:color="auto" w:fill="DCE2EF"/>
          </w:tcPr>
          <w:p>
            <w:pPr>
              <w:jc w:val="right"/>
              <w:ind w:right="19"/>
              <w:spacing w:after="0"/>
              <w:rPr>
                <w:sz w:val="20"/>
                <w:szCs w:val="20"/>
                <w:color w:val="auto"/>
              </w:rPr>
            </w:pPr>
            <w:r>
              <w:rPr>
                <w:rFonts w:ascii="Arial" w:cs="Arial" w:eastAsia="Arial" w:hAnsi="Arial"/>
                <w:sz w:val="16"/>
                <w:szCs w:val="16"/>
                <w:color w:val="auto"/>
              </w:rPr>
              <w:t>(17.4)</w:t>
            </w:r>
          </w:p>
        </w:tc>
        <w:tc>
          <w:tcPr>
            <w:tcW w:w="100" w:type="dxa"/>
            <w:vAlign w:val="bottom"/>
            <w:shd w:val="clear" w:color="auto" w:fill="DCE2EF"/>
          </w:tcPr>
          <w:p>
            <w:pPr>
              <w:spacing w:after="0"/>
              <w:rPr>
                <w:sz w:val="24"/>
                <w:szCs w:val="24"/>
                <w:color w:val="auto"/>
              </w:rPr>
            </w:pPr>
          </w:p>
        </w:tc>
        <w:tc>
          <w:tcPr>
            <w:tcW w:w="260" w:type="dxa"/>
            <w:vAlign w:val="bottom"/>
            <w:shd w:val="clear" w:color="auto" w:fill="DCE2EF"/>
          </w:tcPr>
          <w:p>
            <w:pPr>
              <w:spacing w:after="0"/>
              <w:rPr>
                <w:sz w:val="24"/>
                <w:szCs w:val="24"/>
                <w:color w:val="auto"/>
              </w:rPr>
            </w:pPr>
          </w:p>
        </w:tc>
        <w:tc>
          <w:tcPr>
            <w:tcW w:w="880" w:type="dxa"/>
            <w:vAlign w:val="bottom"/>
            <w:shd w:val="clear" w:color="auto" w:fill="DCE2EF"/>
          </w:tcPr>
          <w:p>
            <w:pPr>
              <w:jc w:val="right"/>
              <w:ind w:right="19"/>
              <w:spacing w:after="0"/>
              <w:rPr>
                <w:sz w:val="20"/>
                <w:szCs w:val="20"/>
                <w:color w:val="auto"/>
              </w:rPr>
            </w:pPr>
            <w:r>
              <w:rPr>
                <w:rFonts w:ascii="Arial" w:cs="Arial" w:eastAsia="Arial" w:hAnsi="Arial"/>
                <w:sz w:val="16"/>
                <w:szCs w:val="16"/>
                <w:color w:val="auto"/>
              </w:rPr>
              <w:t>17.4</w:t>
            </w:r>
          </w:p>
        </w:tc>
        <w:tc>
          <w:tcPr>
            <w:tcW w:w="1240" w:type="dxa"/>
            <w:vAlign w:val="bottom"/>
            <w:shd w:val="clear" w:color="auto" w:fill="DCE2EF"/>
          </w:tcPr>
          <w:p>
            <w:pPr>
              <w:ind w:left="520"/>
              <w:spacing w:after="0"/>
              <w:rPr>
                <w:sz w:val="20"/>
                <w:szCs w:val="20"/>
                <w:color w:val="auto"/>
              </w:rPr>
            </w:pPr>
            <w:r>
              <w:rPr>
                <w:rFonts w:ascii="Arial" w:cs="Arial" w:eastAsia="Arial" w:hAnsi="Arial"/>
                <w:sz w:val="16"/>
                <w:szCs w:val="16"/>
                <w:color w:val="auto"/>
              </w:rPr>
              <w:t>NM*</w:t>
            </w:r>
          </w:p>
        </w:tc>
      </w:tr>
      <w:tr>
        <w:trPr>
          <w:trHeight w:val="240"/>
        </w:trPr>
        <w:tc>
          <w:tcPr>
            <w:tcW w:w="5640" w:type="dxa"/>
            <w:vAlign w:val="bottom"/>
            <w:gridSpan w:val="3"/>
          </w:tcPr>
          <w:p>
            <w:pPr>
              <w:ind w:left="40"/>
              <w:spacing w:after="0"/>
              <w:rPr>
                <w:sz w:val="20"/>
                <w:szCs w:val="20"/>
                <w:color w:val="auto"/>
              </w:rPr>
            </w:pPr>
            <w:r>
              <w:rPr>
                <w:rFonts w:ascii="Arial" w:cs="Arial" w:eastAsia="Arial" w:hAnsi="Arial"/>
                <w:sz w:val="16"/>
                <w:szCs w:val="16"/>
                <w:b w:val="1"/>
                <w:bCs w:val="1"/>
                <w:color w:val="auto"/>
              </w:rPr>
              <w:t>Operating profit</w:t>
            </w:r>
          </w:p>
        </w:tc>
        <w:tc>
          <w:tcPr>
            <w:tcW w:w="36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color w:val="auto"/>
              </w:rPr>
              <w:t>64.8</w:t>
            </w:r>
          </w:p>
        </w:tc>
        <w:tc>
          <w:tcPr>
            <w:tcW w:w="12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color w:val="auto"/>
              </w:rPr>
              <w:t>74.8</w:t>
            </w: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(10.0)</w:t>
            </w:r>
          </w:p>
        </w:tc>
        <w:tc>
          <w:tcPr>
            <w:tcW w:w="1240" w:type="dxa"/>
            <w:vAlign w:val="bottom"/>
          </w:tcPr>
          <w:p>
            <w:pPr>
              <w:jc w:val="center"/>
              <w:ind w:left="39"/>
              <w:spacing w:after="0"/>
              <w:rPr>
                <w:sz w:val="20"/>
                <w:szCs w:val="20"/>
                <w:color w:val="auto"/>
              </w:rPr>
            </w:pPr>
            <w:r>
              <w:rPr>
                <w:rFonts w:ascii="Arial" w:cs="Arial" w:eastAsia="Arial" w:hAnsi="Arial"/>
                <w:sz w:val="16"/>
                <w:szCs w:val="16"/>
                <w:color w:val="auto"/>
                <w:w w:val="99"/>
              </w:rPr>
              <w:t>(13.4)%</w:t>
            </w:r>
          </w:p>
        </w:tc>
      </w:tr>
      <w:tr>
        <w:trPr>
          <w:trHeight w:val="280"/>
        </w:trPr>
        <w:tc>
          <w:tcPr>
            <w:tcW w:w="5640" w:type="dxa"/>
            <w:vAlign w:val="bottom"/>
            <w:gridSpan w:val="3"/>
            <w:shd w:val="clear" w:color="auto" w:fill="DCE2EF"/>
          </w:tcPr>
          <w:p>
            <w:pPr>
              <w:ind w:left="40"/>
              <w:spacing w:after="0"/>
              <w:rPr>
                <w:sz w:val="20"/>
                <w:szCs w:val="20"/>
                <w:color w:val="auto"/>
              </w:rPr>
            </w:pPr>
            <w:r>
              <w:rPr>
                <w:rFonts w:ascii="Arial" w:cs="Arial" w:eastAsia="Arial" w:hAnsi="Arial"/>
                <w:sz w:val="16"/>
                <w:szCs w:val="16"/>
                <w:color w:val="auto"/>
              </w:rPr>
              <w:t>Income from unconsolidated affiliates, net</w:t>
            </w:r>
          </w:p>
        </w:tc>
        <w:tc>
          <w:tcPr>
            <w:tcW w:w="360" w:type="dxa"/>
            <w:vAlign w:val="bottom"/>
            <w:shd w:val="clear" w:color="auto" w:fill="DCE2EF"/>
          </w:tcPr>
          <w:p>
            <w:pPr>
              <w:spacing w:after="0"/>
              <w:rPr>
                <w:sz w:val="24"/>
                <w:szCs w:val="24"/>
                <w:color w:val="auto"/>
              </w:rPr>
            </w:pPr>
          </w:p>
        </w:tc>
        <w:tc>
          <w:tcPr>
            <w:tcW w:w="1280" w:type="dxa"/>
            <w:vAlign w:val="bottom"/>
            <w:shd w:val="clear" w:color="auto" w:fill="DCE2EF"/>
          </w:tcPr>
          <w:p>
            <w:pPr>
              <w:jc w:val="right"/>
              <w:ind w:right="79"/>
              <w:spacing w:after="0"/>
              <w:rPr>
                <w:sz w:val="20"/>
                <w:szCs w:val="20"/>
                <w:color w:val="auto"/>
              </w:rPr>
            </w:pPr>
            <w:r>
              <w:rPr>
                <w:rFonts w:ascii="Arial" w:cs="Arial" w:eastAsia="Arial" w:hAnsi="Arial"/>
                <w:sz w:val="16"/>
                <w:szCs w:val="16"/>
                <w:color w:val="auto"/>
              </w:rPr>
              <w:t>1.6</w:t>
            </w:r>
          </w:p>
        </w:tc>
        <w:tc>
          <w:tcPr>
            <w:tcW w:w="120" w:type="dxa"/>
            <w:vAlign w:val="bottom"/>
            <w:shd w:val="clear" w:color="auto" w:fill="DCE2EF"/>
          </w:tcPr>
          <w:p>
            <w:pPr>
              <w:spacing w:after="0"/>
              <w:rPr>
                <w:sz w:val="24"/>
                <w:szCs w:val="24"/>
                <w:color w:val="auto"/>
              </w:rPr>
            </w:pPr>
          </w:p>
        </w:tc>
        <w:tc>
          <w:tcPr>
            <w:tcW w:w="340" w:type="dxa"/>
            <w:vAlign w:val="bottom"/>
            <w:shd w:val="clear" w:color="auto" w:fill="DCE2EF"/>
          </w:tcPr>
          <w:p>
            <w:pPr>
              <w:spacing w:after="0"/>
              <w:rPr>
                <w:sz w:val="24"/>
                <w:szCs w:val="24"/>
                <w:color w:val="auto"/>
              </w:rPr>
            </w:pPr>
          </w:p>
        </w:tc>
        <w:tc>
          <w:tcPr>
            <w:tcW w:w="1180" w:type="dxa"/>
            <w:vAlign w:val="bottom"/>
            <w:shd w:val="clear" w:color="auto" w:fill="DCE2EF"/>
          </w:tcPr>
          <w:p>
            <w:pPr>
              <w:jc w:val="right"/>
              <w:ind w:right="79"/>
              <w:spacing w:after="0"/>
              <w:rPr>
                <w:sz w:val="20"/>
                <w:szCs w:val="20"/>
                <w:color w:val="auto"/>
              </w:rPr>
            </w:pPr>
            <w:r>
              <w:rPr>
                <w:rFonts w:ascii="Arial" w:cs="Arial" w:eastAsia="Arial" w:hAnsi="Arial"/>
                <w:sz w:val="16"/>
                <w:szCs w:val="16"/>
                <w:color w:val="auto"/>
              </w:rPr>
              <w:t>2.3</w:t>
            </w:r>
          </w:p>
        </w:tc>
        <w:tc>
          <w:tcPr>
            <w:tcW w:w="100" w:type="dxa"/>
            <w:vAlign w:val="bottom"/>
            <w:shd w:val="clear" w:color="auto" w:fill="DCE2EF"/>
          </w:tcPr>
          <w:p>
            <w:pPr>
              <w:spacing w:after="0"/>
              <w:rPr>
                <w:sz w:val="24"/>
                <w:szCs w:val="24"/>
                <w:color w:val="auto"/>
              </w:rPr>
            </w:pPr>
          </w:p>
        </w:tc>
        <w:tc>
          <w:tcPr>
            <w:tcW w:w="260" w:type="dxa"/>
            <w:vAlign w:val="bottom"/>
            <w:shd w:val="clear" w:color="auto" w:fill="DCE2EF"/>
          </w:tcPr>
          <w:p>
            <w:pPr>
              <w:spacing w:after="0"/>
              <w:rPr>
                <w:sz w:val="24"/>
                <w:szCs w:val="24"/>
                <w:color w:val="auto"/>
              </w:rPr>
            </w:pPr>
          </w:p>
        </w:tc>
        <w:tc>
          <w:tcPr>
            <w:tcW w:w="880" w:type="dxa"/>
            <w:vAlign w:val="bottom"/>
            <w:shd w:val="clear" w:color="auto" w:fill="DCE2EF"/>
          </w:tcPr>
          <w:p>
            <w:pPr>
              <w:jc w:val="right"/>
              <w:spacing w:after="0"/>
              <w:rPr>
                <w:sz w:val="20"/>
                <w:szCs w:val="20"/>
                <w:color w:val="auto"/>
              </w:rPr>
            </w:pPr>
            <w:r>
              <w:rPr>
                <w:rFonts w:ascii="Arial" w:cs="Arial" w:eastAsia="Arial" w:hAnsi="Arial"/>
                <w:sz w:val="16"/>
                <w:szCs w:val="16"/>
                <w:color w:val="auto"/>
              </w:rPr>
              <w:t>(0.7)</w:t>
            </w:r>
          </w:p>
        </w:tc>
        <w:tc>
          <w:tcPr>
            <w:tcW w:w="1240" w:type="dxa"/>
            <w:vAlign w:val="bottom"/>
            <w:shd w:val="clear" w:color="auto" w:fill="DCE2EF"/>
          </w:tcPr>
          <w:p>
            <w:pPr>
              <w:jc w:val="center"/>
              <w:ind w:left="39"/>
              <w:spacing w:after="0"/>
              <w:rPr>
                <w:sz w:val="20"/>
                <w:szCs w:val="20"/>
                <w:color w:val="auto"/>
              </w:rPr>
            </w:pPr>
            <w:r>
              <w:rPr>
                <w:rFonts w:ascii="Arial" w:cs="Arial" w:eastAsia="Arial" w:hAnsi="Arial"/>
                <w:sz w:val="16"/>
                <w:szCs w:val="16"/>
                <w:color w:val="auto"/>
                <w:w w:val="99"/>
              </w:rPr>
              <w:t>(33.0)%</w:t>
            </w:r>
          </w:p>
        </w:tc>
      </w:tr>
      <w:tr>
        <w:trPr>
          <w:trHeight w:val="264"/>
        </w:trPr>
        <w:tc>
          <w:tcPr>
            <w:tcW w:w="5640" w:type="dxa"/>
            <w:vAlign w:val="bottom"/>
            <w:tcBorders>
              <w:bottom w:val="single" w:sz="8" w:color="DCE2EF"/>
            </w:tcBorders>
            <w:gridSpan w:val="3"/>
          </w:tcPr>
          <w:p>
            <w:pPr>
              <w:ind w:left="40"/>
              <w:spacing w:after="0"/>
              <w:rPr>
                <w:sz w:val="20"/>
                <w:szCs w:val="20"/>
                <w:color w:val="auto"/>
              </w:rPr>
            </w:pPr>
            <w:r>
              <w:rPr>
                <w:rFonts w:ascii="Arial" w:cs="Arial" w:eastAsia="Arial" w:hAnsi="Arial"/>
                <w:sz w:val="16"/>
                <w:szCs w:val="16"/>
                <w:color w:val="auto"/>
              </w:rPr>
              <w:t>Interest expense</w:t>
            </w:r>
          </w:p>
        </w:tc>
        <w:tc>
          <w:tcPr>
            <w:tcW w:w="36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(28.1)</w:t>
            </w:r>
          </w:p>
        </w:tc>
        <w:tc>
          <w:tcPr>
            <w:tcW w:w="120" w:type="dxa"/>
            <w:vAlign w:val="bottom"/>
            <w:tcBorders>
              <w:bottom w:val="single" w:sz="8" w:color="DCE2E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(6.3)</w:t>
            </w:r>
          </w:p>
        </w:tc>
        <w:tc>
          <w:tcPr>
            <w:tcW w:w="100" w:type="dxa"/>
            <w:vAlign w:val="bottom"/>
            <w:tcBorders>
              <w:bottom w:val="single" w:sz="8" w:color="DCE2E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(21.8)</w:t>
            </w:r>
          </w:p>
        </w:tc>
        <w:tc>
          <w:tcPr>
            <w:tcW w:w="1240" w:type="dxa"/>
            <w:vAlign w:val="bottom"/>
            <w:tcBorders>
              <w:bottom w:val="single" w:sz="8" w:color="DCE2EF"/>
            </w:tcBorders>
          </w:tcPr>
          <w:p>
            <w:pPr>
              <w:ind w:left="520"/>
              <w:spacing w:after="0"/>
              <w:rPr>
                <w:sz w:val="20"/>
                <w:szCs w:val="20"/>
                <w:color w:val="auto"/>
              </w:rPr>
            </w:pPr>
            <w:r>
              <w:rPr>
                <w:rFonts w:ascii="Arial" w:cs="Arial" w:eastAsia="Arial" w:hAnsi="Arial"/>
                <w:sz w:val="16"/>
                <w:szCs w:val="16"/>
                <w:color w:val="auto"/>
              </w:rPr>
              <w:t>NM*</w:t>
            </w:r>
          </w:p>
        </w:tc>
      </w:tr>
      <w:tr>
        <w:trPr>
          <w:trHeight w:val="257"/>
        </w:trPr>
        <w:tc>
          <w:tcPr>
            <w:tcW w:w="5640" w:type="dxa"/>
            <w:vAlign w:val="bottom"/>
            <w:gridSpan w:val="3"/>
            <w:shd w:val="clear" w:color="auto" w:fill="DCE2EF"/>
          </w:tcPr>
          <w:p>
            <w:pPr>
              <w:ind w:left="40"/>
              <w:spacing w:after="0"/>
              <w:rPr>
                <w:sz w:val="20"/>
                <w:szCs w:val="20"/>
                <w:color w:val="auto"/>
              </w:rPr>
            </w:pPr>
            <w:r>
              <w:rPr>
                <w:rFonts w:ascii="Arial" w:cs="Arial" w:eastAsia="Arial" w:hAnsi="Arial"/>
                <w:sz w:val="16"/>
                <w:szCs w:val="16"/>
                <w:color w:val="auto"/>
              </w:rPr>
              <w:t>Income from continuing operations before income taxes</w:t>
            </w:r>
          </w:p>
        </w:tc>
        <w:tc>
          <w:tcPr>
            <w:tcW w:w="360" w:type="dxa"/>
            <w:vAlign w:val="bottom"/>
            <w:shd w:val="clear" w:color="auto" w:fill="DCE2EF"/>
          </w:tcPr>
          <w:p>
            <w:pPr>
              <w:spacing w:after="0"/>
              <w:rPr>
                <w:sz w:val="22"/>
                <w:szCs w:val="22"/>
                <w:color w:val="auto"/>
              </w:rPr>
            </w:pPr>
          </w:p>
        </w:tc>
        <w:tc>
          <w:tcPr>
            <w:tcW w:w="1280" w:type="dxa"/>
            <w:vAlign w:val="bottom"/>
            <w:shd w:val="clear" w:color="auto" w:fill="DCE2EF"/>
          </w:tcPr>
          <w:p>
            <w:pPr>
              <w:jc w:val="right"/>
              <w:ind w:right="79"/>
              <w:spacing w:after="0"/>
              <w:rPr>
                <w:sz w:val="20"/>
                <w:szCs w:val="20"/>
                <w:color w:val="auto"/>
              </w:rPr>
            </w:pPr>
            <w:r>
              <w:rPr>
                <w:rFonts w:ascii="Arial" w:cs="Arial" w:eastAsia="Arial" w:hAnsi="Arial"/>
                <w:sz w:val="16"/>
                <w:szCs w:val="16"/>
                <w:color w:val="auto"/>
              </w:rPr>
              <w:t>38.2</w:t>
            </w:r>
          </w:p>
        </w:tc>
        <w:tc>
          <w:tcPr>
            <w:tcW w:w="120" w:type="dxa"/>
            <w:vAlign w:val="bottom"/>
            <w:shd w:val="clear" w:color="auto" w:fill="DCE2EF"/>
          </w:tcPr>
          <w:p>
            <w:pPr>
              <w:spacing w:after="0"/>
              <w:rPr>
                <w:sz w:val="22"/>
                <w:szCs w:val="22"/>
                <w:color w:val="auto"/>
              </w:rPr>
            </w:pPr>
          </w:p>
        </w:tc>
        <w:tc>
          <w:tcPr>
            <w:tcW w:w="340" w:type="dxa"/>
            <w:vAlign w:val="bottom"/>
            <w:shd w:val="clear" w:color="auto" w:fill="DCE2EF"/>
          </w:tcPr>
          <w:p>
            <w:pPr>
              <w:spacing w:after="0"/>
              <w:rPr>
                <w:sz w:val="22"/>
                <w:szCs w:val="22"/>
                <w:color w:val="auto"/>
              </w:rPr>
            </w:pPr>
          </w:p>
        </w:tc>
        <w:tc>
          <w:tcPr>
            <w:tcW w:w="1180" w:type="dxa"/>
            <w:vAlign w:val="bottom"/>
            <w:shd w:val="clear" w:color="auto" w:fill="DCE2EF"/>
          </w:tcPr>
          <w:p>
            <w:pPr>
              <w:jc w:val="right"/>
              <w:ind w:right="79"/>
              <w:spacing w:after="0"/>
              <w:rPr>
                <w:sz w:val="20"/>
                <w:szCs w:val="20"/>
                <w:color w:val="auto"/>
              </w:rPr>
            </w:pPr>
            <w:r>
              <w:rPr>
                <w:rFonts w:ascii="Arial" w:cs="Arial" w:eastAsia="Arial" w:hAnsi="Arial"/>
                <w:sz w:val="16"/>
                <w:szCs w:val="16"/>
                <w:color w:val="auto"/>
              </w:rPr>
              <w:t>70.9</w:t>
            </w:r>
          </w:p>
        </w:tc>
        <w:tc>
          <w:tcPr>
            <w:tcW w:w="100" w:type="dxa"/>
            <w:vAlign w:val="bottom"/>
            <w:shd w:val="clear" w:color="auto" w:fill="DCE2EF"/>
          </w:tcPr>
          <w:p>
            <w:pPr>
              <w:spacing w:after="0"/>
              <w:rPr>
                <w:sz w:val="22"/>
                <w:szCs w:val="22"/>
                <w:color w:val="auto"/>
              </w:rPr>
            </w:pPr>
          </w:p>
        </w:tc>
        <w:tc>
          <w:tcPr>
            <w:tcW w:w="260" w:type="dxa"/>
            <w:vAlign w:val="bottom"/>
            <w:shd w:val="clear" w:color="auto" w:fill="DCE2EF"/>
          </w:tcPr>
          <w:p>
            <w:pPr>
              <w:spacing w:after="0"/>
              <w:rPr>
                <w:sz w:val="22"/>
                <w:szCs w:val="22"/>
                <w:color w:val="auto"/>
              </w:rPr>
            </w:pPr>
          </w:p>
        </w:tc>
        <w:tc>
          <w:tcPr>
            <w:tcW w:w="880" w:type="dxa"/>
            <w:vAlign w:val="bottom"/>
            <w:shd w:val="clear" w:color="auto" w:fill="DCE2EF"/>
          </w:tcPr>
          <w:p>
            <w:pPr>
              <w:jc w:val="right"/>
              <w:spacing w:after="0"/>
              <w:rPr>
                <w:sz w:val="20"/>
                <w:szCs w:val="20"/>
                <w:color w:val="auto"/>
              </w:rPr>
            </w:pPr>
            <w:r>
              <w:rPr>
                <w:rFonts w:ascii="Arial" w:cs="Arial" w:eastAsia="Arial" w:hAnsi="Arial"/>
                <w:sz w:val="16"/>
                <w:szCs w:val="16"/>
                <w:color w:val="auto"/>
              </w:rPr>
              <w:t>(32.7)</w:t>
            </w:r>
          </w:p>
        </w:tc>
        <w:tc>
          <w:tcPr>
            <w:tcW w:w="1240" w:type="dxa"/>
            <w:vAlign w:val="bottom"/>
            <w:shd w:val="clear" w:color="auto" w:fill="DCE2EF"/>
          </w:tcPr>
          <w:p>
            <w:pPr>
              <w:jc w:val="center"/>
              <w:ind w:left="39"/>
              <w:spacing w:after="0"/>
              <w:rPr>
                <w:sz w:val="20"/>
                <w:szCs w:val="20"/>
                <w:color w:val="auto"/>
              </w:rPr>
            </w:pPr>
            <w:r>
              <w:rPr>
                <w:rFonts w:ascii="Arial" w:cs="Arial" w:eastAsia="Arial" w:hAnsi="Arial"/>
                <w:sz w:val="16"/>
                <w:szCs w:val="16"/>
                <w:color w:val="auto"/>
                <w:w w:val="99"/>
              </w:rPr>
              <w:t>(46.1)%</w:t>
            </w:r>
          </w:p>
        </w:tc>
      </w:tr>
      <w:tr>
        <w:trPr>
          <w:trHeight w:val="264"/>
        </w:trPr>
        <w:tc>
          <w:tcPr>
            <w:tcW w:w="5640" w:type="dxa"/>
            <w:vAlign w:val="bottom"/>
            <w:tcBorders>
              <w:bottom w:val="single" w:sz="8" w:color="DCE2EF"/>
            </w:tcBorders>
            <w:gridSpan w:val="3"/>
          </w:tcPr>
          <w:p>
            <w:pPr>
              <w:ind w:left="40"/>
              <w:spacing w:after="0"/>
              <w:rPr>
                <w:sz w:val="20"/>
                <w:szCs w:val="20"/>
                <w:color w:val="auto"/>
              </w:rPr>
            </w:pPr>
            <w:r>
              <w:rPr>
                <w:rFonts w:ascii="Arial" w:cs="Arial" w:eastAsia="Arial" w:hAnsi="Arial"/>
                <w:sz w:val="16"/>
                <w:szCs w:val="16"/>
                <w:color w:val="auto"/>
              </w:rPr>
              <w:t>Income tax benefit (provision)</w:t>
            </w:r>
          </w:p>
        </w:tc>
        <w:tc>
          <w:tcPr>
            <w:tcW w:w="36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15.1</w:t>
            </w:r>
          </w:p>
        </w:tc>
        <w:tc>
          <w:tcPr>
            <w:tcW w:w="120" w:type="dxa"/>
            <w:vAlign w:val="bottom"/>
            <w:tcBorders>
              <w:bottom w:val="single" w:sz="8" w:color="DCE2E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(23.2)</w:t>
            </w:r>
          </w:p>
        </w:tc>
        <w:tc>
          <w:tcPr>
            <w:tcW w:w="100" w:type="dxa"/>
            <w:vAlign w:val="bottom"/>
            <w:tcBorders>
              <w:bottom w:val="single" w:sz="8" w:color="DCE2E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38.3</w:t>
            </w:r>
          </w:p>
        </w:tc>
        <w:tc>
          <w:tcPr>
            <w:tcW w:w="1240" w:type="dxa"/>
            <w:vAlign w:val="bottom"/>
            <w:tcBorders>
              <w:bottom w:val="single" w:sz="8" w:color="DCE2EF"/>
            </w:tcBorders>
          </w:tcPr>
          <w:p>
            <w:pPr>
              <w:ind w:left="520"/>
              <w:spacing w:after="0"/>
              <w:rPr>
                <w:sz w:val="20"/>
                <w:szCs w:val="20"/>
                <w:color w:val="auto"/>
              </w:rPr>
            </w:pPr>
            <w:r>
              <w:rPr>
                <w:rFonts w:ascii="Arial" w:cs="Arial" w:eastAsia="Arial" w:hAnsi="Arial"/>
                <w:sz w:val="16"/>
                <w:szCs w:val="16"/>
                <w:color w:val="auto"/>
              </w:rPr>
              <w:t>NM*</w:t>
            </w:r>
          </w:p>
        </w:tc>
      </w:tr>
      <w:tr>
        <w:trPr>
          <w:trHeight w:val="257"/>
        </w:trPr>
        <w:tc>
          <w:tcPr>
            <w:tcW w:w="5640" w:type="dxa"/>
            <w:vAlign w:val="bottom"/>
            <w:gridSpan w:val="3"/>
            <w:shd w:val="clear" w:color="auto" w:fill="DCE2EF"/>
          </w:tcPr>
          <w:p>
            <w:pPr>
              <w:ind w:left="40"/>
              <w:spacing w:after="0"/>
              <w:rPr>
                <w:sz w:val="20"/>
                <w:szCs w:val="20"/>
                <w:color w:val="auto"/>
              </w:rPr>
            </w:pPr>
            <w:r>
              <w:rPr>
                <w:rFonts w:ascii="Arial" w:cs="Arial" w:eastAsia="Arial" w:hAnsi="Arial"/>
                <w:sz w:val="16"/>
                <w:szCs w:val="16"/>
                <w:color w:val="auto"/>
              </w:rPr>
              <w:t>Income from continuing operations</w:t>
            </w:r>
          </w:p>
        </w:tc>
        <w:tc>
          <w:tcPr>
            <w:tcW w:w="360" w:type="dxa"/>
            <w:vAlign w:val="bottom"/>
            <w:shd w:val="clear" w:color="auto" w:fill="DCE2EF"/>
          </w:tcPr>
          <w:p>
            <w:pPr>
              <w:spacing w:after="0"/>
              <w:rPr>
                <w:sz w:val="22"/>
                <w:szCs w:val="22"/>
                <w:color w:val="auto"/>
              </w:rPr>
            </w:pPr>
          </w:p>
        </w:tc>
        <w:tc>
          <w:tcPr>
            <w:tcW w:w="1280" w:type="dxa"/>
            <w:vAlign w:val="bottom"/>
            <w:shd w:val="clear" w:color="auto" w:fill="DCE2EF"/>
          </w:tcPr>
          <w:p>
            <w:pPr>
              <w:jc w:val="right"/>
              <w:ind w:right="79"/>
              <w:spacing w:after="0"/>
              <w:rPr>
                <w:sz w:val="20"/>
                <w:szCs w:val="20"/>
                <w:color w:val="auto"/>
              </w:rPr>
            </w:pPr>
            <w:r>
              <w:rPr>
                <w:rFonts w:ascii="Arial" w:cs="Arial" w:eastAsia="Arial" w:hAnsi="Arial"/>
                <w:sz w:val="16"/>
                <w:szCs w:val="16"/>
                <w:color w:val="auto"/>
              </w:rPr>
              <w:t>53.3</w:t>
            </w:r>
          </w:p>
        </w:tc>
        <w:tc>
          <w:tcPr>
            <w:tcW w:w="120" w:type="dxa"/>
            <w:vAlign w:val="bottom"/>
            <w:shd w:val="clear" w:color="auto" w:fill="DCE2EF"/>
          </w:tcPr>
          <w:p>
            <w:pPr>
              <w:spacing w:after="0"/>
              <w:rPr>
                <w:sz w:val="22"/>
                <w:szCs w:val="22"/>
                <w:color w:val="auto"/>
              </w:rPr>
            </w:pPr>
          </w:p>
        </w:tc>
        <w:tc>
          <w:tcPr>
            <w:tcW w:w="340" w:type="dxa"/>
            <w:vAlign w:val="bottom"/>
            <w:shd w:val="clear" w:color="auto" w:fill="DCE2EF"/>
          </w:tcPr>
          <w:p>
            <w:pPr>
              <w:spacing w:after="0"/>
              <w:rPr>
                <w:sz w:val="22"/>
                <w:szCs w:val="22"/>
                <w:color w:val="auto"/>
              </w:rPr>
            </w:pPr>
          </w:p>
        </w:tc>
        <w:tc>
          <w:tcPr>
            <w:tcW w:w="1180" w:type="dxa"/>
            <w:vAlign w:val="bottom"/>
            <w:shd w:val="clear" w:color="auto" w:fill="DCE2EF"/>
          </w:tcPr>
          <w:p>
            <w:pPr>
              <w:jc w:val="right"/>
              <w:ind w:right="79"/>
              <w:spacing w:after="0"/>
              <w:rPr>
                <w:sz w:val="20"/>
                <w:szCs w:val="20"/>
                <w:color w:val="auto"/>
              </w:rPr>
            </w:pPr>
            <w:r>
              <w:rPr>
                <w:rFonts w:ascii="Arial" w:cs="Arial" w:eastAsia="Arial" w:hAnsi="Arial"/>
                <w:sz w:val="16"/>
                <w:szCs w:val="16"/>
                <w:color w:val="auto"/>
              </w:rPr>
              <w:t>47.7</w:t>
            </w:r>
          </w:p>
        </w:tc>
        <w:tc>
          <w:tcPr>
            <w:tcW w:w="100" w:type="dxa"/>
            <w:vAlign w:val="bottom"/>
            <w:shd w:val="clear" w:color="auto" w:fill="DCE2EF"/>
          </w:tcPr>
          <w:p>
            <w:pPr>
              <w:spacing w:after="0"/>
              <w:rPr>
                <w:sz w:val="22"/>
                <w:szCs w:val="22"/>
                <w:color w:val="auto"/>
              </w:rPr>
            </w:pPr>
          </w:p>
        </w:tc>
        <w:tc>
          <w:tcPr>
            <w:tcW w:w="260" w:type="dxa"/>
            <w:vAlign w:val="bottom"/>
            <w:shd w:val="clear" w:color="auto" w:fill="DCE2EF"/>
          </w:tcPr>
          <w:p>
            <w:pPr>
              <w:spacing w:after="0"/>
              <w:rPr>
                <w:sz w:val="22"/>
                <w:szCs w:val="22"/>
                <w:color w:val="auto"/>
              </w:rPr>
            </w:pPr>
          </w:p>
        </w:tc>
        <w:tc>
          <w:tcPr>
            <w:tcW w:w="880" w:type="dxa"/>
            <w:vAlign w:val="bottom"/>
            <w:shd w:val="clear" w:color="auto" w:fill="DCE2EF"/>
          </w:tcPr>
          <w:p>
            <w:pPr>
              <w:jc w:val="right"/>
              <w:ind w:right="19"/>
              <w:spacing w:after="0"/>
              <w:rPr>
                <w:sz w:val="20"/>
                <w:szCs w:val="20"/>
                <w:color w:val="auto"/>
              </w:rPr>
            </w:pPr>
            <w:r>
              <w:rPr>
                <w:rFonts w:ascii="Arial" w:cs="Arial" w:eastAsia="Arial" w:hAnsi="Arial"/>
                <w:sz w:val="16"/>
                <w:szCs w:val="16"/>
                <w:color w:val="auto"/>
              </w:rPr>
              <w:t>5.6</w:t>
            </w:r>
          </w:p>
        </w:tc>
        <w:tc>
          <w:tcPr>
            <w:tcW w:w="1240" w:type="dxa"/>
            <w:vAlign w:val="bottom"/>
            <w:shd w:val="clear" w:color="auto" w:fill="DCE2EF"/>
          </w:tcPr>
          <w:p>
            <w:pPr>
              <w:jc w:val="center"/>
              <w:ind w:left="19"/>
              <w:spacing w:after="0"/>
              <w:rPr>
                <w:sz w:val="20"/>
                <w:szCs w:val="20"/>
                <w:color w:val="auto"/>
              </w:rPr>
            </w:pPr>
            <w:r>
              <w:rPr>
                <w:rFonts w:ascii="Arial" w:cs="Arial" w:eastAsia="Arial" w:hAnsi="Arial"/>
                <w:sz w:val="16"/>
                <w:szCs w:val="16"/>
                <w:color w:val="auto"/>
              </w:rPr>
              <w:t>11.8%</w:t>
            </w:r>
          </w:p>
        </w:tc>
      </w:tr>
      <w:tr>
        <w:trPr>
          <w:trHeight w:val="264"/>
        </w:trPr>
        <w:tc>
          <w:tcPr>
            <w:tcW w:w="5640" w:type="dxa"/>
            <w:vAlign w:val="bottom"/>
            <w:tcBorders>
              <w:bottom w:val="single" w:sz="8" w:color="DCE2EF"/>
            </w:tcBorders>
            <w:gridSpan w:val="3"/>
          </w:tcPr>
          <w:p>
            <w:pPr>
              <w:ind w:left="40"/>
              <w:spacing w:after="0"/>
              <w:rPr>
                <w:sz w:val="20"/>
                <w:szCs w:val="20"/>
                <w:color w:val="auto"/>
              </w:rPr>
            </w:pPr>
            <w:r>
              <w:rPr>
                <w:rFonts w:ascii="Arial" w:cs="Arial" w:eastAsia="Arial" w:hAnsi="Arial"/>
                <w:sz w:val="16"/>
                <w:szCs w:val="16"/>
                <w:color w:val="auto"/>
              </w:rPr>
              <w:t>Income (loss) from discontinued operations, net of taxes</w:t>
            </w:r>
          </w:p>
        </w:tc>
        <w:tc>
          <w:tcPr>
            <w:tcW w:w="36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1.1</w:t>
            </w:r>
          </w:p>
        </w:tc>
        <w:tc>
          <w:tcPr>
            <w:tcW w:w="120" w:type="dxa"/>
            <w:vAlign w:val="bottom"/>
            <w:tcBorders>
              <w:bottom w:val="single" w:sz="8" w:color="DCE2E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(73.2)</w:t>
            </w:r>
          </w:p>
        </w:tc>
        <w:tc>
          <w:tcPr>
            <w:tcW w:w="100" w:type="dxa"/>
            <w:vAlign w:val="bottom"/>
            <w:tcBorders>
              <w:bottom w:val="single" w:sz="8" w:color="DCE2E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74.3</w:t>
            </w:r>
          </w:p>
        </w:tc>
        <w:tc>
          <w:tcPr>
            <w:tcW w:w="1240" w:type="dxa"/>
            <w:vAlign w:val="bottom"/>
            <w:tcBorders>
              <w:bottom w:val="single" w:sz="8" w:color="DCE2EF"/>
            </w:tcBorders>
          </w:tcPr>
          <w:p>
            <w:pPr>
              <w:ind w:left="520"/>
              <w:spacing w:after="0"/>
              <w:rPr>
                <w:sz w:val="20"/>
                <w:szCs w:val="20"/>
                <w:color w:val="auto"/>
              </w:rPr>
            </w:pPr>
            <w:r>
              <w:rPr>
                <w:rFonts w:ascii="Arial" w:cs="Arial" w:eastAsia="Arial" w:hAnsi="Arial"/>
                <w:sz w:val="16"/>
                <w:szCs w:val="16"/>
                <w:color w:val="auto"/>
              </w:rPr>
              <w:t>NM*</w:t>
            </w:r>
          </w:p>
        </w:tc>
      </w:tr>
      <w:tr>
        <w:trPr>
          <w:trHeight w:val="257"/>
        </w:trPr>
        <w:tc>
          <w:tcPr>
            <w:tcW w:w="5640" w:type="dxa"/>
            <w:vAlign w:val="bottom"/>
            <w:gridSpan w:val="3"/>
            <w:shd w:val="clear" w:color="auto" w:fill="DCE2EF"/>
          </w:tcPr>
          <w:p>
            <w:pPr>
              <w:ind w:left="40"/>
              <w:spacing w:after="0"/>
              <w:rPr>
                <w:sz w:val="20"/>
                <w:szCs w:val="20"/>
                <w:color w:val="auto"/>
              </w:rPr>
            </w:pPr>
            <w:r>
              <w:rPr>
                <w:rFonts w:ascii="Arial" w:cs="Arial" w:eastAsia="Arial" w:hAnsi="Arial"/>
                <w:sz w:val="16"/>
                <w:szCs w:val="16"/>
                <w:b w:val="1"/>
                <w:bCs w:val="1"/>
                <w:color w:val="auto"/>
              </w:rPr>
              <w:t>Net income (loss)</w:t>
            </w:r>
          </w:p>
        </w:tc>
        <w:tc>
          <w:tcPr>
            <w:tcW w:w="360" w:type="dxa"/>
            <w:vAlign w:val="bottom"/>
            <w:tcBorders>
              <w:bottom w:val="single" w:sz="8" w:color="auto"/>
            </w:tcBorders>
            <w:shd w:val="clear" w:color="auto" w:fill="DCE2EF"/>
          </w:tcPr>
          <w:p>
            <w:pPr>
              <w:spacing w:after="0"/>
              <w:rPr>
                <w:sz w:val="22"/>
                <w:szCs w:val="22"/>
                <w:color w:val="auto"/>
              </w:rPr>
            </w:pPr>
          </w:p>
        </w:tc>
        <w:tc>
          <w:tcPr>
            <w:tcW w:w="1280" w:type="dxa"/>
            <w:vAlign w:val="bottom"/>
            <w:tcBorders>
              <w:bottom w:val="single" w:sz="8" w:color="auto"/>
            </w:tcBorders>
            <w:shd w:val="clear" w:color="auto" w:fill="DCE2EF"/>
          </w:tcPr>
          <w:p>
            <w:pPr>
              <w:jc w:val="right"/>
              <w:ind w:right="79"/>
              <w:spacing w:after="0"/>
              <w:rPr>
                <w:sz w:val="20"/>
                <w:szCs w:val="20"/>
                <w:color w:val="auto"/>
              </w:rPr>
            </w:pPr>
            <w:r>
              <w:rPr>
                <w:rFonts w:ascii="Arial" w:cs="Arial" w:eastAsia="Arial" w:hAnsi="Arial"/>
                <w:sz w:val="16"/>
                <w:szCs w:val="16"/>
                <w:color w:val="auto"/>
              </w:rPr>
              <w:t>54.4</w:t>
            </w:r>
          </w:p>
        </w:tc>
        <w:tc>
          <w:tcPr>
            <w:tcW w:w="120" w:type="dxa"/>
            <w:vAlign w:val="bottom"/>
            <w:shd w:val="clear" w:color="auto" w:fill="DCE2EF"/>
          </w:tcPr>
          <w:p>
            <w:pPr>
              <w:spacing w:after="0"/>
              <w:rPr>
                <w:sz w:val="22"/>
                <w:szCs w:val="22"/>
                <w:color w:val="auto"/>
              </w:rPr>
            </w:pPr>
          </w:p>
        </w:tc>
        <w:tc>
          <w:tcPr>
            <w:tcW w:w="340" w:type="dxa"/>
            <w:vAlign w:val="bottom"/>
            <w:tcBorders>
              <w:bottom w:val="single" w:sz="8" w:color="auto"/>
            </w:tcBorders>
            <w:shd w:val="clear" w:color="auto" w:fill="DCE2EF"/>
          </w:tcPr>
          <w:p>
            <w:pPr>
              <w:spacing w:after="0"/>
              <w:rPr>
                <w:sz w:val="22"/>
                <w:szCs w:val="22"/>
                <w:color w:val="auto"/>
              </w:rPr>
            </w:pPr>
          </w:p>
        </w:tc>
        <w:tc>
          <w:tcPr>
            <w:tcW w:w="1180" w:type="dxa"/>
            <w:vAlign w:val="bottom"/>
            <w:tcBorders>
              <w:bottom w:val="single" w:sz="8" w:color="auto"/>
            </w:tcBorders>
            <w:shd w:val="clear" w:color="auto" w:fill="DCE2EF"/>
          </w:tcPr>
          <w:p>
            <w:pPr>
              <w:jc w:val="right"/>
              <w:ind w:right="19"/>
              <w:spacing w:after="0"/>
              <w:rPr>
                <w:sz w:val="20"/>
                <w:szCs w:val="20"/>
                <w:color w:val="auto"/>
              </w:rPr>
            </w:pPr>
            <w:r>
              <w:rPr>
                <w:rFonts w:ascii="Arial" w:cs="Arial" w:eastAsia="Arial" w:hAnsi="Arial"/>
                <w:sz w:val="16"/>
                <w:szCs w:val="16"/>
                <w:color w:val="auto"/>
              </w:rPr>
              <w:t>(25.5)</w:t>
            </w:r>
          </w:p>
        </w:tc>
        <w:tc>
          <w:tcPr>
            <w:tcW w:w="100" w:type="dxa"/>
            <w:vAlign w:val="bottom"/>
            <w:shd w:val="clear" w:color="auto" w:fill="DCE2EF"/>
          </w:tcPr>
          <w:p>
            <w:pPr>
              <w:spacing w:after="0"/>
              <w:rPr>
                <w:sz w:val="22"/>
                <w:szCs w:val="22"/>
                <w:color w:val="auto"/>
              </w:rPr>
            </w:pPr>
          </w:p>
        </w:tc>
        <w:tc>
          <w:tcPr>
            <w:tcW w:w="260" w:type="dxa"/>
            <w:vAlign w:val="bottom"/>
            <w:tcBorders>
              <w:bottom w:val="single" w:sz="8" w:color="auto"/>
            </w:tcBorders>
            <w:shd w:val="clear" w:color="auto" w:fill="DCE2EF"/>
          </w:tcPr>
          <w:p>
            <w:pPr>
              <w:spacing w:after="0"/>
              <w:rPr>
                <w:sz w:val="22"/>
                <w:szCs w:val="22"/>
                <w:color w:val="auto"/>
              </w:rPr>
            </w:pPr>
          </w:p>
        </w:tc>
        <w:tc>
          <w:tcPr>
            <w:tcW w:w="880" w:type="dxa"/>
            <w:vAlign w:val="bottom"/>
            <w:tcBorders>
              <w:bottom w:val="single" w:sz="8" w:color="auto"/>
            </w:tcBorders>
            <w:shd w:val="clear" w:color="auto" w:fill="DCE2EF"/>
          </w:tcPr>
          <w:p>
            <w:pPr>
              <w:jc w:val="right"/>
              <w:ind w:right="19"/>
              <w:spacing w:after="0"/>
              <w:rPr>
                <w:sz w:val="20"/>
                <w:szCs w:val="20"/>
                <w:color w:val="auto"/>
              </w:rPr>
            </w:pPr>
            <w:r>
              <w:rPr>
                <w:rFonts w:ascii="Arial" w:cs="Arial" w:eastAsia="Arial" w:hAnsi="Arial"/>
                <w:sz w:val="16"/>
                <w:szCs w:val="16"/>
                <w:color w:val="auto"/>
              </w:rPr>
              <w:t>79.9</w:t>
            </w:r>
          </w:p>
        </w:tc>
        <w:tc>
          <w:tcPr>
            <w:tcW w:w="1240" w:type="dxa"/>
            <w:vAlign w:val="bottom"/>
            <w:shd w:val="clear" w:color="auto" w:fill="DCE2EF"/>
          </w:tcPr>
          <w:p>
            <w:pPr>
              <w:ind w:left="520"/>
              <w:spacing w:after="0"/>
              <w:rPr>
                <w:sz w:val="20"/>
                <w:szCs w:val="20"/>
                <w:color w:val="auto"/>
              </w:rPr>
            </w:pPr>
            <w:r>
              <w:rPr>
                <w:rFonts w:ascii="Arial" w:cs="Arial" w:eastAsia="Arial" w:hAnsi="Arial"/>
                <w:sz w:val="16"/>
                <w:szCs w:val="16"/>
                <w:color w:val="auto"/>
              </w:rPr>
              <w:t>NM*</w:t>
            </w:r>
          </w:p>
        </w:tc>
      </w:tr>
      <w:tr>
        <w:trPr>
          <w:trHeight w:val="254"/>
        </w:trPr>
        <w:tc>
          <w:tcPr>
            <w:tcW w:w="5640" w:type="dxa"/>
            <w:vAlign w:val="bottom"/>
            <w:gridSpan w:val="3"/>
          </w:tcPr>
          <w:p>
            <w:pPr>
              <w:ind w:left="40"/>
              <w:spacing w:after="0"/>
              <w:rPr>
                <w:sz w:val="20"/>
                <w:szCs w:val="20"/>
                <w:color w:val="auto"/>
              </w:rPr>
            </w:pPr>
            <w:r>
              <w:rPr>
                <w:rFonts w:ascii="Arial" w:cs="Arial" w:eastAsia="Arial" w:hAnsi="Arial"/>
                <w:sz w:val="16"/>
                <w:szCs w:val="16"/>
                <w:color w:val="auto"/>
              </w:rPr>
              <w:t>Other comprehensive income (loss)</w:t>
            </w:r>
          </w:p>
        </w:tc>
        <w:tc>
          <w:tcPr>
            <w:tcW w:w="36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240" w:type="dxa"/>
            <w:vAlign w:val="bottom"/>
          </w:tcPr>
          <w:p>
            <w:pPr>
              <w:spacing w:after="0"/>
              <w:rPr>
                <w:sz w:val="22"/>
                <w:szCs w:val="22"/>
                <w:color w:val="auto"/>
              </w:rPr>
            </w:pPr>
          </w:p>
        </w:tc>
      </w:tr>
      <w:tr>
        <w:trPr>
          <w:trHeight w:val="280"/>
        </w:trPr>
        <w:tc>
          <w:tcPr>
            <w:tcW w:w="40" w:type="dxa"/>
            <w:vAlign w:val="bottom"/>
            <w:shd w:val="clear" w:color="auto" w:fill="DCE2EF"/>
          </w:tcPr>
          <w:p>
            <w:pPr>
              <w:spacing w:after="0"/>
              <w:rPr>
                <w:sz w:val="24"/>
                <w:szCs w:val="24"/>
                <w:color w:val="auto"/>
              </w:rPr>
            </w:pPr>
          </w:p>
        </w:tc>
        <w:tc>
          <w:tcPr>
            <w:tcW w:w="5600" w:type="dxa"/>
            <w:vAlign w:val="bottom"/>
            <w:gridSpan w:val="2"/>
            <w:shd w:val="clear" w:color="auto" w:fill="DCE2EF"/>
          </w:tcPr>
          <w:p>
            <w:pPr>
              <w:ind w:left="320"/>
              <w:spacing w:after="0"/>
              <w:rPr>
                <w:sz w:val="20"/>
                <w:szCs w:val="20"/>
                <w:color w:val="auto"/>
              </w:rPr>
            </w:pPr>
            <w:r>
              <w:rPr>
                <w:rFonts w:ascii="Arial" w:cs="Arial" w:eastAsia="Arial" w:hAnsi="Arial"/>
                <w:sz w:val="16"/>
                <w:szCs w:val="16"/>
                <w:color w:val="auto"/>
              </w:rPr>
              <w:t>Change in fair value of interest rate swaps</w:t>
            </w:r>
          </w:p>
        </w:tc>
        <w:tc>
          <w:tcPr>
            <w:tcW w:w="360" w:type="dxa"/>
            <w:vAlign w:val="bottom"/>
            <w:shd w:val="clear" w:color="auto" w:fill="DCE2EF"/>
          </w:tcPr>
          <w:p>
            <w:pPr>
              <w:spacing w:after="0"/>
              <w:rPr>
                <w:sz w:val="24"/>
                <w:szCs w:val="24"/>
                <w:color w:val="auto"/>
              </w:rPr>
            </w:pPr>
          </w:p>
        </w:tc>
        <w:tc>
          <w:tcPr>
            <w:tcW w:w="1280" w:type="dxa"/>
            <w:vAlign w:val="bottom"/>
            <w:shd w:val="clear" w:color="auto" w:fill="DCE2EF"/>
          </w:tcPr>
          <w:p>
            <w:pPr>
              <w:jc w:val="right"/>
              <w:ind w:right="79"/>
              <w:spacing w:after="0"/>
              <w:rPr>
                <w:sz w:val="20"/>
                <w:szCs w:val="20"/>
                <w:color w:val="auto"/>
              </w:rPr>
            </w:pPr>
            <w:r>
              <w:rPr>
                <w:rFonts w:ascii="Arial" w:cs="Arial" w:eastAsia="Arial" w:hAnsi="Arial"/>
                <w:sz w:val="16"/>
                <w:szCs w:val="16"/>
                <w:color w:val="auto"/>
              </w:rPr>
              <w:t>23.2</w:t>
            </w:r>
          </w:p>
        </w:tc>
        <w:tc>
          <w:tcPr>
            <w:tcW w:w="120" w:type="dxa"/>
            <w:vAlign w:val="bottom"/>
            <w:shd w:val="clear" w:color="auto" w:fill="DCE2EF"/>
          </w:tcPr>
          <w:p>
            <w:pPr>
              <w:spacing w:after="0"/>
              <w:rPr>
                <w:sz w:val="24"/>
                <w:szCs w:val="24"/>
                <w:color w:val="auto"/>
              </w:rPr>
            </w:pPr>
          </w:p>
        </w:tc>
        <w:tc>
          <w:tcPr>
            <w:tcW w:w="340" w:type="dxa"/>
            <w:vAlign w:val="bottom"/>
            <w:shd w:val="clear" w:color="auto" w:fill="DCE2EF"/>
          </w:tcPr>
          <w:p>
            <w:pPr>
              <w:spacing w:after="0"/>
              <w:rPr>
                <w:sz w:val="24"/>
                <w:szCs w:val="24"/>
                <w:color w:val="auto"/>
              </w:rPr>
            </w:pPr>
          </w:p>
        </w:tc>
        <w:tc>
          <w:tcPr>
            <w:tcW w:w="1180" w:type="dxa"/>
            <w:vAlign w:val="bottom"/>
            <w:shd w:val="clear" w:color="auto" w:fill="DCE2EF"/>
          </w:tcPr>
          <w:p>
            <w:pPr>
              <w:jc w:val="right"/>
              <w:ind w:right="79"/>
              <w:spacing w:after="0"/>
              <w:rPr>
                <w:sz w:val="20"/>
                <w:szCs w:val="20"/>
                <w:color w:val="auto"/>
              </w:rPr>
            </w:pPr>
            <w:r>
              <w:rPr>
                <w:rFonts w:ascii="Arial" w:cs="Arial" w:eastAsia="Arial" w:hAnsi="Arial"/>
                <w:sz w:val="16"/>
                <w:szCs w:val="16"/>
                <w:color w:val="auto"/>
              </w:rPr>
              <w:t>2.6</w:t>
            </w:r>
          </w:p>
        </w:tc>
        <w:tc>
          <w:tcPr>
            <w:tcW w:w="100" w:type="dxa"/>
            <w:vAlign w:val="bottom"/>
            <w:shd w:val="clear" w:color="auto" w:fill="DCE2EF"/>
          </w:tcPr>
          <w:p>
            <w:pPr>
              <w:spacing w:after="0"/>
              <w:rPr>
                <w:sz w:val="24"/>
                <w:szCs w:val="24"/>
                <w:color w:val="auto"/>
              </w:rPr>
            </w:pPr>
          </w:p>
        </w:tc>
        <w:tc>
          <w:tcPr>
            <w:tcW w:w="260" w:type="dxa"/>
            <w:vAlign w:val="bottom"/>
            <w:shd w:val="clear" w:color="auto" w:fill="DCE2EF"/>
          </w:tcPr>
          <w:p>
            <w:pPr>
              <w:spacing w:after="0"/>
              <w:rPr>
                <w:sz w:val="24"/>
                <w:szCs w:val="24"/>
                <w:color w:val="auto"/>
              </w:rPr>
            </w:pPr>
          </w:p>
        </w:tc>
        <w:tc>
          <w:tcPr>
            <w:tcW w:w="880" w:type="dxa"/>
            <w:vAlign w:val="bottom"/>
            <w:shd w:val="clear" w:color="auto" w:fill="DCE2EF"/>
          </w:tcPr>
          <w:p>
            <w:pPr>
              <w:jc w:val="right"/>
              <w:ind w:right="19"/>
              <w:spacing w:after="0"/>
              <w:rPr>
                <w:sz w:val="20"/>
                <w:szCs w:val="20"/>
                <w:color w:val="auto"/>
              </w:rPr>
            </w:pPr>
            <w:r>
              <w:rPr>
                <w:rFonts w:ascii="Arial" w:cs="Arial" w:eastAsia="Arial" w:hAnsi="Arial"/>
                <w:sz w:val="16"/>
                <w:szCs w:val="16"/>
                <w:color w:val="auto"/>
              </w:rPr>
              <w:t>20.6</w:t>
            </w:r>
          </w:p>
        </w:tc>
        <w:tc>
          <w:tcPr>
            <w:tcW w:w="1240" w:type="dxa"/>
            <w:vAlign w:val="bottom"/>
            <w:shd w:val="clear" w:color="auto" w:fill="DCE2EF"/>
          </w:tcPr>
          <w:p>
            <w:pPr>
              <w:ind w:left="520"/>
              <w:spacing w:after="0"/>
              <w:rPr>
                <w:sz w:val="20"/>
                <w:szCs w:val="20"/>
                <w:color w:val="auto"/>
              </w:rPr>
            </w:pPr>
            <w:r>
              <w:rPr>
                <w:rFonts w:ascii="Arial" w:cs="Arial" w:eastAsia="Arial" w:hAnsi="Arial"/>
                <w:sz w:val="16"/>
                <w:szCs w:val="16"/>
                <w:color w:val="auto"/>
              </w:rPr>
              <w:t>NM*</w:t>
            </w:r>
          </w:p>
        </w:tc>
      </w:tr>
      <w:tr>
        <w:trPr>
          <w:trHeight w:val="260"/>
        </w:trPr>
        <w:tc>
          <w:tcPr>
            <w:tcW w:w="40" w:type="dxa"/>
            <w:vAlign w:val="bottom"/>
          </w:tcPr>
          <w:p>
            <w:pPr>
              <w:spacing w:after="0"/>
              <w:rPr>
                <w:sz w:val="22"/>
                <w:szCs w:val="22"/>
                <w:color w:val="auto"/>
              </w:rPr>
            </w:pPr>
          </w:p>
        </w:tc>
        <w:tc>
          <w:tcPr>
            <w:tcW w:w="5600" w:type="dxa"/>
            <w:vAlign w:val="bottom"/>
            <w:gridSpan w:val="2"/>
          </w:tcPr>
          <w:p>
            <w:pPr>
              <w:ind w:left="340"/>
              <w:spacing w:after="0"/>
              <w:rPr>
                <w:sz w:val="20"/>
                <w:szCs w:val="20"/>
                <w:color w:val="auto"/>
              </w:rPr>
            </w:pPr>
            <w:r>
              <w:rPr>
                <w:rFonts w:ascii="Arial" w:cs="Arial" w:eastAsia="Arial" w:hAnsi="Arial"/>
                <w:sz w:val="16"/>
                <w:szCs w:val="16"/>
                <w:color w:val="auto"/>
              </w:rPr>
              <w:t>Foreign currency translation</w:t>
            </w:r>
          </w:p>
        </w:tc>
        <w:tc>
          <w:tcPr>
            <w:tcW w:w="360" w:type="dxa"/>
            <w:vAlign w:val="bottom"/>
          </w:tcPr>
          <w:p>
            <w:pPr>
              <w:spacing w:after="0"/>
              <w:rPr>
                <w:sz w:val="22"/>
                <w:szCs w:val="22"/>
                <w:color w:val="auto"/>
              </w:rPr>
            </w:pPr>
          </w:p>
        </w:tc>
        <w:tc>
          <w:tcPr>
            <w:tcW w:w="1280" w:type="dxa"/>
            <w:vAlign w:val="bottom"/>
          </w:tcPr>
          <w:p>
            <w:pPr>
              <w:jc w:val="right"/>
              <w:ind w:right="79"/>
              <w:spacing w:after="0"/>
              <w:rPr>
                <w:sz w:val="20"/>
                <w:szCs w:val="20"/>
                <w:color w:val="auto"/>
              </w:rPr>
            </w:pPr>
            <w:r>
              <w:rPr>
                <w:rFonts w:ascii="Arial" w:cs="Arial" w:eastAsia="Arial" w:hAnsi="Arial"/>
                <w:sz w:val="16"/>
                <w:szCs w:val="16"/>
                <w:color w:val="auto"/>
              </w:rPr>
              <w:t>5.0</w:t>
            </w: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80" w:type="dxa"/>
            <w:vAlign w:val="bottom"/>
          </w:tcPr>
          <w:p>
            <w:pPr>
              <w:jc w:val="right"/>
              <w:ind w:right="79"/>
              <w:spacing w:after="0"/>
              <w:rPr>
                <w:sz w:val="20"/>
                <w:szCs w:val="20"/>
                <w:color w:val="auto"/>
              </w:rPr>
            </w:pPr>
            <w:r>
              <w:rPr>
                <w:rFonts w:ascii="Arial" w:cs="Arial" w:eastAsia="Arial" w:hAnsi="Arial"/>
                <w:sz w:val="16"/>
                <w:szCs w:val="16"/>
                <w:color w:val="auto"/>
              </w:rPr>
              <w:t>6.3</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(1.3)</w:t>
            </w:r>
          </w:p>
        </w:tc>
        <w:tc>
          <w:tcPr>
            <w:tcW w:w="1240" w:type="dxa"/>
            <w:vAlign w:val="bottom"/>
          </w:tcPr>
          <w:p>
            <w:pPr>
              <w:jc w:val="center"/>
              <w:ind w:left="39"/>
              <w:spacing w:after="0"/>
              <w:rPr>
                <w:sz w:val="20"/>
                <w:szCs w:val="20"/>
                <w:color w:val="auto"/>
              </w:rPr>
            </w:pPr>
            <w:r>
              <w:rPr>
                <w:rFonts w:ascii="Arial" w:cs="Arial" w:eastAsia="Arial" w:hAnsi="Arial"/>
                <w:sz w:val="16"/>
                <w:szCs w:val="16"/>
                <w:color w:val="auto"/>
                <w:w w:val="99"/>
              </w:rPr>
              <w:t>(20.9)%</w:t>
            </w:r>
          </w:p>
        </w:tc>
      </w:tr>
      <w:tr>
        <w:trPr>
          <w:trHeight w:val="280"/>
        </w:trPr>
        <w:tc>
          <w:tcPr>
            <w:tcW w:w="40" w:type="dxa"/>
            <w:vAlign w:val="bottom"/>
            <w:shd w:val="clear" w:color="auto" w:fill="DCE2EF"/>
          </w:tcPr>
          <w:p>
            <w:pPr>
              <w:spacing w:after="0"/>
              <w:rPr>
                <w:sz w:val="24"/>
                <w:szCs w:val="24"/>
                <w:color w:val="auto"/>
              </w:rPr>
            </w:pPr>
          </w:p>
        </w:tc>
        <w:tc>
          <w:tcPr>
            <w:tcW w:w="5600" w:type="dxa"/>
            <w:vAlign w:val="bottom"/>
            <w:gridSpan w:val="2"/>
            <w:shd w:val="clear" w:color="auto" w:fill="DCE2EF"/>
          </w:tcPr>
          <w:p>
            <w:pPr>
              <w:ind w:left="340"/>
              <w:spacing w:after="0"/>
              <w:rPr>
                <w:sz w:val="20"/>
                <w:szCs w:val="20"/>
                <w:color w:val="auto"/>
              </w:rPr>
            </w:pPr>
            <w:r>
              <w:rPr>
                <w:rFonts w:ascii="Arial" w:cs="Arial" w:eastAsia="Arial" w:hAnsi="Arial"/>
                <w:sz w:val="16"/>
                <w:szCs w:val="16"/>
                <w:color w:val="auto"/>
              </w:rPr>
              <w:t>Income tax provision</w:t>
            </w:r>
          </w:p>
        </w:tc>
        <w:tc>
          <w:tcPr>
            <w:tcW w:w="360" w:type="dxa"/>
            <w:vAlign w:val="bottom"/>
            <w:tcBorders>
              <w:bottom w:val="single" w:sz="8" w:color="auto"/>
            </w:tcBorders>
            <w:shd w:val="clear" w:color="auto" w:fill="DCE2EF"/>
          </w:tcPr>
          <w:p>
            <w:pPr>
              <w:spacing w:after="0"/>
              <w:rPr>
                <w:sz w:val="24"/>
                <w:szCs w:val="24"/>
                <w:color w:val="auto"/>
              </w:rPr>
            </w:pPr>
          </w:p>
        </w:tc>
        <w:tc>
          <w:tcPr>
            <w:tcW w:w="1280" w:type="dxa"/>
            <w:vAlign w:val="bottom"/>
            <w:tcBorders>
              <w:bottom w:val="single" w:sz="8" w:color="auto"/>
            </w:tcBorders>
            <w:shd w:val="clear" w:color="auto" w:fill="DCE2EF"/>
          </w:tcPr>
          <w:p>
            <w:pPr>
              <w:jc w:val="right"/>
              <w:ind w:right="19"/>
              <w:spacing w:after="0"/>
              <w:rPr>
                <w:sz w:val="20"/>
                <w:szCs w:val="20"/>
                <w:color w:val="auto"/>
              </w:rPr>
            </w:pPr>
            <w:r>
              <w:rPr>
                <w:rFonts w:ascii="Arial" w:cs="Arial" w:eastAsia="Arial" w:hAnsi="Arial"/>
                <w:sz w:val="16"/>
                <w:szCs w:val="16"/>
                <w:color w:val="auto"/>
              </w:rPr>
              <w:t>(6.3)</w:t>
            </w:r>
          </w:p>
        </w:tc>
        <w:tc>
          <w:tcPr>
            <w:tcW w:w="120" w:type="dxa"/>
            <w:vAlign w:val="bottom"/>
            <w:shd w:val="clear" w:color="auto" w:fill="DCE2EF"/>
          </w:tcPr>
          <w:p>
            <w:pPr>
              <w:spacing w:after="0"/>
              <w:rPr>
                <w:sz w:val="24"/>
                <w:szCs w:val="24"/>
                <w:color w:val="auto"/>
              </w:rPr>
            </w:pPr>
          </w:p>
        </w:tc>
        <w:tc>
          <w:tcPr>
            <w:tcW w:w="340" w:type="dxa"/>
            <w:vAlign w:val="bottom"/>
            <w:tcBorders>
              <w:bottom w:val="single" w:sz="8" w:color="auto"/>
            </w:tcBorders>
            <w:shd w:val="clear" w:color="auto" w:fill="DCE2EF"/>
          </w:tcPr>
          <w:p>
            <w:pPr>
              <w:spacing w:after="0"/>
              <w:rPr>
                <w:sz w:val="24"/>
                <w:szCs w:val="24"/>
                <w:color w:val="auto"/>
              </w:rPr>
            </w:pPr>
          </w:p>
        </w:tc>
        <w:tc>
          <w:tcPr>
            <w:tcW w:w="1180" w:type="dxa"/>
            <w:vAlign w:val="bottom"/>
            <w:tcBorders>
              <w:bottom w:val="single" w:sz="8" w:color="auto"/>
            </w:tcBorders>
            <w:shd w:val="clear" w:color="auto" w:fill="DCE2EF"/>
          </w:tcPr>
          <w:p>
            <w:pPr>
              <w:jc w:val="right"/>
              <w:ind w:right="19"/>
              <w:spacing w:after="0"/>
              <w:rPr>
                <w:sz w:val="20"/>
                <w:szCs w:val="20"/>
                <w:color w:val="auto"/>
              </w:rPr>
            </w:pPr>
            <w:r>
              <w:rPr>
                <w:rFonts w:ascii="Arial" w:cs="Arial" w:eastAsia="Arial" w:hAnsi="Arial"/>
                <w:sz w:val="16"/>
                <w:szCs w:val="16"/>
                <w:color w:val="auto"/>
              </w:rPr>
              <w:t>(1.1)</w:t>
            </w:r>
          </w:p>
        </w:tc>
        <w:tc>
          <w:tcPr>
            <w:tcW w:w="100" w:type="dxa"/>
            <w:vAlign w:val="bottom"/>
            <w:shd w:val="clear" w:color="auto" w:fill="DCE2EF"/>
          </w:tcPr>
          <w:p>
            <w:pPr>
              <w:spacing w:after="0"/>
              <w:rPr>
                <w:sz w:val="24"/>
                <w:szCs w:val="24"/>
                <w:color w:val="auto"/>
              </w:rPr>
            </w:pPr>
          </w:p>
        </w:tc>
        <w:tc>
          <w:tcPr>
            <w:tcW w:w="260" w:type="dxa"/>
            <w:vAlign w:val="bottom"/>
            <w:tcBorders>
              <w:bottom w:val="single" w:sz="8" w:color="auto"/>
            </w:tcBorders>
            <w:shd w:val="clear" w:color="auto" w:fill="DCE2EF"/>
          </w:tcPr>
          <w:p>
            <w:pPr>
              <w:spacing w:after="0"/>
              <w:rPr>
                <w:sz w:val="24"/>
                <w:szCs w:val="24"/>
                <w:color w:val="auto"/>
              </w:rPr>
            </w:pPr>
          </w:p>
        </w:tc>
        <w:tc>
          <w:tcPr>
            <w:tcW w:w="880" w:type="dxa"/>
            <w:vAlign w:val="bottom"/>
            <w:tcBorders>
              <w:bottom w:val="single" w:sz="8" w:color="auto"/>
            </w:tcBorders>
            <w:shd w:val="clear" w:color="auto" w:fill="DCE2EF"/>
          </w:tcPr>
          <w:p>
            <w:pPr>
              <w:jc w:val="right"/>
              <w:spacing w:after="0"/>
              <w:rPr>
                <w:sz w:val="20"/>
                <w:szCs w:val="20"/>
                <w:color w:val="auto"/>
              </w:rPr>
            </w:pPr>
            <w:r>
              <w:rPr>
                <w:rFonts w:ascii="Arial" w:cs="Arial" w:eastAsia="Arial" w:hAnsi="Arial"/>
                <w:sz w:val="16"/>
                <w:szCs w:val="16"/>
                <w:color w:val="auto"/>
              </w:rPr>
              <w:t>(5.2)</w:t>
            </w:r>
          </w:p>
        </w:tc>
        <w:tc>
          <w:tcPr>
            <w:tcW w:w="1240" w:type="dxa"/>
            <w:vAlign w:val="bottom"/>
            <w:shd w:val="clear" w:color="auto" w:fill="DCE2EF"/>
          </w:tcPr>
          <w:p>
            <w:pPr>
              <w:ind w:left="520"/>
              <w:spacing w:after="0"/>
              <w:rPr>
                <w:sz w:val="20"/>
                <w:szCs w:val="20"/>
                <w:color w:val="auto"/>
              </w:rPr>
            </w:pPr>
            <w:r>
              <w:rPr>
                <w:rFonts w:ascii="Arial" w:cs="Arial" w:eastAsia="Arial" w:hAnsi="Arial"/>
                <w:sz w:val="16"/>
                <w:szCs w:val="16"/>
                <w:color w:val="auto"/>
              </w:rPr>
              <w:t>NM*</w:t>
            </w:r>
          </w:p>
        </w:tc>
      </w:tr>
      <w:tr>
        <w:trPr>
          <w:trHeight w:val="234"/>
        </w:trPr>
        <w:tc>
          <w:tcPr>
            <w:tcW w:w="5640" w:type="dxa"/>
            <w:vAlign w:val="bottom"/>
            <w:gridSpan w:val="3"/>
          </w:tcPr>
          <w:p>
            <w:pPr>
              <w:ind w:left="40"/>
              <w:spacing w:after="0"/>
              <w:rPr>
                <w:sz w:val="20"/>
                <w:szCs w:val="20"/>
                <w:color w:val="auto"/>
              </w:rPr>
            </w:pPr>
            <w:r>
              <w:rPr>
                <w:rFonts w:ascii="Arial" w:cs="Arial" w:eastAsia="Arial" w:hAnsi="Arial"/>
                <w:sz w:val="16"/>
                <w:szCs w:val="16"/>
                <w:b w:val="1"/>
                <w:bCs w:val="1"/>
                <w:color w:val="auto"/>
              </w:rPr>
              <w:t>Comprehensive income (loss)</w:t>
            </w:r>
          </w:p>
        </w:tc>
        <w:tc>
          <w:tcPr>
            <w:tcW w:w="36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rPr>
              <w:t>$</w:t>
            </w:r>
          </w:p>
        </w:tc>
        <w:tc>
          <w:tcPr>
            <w:tcW w:w="12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76.3</w:t>
            </w:r>
          </w:p>
        </w:tc>
        <w:tc>
          <w:tcPr>
            <w:tcW w:w="120" w:type="dxa"/>
            <w:vAlign w:val="bottom"/>
          </w:tcPr>
          <w:p>
            <w:pPr>
              <w:spacing w:after="0"/>
              <w:rPr>
                <w:sz w:val="20"/>
                <w:szCs w:val="20"/>
                <w:color w:val="auto"/>
              </w:rPr>
            </w:pPr>
          </w:p>
        </w:tc>
        <w:tc>
          <w:tcPr>
            <w:tcW w:w="34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(17.6)</w:t>
            </w:r>
          </w:p>
        </w:tc>
        <w:tc>
          <w:tcPr>
            <w:tcW w:w="10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93.9</w:t>
            </w:r>
          </w:p>
        </w:tc>
        <w:tc>
          <w:tcPr>
            <w:tcW w:w="1240" w:type="dxa"/>
            <w:vAlign w:val="bottom"/>
          </w:tcPr>
          <w:p>
            <w:pPr>
              <w:ind w:left="520"/>
              <w:spacing w:after="0"/>
              <w:rPr>
                <w:sz w:val="20"/>
                <w:szCs w:val="20"/>
                <w:color w:val="auto"/>
              </w:rPr>
            </w:pPr>
            <w:r>
              <w:rPr>
                <w:rFonts w:ascii="Arial" w:cs="Arial" w:eastAsia="Arial" w:hAnsi="Arial"/>
                <w:sz w:val="16"/>
                <w:szCs w:val="16"/>
                <w:color w:val="auto"/>
              </w:rPr>
              <w:t>NM*</w:t>
            </w:r>
          </w:p>
        </w:tc>
      </w:tr>
      <w:tr>
        <w:trPr>
          <w:trHeight w:val="20"/>
        </w:trPr>
        <w:tc>
          <w:tcPr>
            <w:tcW w:w="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7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r>
    </w:tbl>
    <w:p>
      <w:pPr>
        <w:spacing w:after="0" w:line="164" w:lineRule="exact"/>
        <w:rPr>
          <w:sz w:val="20"/>
          <w:szCs w:val="20"/>
          <w:color w:val="auto"/>
        </w:rPr>
      </w:pPr>
    </w:p>
    <w:p>
      <w:pPr>
        <w:ind w:left="40"/>
        <w:spacing w:after="0"/>
        <w:rPr>
          <w:sz w:val="20"/>
          <w:szCs w:val="20"/>
          <w:color w:val="auto"/>
        </w:rPr>
      </w:pPr>
      <w:r>
        <w:rPr>
          <w:rFonts w:ascii="Arial" w:cs="Arial" w:eastAsia="Arial" w:hAnsi="Arial"/>
          <w:sz w:val="16"/>
          <w:szCs w:val="16"/>
          <w:color w:val="auto"/>
        </w:rPr>
        <w:t>*Not meaningful</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0046AD"/>
        </w:rPr>
        <w:t>Revenues</w:t>
      </w:r>
    </w:p>
    <w:p>
      <w:pPr>
        <w:spacing w:after="0" w:line="193"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Revenues increased by $532.0 million, or 20.2%, during the six months ended April 30, 2018, as compared to the six months ended April 30, 2017. The increase in revenues was primarily attributable to $510.3 million of incremental revenues from acquisitions, mainly GCA, as well as organic growth in B&amp;I and Aviation. This increase was partially offset by the sale of our Government Services business on May 31, 2017.</w:t>
      </w:r>
    </w:p>
    <w:p>
      <w:pPr>
        <w:spacing w:after="0" w:line="2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0046AD"/>
        </w:rPr>
        <w:t>Operating Expenses</w:t>
      </w:r>
    </w:p>
    <w:p>
      <w:pPr>
        <w:spacing w:after="0" w:line="193"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color w:val="auto"/>
        </w:rPr>
        <w:t>Operating expenses increased by $475.4 million, or 20.1%, during the six months ended April 30, 2018, as compared to the six months ended April 30, 2017. The increase was primarily attributable to $452.7 million of incremental operating expenses from the GCA acquisition and an increase in wages and related personnel costs due to a tight labor market. Gross margin remained relatively flat at 10.5%.</w:t>
      </w:r>
    </w:p>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20"/>
          </w:cols>
          <w:pgMar w:left="240" w:top="684" w:right="239" w:bottom="1440" w:gutter="0" w:footer="0" w:header="0"/>
        </w:sectPr>
      </w:pPr>
    </w:p>
    <w:bookmarkStart w:id="37" w:name="page38"/>
    <w:bookmarkEnd w:id="37"/>
    <w:p>
      <w:pPr>
        <w:spacing w:after="0"/>
        <w:rPr>
          <w:sz w:val="20"/>
          <w:szCs w:val="20"/>
          <w:color w:val="auto"/>
        </w:rPr>
      </w:pPr>
      <w:r>
        <w:rPr>
          <w:rFonts w:ascii="Arial" w:cs="Arial" w:eastAsia="Arial" w:hAnsi="Arial"/>
          <w:sz w:val="18"/>
          <w:szCs w:val="18"/>
          <w:b w:val="1"/>
          <w:bCs w:val="1"/>
          <w:i w:val="1"/>
          <w:iCs w:val="1"/>
          <w:color w:val="0046AD"/>
        </w:rPr>
        <w:t>Selling, General and Administrative Expenses</w:t>
      </w:r>
    </w:p>
    <w:p>
      <w:pPr>
        <w:spacing w:after="0" w:line="193" w:lineRule="exact"/>
        <w:rPr>
          <w:sz w:val="20"/>
          <w:szCs w:val="20"/>
          <w:color w:val="auto"/>
        </w:rPr>
      </w:pPr>
    </w:p>
    <w:p>
      <w:pPr>
        <w:ind w:firstLine="648"/>
        <w:spacing w:after="0" w:line="262" w:lineRule="auto"/>
        <w:rPr>
          <w:sz w:val="20"/>
          <w:szCs w:val="20"/>
          <w:color w:val="auto"/>
        </w:rPr>
      </w:pPr>
      <w:r>
        <w:rPr>
          <w:rFonts w:ascii="Arial" w:cs="Arial" w:eastAsia="Arial" w:hAnsi="Arial"/>
          <w:sz w:val="18"/>
          <w:szCs w:val="18"/>
          <w:color w:val="auto"/>
        </w:rPr>
        <w:t>Selling, general and administrative expenses increased by $18.8 million, or 9.5%, during the six months ended April 30, 2018, as compared to the six months ended April 30, 2017. The increase in selling, general and administrative expenses was primarily related to:</w:t>
      </w:r>
    </w:p>
    <w:p>
      <w:pPr>
        <w:spacing w:after="0" w:line="142" w:lineRule="exact"/>
        <w:rPr>
          <w:sz w:val="20"/>
          <w:szCs w:val="20"/>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$20.3 million of incremental expenses related to the GCA acquisition; and</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 $6.2 million increase in technology investments.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This increase was partially offset by:</w:t>
      </w:r>
    </w:p>
    <w:p>
      <w:pPr>
        <w:spacing w:after="0" w:line="171" w:lineRule="exact"/>
        <w:rPr>
          <w:sz w:val="20"/>
          <w:szCs w:val="20"/>
          <w:color w:val="auto"/>
        </w:rPr>
      </w:pPr>
    </w:p>
    <w:p>
      <w:pPr>
        <w:ind w:left="660" w:hanging="328"/>
        <w:spacing w:after="0" w:line="262" w:lineRule="auto"/>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 $2.8 million decrease in medical and dental insurance expense as a result of actuarial evaluations performed in the three months ended April 30, 2018;</w:t>
      </w:r>
    </w:p>
    <w:p>
      <w:pPr>
        <w:spacing w:after="0" w:line="142"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 $2.6 million decrease in compensation and related expenses mainly due to the reversal of certain incentive plans; and</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 $1.5 million decrease in rental expense due to office consolidations in the prior year.</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0046AD"/>
        </w:rPr>
        <w:t>Restructuring and Related Expenses</w:t>
      </w:r>
    </w:p>
    <w:p>
      <w:pPr>
        <w:spacing w:after="0" w:line="193" w:lineRule="exact"/>
        <w:rPr>
          <w:sz w:val="20"/>
          <w:szCs w:val="20"/>
          <w:color w:val="auto"/>
        </w:rPr>
      </w:pPr>
    </w:p>
    <w:p>
      <w:pPr>
        <w:jc w:val="both"/>
        <w:ind w:firstLine="648"/>
        <w:spacing w:after="0" w:line="262" w:lineRule="auto"/>
        <w:rPr>
          <w:sz w:val="20"/>
          <w:szCs w:val="20"/>
          <w:color w:val="auto"/>
        </w:rPr>
      </w:pPr>
      <w:r>
        <w:rPr>
          <w:rFonts w:ascii="Arial" w:cs="Arial" w:eastAsia="Arial" w:hAnsi="Arial"/>
          <w:sz w:val="18"/>
          <w:szCs w:val="18"/>
          <w:color w:val="auto"/>
        </w:rPr>
        <w:t>Restructuring and related expenses increased by $8.8 million, or 81.4%, during the six months ended April 30, 2018, as compared to the six months ended April 30, 2017, as a result of restructuring related to the GCA acquisition.</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0046AD"/>
        </w:rPr>
        <w:t>Amortization of Intangible Assets</w:t>
      </w:r>
    </w:p>
    <w:p>
      <w:pPr>
        <w:spacing w:after="0" w:line="193" w:lineRule="exact"/>
        <w:rPr>
          <w:sz w:val="20"/>
          <w:szCs w:val="20"/>
          <w:color w:val="auto"/>
        </w:rPr>
      </w:pPr>
    </w:p>
    <w:p>
      <w:pPr>
        <w:jc w:val="both"/>
        <w:ind w:firstLine="648"/>
        <w:spacing w:after="0" w:line="262" w:lineRule="auto"/>
        <w:rPr>
          <w:sz w:val="20"/>
          <w:szCs w:val="20"/>
          <w:color w:val="auto"/>
        </w:rPr>
      </w:pPr>
      <w:r>
        <w:rPr>
          <w:rFonts w:ascii="Arial" w:cs="Arial" w:eastAsia="Arial" w:hAnsi="Arial"/>
          <w:sz w:val="18"/>
          <w:szCs w:val="18"/>
          <w:color w:val="auto"/>
        </w:rPr>
        <w:t>Amortization of intangible assets increased by $21.6 million during the six months ended April 30, 2018, as compared to the six months ended April 30, 2017, as a result of the amortization of acquired intangible assets associated with the GCA acquisition.</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0046AD"/>
        </w:rPr>
        <w:t>Impairment Recovery</w:t>
      </w:r>
    </w:p>
    <w:p>
      <w:pPr>
        <w:spacing w:after="0" w:line="193"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color w:val="auto"/>
        </w:rPr>
        <w:t>On May 31, 2017, we sold our Government Services business for $ 35.5 million. Based on the initial offer of $35.0 million received during the second quarter of 2017, we recorded a $17.4 million impairment recovery to adjust the fair value of certain previously impaired assets.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0046AD"/>
        </w:rPr>
        <w:t>Interest Expense</w:t>
      </w:r>
    </w:p>
    <w:p>
      <w:pPr>
        <w:spacing w:after="0" w:line="193" w:lineRule="exact"/>
        <w:rPr>
          <w:sz w:val="20"/>
          <w:szCs w:val="20"/>
          <w:color w:val="auto"/>
        </w:rPr>
      </w:pPr>
    </w:p>
    <w:p>
      <w:pPr>
        <w:jc w:val="both"/>
        <w:ind w:firstLine="648"/>
        <w:spacing w:after="0" w:line="262" w:lineRule="auto"/>
        <w:rPr>
          <w:sz w:val="20"/>
          <w:szCs w:val="20"/>
          <w:color w:val="auto"/>
        </w:rPr>
      </w:pPr>
      <w:r>
        <w:rPr>
          <w:rFonts w:ascii="Arial" w:cs="Arial" w:eastAsia="Arial" w:hAnsi="Arial"/>
          <w:sz w:val="18"/>
          <w:szCs w:val="18"/>
          <w:color w:val="auto"/>
        </w:rPr>
        <w:t>Interest expense increased by $21.8 million during the six months ended April 30, 2018, as compared to the six months ended April 30, 2017, primarily related to increased indebtedness incurred to fund the GCA acquisition and higher relative interest rates under our credit facility.</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0046AD"/>
        </w:rPr>
        <w:t>Income Taxes from Continuing Operations</w:t>
      </w:r>
    </w:p>
    <w:p>
      <w:pPr>
        <w:spacing w:after="0" w:line="193"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8"/>
          <w:szCs w:val="18"/>
          <w:color w:val="auto"/>
        </w:rPr>
        <w:t>During the six months ended April 30, 2018 we had an income tax benefit of $15.1 million, compared with an income tax provision of $23.2 million during the six months ended April 30, 2017. The 2018 period benefited from a net discrete tax benefit of $21.7 million related to the Tax Act, $2.3 million related to tax deductions on energy efficient government buildings, and $1.5 million of excess tax benefits related to the vesting of share-based compensation awards. These benefits were partially offset by a $1.5 million reduction in certain tax credits, including the prior year WOTC for new hires. The 2017 period was favorably impacted by $2.1 million of excess tax benefits related to the vesting of share-based compensation awards and the 2017 WOTC for new hires.</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0046AD"/>
        </w:rPr>
        <w:t>Discontinued Operations, Net of Taxes</w:t>
      </w:r>
    </w:p>
    <w:p>
      <w:pPr>
        <w:spacing w:after="0" w:line="193"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During the six months ended April 30, 2018 we had income from discontinued operations, net of taxes, of $1.1 million, compared with a loss from discontinued operations, net of taxes, of $73.2 million during the six months ended April 30, 2017, a change of $ 74.3 million. This change was due to an insurance reimbursement on a legal settlement received during the six months ended April 30, 2018, compared with a legal reserve established in the prior year in connection with certain legal settlement agreements.</w:t>
      </w: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20"/>
          </w:cols>
          <w:pgMar w:left="240" w:top="522" w:right="239" w:bottom="1440" w:gutter="0" w:footer="0" w:header="0"/>
        </w:sectPr>
      </w:pPr>
    </w:p>
    <w:bookmarkStart w:id="38" w:name="page39"/>
    <w:bookmarkEnd w:id="38"/>
    <w:p>
      <w:pPr>
        <w:spacing w:after="0"/>
        <w:rPr>
          <w:sz w:val="20"/>
          <w:szCs w:val="20"/>
          <w:color w:val="auto"/>
        </w:rPr>
      </w:pPr>
      <w:r>
        <w:rPr>
          <w:rFonts w:ascii="Arial" w:cs="Arial" w:eastAsia="Arial" w:hAnsi="Arial"/>
          <w:sz w:val="18"/>
          <w:szCs w:val="18"/>
          <w:b w:val="1"/>
          <w:bCs w:val="1"/>
          <w:i w:val="1"/>
          <w:iCs w:val="1"/>
          <w:color w:val="0046AD"/>
        </w:rPr>
        <w:t>Change in Fair Value of Interest Rate Swaps</w:t>
      </w:r>
    </w:p>
    <w:p>
      <w:pPr>
        <w:spacing w:after="0" w:line="193"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The fair value of interest rate swaps increased by $20.6 million during the six months ended April 30, 2018, as compared to the six months ended April 30, 2017. The increase was primarily due to rising interest rates and an increase in the notional amount of interest rate swaps. In November 2017, we entered into three additional interest rate swaps with a combined notional amount of $500.0 million and fixed interest rates of 1.65% and 1.69%. During April 2018, we elected to terminate all of our interest rate swaps and received cash proceeds of $25.9 million. We will amortize the resulting gain from AOCI to interest expense over the term of our Credit Facility.</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0046AD"/>
        </w:rPr>
        <w:t>Foreign Currency Translation</w:t>
      </w:r>
    </w:p>
    <w:p>
      <w:pPr>
        <w:spacing w:after="0" w:line="193" w:lineRule="exact"/>
        <w:rPr>
          <w:sz w:val="20"/>
          <w:szCs w:val="20"/>
          <w:color w:val="auto"/>
        </w:rPr>
      </w:pPr>
    </w:p>
    <w:p>
      <w:pPr>
        <w:jc w:val="both"/>
        <w:ind w:firstLine="486"/>
        <w:spacing w:after="0" w:line="254" w:lineRule="auto"/>
        <w:rPr>
          <w:sz w:val="20"/>
          <w:szCs w:val="20"/>
          <w:color w:val="auto"/>
        </w:rPr>
      </w:pPr>
      <w:r>
        <w:rPr>
          <w:rFonts w:ascii="Arial" w:cs="Arial" w:eastAsia="Arial" w:hAnsi="Arial"/>
          <w:sz w:val="18"/>
          <w:szCs w:val="18"/>
          <w:color w:val="auto"/>
        </w:rPr>
        <w:t>Foreign currency translation gain decreased by $ 1.3 million during the six months ended April 30, 2018, as compared to the six months ended April 30, 2017. This decrease was related to the strengthening of the USD against the GBP during the six months ended April 30, 2018. Future gains and losses on foreign currency translation will be dependent upon changes in the relative value of foreign currencies to the USD and the extent of our foreign assets and liabilities.</w:t>
      </w: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20"/>
          </w:cols>
          <w:pgMar w:left="240" w:top="522" w:right="239" w:bottom="1440" w:gutter="0" w:footer="0" w:header="0"/>
        </w:sectPr>
      </w:pPr>
    </w:p>
    <w:bookmarkStart w:id="39" w:name="page40"/>
    <w:bookmarkEnd w:id="39"/>
    <w:p>
      <w:pPr>
        <w:spacing w:after="0"/>
        <w:rPr>
          <w:sz w:val="20"/>
          <w:szCs w:val="20"/>
          <w:color w:val="auto"/>
        </w:rPr>
      </w:pPr>
      <w:r>
        <w:rPr>
          <w:rFonts w:ascii="Arial" w:cs="Arial" w:eastAsia="Arial" w:hAnsi="Arial"/>
          <w:sz w:val="18"/>
          <w:szCs w:val="18"/>
          <w:b w:val="1"/>
          <w:bCs w:val="1"/>
          <w:i w:val="1"/>
          <w:iCs w:val="1"/>
          <w:color w:val="0046AD"/>
        </w:rPr>
        <w:t>Segment Information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0046AD"/>
        </w:rPr>
        <w:t>Financial Information for Each Reportable Segment</w:t>
      </w:r>
    </w:p>
    <w:p>
      <w:pPr>
        <w:spacing w:after="0" w:line="365"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8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800" w:type="dxa"/>
            <w:vAlign w:val="bottom"/>
            <w:gridSpan w:val="6"/>
          </w:tcPr>
          <w:p>
            <w:pPr>
              <w:ind w:left="80"/>
              <w:spacing w:after="0"/>
              <w:rPr>
                <w:sz w:val="20"/>
                <w:szCs w:val="20"/>
                <w:color w:val="auto"/>
              </w:rPr>
            </w:pPr>
            <w:r>
              <w:rPr>
                <w:rFonts w:ascii="Arial" w:cs="Arial" w:eastAsia="Arial" w:hAnsi="Arial"/>
                <w:sz w:val="16"/>
                <w:szCs w:val="16"/>
                <w:b w:val="1"/>
                <w:bCs w:val="1"/>
                <w:color w:val="auto"/>
              </w:rPr>
              <w:t>Six Months Ended April 30,</w:t>
            </w:r>
          </w:p>
        </w:tc>
        <w:tc>
          <w:tcPr>
            <w:tcW w:w="1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700" w:type="dxa"/>
            <w:vAlign w:val="bottom"/>
            <w:gridSpan w:val="3"/>
          </w:tcPr>
          <w:p>
            <w:pPr>
              <w:ind w:left="40"/>
              <w:spacing w:after="0"/>
              <w:rPr>
                <w:sz w:val="20"/>
                <w:szCs w:val="20"/>
                <w:color w:val="auto"/>
              </w:rPr>
            </w:pPr>
            <w:r>
              <w:rPr>
                <w:rFonts w:ascii="Arial" w:cs="Arial" w:eastAsia="Arial" w:hAnsi="Arial"/>
                <w:sz w:val="14"/>
                <w:szCs w:val="14"/>
                <w:i w:val="1"/>
                <w:iCs w:val="1"/>
                <w:u w:val="single" w:color="auto"/>
                <w:color w:val="auto"/>
              </w:rPr>
              <w:t>(</w:t>
            </w:r>
            <w:r>
              <w:rPr>
                <w:rFonts w:ascii="Arial" w:cs="Arial" w:eastAsia="Arial" w:hAnsi="Arial"/>
                <w:sz w:val="14"/>
                <w:szCs w:val="14"/>
                <w:i w:val="1"/>
                <w:iCs w:val="1"/>
                <w:color w:val="auto"/>
              </w:rPr>
              <w:t>$ in millions)</w:t>
            </w:r>
          </w:p>
        </w:tc>
        <w:tc>
          <w:tcPr>
            <w:tcW w:w="42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jc w:val="right"/>
              <w:ind w:right="500"/>
              <w:spacing w:after="0"/>
              <w:rPr>
                <w:sz w:val="20"/>
                <w:szCs w:val="20"/>
                <w:color w:val="auto"/>
              </w:rPr>
            </w:pPr>
            <w:r>
              <w:rPr>
                <w:rFonts w:ascii="Arial" w:cs="Arial" w:eastAsia="Arial" w:hAnsi="Arial"/>
                <w:sz w:val="16"/>
                <w:szCs w:val="16"/>
                <w:b w:val="1"/>
                <w:bCs w:val="1"/>
                <w:color w:val="auto"/>
              </w:rPr>
              <w:t>2018</w:t>
            </w:r>
          </w:p>
        </w:tc>
        <w:tc>
          <w:tcPr>
            <w:tcW w:w="12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gridSpan w:val="2"/>
          </w:tcPr>
          <w:p>
            <w:pPr>
              <w:jc w:val="right"/>
              <w:ind w:right="580"/>
              <w:spacing w:after="0"/>
              <w:rPr>
                <w:sz w:val="20"/>
                <w:szCs w:val="20"/>
                <w:color w:val="auto"/>
              </w:rPr>
            </w:pPr>
            <w:r>
              <w:rPr>
                <w:rFonts w:ascii="Arial" w:cs="Arial" w:eastAsia="Arial" w:hAnsi="Arial"/>
                <w:sz w:val="16"/>
                <w:szCs w:val="16"/>
                <w:b w:val="1"/>
                <w:bCs w:val="1"/>
                <w:color w:val="auto"/>
              </w:rPr>
              <w:t>2017</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540" w:type="dxa"/>
            <w:vAlign w:val="bottom"/>
            <w:gridSpan w:val="2"/>
          </w:tcPr>
          <w:p>
            <w:pPr>
              <w:ind w:left="400"/>
              <w:spacing w:after="0"/>
              <w:rPr>
                <w:sz w:val="20"/>
                <w:szCs w:val="20"/>
                <w:color w:val="auto"/>
              </w:rPr>
            </w:pPr>
            <w:r>
              <w:rPr>
                <w:rFonts w:ascii="Arial" w:cs="Arial" w:eastAsia="Arial" w:hAnsi="Arial"/>
                <w:sz w:val="16"/>
                <w:szCs w:val="16"/>
                <w:b w:val="1"/>
                <w:bCs w:val="1"/>
                <w:color w:val="auto"/>
              </w:rPr>
              <w:t>Increase / (Decrease)</w:t>
            </w:r>
          </w:p>
        </w:tc>
        <w:tc>
          <w:tcPr>
            <w:tcW w:w="0" w:type="dxa"/>
            <w:vAlign w:val="bottom"/>
          </w:tcPr>
          <w:p>
            <w:pPr>
              <w:spacing w:after="0"/>
              <w:rPr>
                <w:sz w:val="1"/>
                <w:szCs w:val="1"/>
                <w:color w:val="auto"/>
              </w:rPr>
            </w:pPr>
          </w:p>
        </w:tc>
      </w:tr>
      <w:tr>
        <w:trPr>
          <w:trHeight w:val="21"/>
        </w:trPr>
        <w:tc>
          <w:tcPr>
            <w:tcW w:w="40" w:type="dxa"/>
            <w:vAlign w:val="bottom"/>
            <w:tcBorders>
              <w:bottom w:val="single" w:sz="8" w:color="DCE2EF"/>
            </w:tcBorders>
          </w:tcPr>
          <w:p>
            <w:pPr>
              <w:spacing w:after="0" w:line="20" w:lineRule="exact"/>
              <w:rPr>
                <w:sz w:val="1"/>
                <w:szCs w:val="1"/>
                <w:color w:val="auto"/>
              </w:rPr>
            </w:pPr>
          </w:p>
        </w:tc>
        <w:tc>
          <w:tcPr>
            <w:tcW w:w="820" w:type="dxa"/>
            <w:vAlign w:val="bottom"/>
            <w:tcBorders>
              <w:top w:val="single" w:sz="8" w:color="auto"/>
              <w:bottom w:val="single" w:sz="8" w:color="DCE2EF"/>
            </w:tcBorders>
          </w:tcPr>
          <w:p>
            <w:pPr>
              <w:spacing w:after="0" w:line="20" w:lineRule="exact"/>
              <w:rPr>
                <w:sz w:val="1"/>
                <w:szCs w:val="1"/>
                <w:color w:val="auto"/>
              </w:rPr>
            </w:pPr>
          </w:p>
        </w:tc>
        <w:tc>
          <w:tcPr>
            <w:tcW w:w="2840" w:type="dxa"/>
            <w:vAlign w:val="bottom"/>
            <w:tcBorders>
              <w:bottom w:val="single" w:sz="8" w:color="DCE2EF"/>
            </w:tcBorders>
          </w:tcPr>
          <w:p>
            <w:pPr>
              <w:spacing w:after="0" w:line="20" w:lineRule="exact"/>
              <w:rPr>
                <w:sz w:val="1"/>
                <w:szCs w:val="1"/>
                <w:color w:val="auto"/>
              </w:rPr>
            </w:pPr>
          </w:p>
        </w:tc>
        <w:tc>
          <w:tcPr>
            <w:tcW w:w="420" w:type="dxa"/>
            <w:vAlign w:val="bottom"/>
            <w:tcBorders>
              <w:bottom w:val="single" w:sz="8" w:color="DCE2EF"/>
            </w:tcBorders>
          </w:tcPr>
          <w:p>
            <w:pPr>
              <w:spacing w:after="0" w:line="20" w:lineRule="exact"/>
              <w:rPr>
                <w:sz w:val="1"/>
                <w:szCs w:val="1"/>
                <w:color w:val="auto"/>
              </w:rPr>
            </w:pPr>
          </w:p>
        </w:tc>
        <w:tc>
          <w:tcPr>
            <w:tcW w:w="1300" w:type="dxa"/>
            <w:vAlign w:val="bottom"/>
            <w:tcBorders>
              <w:bottom w:val="single" w:sz="8" w:color="DCE2E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DCE2EF"/>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DCE2E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64"/>
        </w:trPr>
        <w:tc>
          <w:tcPr>
            <w:tcW w:w="3700" w:type="dxa"/>
            <w:vAlign w:val="bottom"/>
            <w:gridSpan w:val="3"/>
            <w:shd w:val="clear" w:color="auto" w:fill="DCE2EF"/>
          </w:tcPr>
          <w:p>
            <w:pPr>
              <w:ind w:left="40"/>
              <w:spacing w:after="0"/>
              <w:rPr>
                <w:sz w:val="20"/>
                <w:szCs w:val="20"/>
                <w:color w:val="auto"/>
              </w:rPr>
            </w:pPr>
            <w:r>
              <w:rPr>
                <w:rFonts w:ascii="Arial" w:cs="Arial" w:eastAsia="Arial" w:hAnsi="Arial"/>
                <w:sz w:val="16"/>
                <w:szCs w:val="16"/>
                <w:b w:val="1"/>
                <w:bCs w:val="1"/>
                <w:color w:val="auto"/>
              </w:rPr>
              <w:t>Revenues</w:t>
            </w:r>
          </w:p>
        </w:tc>
        <w:tc>
          <w:tcPr>
            <w:tcW w:w="420" w:type="dxa"/>
            <w:vAlign w:val="bottom"/>
            <w:shd w:val="clear" w:color="auto" w:fill="DCE2EF"/>
          </w:tcPr>
          <w:p>
            <w:pPr>
              <w:spacing w:after="0"/>
              <w:rPr>
                <w:sz w:val="22"/>
                <w:szCs w:val="22"/>
                <w:color w:val="auto"/>
              </w:rPr>
            </w:pPr>
          </w:p>
        </w:tc>
        <w:tc>
          <w:tcPr>
            <w:tcW w:w="1300" w:type="dxa"/>
            <w:vAlign w:val="bottom"/>
            <w:shd w:val="clear" w:color="auto" w:fill="DCE2EF"/>
          </w:tcPr>
          <w:p>
            <w:pPr>
              <w:spacing w:after="0"/>
              <w:rPr>
                <w:sz w:val="22"/>
                <w:szCs w:val="22"/>
                <w:color w:val="auto"/>
              </w:rPr>
            </w:pPr>
          </w:p>
        </w:tc>
        <w:tc>
          <w:tcPr>
            <w:tcW w:w="160" w:type="dxa"/>
            <w:vAlign w:val="bottom"/>
            <w:shd w:val="clear" w:color="auto" w:fill="DCE2EF"/>
          </w:tcPr>
          <w:p>
            <w:pPr>
              <w:spacing w:after="0"/>
              <w:rPr>
                <w:sz w:val="22"/>
                <w:szCs w:val="22"/>
                <w:color w:val="auto"/>
              </w:rPr>
            </w:pPr>
          </w:p>
        </w:tc>
        <w:tc>
          <w:tcPr>
            <w:tcW w:w="100" w:type="dxa"/>
            <w:vAlign w:val="bottom"/>
            <w:shd w:val="clear" w:color="auto" w:fill="DCE2EF"/>
          </w:tcPr>
          <w:p>
            <w:pPr>
              <w:spacing w:after="0"/>
              <w:rPr>
                <w:sz w:val="22"/>
                <w:szCs w:val="22"/>
                <w:color w:val="auto"/>
              </w:rPr>
            </w:pPr>
          </w:p>
        </w:tc>
        <w:tc>
          <w:tcPr>
            <w:tcW w:w="220" w:type="dxa"/>
            <w:vAlign w:val="bottom"/>
            <w:shd w:val="clear" w:color="auto" w:fill="DCE2EF"/>
          </w:tcPr>
          <w:p>
            <w:pPr>
              <w:spacing w:after="0"/>
              <w:rPr>
                <w:sz w:val="22"/>
                <w:szCs w:val="22"/>
                <w:color w:val="auto"/>
              </w:rPr>
            </w:pPr>
          </w:p>
        </w:tc>
        <w:tc>
          <w:tcPr>
            <w:tcW w:w="1040" w:type="dxa"/>
            <w:vAlign w:val="bottom"/>
            <w:shd w:val="clear" w:color="auto" w:fill="DCE2EF"/>
          </w:tcPr>
          <w:p>
            <w:pPr>
              <w:spacing w:after="0"/>
              <w:rPr>
                <w:sz w:val="22"/>
                <w:szCs w:val="22"/>
                <w:color w:val="auto"/>
              </w:rPr>
            </w:pPr>
          </w:p>
        </w:tc>
        <w:tc>
          <w:tcPr>
            <w:tcW w:w="120" w:type="dxa"/>
            <w:vAlign w:val="bottom"/>
            <w:shd w:val="clear" w:color="auto" w:fill="DCE2EF"/>
          </w:tcPr>
          <w:p>
            <w:pPr>
              <w:spacing w:after="0"/>
              <w:rPr>
                <w:sz w:val="22"/>
                <w:szCs w:val="22"/>
                <w:color w:val="auto"/>
              </w:rPr>
            </w:pPr>
          </w:p>
        </w:tc>
        <w:tc>
          <w:tcPr>
            <w:tcW w:w="500" w:type="dxa"/>
            <w:vAlign w:val="bottom"/>
            <w:shd w:val="clear" w:color="auto" w:fill="DCE2EF"/>
          </w:tcPr>
          <w:p>
            <w:pPr>
              <w:spacing w:after="0"/>
              <w:rPr>
                <w:sz w:val="22"/>
                <w:szCs w:val="22"/>
                <w:color w:val="auto"/>
              </w:rPr>
            </w:pPr>
          </w:p>
        </w:tc>
        <w:tc>
          <w:tcPr>
            <w:tcW w:w="100" w:type="dxa"/>
            <w:vAlign w:val="bottom"/>
            <w:shd w:val="clear" w:color="auto" w:fill="DCE2EF"/>
          </w:tcPr>
          <w:p>
            <w:pPr>
              <w:spacing w:after="0"/>
              <w:rPr>
                <w:sz w:val="22"/>
                <w:szCs w:val="22"/>
                <w:color w:val="auto"/>
              </w:rPr>
            </w:pPr>
          </w:p>
        </w:tc>
        <w:tc>
          <w:tcPr>
            <w:tcW w:w="920" w:type="dxa"/>
            <w:vAlign w:val="bottom"/>
            <w:shd w:val="clear" w:color="auto" w:fill="DCE2EF"/>
          </w:tcPr>
          <w:p>
            <w:pPr>
              <w:spacing w:after="0"/>
              <w:rPr>
                <w:sz w:val="22"/>
                <w:szCs w:val="22"/>
                <w:color w:val="auto"/>
              </w:rPr>
            </w:pPr>
          </w:p>
        </w:tc>
        <w:tc>
          <w:tcPr>
            <w:tcW w:w="120" w:type="dxa"/>
            <w:vAlign w:val="bottom"/>
            <w:shd w:val="clear" w:color="auto" w:fill="DCE2EF"/>
          </w:tcPr>
          <w:p>
            <w:pPr>
              <w:spacing w:after="0"/>
              <w:rPr>
                <w:sz w:val="22"/>
                <w:szCs w:val="22"/>
                <w:color w:val="auto"/>
              </w:rPr>
            </w:pPr>
          </w:p>
        </w:tc>
        <w:tc>
          <w:tcPr>
            <w:tcW w:w="160" w:type="dxa"/>
            <w:vAlign w:val="bottom"/>
            <w:shd w:val="clear" w:color="auto" w:fill="DCE2EF"/>
          </w:tcPr>
          <w:p>
            <w:pPr>
              <w:spacing w:after="0"/>
              <w:rPr>
                <w:sz w:val="22"/>
                <w:szCs w:val="22"/>
                <w:color w:val="auto"/>
              </w:rPr>
            </w:pPr>
          </w:p>
        </w:tc>
        <w:tc>
          <w:tcPr>
            <w:tcW w:w="1080" w:type="dxa"/>
            <w:vAlign w:val="bottom"/>
            <w:shd w:val="clear" w:color="auto" w:fill="DCE2EF"/>
          </w:tcPr>
          <w:p>
            <w:pPr>
              <w:spacing w:after="0"/>
              <w:rPr>
                <w:sz w:val="22"/>
                <w:szCs w:val="22"/>
                <w:color w:val="auto"/>
              </w:rPr>
            </w:pPr>
          </w:p>
        </w:tc>
        <w:tc>
          <w:tcPr>
            <w:tcW w:w="1460" w:type="dxa"/>
            <w:vAlign w:val="bottom"/>
            <w:shd w:val="clear" w:color="auto" w:fill="DCE2EF"/>
          </w:tcPr>
          <w:p>
            <w:pPr>
              <w:spacing w:after="0"/>
              <w:rPr>
                <w:sz w:val="22"/>
                <w:szCs w:val="22"/>
                <w:color w:val="auto"/>
              </w:rPr>
            </w:pPr>
          </w:p>
        </w:tc>
        <w:tc>
          <w:tcPr>
            <w:tcW w:w="0" w:type="dxa"/>
            <w:vAlign w:val="bottom"/>
          </w:tcPr>
          <w:p>
            <w:pPr>
              <w:spacing w:after="0"/>
              <w:rPr>
                <w:sz w:val="1"/>
                <w:szCs w:val="1"/>
                <w:color w:val="auto"/>
              </w:rPr>
            </w:pPr>
          </w:p>
        </w:tc>
      </w:tr>
      <w:tr>
        <w:trPr>
          <w:trHeight w:val="260"/>
        </w:trPr>
        <w:tc>
          <w:tcPr>
            <w:tcW w:w="3700" w:type="dxa"/>
            <w:vAlign w:val="bottom"/>
            <w:gridSpan w:val="3"/>
          </w:tcPr>
          <w:p>
            <w:pPr>
              <w:ind w:left="40"/>
              <w:spacing w:after="0"/>
              <w:rPr>
                <w:sz w:val="20"/>
                <w:szCs w:val="20"/>
                <w:color w:val="auto"/>
              </w:rPr>
            </w:pPr>
            <w:r>
              <w:rPr>
                <w:rFonts w:ascii="Arial" w:cs="Arial" w:eastAsia="Arial" w:hAnsi="Arial"/>
                <w:sz w:val="16"/>
                <w:szCs w:val="16"/>
                <w:color w:val="auto"/>
              </w:rPr>
              <w:t>Business &amp; Industry</w:t>
            </w:r>
          </w:p>
        </w:tc>
        <w:tc>
          <w:tcPr>
            <w:tcW w:w="420" w:type="dxa"/>
            <w:vAlign w:val="bottom"/>
          </w:tcPr>
          <w:p>
            <w:pPr>
              <w:spacing w:after="0"/>
              <w:rPr>
                <w:sz w:val="22"/>
                <w:szCs w:val="22"/>
                <w:color w:val="auto"/>
              </w:rPr>
            </w:pPr>
          </w:p>
        </w:tc>
        <w:tc>
          <w:tcPr>
            <w:tcW w:w="1460" w:type="dxa"/>
            <w:vAlign w:val="bottom"/>
            <w:gridSpan w:val="2"/>
          </w:tcPr>
          <w:p>
            <w:pPr>
              <w:jc w:val="right"/>
              <w:ind w:right="4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40" w:type="dxa"/>
            <w:vAlign w:val="bottom"/>
          </w:tcPr>
          <w:p>
            <w:pPr>
              <w:jc w:val="right"/>
              <w:ind w:right="80"/>
              <w:spacing w:after="0"/>
              <w:rPr>
                <w:sz w:val="20"/>
                <w:szCs w:val="20"/>
                <w:color w:val="auto"/>
              </w:rPr>
            </w:pPr>
            <w:r>
              <w:rPr>
                <w:rFonts w:ascii="Arial" w:cs="Arial" w:eastAsia="Arial" w:hAnsi="Arial"/>
                <w:sz w:val="16"/>
                <w:szCs w:val="16"/>
                <w:color w:val="auto"/>
              </w:rPr>
              <w:t>1,445.3</w:t>
            </w:r>
          </w:p>
        </w:tc>
        <w:tc>
          <w:tcPr>
            <w:tcW w:w="620" w:type="dxa"/>
            <w:vAlign w:val="bottom"/>
            <w:gridSpan w:val="2"/>
          </w:tcPr>
          <w:p>
            <w:pPr>
              <w:jc w:val="right"/>
              <w:ind w:right="380"/>
              <w:spacing w:after="0"/>
              <w:rPr>
                <w:sz w:val="20"/>
                <w:szCs w:val="20"/>
                <w:color w:val="auto"/>
              </w:rPr>
            </w:pPr>
            <w:r>
              <w:rPr>
                <w:rFonts w:ascii="Arial" w:cs="Arial" w:eastAsia="Arial" w:hAnsi="Arial"/>
                <w:sz w:val="16"/>
                <w:szCs w:val="16"/>
                <w:color w:val="auto"/>
              </w:rPr>
              <w:t>$</w:t>
            </w:r>
          </w:p>
        </w:tc>
        <w:tc>
          <w:tcPr>
            <w:tcW w:w="1020" w:type="dxa"/>
            <w:vAlign w:val="bottom"/>
            <w:gridSpan w:val="2"/>
          </w:tcPr>
          <w:p>
            <w:pPr>
              <w:jc w:val="right"/>
              <w:ind w:right="160"/>
              <w:spacing w:after="0"/>
              <w:rPr>
                <w:sz w:val="20"/>
                <w:szCs w:val="20"/>
                <w:color w:val="auto"/>
              </w:rPr>
            </w:pPr>
            <w:r>
              <w:rPr>
                <w:rFonts w:ascii="Arial" w:cs="Arial" w:eastAsia="Arial" w:hAnsi="Arial"/>
                <w:sz w:val="16"/>
                <w:szCs w:val="16"/>
                <w:color w:val="auto"/>
              </w:rPr>
              <w:t>1,293.0</w:t>
            </w:r>
          </w:p>
        </w:tc>
        <w:tc>
          <w:tcPr>
            <w:tcW w:w="120" w:type="dxa"/>
            <w:vAlign w:val="bottom"/>
          </w:tcPr>
          <w:p>
            <w:pPr>
              <w:spacing w:after="0"/>
              <w:rPr>
                <w:sz w:val="22"/>
                <w:szCs w:val="22"/>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80" w:type="dxa"/>
            <w:vAlign w:val="bottom"/>
          </w:tcPr>
          <w:p>
            <w:pPr>
              <w:jc w:val="right"/>
              <w:ind w:right="40"/>
              <w:spacing w:after="0"/>
              <w:rPr>
                <w:sz w:val="20"/>
                <w:szCs w:val="20"/>
                <w:color w:val="auto"/>
              </w:rPr>
            </w:pPr>
            <w:r>
              <w:rPr>
                <w:rFonts w:ascii="Arial" w:cs="Arial" w:eastAsia="Arial" w:hAnsi="Arial"/>
                <w:sz w:val="16"/>
                <w:szCs w:val="16"/>
                <w:color w:val="auto"/>
              </w:rPr>
              <w:t>152.3</w:t>
            </w:r>
          </w:p>
        </w:tc>
        <w:tc>
          <w:tcPr>
            <w:tcW w:w="1460" w:type="dxa"/>
            <w:vAlign w:val="bottom"/>
          </w:tcPr>
          <w:p>
            <w:pPr>
              <w:jc w:val="center"/>
              <w:ind w:left="38"/>
              <w:spacing w:after="0"/>
              <w:rPr>
                <w:sz w:val="20"/>
                <w:szCs w:val="20"/>
                <w:color w:val="auto"/>
              </w:rPr>
            </w:pPr>
            <w:r>
              <w:rPr>
                <w:rFonts w:ascii="Arial" w:cs="Arial" w:eastAsia="Arial" w:hAnsi="Arial"/>
                <w:sz w:val="16"/>
                <w:szCs w:val="16"/>
                <w:color w:val="auto"/>
              </w:rPr>
              <w:t>11.8%</w:t>
            </w:r>
          </w:p>
        </w:tc>
        <w:tc>
          <w:tcPr>
            <w:tcW w:w="0" w:type="dxa"/>
            <w:vAlign w:val="bottom"/>
          </w:tcPr>
          <w:p>
            <w:pPr>
              <w:spacing w:after="0"/>
              <w:rPr>
                <w:sz w:val="1"/>
                <w:szCs w:val="1"/>
                <w:color w:val="auto"/>
              </w:rPr>
            </w:pPr>
          </w:p>
        </w:tc>
      </w:tr>
      <w:tr>
        <w:trPr>
          <w:trHeight w:val="280"/>
        </w:trPr>
        <w:tc>
          <w:tcPr>
            <w:tcW w:w="3700" w:type="dxa"/>
            <w:vAlign w:val="bottom"/>
            <w:gridSpan w:val="3"/>
            <w:shd w:val="clear" w:color="auto" w:fill="DCE2EF"/>
          </w:tcPr>
          <w:p>
            <w:pPr>
              <w:ind w:left="40"/>
              <w:spacing w:after="0"/>
              <w:rPr>
                <w:sz w:val="20"/>
                <w:szCs w:val="20"/>
                <w:color w:val="auto"/>
              </w:rPr>
            </w:pPr>
            <w:r>
              <w:rPr>
                <w:rFonts w:ascii="Arial" w:cs="Arial" w:eastAsia="Arial" w:hAnsi="Arial"/>
                <w:sz w:val="16"/>
                <w:szCs w:val="16"/>
                <w:color w:val="auto"/>
              </w:rPr>
              <w:t>Aviation</w:t>
            </w:r>
          </w:p>
        </w:tc>
        <w:tc>
          <w:tcPr>
            <w:tcW w:w="420" w:type="dxa"/>
            <w:vAlign w:val="bottom"/>
            <w:shd w:val="clear" w:color="auto" w:fill="DCE2EF"/>
          </w:tcPr>
          <w:p>
            <w:pPr>
              <w:spacing w:after="0"/>
              <w:rPr>
                <w:sz w:val="24"/>
                <w:szCs w:val="24"/>
                <w:color w:val="auto"/>
              </w:rPr>
            </w:pPr>
          </w:p>
        </w:tc>
        <w:tc>
          <w:tcPr>
            <w:tcW w:w="1300" w:type="dxa"/>
            <w:vAlign w:val="bottom"/>
            <w:shd w:val="clear" w:color="auto" w:fill="DCE2EF"/>
          </w:tcPr>
          <w:p>
            <w:pPr>
              <w:spacing w:after="0"/>
              <w:rPr>
                <w:sz w:val="24"/>
                <w:szCs w:val="24"/>
                <w:color w:val="auto"/>
              </w:rPr>
            </w:pPr>
          </w:p>
        </w:tc>
        <w:tc>
          <w:tcPr>
            <w:tcW w:w="160" w:type="dxa"/>
            <w:vAlign w:val="bottom"/>
            <w:shd w:val="clear" w:color="auto" w:fill="DCE2EF"/>
          </w:tcPr>
          <w:p>
            <w:pPr>
              <w:spacing w:after="0"/>
              <w:rPr>
                <w:sz w:val="24"/>
                <w:szCs w:val="24"/>
                <w:color w:val="auto"/>
              </w:rPr>
            </w:pPr>
          </w:p>
        </w:tc>
        <w:tc>
          <w:tcPr>
            <w:tcW w:w="100" w:type="dxa"/>
            <w:vAlign w:val="bottom"/>
            <w:shd w:val="clear" w:color="auto" w:fill="DCE2EF"/>
          </w:tcPr>
          <w:p>
            <w:pPr>
              <w:spacing w:after="0"/>
              <w:rPr>
                <w:sz w:val="24"/>
                <w:szCs w:val="24"/>
                <w:color w:val="auto"/>
              </w:rPr>
            </w:pPr>
          </w:p>
        </w:tc>
        <w:tc>
          <w:tcPr>
            <w:tcW w:w="220" w:type="dxa"/>
            <w:vAlign w:val="bottom"/>
            <w:shd w:val="clear" w:color="auto" w:fill="DCE2EF"/>
          </w:tcPr>
          <w:p>
            <w:pPr>
              <w:spacing w:after="0"/>
              <w:rPr>
                <w:sz w:val="24"/>
                <w:szCs w:val="24"/>
                <w:color w:val="auto"/>
              </w:rPr>
            </w:pPr>
          </w:p>
        </w:tc>
        <w:tc>
          <w:tcPr>
            <w:tcW w:w="1040" w:type="dxa"/>
            <w:vAlign w:val="bottom"/>
            <w:shd w:val="clear" w:color="auto" w:fill="DCE2EF"/>
          </w:tcPr>
          <w:p>
            <w:pPr>
              <w:jc w:val="right"/>
              <w:ind w:right="80"/>
              <w:spacing w:after="0"/>
              <w:rPr>
                <w:sz w:val="20"/>
                <w:szCs w:val="20"/>
                <w:color w:val="auto"/>
              </w:rPr>
            </w:pPr>
            <w:r>
              <w:rPr>
                <w:rFonts w:ascii="Arial" w:cs="Arial" w:eastAsia="Arial" w:hAnsi="Arial"/>
                <w:sz w:val="16"/>
                <w:szCs w:val="16"/>
                <w:color w:val="auto"/>
              </w:rPr>
              <w:t>501.6</w:t>
            </w:r>
          </w:p>
        </w:tc>
        <w:tc>
          <w:tcPr>
            <w:tcW w:w="120" w:type="dxa"/>
            <w:vAlign w:val="bottom"/>
            <w:shd w:val="clear" w:color="auto" w:fill="DCE2EF"/>
          </w:tcPr>
          <w:p>
            <w:pPr>
              <w:spacing w:after="0"/>
              <w:rPr>
                <w:sz w:val="24"/>
                <w:szCs w:val="24"/>
                <w:color w:val="auto"/>
              </w:rPr>
            </w:pPr>
          </w:p>
        </w:tc>
        <w:tc>
          <w:tcPr>
            <w:tcW w:w="500" w:type="dxa"/>
            <w:vAlign w:val="bottom"/>
            <w:shd w:val="clear" w:color="auto" w:fill="DCE2EF"/>
          </w:tcPr>
          <w:p>
            <w:pPr>
              <w:spacing w:after="0"/>
              <w:rPr>
                <w:sz w:val="24"/>
                <w:szCs w:val="24"/>
                <w:color w:val="auto"/>
              </w:rPr>
            </w:pPr>
          </w:p>
        </w:tc>
        <w:tc>
          <w:tcPr>
            <w:tcW w:w="1020" w:type="dxa"/>
            <w:vAlign w:val="bottom"/>
            <w:gridSpan w:val="2"/>
            <w:shd w:val="clear" w:color="auto" w:fill="DCE2EF"/>
          </w:tcPr>
          <w:p>
            <w:pPr>
              <w:jc w:val="right"/>
              <w:ind w:right="160"/>
              <w:spacing w:after="0"/>
              <w:rPr>
                <w:sz w:val="20"/>
                <w:szCs w:val="20"/>
                <w:color w:val="auto"/>
              </w:rPr>
            </w:pPr>
            <w:r>
              <w:rPr>
                <w:rFonts w:ascii="Arial" w:cs="Arial" w:eastAsia="Arial" w:hAnsi="Arial"/>
                <w:sz w:val="16"/>
                <w:szCs w:val="16"/>
                <w:color w:val="auto"/>
              </w:rPr>
              <w:t>464.0</w:t>
            </w:r>
          </w:p>
        </w:tc>
        <w:tc>
          <w:tcPr>
            <w:tcW w:w="120" w:type="dxa"/>
            <w:vAlign w:val="bottom"/>
            <w:shd w:val="clear" w:color="auto" w:fill="DCE2EF"/>
          </w:tcPr>
          <w:p>
            <w:pPr>
              <w:spacing w:after="0"/>
              <w:rPr>
                <w:sz w:val="24"/>
                <w:szCs w:val="24"/>
                <w:color w:val="auto"/>
              </w:rPr>
            </w:pPr>
          </w:p>
        </w:tc>
        <w:tc>
          <w:tcPr>
            <w:tcW w:w="160" w:type="dxa"/>
            <w:vAlign w:val="bottom"/>
            <w:shd w:val="clear" w:color="auto" w:fill="DCE2EF"/>
          </w:tcPr>
          <w:p>
            <w:pPr>
              <w:spacing w:after="0"/>
              <w:rPr>
                <w:sz w:val="24"/>
                <w:szCs w:val="24"/>
                <w:color w:val="auto"/>
              </w:rPr>
            </w:pPr>
          </w:p>
        </w:tc>
        <w:tc>
          <w:tcPr>
            <w:tcW w:w="1080" w:type="dxa"/>
            <w:vAlign w:val="bottom"/>
            <w:shd w:val="clear" w:color="auto" w:fill="DCE2EF"/>
          </w:tcPr>
          <w:p>
            <w:pPr>
              <w:jc w:val="right"/>
              <w:ind w:right="40"/>
              <w:spacing w:after="0"/>
              <w:rPr>
                <w:sz w:val="20"/>
                <w:szCs w:val="20"/>
                <w:color w:val="auto"/>
              </w:rPr>
            </w:pPr>
            <w:r>
              <w:rPr>
                <w:rFonts w:ascii="Arial" w:cs="Arial" w:eastAsia="Arial" w:hAnsi="Arial"/>
                <w:sz w:val="16"/>
                <w:szCs w:val="16"/>
                <w:color w:val="auto"/>
              </w:rPr>
              <w:t>37.6</w:t>
            </w:r>
          </w:p>
        </w:tc>
        <w:tc>
          <w:tcPr>
            <w:tcW w:w="1460" w:type="dxa"/>
            <w:vAlign w:val="bottom"/>
            <w:shd w:val="clear" w:color="auto" w:fill="DCE2EF"/>
          </w:tcPr>
          <w:p>
            <w:pPr>
              <w:jc w:val="center"/>
              <w:ind w:left="18"/>
              <w:spacing w:after="0"/>
              <w:rPr>
                <w:sz w:val="20"/>
                <w:szCs w:val="20"/>
                <w:color w:val="auto"/>
              </w:rPr>
            </w:pPr>
            <w:r>
              <w:rPr>
                <w:rFonts w:ascii="Arial" w:cs="Arial" w:eastAsia="Arial" w:hAnsi="Arial"/>
                <w:sz w:val="16"/>
                <w:szCs w:val="16"/>
                <w:color w:val="auto"/>
                <w:w w:val="98"/>
              </w:rPr>
              <w:t>8.1%</w:t>
            </w:r>
          </w:p>
        </w:tc>
        <w:tc>
          <w:tcPr>
            <w:tcW w:w="0" w:type="dxa"/>
            <w:vAlign w:val="bottom"/>
          </w:tcPr>
          <w:p>
            <w:pPr>
              <w:spacing w:after="0"/>
              <w:rPr>
                <w:sz w:val="1"/>
                <w:szCs w:val="1"/>
                <w:color w:val="auto"/>
              </w:rPr>
            </w:pPr>
          </w:p>
        </w:tc>
      </w:tr>
      <w:tr>
        <w:trPr>
          <w:trHeight w:val="260"/>
        </w:trPr>
        <w:tc>
          <w:tcPr>
            <w:tcW w:w="3700" w:type="dxa"/>
            <w:vAlign w:val="bottom"/>
            <w:gridSpan w:val="3"/>
          </w:tcPr>
          <w:p>
            <w:pPr>
              <w:ind w:left="40"/>
              <w:spacing w:after="0"/>
              <w:rPr>
                <w:sz w:val="20"/>
                <w:szCs w:val="20"/>
                <w:color w:val="auto"/>
              </w:rPr>
            </w:pPr>
            <w:r>
              <w:rPr>
                <w:rFonts w:ascii="Arial" w:cs="Arial" w:eastAsia="Arial" w:hAnsi="Arial"/>
                <w:sz w:val="16"/>
                <w:szCs w:val="16"/>
                <w:color w:val="auto"/>
              </w:rPr>
              <w:t>Technology &amp; Manufacturing</w:t>
            </w:r>
          </w:p>
        </w:tc>
        <w:tc>
          <w:tcPr>
            <w:tcW w:w="42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40" w:type="dxa"/>
            <w:vAlign w:val="bottom"/>
          </w:tcPr>
          <w:p>
            <w:pPr>
              <w:jc w:val="right"/>
              <w:ind w:right="80"/>
              <w:spacing w:after="0"/>
              <w:rPr>
                <w:sz w:val="20"/>
                <w:szCs w:val="20"/>
                <w:color w:val="auto"/>
              </w:rPr>
            </w:pPr>
            <w:r>
              <w:rPr>
                <w:rFonts w:ascii="Arial" w:cs="Arial" w:eastAsia="Arial" w:hAnsi="Arial"/>
                <w:sz w:val="16"/>
                <w:szCs w:val="16"/>
                <w:color w:val="auto"/>
              </w:rPr>
              <w:t>459.5</w:t>
            </w:r>
          </w:p>
        </w:tc>
        <w:tc>
          <w:tcPr>
            <w:tcW w:w="12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6"/>
                <w:szCs w:val="16"/>
                <w:color w:val="auto"/>
              </w:rPr>
              <w:t>332.9</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80" w:type="dxa"/>
            <w:vAlign w:val="bottom"/>
          </w:tcPr>
          <w:p>
            <w:pPr>
              <w:jc w:val="right"/>
              <w:ind w:right="40"/>
              <w:spacing w:after="0"/>
              <w:rPr>
                <w:sz w:val="20"/>
                <w:szCs w:val="20"/>
                <w:color w:val="auto"/>
              </w:rPr>
            </w:pPr>
            <w:r>
              <w:rPr>
                <w:rFonts w:ascii="Arial" w:cs="Arial" w:eastAsia="Arial" w:hAnsi="Arial"/>
                <w:sz w:val="16"/>
                <w:szCs w:val="16"/>
                <w:color w:val="auto"/>
              </w:rPr>
              <w:t>126.6</w:t>
            </w:r>
          </w:p>
        </w:tc>
        <w:tc>
          <w:tcPr>
            <w:tcW w:w="1460" w:type="dxa"/>
            <w:vAlign w:val="bottom"/>
          </w:tcPr>
          <w:p>
            <w:pPr>
              <w:jc w:val="center"/>
              <w:ind w:left="38"/>
              <w:spacing w:after="0"/>
              <w:rPr>
                <w:sz w:val="20"/>
                <w:szCs w:val="20"/>
                <w:color w:val="auto"/>
              </w:rPr>
            </w:pPr>
            <w:r>
              <w:rPr>
                <w:rFonts w:ascii="Arial" w:cs="Arial" w:eastAsia="Arial" w:hAnsi="Arial"/>
                <w:sz w:val="16"/>
                <w:szCs w:val="16"/>
                <w:color w:val="auto"/>
              </w:rPr>
              <w:t>38.0%</w:t>
            </w:r>
          </w:p>
        </w:tc>
        <w:tc>
          <w:tcPr>
            <w:tcW w:w="0" w:type="dxa"/>
            <w:vAlign w:val="bottom"/>
          </w:tcPr>
          <w:p>
            <w:pPr>
              <w:spacing w:after="0"/>
              <w:rPr>
                <w:sz w:val="1"/>
                <w:szCs w:val="1"/>
                <w:color w:val="auto"/>
              </w:rPr>
            </w:pPr>
          </w:p>
        </w:tc>
      </w:tr>
      <w:tr>
        <w:trPr>
          <w:trHeight w:val="280"/>
        </w:trPr>
        <w:tc>
          <w:tcPr>
            <w:tcW w:w="3700" w:type="dxa"/>
            <w:vAlign w:val="bottom"/>
            <w:gridSpan w:val="3"/>
            <w:shd w:val="clear" w:color="auto" w:fill="DCE2EF"/>
          </w:tcPr>
          <w:p>
            <w:pPr>
              <w:ind w:left="40"/>
              <w:spacing w:after="0"/>
              <w:rPr>
                <w:sz w:val="20"/>
                <w:szCs w:val="20"/>
                <w:color w:val="auto"/>
              </w:rPr>
            </w:pPr>
            <w:r>
              <w:rPr>
                <w:rFonts w:ascii="Arial" w:cs="Arial" w:eastAsia="Arial" w:hAnsi="Arial"/>
                <w:sz w:val="16"/>
                <w:szCs w:val="16"/>
                <w:color w:val="auto"/>
              </w:rPr>
              <w:t>Education</w:t>
            </w:r>
          </w:p>
        </w:tc>
        <w:tc>
          <w:tcPr>
            <w:tcW w:w="420" w:type="dxa"/>
            <w:vAlign w:val="bottom"/>
            <w:shd w:val="clear" w:color="auto" w:fill="DCE2EF"/>
          </w:tcPr>
          <w:p>
            <w:pPr>
              <w:spacing w:after="0"/>
              <w:rPr>
                <w:sz w:val="24"/>
                <w:szCs w:val="24"/>
                <w:color w:val="auto"/>
              </w:rPr>
            </w:pPr>
          </w:p>
        </w:tc>
        <w:tc>
          <w:tcPr>
            <w:tcW w:w="1300" w:type="dxa"/>
            <w:vAlign w:val="bottom"/>
            <w:shd w:val="clear" w:color="auto" w:fill="DCE2EF"/>
          </w:tcPr>
          <w:p>
            <w:pPr>
              <w:spacing w:after="0"/>
              <w:rPr>
                <w:sz w:val="24"/>
                <w:szCs w:val="24"/>
                <w:color w:val="auto"/>
              </w:rPr>
            </w:pPr>
          </w:p>
        </w:tc>
        <w:tc>
          <w:tcPr>
            <w:tcW w:w="160" w:type="dxa"/>
            <w:vAlign w:val="bottom"/>
            <w:shd w:val="clear" w:color="auto" w:fill="DCE2EF"/>
          </w:tcPr>
          <w:p>
            <w:pPr>
              <w:spacing w:after="0"/>
              <w:rPr>
                <w:sz w:val="24"/>
                <w:szCs w:val="24"/>
                <w:color w:val="auto"/>
              </w:rPr>
            </w:pPr>
          </w:p>
        </w:tc>
        <w:tc>
          <w:tcPr>
            <w:tcW w:w="100" w:type="dxa"/>
            <w:vAlign w:val="bottom"/>
            <w:shd w:val="clear" w:color="auto" w:fill="DCE2EF"/>
          </w:tcPr>
          <w:p>
            <w:pPr>
              <w:spacing w:after="0"/>
              <w:rPr>
                <w:sz w:val="24"/>
                <w:szCs w:val="24"/>
                <w:color w:val="auto"/>
              </w:rPr>
            </w:pPr>
          </w:p>
        </w:tc>
        <w:tc>
          <w:tcPr>
            <w:tcW w:w="220" w:type="dxa"/>
            <w:vAlign w:val="bottom"/>
            <w:shd w:val="clear" w:color="auto" w:fill="DCE2EF"/>
          </w:tcPr>
          <w:p>
            <w:pPr>
              <w:spacing w:after="0"/>
              <w:rPr>
                <w:sz w:val="24"/>
                <w:szCs w:val="24"/>
                <w:color w:val="auto"/>
              </w:rPr>
            </w:pPr>
          </w:p>
        </w:tc>
        <w:tc>
          <w:tcPr>
            <w:tcW w:w="1040" w:type="dxa"/>
            <w:vAlign w:val="bottom"/>
            <w:shd w:val="clear" w:color="auto" w:fill="DCE2EF"/>
          </w:tcPr>
          <w:p>
            <w:pPr>
              <w:jc w:val="right"/>
              <w:ind w:right="80"/>
              <w:spacing w:after="0"/>
              <w:rPr>
                <w:sz w:val="20"/>
                <w:szCs w:val="20"/>
                <w:color w:val="auto"/>
              </w:rPr>
            </w:pPr>
            <w:r>
              <w:rPr>
                <w:rFonts w:ascii="Arial" w:cs="Arial" w:eastAsia="Arial" w:hAnsi="Arial"/>
                <w:sz w:val="16"/>
                <w:szCs w:val="16"/>
                <w:color w:val="auto"/>
              </w:rPr>
              <w:t>412.6</w:t>
            </w:r>
          </w:p>
        </w:tc>
        <w:tc>
          <w:tcPr>
            <w:tcW w:w="120" w:type="dxa"/>
            <w:vAlign w:val="bottom"/>
            <w:shd w:val="clear" w:color="auto" w:fill="DCE2EF"/>
          </w:tcPr>
          <w:p>
            <w:pPr>
              <w:spacing w:after="0"/>
              <w:rPr>
                <w:sz w:val="24"/>
                <w:szCs w:val="24"/>
                <w:color w:val="auto"/>
              </w:rPr>
            </w:pPr>
          </w:p>
        </w:tc>
        <w:tc>
          <w:tcPr>
            <w:tcW w:w="500" w:type="dxa"/>
            <w:vAlign w:val="bottom"/>
            <w:shd w:val="clear" w:color="auto" w:fill="DCE2EF"/>
          </w:tcPr>
          <w:p>
            <w:pPr>
              <w:spacing w:after="0"/>
              <w:rPr>
                <w:sz w:val="24"/>
                <w:szCs w:val="24"/>
                <w:color w:val="auto"/>
              </w:rPr>
            </w:pPr>
          </w:p>
        </w:tc>
        <w:tc>
          <w:tcPr>
            <w:tcW w:w="1020" w:type="dxa"/>
            <w:vAlign w:val="bottom"/>
            <w:gridSpan w:val="2"/>
            <w:shd w:val="clear" w:color="auto" w:fill="DCE2EF"/>
          </w:tcPr>
          <w:p>
            <w:pPr>
              <w:jc w:val="right"/>
              <w:ind w:right="160"/>
              <w:spacing w:after="0"/>
              <w:rPr>
                <w:sz w:val="20"/>
                <w:szCs w:val="20"/>
                <w:color w:val="auto"/>
              </w:rPr>
            </w:pPr>
            <w:r>
              <w:rPr>
                <w:rFonts w:ascii="Arial" w:cs="Arial" w:eastAsia="Arial" w:hAnsi="Arial"/>
                <w:sz w:val="16"/>
                <w:szCs w:val="16"/>
                <w:color w:val="auto"/>
              </w:rPr>
              <w:t>132.2</w:t>
            </w:r>
          </w:p>
        </w:tc>
        <w:tc>
          <w:tcPr>
            <w:tcW w:w="120" w:type="dxa"/>
            <w:vAlign w:val="bottom"/>
            <w:shd w:val="clear" w:color="auto" w:fill="DCE2EF"/>
          </w:tcPr>
          <w:p>
            <w:pPr>
              <w:spacing w:after="0"/>
              <w:rPr>
                <w:sz w:val="24"/>
                <w:szCs w:val="24"/>
                <w:color w:val="auto"/>
              </w:rPr>
            </w:pPr>
          </w:p>
        </w:tc>
        <w:tc>
          <w:tcPr>
            <w:tcW w:w="160" w:type="dxa"/>
            <w:vAlign w:val="bottom"/>
            <w:shd w:val="clear" w:color="auto" w:fill="DCE2EF"/>
          </w:tcPr>
          <w:p>
            <w:pPr>
              <w:spacing w:after="0"/>
              <w:rPr>
                <w:sz w:val="24"/>
                <w:szCs w:val="24"/>
                <w:color w:val="auto"/>
              </w:rPr>
            </w:pPr>
          </w:p>
        </w:tc>
        <w:tc>
          <w:tcPr>
            <w:tcW w:w="1080" w:type="dxa"/>
            <w:vAlign w:val="bottom"/>
            <w:shd w:val="clear" w:color="auto" w:fill="DCE2EF"/>
          </w:tcPr>
          <w:p>
            <w:pPr>
              <w:jc w:val="right"/>
              <w:ind w:right="40"/>
              <w:spacing w:after="0"/>
              <w:rPr>
                <w:sz w:val="20"/>
                <w:szCs w:val="20"/>
                <w:color w:val="auto"/>
              </w:rPr>
            </w:pPr>
            <w:r>
              <w:rPr>
                <w:rFonts w:ascii="Arial" w:cs="Arial" w:eastAsia="Arial" w:hAnsi="Arial"/>
                <w:sz w:val="16"/>
                <w:szCs w:val="16"/>
                <w:color w:val="auto"/>
              </w:rPr>
              <w:t>280.4</w:t>
            </w:r>
          </w:p>
        </w:tc>
        <w:tc>
          <w:tcPr>
            <w:tcW w:w="1460" w:type="dxa"/>
            <w:vAlign w:val="bottom"/>
            <w:shd w:val="clear" w:color="auto" w:fill="DCE2EF"/>
          </w:tcPr>
          <w:p>
            <w:pPr>
              <w:ind w:left="620"/>
              <w:spacing w:after="0"/>
              <w:rPr>
                <w:sz w:val="20"/>
                <w:szCs w:val="20"/>
                <w:color w:val="auto"/>
              </w:rPr>
            </w:pPr>
            <w:r>
              <w:rPr>
                <w:rFonts w:ascii="Arial" w:cs="Arial" w:eastAsia="Arial" w:hAnsi="Arial"/>
                <w:sz w:val="16"/>
                <w:szCs w:val="16"/>
                <w:color w:val="auto"/>
              </w:rPr>
              <w:t>NM*</w:t>
            </w:r>
          </w:p>
        </w:tc>
        <w:tc>
          <w:tcPr>
            <w:tcW w:w="0" w:type="dxa"/>
            <w:vAlign w:val="bottom"/>
          </w:tcPr>
          <w:p>
            <w:pPr>
              <w:spacing w:after="0"/>
              <w:rPr>
                <w:sz w:val="1"/>
                <w:szCs w:val="1"/>
                <w:color w:val="auto"/>
              </w:rPr>
            </w:pPr>
          </w:p>
        </w:tc>
      </w:tr>
      <w:tr>
        <w:trPr>
          <w:trHeight w:val="260"/>
        </w:trPr>
        <w:tc>
          <w:tcPr>
            <w:tcW w:w="3700" w:type="dxa"/>
            <w:vAlign w:val="bottom"/>
            <w:gridSpan w:val="3"/>
          </w:tcPr>
          <w:p>
            <w:pPr>
              <w:ind w:left="40"/>
              <w:spacing w:after="0"/>
              <w:rPr>
                <w:sz w:val="20"/>
                <w:szCs w:val="20"/>
                <w:color w:val="auto"/>
              </w:rPr>
            </w:pPr>
            <w:r>
              <w:rPr>
                <w:rFonts w:ascii="Arial" w:cs="Arial" w:eastAsia="Arial" w:hAnsi="Arial"/>
                <w:sz w:val="16"/>
                <w:szCs w:val="16"/>
                <w:color w:val="auto"/>
              </w:rPr>
              <w:t>Technical Solutions</w:t>
            </w:r>
          </w:p>
        </w:tc>
        <w:tc>
          <w:tcPr>
            <w:tcW w:w="42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40" w:type="dxa"/>
            <w:vAlign w:val="bottom"/>
          </w:tcPr>
          <w:p>
            <w:pPr>
              <w:jc w:val="right"/>
              <w:ind w:right="80"/>
              <w:spacing w:after="0"/>
              <w:rPr>
                <w:sz w:val="20"/>
                <w:szCs w:val="20"/>
                <w:color w:val="auto"/>
              </w:rPr>
            </w:pPr>
            <w:r>
              <w:rPr>
                <w:rFonts w:ascii="Arial" w:cs="Arial" w:eastAsia="Arial" w:hAnsi="Arial"/>
                <w:sz w:val="16"/>
                <w:szCs w:val="16"/>
                <w:color w:val="auto"/>
              </w:rPr>
              <w:t>212.5</w:t>
            </w:r>
          </w:p>
        </w:tc>
        <w:tc>
          <w:tcPr>
            <w:tcW w:w="12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6"/>
                <w:szCs w:val="16"/>
                <w:color w:val="auto"/>
              </w:rPr>
              <w:t>218.5</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(6.0)</w:t>
            </w:r>
          </w:p>
        </w:tc>
        <w:tc>
          <w:tcPr>
            <w:tcW w:w="1460" w:type="dxa"/>
            <w:vAlign w:val="bottom"/>
          </w:tcPr>
          <w:p>
            <w:pPr>
              <w:jc w:val="center"/>
              <w:ind w:left="18"/>
              <w:spacing w:after="0"/>
              <w:rPr>
                <w:sz w:val="20"/>
                <w:szCs w:val="20"/>
                <w:color w:val="auto"/>
              </w:rPr>
            </w:pPr>
            <w:r>
              <w:rPr>
                <w:rFonts w:ascii="Arial" w:cs="Arial" w:eastAsia="Arial" w:hAnsi="Arial"/>
                <w:sz w:val="16"/>
                <w:szCs w:val="16"/>
                <w:color w:val="auto"/>
              </w:rPr>
              <w:t>(2.7)%</w:t>
            </w:r>
          </w:p>
        </w:tc>
        <w:tc>
          <w:tcPr>
            <w:tcW w:w="0" w:type="dxa"/>
            <w:vAlign w:val="bottom"/>
          </w:tcPr>
          <w:p>
            <w:pPr>
              <w:spacing w:after="0"/>
              <w:rPr>
                <w:sz w:val="1"/>
                <w:szCs w:val="1"/>
                <w:color w:val="auto"/>
              </w:rPr>
            </w:pPr>
          </w:p>
        </w:tc>
      </w:tr>
      <w:tr>
        <w:trPr>
          <w:trHeight w:val="280"/>
        </w:trPr>
        <w:tc>
          <w:tcPr>
            <w:tcW w:w="3700" w:type="dxa"/>
            <w:vAlign w:val="bottom"/>
            <w:gridSpan w:val="3"/>
            <w:shd w:val="clear" w:color="auto" w:fill="DCE2EF"/>
          </w:tcPr>
          <w:p>
            <w:pPr>
              <w:ind w:left="40"/>
              <w:spacing w:after="0"/>
              <w:rPr>
                <w:sz w:val="20"/>
                <w:szCs w:val="20"/>
                <w:color w:val="auto"/>
              </w:rPr>
            </w:pPr>
            <w:r>
              <w:rPr>
                <w:rFonts w:ascii="Arial" w:cs="Arial" w:eastAsia="Arial" w:hAnsi="Arial"/>
                <w:sz w:val="16"/>
                <w:szCs w:val="16"/>
                <w:color w:val="auto"/>
              </w:rPr>
              <w:t>Healthcare</w:t>
            </w:r>
          </w:p>
        </w:tc>
        <w:tc>
          <w:tcPr>
            <w:tcW w:w="420" w:type="dxa"/>
            <w:vAlign w:val="bottom"/>
            <w:shd w:val="clear" w:color="auto" w:fill="DCE2EF"/>
          </w:tcPr>
          <w:p>
            <w:pPr>
              <w:spacing w:after="0"/>
              <w:rPr>
                <w:sz w:val="24"/>
                <w:szCs w:val="24"/>
                <w:color w:val="auto"/>
              </w:rPr>
            </w:pPr>
          </w:p>
        </w:tc>
        <w:tc>
          <w:tcPr>
            <w:tcW w:w="1300" w:type="dxa"/>
            <w:vAlign w:val="bottom"/>
            <w:shd w:val="clear" w:color="auto" w:fill="DCE2EF"/>
          </w:tcPr>
          <w:p>
            <w:pPr>
              <w:spacing w:after="0"/>
              <w:rPr>
                <w:sz w:val="24"/>
                <w:szCs w:val="24"/>
                <w:color w:val="auto"/>
              </w:rPr>
            </w:pPr>
          </w:p>
        </w:tc>
        <w:tc>
          <w:tcPr>
            <w:tcW w:w="160" w:type="dxa"/>
            <w:vAlign w:val="bottom"/>
            <w:shd w:val="clear" w:color="auto" w:fill="DCE2EF"/>
          </w:tcPr>
          <w:p>
            <w:pPr>
              <w:spacing w:after="0"/>
              <w:rPr>
                <w:sz w:val="24"/>
                <w:szCs w:val="24"/>
                <w:color w:val="auto"/>
              </w:rPr>
            </w:pPr>
          </w:p>
        </w:tc>
        <w:tc>
          <w:tcPr>
            <w:tcW w:w="100" w:type="dxa"/>
            <w:vAlign w:val="bottom"/>
            <w:shd w:val="clear" w:color="auto" w:fill="DCE2EF"/>
          </w:tcPr>
          <w:p>
            <w:pPr>
              <w:spacing w:after="0"/>
              <w:rPr>
                <w:sz w:val="24"/>
                <w:szCs w:val="24"/>
                <w:color w:val="auto"/>
              </w:rPr>
            </w:pPr>
          </w:p>
        </w:tc>
        <w:tc>
          <w:tcPr>
            <w:tcW w:w="220" w:type="dxa"/>
            <w:vAlign w:val="bottom"/>
            <w:shd w:val="clear" w:color="auto" w:fill="DCE2EF"/>
          </w:tcPr>
          <w:p>
            <w:pPr>
              <w:spacing w:after="0"/>
              <w:rPr>
                <w:sz w:val="24"/>
                <w:szCs w:val="24"/>
                <w:color w:val="auto"/>
              </w:rPr>
            </w:pPr>
          </w:p>
        </w:tc>
        <w:tc>
          <w:tcPr>
            <w:tcW w:w="1040" w:type="dxa"/>
            <w:vAlign w:val="bottom"/>
            <w:shd w:val="clear" w:color="auto" w:fill="DCE2EF"/>
          </w:tcPr>
          <w:p>
            <w:pPr>
              <w:jc w:val="right"/>
              <w:ind w:right="80"/>
              <w:spacing w:after="0"/>
              <w:rPr>
                <w:sz w:val="20"/>
                <w:szCs w:val="20"/>
                <w:color w:val="auto"/>
              </w:rPr>
            </w:pPr>
            <w:r>
              <w:rPr>
                <w:rFonts w:ascii="Arial" w:cs="Arial" w:eastAsia="Arial" w:hAnsi="Arial"/>
                <w:sz w:val="16"/>
                <w:szCs w:val="16"/>
                <w:color w:val="auto"/>
              </w:rPr>
              <w:t>137.6</w:t>
            </w:r>
          </w:p>
        </w:tc>
        <w:tc>
          <w:tcPr>
            <w:tcW w:w="120" w:type="dxa"/>
            <w:vAlign w:val="bottom"/>
            <w:shd w:val="clear" w:color="auto" w:fill="DCE2EF"/>
          </w:tcPr>
          <w:p>
            <w:pPr>
              <w:spacing w:after="0"/>
              <w:rPr>
                <w:sz w:val="24"/>
                <w:szCs w:val="24"/>
                <w:color w:val="auto"/>
              </w:rPr>
            </w:pPr>
          </w:p>
        </w:tc>
        <w:tc>
          <w:tcPr>
            <w:tcW w:w="500" w:type="dxa"/>
            <w:vAlign w:val="bottom"/>
            <w:shd w:val="clear" w:color="auto" w:fill="DCE2EF"/>
          </w:tcPr>
          <w:p>
            <w:pPr>
              <w:spacing w:after="0"/>
              <w:rPr>
                <w:sz w:val="24"/>
                <w:szCs w:val="24"/>
                <w:color w:val="auto"/>
              </w:rPr>
            </w:pPr>
          </w:p>
        </w:tc>
        <w:tc>
          <w:tcPr>
            <w:tcW w:w="1020" w:type="dxa"/>
            <w:vAlign w:val="bottom"/>
            <w:gridSpan w:val="2"/>
            <w:shd w:val="clear" w:color="auto" w:fill="DCE2EF"/>
          </w:tcPr>
          <w:p>
            <w:pPr>
              <w:jc w:val="right"/>
              <w:ind w:right="160"/>
              <w:spacing w:after="0"/>
              <w:rPr>
                <w:sz w:val="20"/>
                <w:szCs w:val="20"/>
                <w:color w:val="auto"/>
              </w:rPr>
            </w:pPr>
            <w:r>
              <w:rPr>
                <w:rFonts w:ascii="Arial" w:cs="Arial" w:eastAsia="Arial" w:hAnsi="Arial"/>
                <w:sz w:val="16"/>
                <w:szCs w:val="16"/>
                <w:color w:val="auto"/>
              </w:rPr>
              <w:t>122.3</w:t>
            </w:r>
          </w:p>
        </w:tc>
        <w:tc>
          <w:tcPr>
            <w:tcW w:w="120" w:type="dxa"/>
            <w:vAlign w:val="bottom"/>
            <w:shd w:val="clear" w:color="auto" w:fill="DCE2EF"/>
          </w:tcPr>
          <w:p>
            <w:pPr>
              <w:spacing w:after="0"/>
              <w:rPr>
                <w:sz w:val="24"/>
                <w:szCs w:val="24"/>
                <w:color w:val="auto"/>
              </w:rPr>
            </w:pPr>
          </w:p>
        </w:tc>
        <w:tc>
          <w:tcPr>
            <w:tcW w:w="160" w:type="dxa"/>
            <w:vAlign w:val="bottom"/>
            <w:shd w:val="clear" w:color="auto" w:fill="DCE2EF"/>
          </w:tcPr>
          <w:p>
            <w:pPr>
              <w:spacing w:after="0"/>
              <w:rPr>
                <w:sz w:val="24"/>
                <w:szCs w:val="24"/>
                <w:color w:val="auto"/>
              </w:rPr>
            </w:pPr>
          </w:p>
        </w:tc>
        <w:tc>
          <w:tcPr>
            <w:tcW w:w="1080" w:type="dxa"/>
            <w:vAlign w:val="bottom"/>
            <w:shd w:val="clear" w:color="auto" w:fill="DCE2EF"/>
          </w:tcPr>
          <w:p>
            <w:pPr>
              <w:jc w:val="right"/>
              <w:ind w:right="40"/>
              <w:spacing w:after="0"/>
              <w:rPr>
                <w:sz w:val="20"/>
                <w:szCs w:val="20"/>
                <w:color w:val="auto"/>
              </w:rPr>
            </w:pPr>
            <w:r>
              <w:rPr>
                <w:rFonts w:ascii="Arial" w:cs="Arial" w:eastAsia="Arial" w:hAnsi="Arial"/>
                <w:sz w:val="16"/>
                <w:szCs w:val="16"/>
                <w:color w:val="auto"/>
              </w:rPr>
              <w:t>15.3</w:t>
            </w:r>
          </w:p>
        </w:tc>
        <w:tc>
          <w:tcPr>
            <w:tcW w:w="1460" w:type="dxa"/>
            <w:vAlign w:val="bottom"/>
            <w:shd w:val="clear" w:color="auto" w:fill="DCE2EF"/>
          </w:tcPr>
          <w:p>
            <w:pPr>
              <w:jc w:val="center"/>
              <w:ind w:left="38"/>
              <w:spacing w:after="0"/>
              <w:rPr>
                <w:sz w:val="20"/>
                <w:szCs w:val="20"/>
                <w:color w:val="auto"/>
              </w:rPr>
            </w:pPr>
            <w:r>
              <w:rPr>
                <w:rFonts w:ascii="Arial" w:cs="Arial" w:eastAsia="Arial" w:hAnsi="Arial"/>
                <w:sz w:val="16"/>
                <w:szCs w:val="16"/>
                <w:color w:val="auto"/>
              </w:rPr>
              <w:t>12.5%</w:t>
            </w:r>
          </w:p>
        </w:tc>
        <w:tc>
          <w:tcPr>
            <w:tcW w:w="0" w:type="dxa"/>
            <w:vAlign w:val="bottom"/>
          </w:tcPr>
          <w:p>
            <w:pPr>
              <w:spacing w:after="0"/>
              <w:rPr>
                <w:sz w:val="1"/>
                <w:szCs w:val="1"/>
                <w:color w:val="auto"/>
              </w:rPr>
            </w:pPr>
          </w:p>
        </w:tc>
      </w:tr>
      <w:tr>
        <w:trPr>
          <w:trHeight w:val="264"/>
        </w:trPr>
        <w:tc>
          <w:tcPr>
            <w:tcW w:w="3700" w:type="dxa"/>
            <w:vAlign w:val="bottom"/>
            <w:tcBorders>
              <w:bottom w:val="single" w:sz="8" w:color="DCE2EF"/>
            </w:tcBorders>
            <w:gridSpan w:val="3"/>
          </w:tcPr>
          <w:p>
            <w:pPr>
              <w:ind w:left="40"/>
              <w:spacing w:after="0"/>
              <w:rPr>
                <w:sz w:val="20"/>
                <w:szCs w:val="20"/>
                <w:color w:val="auto"/>
              </w:rPr>
            </w:pPr>
            <w:r>
              <w:rPr>
                <w:rFonts w:ascii="Arial" w:cs="Arial" w:eastAsia="Arial" w:hAnsi="Arial"/>
                <w:sz w:val="16"/>
                <w:szCs w:val="16"/>
                <w:color w:val="auto"/>
              </w:rPr>
              <w:t>Government Services</w:t>
            </w:r>
          </w:p>
        </w:tc>
        <w:tc>
          <w:tcPr>
            <w:tcW w:w="420" w:type="dxa"/>
            <w:vAlign w:val="bottom"/>
            <w:tcBorders>
              <w:bottom w:val="single" w:sz="8" w:color="DCE2EF"/>
            </w:tcBorders>
          </w:tcPr>
          <w:p>
            <w:pPr>
              <w:spacing w:after="0"/>
              <w:rPr>
                <w:sz w:val="22"/>
                <w:szCs w:val="22"/>
                <w:color w:val="auto"/>
              </w:rPr>
            </w:pPr>
          </w:p>
        </w:tc>
        <w:tc>
          <w:tcPr>
            <w:tcW w:w="1300" w:type="dxa"/>
            <w:vAlign w:val="bottom"/>
            <w:tcBorders>
              <w:bottom w:val="single" w:sz="8" w:color="DCE2E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DCE2EF"/>
            </w:tcBorders>
          </w:tcPr>
          <w:p>
            <w:pPr>
              <w:spacing w:after="0"/>
              <w:rPr>
                <w:sz w:val="22"/>
                <w:szCs w:val="22"/>
                <w:color w:val="auto"/>
              </w:rPr>
            </w:pPr>
          </w:p>
        </w:tc>
        <w:tc>
          <w:tcPr>
            <w:tcW w:w="50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gridSpan w:val="2"/>
          </w:tcPr>
          <w:p>
            <w:pPr>
              <w:jc w:val="right"/>
              <w:ind w:right="160"/>
              <w:spacing w:after="0"/>
              <w:rPr>
                <w:sz w:val="20"/>
                <w:szCs w:val="20"/>
                <w:color w:val="auto"/>
              </w:rPr>
            </w:pPr>
            <w:r>
              <w:rPr>
                <w:rFonts w:ascii="Arial" w:cs="Arial" w:eastAsia="Arial" w:hAnsi="Arial"/>
                <w:sz w:val="16"/>
                <w:szCs w:val="16"/>
                <w:color w:val="auto"/>
              </w:rPr>
              <w:t>74.3</w:t>
            </w:r>
          </w:p>
        </w:tc>
        <w:tc>
          <w:tcPr>
            <w:tcW w:w="120" w:type="dxa"/>
            <w:vAlign w:val="bottom"/>
            <w:tcBorders>
              <w:bottom w:val="single" w:sz="8" w:color="DCE2E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(74.3)</w:t>
            </w:r>
          </w:p>
        </w:tc>
        <w:tc>
          <w:tcPr>
            <w:tcW w:w="1460" w:type="dxa"/>
            <w:vAlign w:val="bottom"/>
            <w:tcBorders>
              <w:bottom w:val="single" w:sz="8" w:color="DCE2EF"/>
            </w:tcBorders>
          </w:tcPr>
          <w:p>
            <w:pPr>
              <w:ind w:left="620"/>
              <w:spacing w:after="0"/>
              <w:rPr>
                <w:sz w:val="20"/>
                <w:szCs w:val="20"/>
                <w:color w:val="auto"/>
              </w:rPr>
            </w:pPr>
            <w:r>
              <w:rPr>
                <w:rFonts w:ascii="Arial" w:cs="Arial" w:eastAsia="Arial" w:hAnsi="Arial"/>
                <w:sz w:val="16"/>
                <w:szCs w:val="16"/>
                <w:color w:val="auto"/>
              </w:rPr>
              <w:t>NM*</w:t>
            </w:r>
          </w:p>
        </w:tc>
        <w:tc>
          <w:tcPr>
            <w:tcW w:w="0" w:type="dxa"/>
            <w:vAlign w:val="bottom"/>
          </w:tcPr>
          <w:p>
            <w:pPr>
              <w:spacing w:after="0"/>
              <w:rPr>
                <w:sz w:val="1"/>
                <w:szCs w:val="1"/>
                <w:color w:val="auto"/>
              </w:rPr>
            </w:pPr>
          </w:p>
        </w:tc>
      </w:tr>
      <w:tr>
        <w:trPr>
          <w:trHeight w:val="240"/>
        </w:trPr>
        <w:tc>
          <w:tcPr>
            <w:tcW w:w="40" w:type="dxa"/>
            <w:vAlign w:val="bottom"/>
            <w:shd w:val="clear" w:color="auto" w:fill="DCE2EF"/>
          </w:tcPr>
          <w:p>
            <w:pPr>
              <w:spacing w:after="0"/>
              <w:rPr>
                <w:sz w:val="20"/>
                <w:szCs w:val="20"/>
                <w:color w:val="auto"/>
              </w:rPr>
            </w:pPr>
          </w:p>
        </w:tc>
        <w:tc>
          <w:tcPr>
            <w:tcW w:w="820" w:type="dxa"/>
            <w:vAlign w:val="bottom"/>
            <w:shd w:val="clear" w:color="auto" w:fill="DCE2EF"/>
          </w:tcPr>
          <w:p>
            <w:pPr>
              <w:spacing w:after="0"/>
              <w:rPr>
                <w:sz w:val="20"/>
                <w:szCs w:val="20"/>
                <w:color w:val="auto"/>
              </w:rPr>
            </w:pPr>
          </w:p>
        </w:tc>
        <w:tc>
          <w:tcPr>
            <w:tcW w:w="2840" w:type="dxa"/>
            <w:vAlign w:val="bottom"/>
            <w:shd w:val="clear" w:color="auto" w:fill="DCE2EF"/>
          </w:tcPr>
          <w:p>
            <w:pPr>
              <w:spacing w:after="0"/>
              <w:rPr>
                <w:sz w:val="20"/>
                <w:szCs w:val="20"/>
                <w:color w:val="auto"/>
              </w:rPr>
            </w:pPr>
          </w:p>
        </w:tc>
        <w:tc>
          <w:tcPr>
            <w:tcW w:w="420" w:type="dxa"/>
            <w:vAlign w:val="bottom"/>
            <w:shd w:val="clear" w:color="auto" w:fill="DCE2EF"/>
          </w:tcPr>
          <w:p>
            <w:pPr>
              <w:spacing w:after="0"/>
              <w:rPr>
                <w:sz w:val="20"/>
                <w:szCs w:val="20"/>
                <w:color w:val="auto"/>
              </w:rPr>
            </w:pPr>
          </w:p>
        </w:tc>
        <w:tc>
          <w:tcPr>
            <w:tcW w:w="1460" w:type="dxa"/>
            <w:vAlign w:val="bottom"/>
            <w:gridSpan w:val="2"/>
            <w:shd w:val="clear" w:color="auto" w:fill="DCE2EF"/>
          </w:tcPr>
          <w:p>
            <w:pPr>
              <w:jc w:val="right"/>
              <w:ind w:right="40"/>
              <w:spacing w:after="0"/>
              <w:rPr>
                <w:sz w:val="20"/>
                <w:szCs w:val="20"/>
                <w:color w:val="auto"/>
              </w:rPr>
            </w:pPr>
            <w:r>
              <w:rPr>
                <w:rFonts w:ascii="Arial" w:cs="Arial" w:eastAsia="Arial" w:hAnsi="Arial"/>
                <w:sz w:val="16"/>
                <w:szCs w:val="16"/>
                <w:color w:val="auto"/>
              </w:rPr>
              <w:t>$</w:t>
            </w:r>
          </w:p>
        </w:tc>
        <w:tc>
          <w:tcPr>
            <w:tcW w:w="100" w:type="dxa"/>
            <w:vAlign w:val="bottom"/>
            <w:shd w:val="clear" w:color="auto" w:fill="DCE2EF"/>
          </w:tcPr>
          <w:p>
            <w:pPr>
              <w:spacing w:after="0"/>
              <w:rPr>
                <w:sz w:val="20"/>
                <w:szCs w:val="20"/>
                <w:color w:val="auto"/>
              </w:rPr>
            </w:pPr>
          </w:p>
        </w:tc>
        <w:tc>
          <w:tcPr>
            <w:tcW w:w="220" w:type="dxa"/>
            <w:vAlign w:val="bottom"/>
            <w:shd w:val="clear" w:color="auto" w:fill="DCE2EF"/>
          </w:tcPr>
          <w:p>
            <w:pPr>
              <w:spacing w:after="0"/>
              <w:rPr>
                <w:sz w:val="20"/>
                <w:szCs w:val="20"/>
                <w:color w:val="auto"/>
              </w:rPr>
            </w:pPr>
          </w:p>
        </w:tc>
        <w:tc>
          <w:tcPr>
            <w:tcW w:w="1040" w:type="dxa"/>
            <w:vAlign w:val="bottom"/>
            <w:shd w:val="clear" w:color="auto" w:fill="DCE2EF"/>
          </w:tcPr>
          <w:p>
            <w:pPr>
              <w:jc w:val="right"/>
              <w:ind w:right="80"/>
              <w:spacing w:after="0"/>
              <w:rPr>
                <w:sz w:val="20"/>
                <w:szCs w:val="20"/>
                <w:color w:val="auto"/>
              </w:rPr>
            </w:pPr>
            <w:r>
              <w:rPr>
                <w:rFonts w:ascii="Arial" w:cs="Arial" w:eastAsia="Arial" w:hAnsi="Arial"/>
                <w:sz w:val="16"/>
                <w:szCs w:val="16"/>
                <w:color w:val="auto"/>
              </w:rPr>
              <w:t>3,169.2</w:t>
            </w:r>
          </w:p>
        </w:tc>
        <w:tc>
          <w:tcPr>
            <w:tcW w:w="620" w:type="dxa"/>
            <w:vAlign w:val="bottom"/>
            <w:gridSpan w:val="2"/>
            <w:shd w:val="clear" w:color="auto" w:fill="DCE2EF"/>
          </w:tcPr>
          <w:p>
            <w:pPr>
              <w:jc w:val="right"/>
              <w:ind w:right="380"/>
              <w:spacing w:after="0"/>
              <w:rPr>
                <w:sz w:val="20"/>
                <w:szCs w:val="20"/>
                <w:color w:val="auto"/>
              </w:rPr>
            </w:pPr>
            <w:r>
              <w:rPr>
                <w:rFonts w:ascii="Arial" w:cs="Arial" w:eastAsia="Arial" w:hAnsi="Arial"/>
                <w:sz w:val="16"/>
                <w:szCs w:val="16"/>
                <w:color w:val="auto"/>
              </w:rPr>
              <w:t>$</w:t>
            </w:r>
          </w:p>
        </w:tc>
        <w:tc>
          <w:tcPr>
            <w:tcW w:w="1020" w:type="dxa"/>
            <w:vAlign w:val="bottom"/>
            <w:gridSpan w:val="2"/>
            <w:shd w:val="clear" w:color="auto" w:fill="DCE2EF"/>
          </w:tcPr>
          <w:p>
            <w:pPr>
              <w:jc w:val="right"/>
              <w:ind w:right="160"/>
              <w:spacing w:after="0"/>
              <w:rPr>
                <w:sz w:val="20"/>
                <w:szCs w:val="20"/>
                <w:color w:val="auto"/>
              </w:rPr>
            </w:pPr>
            <w:r>
              <w:rPr>
                <w:rFonts w:ascii="Arial" w:cs="Arial" w:eastAsia="Arial" w:hAnsi="Arial"/>
                <w:sz w:val="16"/>
                <w:szCs w:val="16"/>
                <w:color w:val="auto"/>
              </w:rPr>
              <w:t>2,637.2</w:t>
            </w:r>
          </w:p>
        </w:tc>
        <w:tc>
          <w:tcPr>
            <w:tcW w:w="120" w:type="dxa"/>
            <w:vAlign w:val="bottom"/>
            <w:shd w:val="clear" w:color="auto" w:fill="DCE2EF"/>
          </w:tcPr>
          <w:p>
            <w:pPr>
              <w:spacing w:after="0"/>
              <w:rPr>
                <w:sz w:val="20"/>
                <w:szCs w:val="20"/>
                <w:color w:val="auto"/>
              </w:rPr>
            </w:pPr>
          </w:p>
        </w:tc>
        <w:tc>
          <w:tcPr>
            <w:tcW w:w="160" w:type="dxa"/>
            <w:vAlign w:val="bottom"/>
            <w:shd w:val="clear" w:color="auto" w:fill="DCE2EF"/>
          </w:tcPr>
          <w:p>
            <w:pPr>
              <w:jc w:val="right"/>
              <w:spacing w:after="0"/>
              <w:rPr>
                <w:sz w:val="20"/>
                <w:szCs w:val="20"/>
                <w:color w:val="auto"/>
              </w:rPr>
            </w:pPr>
            <w:r>
              <w:rPr>
                <w:rFonts w:ascii="Arial" w:cs="Arial" w:eastAsia="Arial" w:hAnsi="Arial"/>
                <w:sz w:val="16"/>
                <w:szCs w:val="16"/>
                <w:color w:val="auto"/>
                <w:w w:val="89"/>
              </w:rPr>
              <w:t>$</w:t>
            </w:r>
          </w:p>
        </w:tc>
        <w:tc>
          <w:tcPr>
            <w:tcW w:w="1080" w:type="dxa"/>
            <w:vAlign w:val="bottom"/>
            <w:shd w:val="clear" w:color="auto" w:fill="DCE2EF"/>
          </w:tcPr>
          <w:p>
            <w:pPr>
              <w:jc w:val="right"/>
              <w:ind w:right="40"/>
              <w:spacing w:after="0"/>
              <w:rPr>
                <w:sz w:val="20"/>
                <w:szCs w:val="20"/>
                <w:color w:val="auto"/>
              </w:rPr>
            </w:pPr>
            <w:r>
              <w:rPr>
                <w:rFonts w:ascii="Arial" w:cs="Arial" w:eastAsia="Arial" w:hAnsi="Arial"/>
                <w:sz w:val="16"/>
                <w:szCs w:val="16"/>
                <w:color w:val="auto"/>
              </w:rPr>
              <w:t>532.0</w:t>
            </w:r>
          </w:p>
        </w:tc>
        <w:tc>
          <w:tcPr>
            <w:tcW w:w="1460" w:type="dxa"/>
            <w:vAlign w:val="bottom"/>
            <w:shd w:val="clear" w:color="auto" w:fill="DCE2EF"/>
          </w:tcPr>
          <w:p>
            <w:pPr>
              <w:jc w:val="center"/>
              <w:ind w:left="38"/>
              <w:spacing w:after="0"/>
              <w:rPr>
                <w:sz w:val="20"/>
                <w:szCs w:val="20"/>
                <w:color w:val="auto"/>
              </w:rPr>
            </w:pPr>
            <w:r>
              <w:rPr>
                <w:rFonts w:ascii="Arial" w:cs="Arial" w:eastAsia="Arial" w:hAnsi="Arial"/>
                <w:sz w:val="16"/>
                <w:szCs w:val="16"/>
                <w:color w:val="auto"/>
              </w:rPr>
              <w:t>20.2%</w:t>
            </w:r>
          </w:p>
        </w:tc>
        <w:tc>
          <w:tcPr>
            <w:tcW w:w="0" w:type="dxa"/>
            <w:vAlign w:val="bottom"/>
          </w:tcPr>
          <w:p>
            <w:pPr>
              <w:spacing w:after="0"/>
              <w:rPr>
                <w:sz w:val="1"/>
                <w:szCs w:val="1"/>
                <w:color w:val="auto"/>
              </w:rPr>
            </w:pPr>
          </w:p>
        </w:tc>
      </w:tr>
      <w:tr>
        <w:trPr>
          <w:trHeight w:val="20"/>
        </w:trPr>
        <w:tc>
          <w:tcPr>
            <w:tcW w:w="3700" w:type="dxa"/>
            <w:vAlign w:val="bottom"/>
            <w:tcBorders>
              <w:top w:val="single" w:sz="8" w:color="DCE2EF"/>
              <w:bottom w:val="single" w:sz="8" w:color="DCE2EF"/>
            </w:tcBorders>
            <w:gridSpan w:val="3"/>
            <w:vMerge w:val="restart"/>
          </w:tcPr>
          <w:p>
            <w:pPr>
              <w:ind w:left="40"/>
              <w:spacing w:after="0"/>
              <w:rPr>
                <w:sz w:val="20"/>
                <w:szCs w:val="20"/>
                <w:color w:val="auto"/>
              </w:rPr>
            </w:pPr>
            <w:r>
              <w:rPr>
                <w:rFonts w:ascii="Arial" w:cs="Arial" w:eastAsia="Arial" w:hAnsi="Arial"/>
                <w:sz w:val="16"/>
                <w:szCs w:val="16"/>
                <w:b w:val="1"/>
                <w:bCs w:val="1"/>
                <w:color w:val="auto"/>
              </w:rPr>
              <w:t>Operating profit (loss)</w:t>
            </w:r>
          </w:p>
        </w:tc>
        <w:tc>
          <w:tcPr>
            <w:tcW w:w="420" w:type="dxa"/>
            <w:vAlign w:val="bottom"/>
            <w:tcBorders>
              <w:top w:val="single" w:sz="8" w:color="DCE2EF"/>
            </w:tcBorders>
          </w:tcPr>
          <w:p>
            <w:pPr>
              <w:spacing w:after="0" w:line="20" w:lineRule="exact"/>
              <w:rPr>
                <w:sz w:val="1"/>
                <w:szCs w:val="1"/>
                <w:color w:val="auto"/>
              </w:rPr>
            </w:pPr>
          </w:p>
        </w:tc>
        <w:tc>
          <w:tcPr>
            <w:tcW w:w="1300" w:type="dxa"/>
            <w:vAlign w:val="bottom"/>
            <w:tcBorders>
              <w:top w:val="single" w:sz="8" w:color="DCE2E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DCE2EF"/>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DCE2E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DCE2E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4"/>
        </w:trPr>
        <w:tc>
          <w:tcPr>
            <w:tcW w:w="3700" w:type="dxa"/>
            <w:vAlign w:val="bottom"/>
            <w:gridSpan w:val="3"/>
            <w:vMerge w:val="continue"/>
          </w:tcPr>
          <w:p>
            <w:pPr>
              <w:spacing w:after="0"/>
              <w:rPr>
                <w:sz w:val="21"/>
                <w:szCs w:val="21"/>
                <w:color w:val="auto"/>
              </w:rPr>
            </w:pPr>
          </w:p>
        </w:tc>
        <w:tc>
          <w:tcPr>
            <w:tcW w:w="42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0"/>
        </w:trPr>
        <w:tc>
          <w:tcPr>
            <w:tcW w:w="3700" w:type="dxa"/>
            <w:vAlign w:val="bottom"/>
            <w:gridSpan w:val="3"/>
            <w:shd w:val="clear" w:color="auto" w:fill="DCE2EF"/>
          </w:tcPr>
          <w:p>
            <w:pPr>
              <w:ind w:left="40"/>
              <w:spacing w:after="0"/>
              <w:rPr>
                <w:sz w:val="20"/>
                <w:szCs w:val="20"/>
                <w:color w:val="auto"/>
              </w:rPr>
            </w:pPr>
            <w:r>
              <w:rPr>
                <w:rFonts w:ascii="Arial" w:cs="Arial" w:eastAsia="Arial" w:hAnsi="Arial"/>
                <w:sz w:val="16"/>
                <w:szCs w:val="16"/>
                <w:color w:val="auto"/>
              </w:rPr>
              <w:t>Business &amp; Industry</w:t>
            </w:r>
          </w:p>
        </w:tc>
        <w:tc>
          <w:tcPr>
            <w:tcW w:w="420" w:type="dxa"/>
            <w:vAlign w:val="bottom"/>
            <w:shd w:val="clear" w:color="auto" w:fill="DCE2EF"/>
          </w:tcPr>
          <w:p>
            <w:pPr>
              <w:spacing w:after="0"/>
              <w:rPr>
                <w:sz w:val="24"/>
                <w:szCs w:val="24"/>
                <w:color w:val="auto"/>
              </w:rPr>
            </w:pPr>
          </w:p>
        </w:tc>
        <w:tc>
          <w:tcPr>
            <w:tcW w:w="1460" w:type="dxa"/>
            <w:vAlign w:val="bottom"/>
            <w:gridSpan w:val="2"/>
            <w:shd w:val="clear" w:color="auto" w:fill="DCE2EF"/>
          </w:tcPr>
          <w:p>
            <w:pPr>
              <w:jc w:val="right"/>
              <w:ind w:right="40"/>
              <w:spacing w:after="0"/>
              <w:rPr>
                <w:sz w:val="20"/>
                <w:szCs w:val="20"/>
                <w:color w:val="auto"/>
              </w:rPr>
            </w:pPr>
            <w:r>
              <w:rPr>
                <w:rFonts w:ascii="Arial" w:cs="Arial" w:eastAsia="Arial" w:hAnsi="Arial"/>
                <w:sz w:val="16"/>
                <w:szCs w:val="16"/>
                <w:color w:val="auto"/>
              </w:rPr>
              <w:t>$</w:t>
            </w:r>
          </w:p>
        </w:tc>
        <w:tc>
          <w:tcPr>
            <w:tcW w:w="100" w:type="dxa"/>
            <w:vAlign w:val="bottom"/>
            <w:shd w:val="clear" w:color="auto" w:fill="DCE2EF"/>
          </w:tcPr>
          <w:p>
            <w:pPr>
              <w:spacing w:after="0"/>
              <w:rPr>
                <w:sz w:val="24"/>
                <w:szCs w:val="24"/>
                <w:color w:val="auto"/>
              </w:rPr>
            </w:pPr>
          </w:p>
        </w:tc>
        <w:tc>
          <w:tcPr>
            <w:tcW w:w="220" w:type="dxa"/>
            <w:vAlign w:val="bottom"/>
            <w:shd w:val="clear" w:color="auto" w:fill="DCE2EF"/>
          </w:tcPr>
          <w:p>
            <w:pPr>
              <w:spacing w:after="0"/>
              <w:rPr>
                <w:sz w:val="24"/>
                <w:szCs w:val="24"/>
                <w:color w:val="auto"/>
              </w:rPr>
            </w:pPr>
          </w:p>
        </w:tc>
        <w:tc>
          <w:tcPr>
            <w:tcW w:w="1040" w:type="dxa"/>
            <w:vAlign w:val="bottom"/>
            <w:shd w:val="clear" w:color="auto" w:fill="DCE2EF"/>
          </w:tcPr>
          <w:p>
            <w:pPr>
              <w:jc w:val="right"/>
              <w:ind w:right="80"/>
              <w:spacing w:after="0"/>
              <w:rPr>
                <w:sz w:val="20"/>
                <w:szCs w:val="20"/>
                <w:color w:val="auto"/>
              </w:rPr>
            </w:pPr>
            <w:r>
              <w:rPr>
                <w:rFonts w:ascii="Arial" w:cs="Arial" w:eastAsia="Arial" w:hAnsi="Arial"/>
                <w:sz w:val="16"/>
                <w:szCs w:val="16"/>
                <w:color w:val="auto"/>
              </w:rPr>
              <w:t>72.0</w:t>
            </w:r>
          </w:p>
        </w:tc>
        <w:tc>
          <w:tcPr>
            <w:tcW w:w="620" w:type="dxa"/>
            <w:vAlign w:val="bottom"/>
            <w:gridSpan w:val="2"/>
            <w:shd w:val="clear" w:color="auto" w:fill="DCE2EF"/>
          </w:tcPr>
          <w:p>
            <w:pPr>
              <w:jc w:val="right"/>
              <w:ind w:right="380"/>
              <w:spacing w:after="0"/>
              <w:rPr>
                <w:sz w:val="20"/>
                <w:szCs w:val="20"/>
                <w:color w:val="auto"/>
              </w:rPr>
            </w:pPr>
            <w:r>
              <w:rPr>
                <w:rFonts w:ascii="Arial" w:cs="Arial" w:eastAsia="Arial" w:hAnsi="Arial"/>
                <w:sz w:val="16"/>
                <w:szCs w:val="16"/>
                <w:color w:val="auto"/>
              </w:rPr>
              <w:t>$</w:t>
            </w:r>
          </w:p>
        </w:tc>
        <w:tc>
          <w:tcPr>
            <w:tcW w:w="1020" w:type="dxa"/>
            <w:vAlign w:val="bottom"/>
            <w:gridSpan w:val="2"/>
            <w:shd w:val="clear" w:color="auto" w:fill="DCE2EF"/>
          </w:tcPr>
          <w:p>
            <w:pPr>
              <w:jc w:val="right"/>
              <w:ind w:right="160"/>
              <w:spacing w:after="0"/>
              <w:rPr>
                <w:sz w:val="20"/>
                <w:szCs w:val="20"/>
                <w:color w:val="auto"/>
              </w:rPr>
            </w:pPr>
            <w:r>
              <w:rPr>
                <w:rFonts w:ascii="Arial" w:cs="Arial" w:eastAsia="Arial" w:hAnsi="Arial"/>
                <w:sz w:val="16"/>
                <w:szCs w:val="16"/>
                <w:color w:val="auto"/>
              </w:rPr>
              <w:t>63.2</w:t>
            </w:r>
          </w:p>
        </w:tc>
        <w:tc>
          <w:tcPr>
            <w:tcW w:w="120" w:type="dxa"/>
            <w:vAlign w:val="bottom"/>
            <w:shd w:val="clear" w:color="auto" w:fill="DCE2EF"/>
          </w:tcPr>
          <w:p>
            <w:pPr>
              <w:spacing w:after="0"/>
              <w:rPr>
                <w:sz w:val="24"/>
                <w:szCs w:val="24"/>
                <w:color w:val="auto"/>
              </w:rPr>
            </w:pPr>
          </w:p>
        </w:tc>
        <w:tc>
          <w:tcPr>
            <w:tcW w:w="160" w:type="dxa"/>
            <w:vAlign w:val="bottom"/>
            <w:shd w:val="clear" w:color="auto" w:fill="DCE2EF"/>
          </w:tcPr>
          <w:p>
            <w:pPr>
              <w:jc w:val="right"/>
              <w:spacing w:after="0"/>
              <w:rPr>
                <w:sz w:val="20"/>
                <w:szCs w:val="20"/>
                <w:color w:val="auto"/>
              </w:rPr>
            </w:pPr>
            <w:r>
              <w:rPr>
                <w:rFonts w:ascii="Arial" w:cs="Arial" w:eastAsia="Arial" w:hAnsi="Arial"/>
                <w:sz w:val="16"/>
                <w:szCs w:val="16"/>
                <w:color w:val="auto"/>
                <w:w w:val="89"/>
              </w:rPr>
              <w:t>$</w:t>
            </w:r>
          </w:p>
        </w:tc>
        <w:tc>
          <w:tcPr>
            <w:tcW w:w="1080" w:type="dxa"/>
            <w:vAlign w:val="bottom"/>
            <w:shd w:val="clear" w:color="auto" w:fill="DCE2EF"/>
          </w:tcPr>
          <w:p>
            <w:pPr>
              <w:jc w:val="right"/>
              <w:ind w:right="40"/>
              <w:spacing w:after="0"/>
              <w:rPr>
                <w:sz w:val="20"/>
                <w:szCs w:val="20"/>
                <w:color w:val="auto"/>
              </w:rPr>
            </w:pPr>
            <w:r>
              <w:rPr>
                <w:rFonts w:ascii="Arial" w:cs="Arial" w:eastAsia="Arial" w:hAnsi="Arial"/>
                <w:sz w:val="16"/>
                <w:szCs w:val="16"/>
                <w:color w:val="auto"/>
              </w:rPr>
              <w:t>8.8</w:t>
            </w:r>
          </w:p>
        </w:tc>
        <w:tc>
          <w:tcPr>
            <w:tcW w:w="1460" w:type="dxa"/>
            <w:vAlign w:val="bottom"/>
            <w:shd w:val="clear" w:color="auto" w:fill="DCE2EF"/>
          </w:tcPr>
          <w:p>
            <w:pPr>
              <w:jc w:val="center"/>
              <w:ind w:left="38"/>
              <w:spacing w:after="0"/>
              <w:rPr>
                <w:sz w:val="20"/>
                <w:szCs w:val="20"/>
                <w:color w:val="auto"/>
              </w:rPr>
            </w:pPr>
            <w:r>
              <w:rPr>
                <w:rFonts w:ascii="Arial" w:cs="Arial" w:eastAsia="Arial" w:hAnsi="Arial"/>
                <w:sz w:val="16"/>
                <w:szCs w:val="16"/>
                <w:color w:val="auto"/>
              </w:rPr>
              <w:t>14.0%</w:t>
            </w:r>
          </w:p>
        </w:tc>
        <w:tc>
          <w:tcPr>
            <w:tcW w:w="0" w:type="dxa"/>
            <w:vAlign w:val="bottom"/>
          </w:tcPr>
          <w:p>
            <w:pPr>
              <w:spacing w:after="0"/>
              <w:rPr>
                <w:sz w:val="1"/>
                <w:szCs w:val="1"/>
                <w:color w:val="auto"/>
              </w:rPr>
            </w:pPr>
          </w:p>
        </w:tc>
      </w:tr>
      <w:tr>
        <w:trPr>
          <w:trHeight w:val="264"/>
        </w:trPr>
        <w:tc>
          <w:tcPr>
            <w:tcW w:w="40" w:type="dxa"/>
            <w:vAlign w:val="bottom"/>
          </w:tcPr>
          <w:p>
            <w:pPr>
              <w:spacing w:after="0"/>
              <w:rPr>
                <w:sz w:val="22"/>
                <w:szCs w:val="22"/>
                <w:color w:val="auto"/>
              </w:rPr>
            </w:pPr>
          </w:p>
        </w:tc>
        <w:tc>
          <w:tcPr>
            <w:tcW w:w="3660" w:type="dxa"/>
            <w:vAlign w:val="bottom"/>
            <w:gridSpan w:val="2"/>
          </w:tcPr>
          <w:p>
            <w:pPr>
              <w:ind w:left="140"/>
              <w:spacing w:after="0"/>
              <w:rPr>
                <w:sz w:val="20"/>
                <w:szCs w:val="20"/>
                <w:color w:val="auto"/>
              </w:rPr>
            </w:pPr>
            <w:r>
              <w:rPr>
                <w:rFonts w:ascii="Arial" w:cs="Arial" w:eastAsia="Arial" w:hAnsi="Arial"/>
                <w:sz w:val="14"/>
                <w:szCs w:val="14"/>
                <w:i w:val="1"/>
                <w:iCs w:val="1"/>
                <w:color w:val="auto"/>
              </w:rPr>
              <w:t>Operating profit margin</w:t>
            </w:r>
          </w:p>
        </w:tc>
        <w:tc>
          <w:tcPr>
            <w:tcW w:w="42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Arial" w:cs="Arial" w:eastAsia="Arial" w:hAnsi="Arial"/>
                <w:sz w:val="14"/>
                <w:szCs w:val="14"/>
                <w:i w:val="1"/>
                <w:iCs w:val="1"/>
                <w:color w:val="auto"/>
              </w:rPr>
              <w:t>5.0%</w:t>
            </w:r>
          </w:p>
        </w:tc>
        <w:tc>
          <w:tcPr>
            <w:tcW w:w="12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1020" w:type="dxa"/>
            <w:vAlign w:val="bottom"/>
            <w:gridSpan w:val="2"/>
          </w:tcPr>
          <w:p>
            <w:pPr>
              <w:jc w:val="right"/>
              <w:ind w:right="40"/>
              <w:spacing w:after="0"/>
              <w:rPr>
                <w:sz w:val="20"/>
                <w:szCs w:val="20"/>
                <w:color w:val="auto"/>
              </w:rPr>
            </w:pPr>
            <w:r>
              <w:rPr>
                <w:rFonts w:ascii="Arial" w:cs="Arial" w:eastAsia="Arial" w:hAnsi="Arial"/>
                <w:sz w:val="14"/>
                <w:szCs w:val="14"/>
                <w:i w:val="1"/>
                <w:iCs w:val="1"/>
                <w:color w:val="auto"/>
              </w:rPr>
              <w:t>4.9%</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80" w:type="dxa"/>
            <w:vAlign w:val="bottom"/>
          </w:tcPr>
          <w:p>
            <w:pPr>
              <w:jc w:val="right"/>
              <w:ind w:right="40"/>
              <w:spacing w:after="0"/>
              <w:rPr>
                <w:sz w:val="20"/>
                <w:szCs w:val="20"/>
                <w:color w:val="auto"/>
              </w:rPr>
            </w:pPr>
            <w:r>
              <w:rPr>
                <w:rFonts w:ascii="Arial" w:cs="Arial" w:eastAsia="Arial" w:hAnsi="Arial"/>
                <w:sz w:val="14"/>
                <w:szCs w:val="14"/>
                <w:i w:val="1"/>
                <w:iCs w:val="1"/>
                <w:color w:val="auto"/>
              </w:rPr>
              <w:t>10 bps</w:t>
            </w:r>
          </w:p>
        </w:tc>
        <w:tc>
          <w:tcPr>
            <w:tcW w:w="14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3700" w:type="dxa"/>
            <w:vAlign w:val="bottom"/>
            <w:gridSpan w:val="3"/>
            <w:shd w:val="clear" w:color="auto" w:fill="DCE2EF"/>
          </w:tcPr>
          <w:p>
            <w:pPr>
              <w:ind w:left="40"/>
              <w:spacing w:after="0"/>
              <w:rPr>
                <w:sz w:val="20"/>
                <w:szCs w:val="20"/>
                <w:color w:val="auto"/>
              </w:rPr>
            </w:pPr>
            <w:r>
              <w:rPr>
                <w:rFonts w:ascii="Arial" w:cs="Arial" w:eastAsia="Arial" w:hAnsi="Arial"/>
                <w:sz w:val="16"/>
                <w:szCs w:val="16"/>
                <w:color w:val="auto"/>
              </w:rPr>
              <w:t>Aviation</w:t>
            </w:r>
          </w:p>
        </w:tc>
        <w:tc>
          <w:tcPr>
            <w:tcW w:w="420" w:type="dxa"/>
            <w:vAlign w:val="bottom"/>
            <w:shd w:val="clear" w:color="auto" w:fill="DCE2EF"/>
          </w:tcPr>
          <w:p>
            <w:pPr>
              <w:spacing w:after="0"/>
              <w:rPr>
                <w:sz w:val="24"/>
                <w:szCs w:val="24"/>
                <w:color w:val="auto"/>
              </w:rPr>
            </w:pPr>
          </w:p>
        </w:tc>
        <w:tc>
          <w:tcPr>
            <w:tcW w:w="1300" w:type="dxa"/>
            <w:vAlign w:val="bottom"/>
            <w:shd w:val="clear" w:color="auto" w:fill="DCE2EF"/>
          </w:tcPr>
          <w:p>
            <w:pPr>
              <w:spacing w:after="0"/>
              <w:rPr>
                <w:sz w:val="24"/>
                <w:szCs w:val="24"/>
                <w:color w:val="auto"/>
              </w:rPr>
            </w:pPr>
          </w:p>
        </w:tc>
        <w:tc>
          <w:tcPr>
            <w:tcW w:w="160" w:type="dxa"/>
            <w:vAlign w:val="bottom"/>
            <w:shd w:val="clear" w:color="auto" w:fill="DCE2EF"/>
          </w:tcPr>
          <w:p>
            <w:pPr>
              <w:spacing w:after="0"/>
              <w:rPr>
                <w:sz w:val="24"/>
                <w:szCs w:val="24"/>
                <w:color w:val="auto"/>
              </w:rPr>
            </w:pPr>
          </w:p>
        </w:tc>
        <w:tc>
          <w:tcPr>
            <w:tcW w:w="100" w:type="dxa"/>
            <w:vAlign w:val="bottom"/>
            <w:shd w:val="clear" w:color="auto" w:fill="DCE2EF"/>
          </w:tcPr>
          <w:p>
            <w:pPr>
              <w:spacing w:after="0"/>
              <w:rPr>
                <w:sz w:val="24"/>
                <w:szCs w:val="24"/>
                <w:color w:val="auto"/>
              </w:rPr>
            </w:pPr>
          </w:p>
        </w:tc>
        <w:tc>
          <w:tcPr>
            <w:tcW w:w="220" w:type="dxa"/>
            <w:vAlign w:val="bottom"/>
            <w:shd w:val="clear" w:color="auto" w:fill="DCE2EF"/>
          </w:tcPr>
          <w:p>
            <w:pPr>
              <w:spacing w:after="0"/>
              <w:rPr>
                <w:sz w:val="24"/>
                <w:szCs w:val="24"/>
                <w:color w:val="auto"/>
              </w:rPr>
            </w:pPr>
          </w:p>
        </w:tc>
        <w:tc>
          <w:tcPr>
            <w:tcW w:w="1040" w:type="dxa"/>
            <w:vAlign w:val="bottom"/>
            <w:shd w:val="clear" w:color="auto" w:fill="DCE2EF"/>
          </w:tcPr>
          <w:p>
            <w:pPr>
              <w:jc w:val="right"/>
              <w:ind w:right="80"/>
              <w:spacing w:after="0"/>
              <w:rPr>
                <w:sz w:val="20"/>
                <w:szCs w:val="20"/>
                <w:color w:val="auto"/>
              </w:rPr>
            </w:pPr>
            <w:r>
              <w:rPr>
                <w:rFonts w:ascii="Arial" w:cs="Arial" w:eastAsia="Arial" w:hAnsi="Arial"/>
                <w:sz w:val="16"/>
                <w:szCs w:val="16"/>
                <w:color w:val="auto"/>
              </w:rPr>
              <w:t>10.9</w:t>
            </w:r>
          </w:p>
        </w:tc>
        <w:tc>
          <w:tcPr>
            <w:tcW w:w="120" w:type="dxa"/>
            <w:vAlign w:val="bottom"/>
            <w:shd w:val="clear" w:color="auto" w:fill="DCE2EF"/>
          </w:tcPr>
          <w:p>
            <w:pPr>
              <w:spacing w:after="0"/>
              <w:rPr>
                <w:sz w:val="24"/>
                <w:szCs w:val="24"/>
                <w:color w:val="auto"/>
              </w:rPr>
            </w:pPr>
          </w:p>
        </w:tc>
        <w:tc>
          <w:tcPr>
            <w:tcW w:w="500" w:type="dxa"/>
            <w:vAlign w:val="bottom"/>
            <w:shd w:val="clear" w:color="auto" w:fill="DCE2EF"/>
          </w:tcPr>
          <w:p>
            <w:pPr>
              <w:spacing w:after="0"/>
              <w:rPr>
                <w:sz w:val="24"/>
                <w:szCs w:val="24"/>
                <w:color w:val="auto"/>
              </w:rPr>
            </w:pPr>
          </w:p>
        </w:tc>
        <w:tc>
          <w:tcPr>
            <w:tcW w:w="1020" w:type="dxa"/>
            <w:vAlign w:val="bottom"/>
            <w:gridSpan w:val="2"/>
            <w:shd w:val="clear" w:color="auto" w:fill="DCE2EF"/>
          </w:tcPr>
          <w:p>
            <w:pPr>
              <w:jc w:val="right"/>
              <w:ind w:right="160"/>
              <w:spacing w:after="0"/>
              <w:rPr>
                <w:sz w:val="20"/>
                <w:szCs w:val="20"/>
                <w:color w:val="auto"/>
              </w:rPr>
            </w:pPr>
            <w:r>
              <w:rPr>
                <w:rFonts w:ascii="Arial" w:cs="Arial" w:eastAsia="Arial" w:hAnsi="Arial"/>
                <w:sz w:val="16"/>
                <w:szCs w:val="16"/>
                <w:color w:val="auto"/>
              </w:rPr>
              <w:t>11.4</w:t>
            </w:r>
          </w:p>
        </w:tc>
        <w:tc>
          <w:tcPr>
            <w:tcW w:w="120" w:type="dxa"/>
            <w:vAlign w:val="bottom"/>
            <w:shd w:val="clear" w:color="auto" w:fill="DCE2EF"/>
          </w:tcPr>
          <w:p>
            <w:pPr>
              <w:spacing w:after="0"/>
              <w:rPr>
                <w:sz w:val="24"/>
                <w:szCs w:val="24"/>
                <w:color w:val="auto"/>
              </w:rPr>
            </w:pPr>
          </w:p>
        </w:tc>
        <w:tc>
          <w:tcPr>
            <w:tcW w:w="160" w:type="dxa"/>
            <w:vAlign w:val="bottom"/>
            <w:shd w:val="clear" w:color="auto" w:fill="DCE2EF"/>
          </w:tcPr>
          <w:p>
            <w:pPr>
              <w:spacing w:after="0"/>
              <w:rPr>
                <w:sz w:val="24"/>
                <w:szCs w:val="24"/>
                <w:color w:val="auto"/>
              </w:rPr>
            </w:pPr>
          </w:p>
        </w:tc>
        <w:tc>
          <w:tcPr>
            <w:tcW w:w="1080" w:type="dxa"/>
            <w:vAlign w:val="bottom"/>
            <w:shd w:val="clear" w:color="auto" w:fill="DCE2EF"/>
          </w:tcPr>
          <w:p>
            <w:pPr>
              <w:jc w:val="right"/>
              <w:spacing w:after="0"/>
              <w:rPr>
                <w:sz w:val="20"/>
                <w:szCs w:val="20"/>
                <w:color w:val="auto"/>
              </w:rPr>
            </w:pPr>
            <w:r>
              <w:rPr>
                <w:rFonts w:ascii="Arial" w:cs="Arial" w:eastAsia="Arial" w:hAnsi="Arial"/>
                <w:sz w:val="16"/>
                <w:szCs w:val="16"/>
                <w:color w:val="auto"/>
              </w:rPr>
              <w:t>(0.5)</w:t>
            </w:r>
          </w:p>
        </w:tc>
        <w:tc>
          <w:tcPr>
            <w:tcW w:w="1460" w:type="dxa"/>
            <w:vAlign w:val="bottom"/>
            <w:shd w:val="clear" w:color="auto" w:fill="DCE2EF"/>
          </w:tcPr>
          <w:p>
            <w:pPr>
              <w:jc w:val="center"/>
              <w:ind w:left="18"/>
              <w:spacing w:after="0"/>
              <w:rPr>
                <w:sz w:val="20"/>
                <w:szCs w:val="20"/>
                <w:color w:val="auto"/>
              </w:rPr>
            </w:pPr>
            <w:r>
              <w:rPr>
                <w:rFonts w:ascii="Arial" w:cs="Arial" w:eastAsia="Arial" w:hAnsi="Arial"/>
                <w:sz w:val="16"/>
                <w:szCs w:val="16"/>
                <w:color w:val="auto"/>
              </w:rPr>
              <w:t>(4.2)%</w:t>
            </w:r>
          </w:p>
        </w:tc>
        <w:tc>
          <w:tcPr>
            <w:tcW w:w="0" w:type="dxa"/>
            <w:vAlign w:val="bottom"/>
          </w:tcPr>
          <w:p>
            <w:pPr>
              <w:spacing w:after="0"/>
              <w:rPr>
                <w:sz w:val="1"/>
                <w:szCs w:val="1"/>
                <w:color w:val="auto"/>
              </w:rPr>
            </w:pPr>
          </w:p>
        </w:tc>
      </w:tr>
      <w:tr>
        <w:trPr>
          <w:trHeight w:val="264"/>
        </w:trPr>
        <w:tc>
          <w:tcPr>
            <w:tcW w:w="40" w:type="dxa"/>
            <w:vAlign w:val="bottom"/>
          </w:tcPr>
          <w:p>
            <w:pPr>
              <w:spacing w:after="0"/>
              <w:rPr>
                <w:sz w:val="22"/>
                <w:szCs w:val="22"/>
                <w:color w:val="auto"/>
              </w:rPr>
            </w:pPr>
          </w:p>
        </w:tc>
        <w:tc>
          <w:tcPr>
            <w:tcW w:w="3660" w:type="dxa"/>
            <w:vAlign w:val="bottom"/>
            <w:gridSpan w:val="2"/>
          </w:tcPr>
          <w:p>
            <w:pPr>
              <w:ind w:left="140"/>
              <w:spacing w:after="0"/>
              <w:rPr>
                <w:sz w:val="20"/>
                <w:szCs w:val="20"/>
                <w:color w:val="auto"/>
              </w:rPr>
            </w:pPr>
            <w:r>
              <w:rPr>
                <w:rFonts w:ascii="Arial" w:cs="Arial" w:eastAsia="Arial" w:hAnsi="Arial"/>
                <w:sz w:val="14"/>
                <w:szCs w:val="14"/>
                <w:i w:val="1"/>
                <w:iCs w:val="1"/>
                <w:color w:val="auto"/>
              </w:rPr>
              <w:t>Operating profit margin</w:t>
            </w:r>
          </w:p>
        </w:tc>
        <w:tc>
          <w:tcPr>
            <w:tcW w:w="42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Arial" w:cs="Arial" w:eastAsia="Arial" w:hAnsi="Arial"/>
                <w:sz w:val="14"/>
                <w:szCs w:val="14"/>
                <w:i w:val="1"/>
                <w:iCs w:val="1"/>
                <w:color w:val="auto"/>
              </w:rPr>
              <w:t>2.2%</w:t>
            </w:r>
          </w:p>
        </w:tc>
        <w:tc>
          <w:tcPr>
            <w:tcW w:w="12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1020" w:type="dxa"/>
            <w:vAlign w:val="bottom"/>
            <w:gridSpan w:val="2"/>
          </w:tcPr>
          <w:p>
            <w:pPr>
              <w:jc w:val="right"/>
              <w:ind w:right="40"/>
              <w:spacing w:after="0"/>
              <w:rPr>
                <w:sz w:val="20"/>
                <w:szCs w:val="20"/>
                <w:color w:val="auto"/>
              </w:rPr>
            </w:pPr>
            <w:r>
              <w:rPr>
                <w:rFonts w:ascii="Arial" w:cs="Arial" w:eastAsia="Arial" w:hAnsi="Arial"/>
                <w:sz w:val="14"/>
                <w:szCs w:val="14"/>
                <w:i w:val="1"/>
                <w:iCs w:val="1"/>
                <w:color w:val="auto"/>
              </w:rPr>
              <w:t>2.4%</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80" w:type="dxa"/>
            <w:vAlign w:val="bottom"/>
          </w:tcPr>
          <w:p>
            <w:pPr>
              <w:jc w:val="right"/>
              <w:ind w:right="40"/>
              <w:spacing w:after="0"/>
              <w:rPr>
                <w:sz w:val="20"/>
                <w:szCs w:val="20"/>
                <w:color w:val="auto"/>
              </w:rPr>
            </w:pPr>
            <w:r>
              <w:rPr>
                <w:rFonts w:ascii="Arial" w:cs="Arial" w:eastAsia="Arial" w:hAnsi="Arial"/>
                <w:sz w:val="14"/>
                <w:szCs w:val="14"/>
                <w:i w:val="1"/>
                <w:iCs w:val="1"/>
                <w:color w:val="auto"/>
              </w:rPr>
              <w:t>(28) bps</w:t>
            </w:r>
          </w:p>
        </w:tc>
        <w:tc>
          <w:tcPr>
            <w:tcW w:w="14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3700" w:type="dxa"/>
            <w:vAlign w:val="bottom"/>
            <w:gridSpan w:val="3"/>
            <w:shd w:val="clear" w:color="auto" w:fill="DCE2EF"/>
          </w:tcPr>
          <w:p>
            <w:pPr>
              <w:ind w:left="40"/>
              <w:spacing w:after="0"/>
              <w:rPr>
                <w:sz w:val="20"/>
                <w:szCs w:val="20"/>
                <w:color w:val="auto"/>
              </w:rPr>
            </w:pPr>
            <w:r>
              <w:rPr>
                <w:rFonts w:ascii="Arial" w:cs="Arial" w:eastAsia="Arial" w:hAnsi="Arial"/>
                <w:sz w:val="16"/>
                <w:szCs w:val="16"/>
                <w:color w:val="auto"/>
              </w:rPr>
              <w:t>Technology &amp; Manufacturing</w:t>
            </w:r>
          </w:p>
        </w:tc>
        <w:tc>
          <w:tcPr>
            <w:tcW w:w="420" w:type="dxa"/>
            <w:vAlign w:val="bottom"/>
            <w:shd w:val="clear" w:color="auto" w:fill="DCE2EF"/>
          </w:tcPr>
          <w:p>
            <w:pPr>
              <w:spacing w:after="0"/>
              <w:rPr>
                <w:sz w:val="24"/>
                <w:szCs w:val="24"/>
                <w:color w:val="auto"/>
              </w:rPr>
            </w:pPr>
          </w:p>
        </w:tc>
        <w:tc>
          <w:tcPr>
            <w:tcW w:w="1300" w:type="dxa"/>
            <w:vAlign w:val="bottom"/>
            <w:shd w:val="clear" w:color="auto" w:fill="DCE2EF"/>
          </w:tcPr>
          <w:p>
            <w:pPr>
              <w:spacing w:after="0"/>
              <w:rPr>
                <w:sz w:val="24"/>
                <w:szCs w:val="24"/>
                <w:color w:val="auto"/>
              </w:rPr>
            </w:pPr>
          </w:p>
        </w:tc>
        <w:tc>
          <w:tcPr>
            <w:tcW w:w="160" w:type="dxa"/>
            <w:vAlign w:val="bottom"/>
            <w:shd w:val="clear" w:color="auto" w:fill="DCE2EF"/>
          </w:tcPr>
          <w:p>
            <w:pPr>
              <w:spacing w:after="0"/>
              <w:rPr>
                <w:sz w:val="24"/>
                <w:szCs w:val="24"/>
                <w:color w:val="auto"/>
              </w:rPr>
            </w:pPr>
          </w:p>
        </w:tc>
        <w:tc>
          <w:tcPr>
            <w:tcW w:w="100" w:type="dxa"/>
            <w:vAlign w:val="bottom"/>
            <w:shd w:val="clear" w:color="auto" w:fill="DCE2EF"/>
          </w:tcPr>
          <w:p>
            <w:pPr>
              <w:spacing w:after="0"/>
              <w:rPr>
                <w:sz w:val="24"/>
                <w:szCs w:val="24"/>
                <w:color w:val="auto"/>
              </w:rPr>
            </w:pPr>
          </w:p>
        </w:tc>
        <w:tc>
          <w:tcPr>
            <w:tcW w:w="220" w:type="dxa"/>
            <w:vAlign w:val="bottom"/>
            <w:shd w:val="clear" w:color="auto" w:fill="DCE2EF"/>
          </w:tcPr>
          <w:p>
            <w:pPr>
              <w:spacing w:after="0"/>
              <w:rPr>
                <w:sz w:val="24"/>
                <w:szCs w:val="24"/>
                <w:color w:val="auto"/>
              </w:rPr>
            </w:pPr>
          </w:p>
        </w:tc>
        <w:tc>
          <w:tcPr>
            <w:tcW w:w="1040" w:type="dxa"/>
            <w:vAlign w:val="bottom"/>
            <w:shd w:val="clear" w:color="auto" w:fill="DCE2EF"/>
          </w:tcPr>
          <w:p>
            <w:pPr>
              <w:jc w:val="right"/>
              <w:ind w:right="80"/>
              <w:spacing w:after="0"/>
              <w:rPr>
                <w:sz w:val="20"/>
                <w:szCs w:val="20"/>
                <w:color w:val="auto"/>
              </w:rPr>
            </w:pPr>
            <w:r>
              <w:rPr>
                <w:rFonts w:ascii="Arial" w:cs="Arial" w:eastAsia="Arial" w:hAnsi="Arial"/>
                <w:sz w:val="16"/>
                <w:szCs w:val="16"/>
                <w:color w:val="auto"/>
              </w:rPr>
              <w:t>32.9</w:t>
            </w:r>
          </w:p>
        </w:tc>
        <w:tc>
          <w:tcPr>
            <w:tcW w:w="120" w:type="dxa"/>
            <w:vAlign w:val="bottom"/>
            <w:shd w:val="clear" w:color="auto" w:fill="DCE2EF"/>
          </w:tcPr>
          <w:p>
            <w:pPr>
              <w:spacing w:after="0"/>
              <w:rPr>
                <w:sz w:val="24"/>
                <w:szCs w:val="24"/>
                <w:color w:val="auto"/>
              </w:rPr>
            </w:pPr>
          </w:p>
        </w:tc>
        <w:tc>
          <w:tcPr>
            <w:tcW w:w="500" w:type="dxa"/>
            <w:vAlign w:val="bottom"/>
            <w:shd w:val="clear" w:color="auto" w:fill="DCE2EF"/>
          </w:tcPr>
          <w:p>
            <w:pPr>
              <w:spacing w:after="0"/>
              <w:rPr>
                <w:sz w:val="24"/>
                <w:szCs w:val="24"/>
                <w:color w:val="auto"/>
              </w:rPr>
            </w:pPr>
          </w:p>
        </w:tc>
        <w:tc>
          <w:tcPr>
            <w:tcW w:w="1020" w:type="dxa"/>
            <w:vAlign w:val="bottom"/>
            <w:gridSpan w:val="2"/>
            <w:shd w:val="clear" w:color="auto" w:fill="DCE2EF"/>
          </w:tcPr>
          <w:p>
            <w:pPr>
              <w:jc w:val="right"/>
              <w:ind w:right="160"/>
              <w:spacing w:after="0"/>
              <w:rPr>
                <w:sz w:val="20"/>
                <w:szCs w:val="20"/>
                <w:color w:val="auto"/>
              </w:rPr>
            </w:pPr>
            <w:r>
              <w:rPr>
                <w:rFonts w:ascii="Arial" w:cs="Arial" w:eastAsia="Arial" w:hAnsi="Arial"/>
                <w:sz w:val="16"/>
                <w:szCs w:val="16"/>
                <w:color w:val="auto"/>
              </w:rPr>
              <w:t>24.8</w:t>
            </w:r>
          </w:p>
        </w:tc>
        <w:tc>
          <w:tcPr>
            <w:tcW w:w="120" w:type="dxa"/>
            <w:vAlign w:val="bottom"/>
            <w:shd w:val="clear" w:color="auto" w:fill="DCE2EF"/>
          </w:tcPr>
          <w:p>
            <w:pPr>
              <w:spacing w:after="0"/>
              <w:rPr>
                <w:sz w:val="24"/>
                <w:szCs w:val="24"/>
                <w:color w:val="auto"/>
              </w:rPr>
            </w:pPr>
          </w:p>
        </w:tc>
        <w:tc>
          <w:tcPr>
            <w:tcW w:w="160" w:type="dxa"/>
            <w:vAlign w:val="bottom"/>
            <w:shd w:val="clear" w:color="auto" w:fill="DCE2EF"/>
          </w:tcPr>
          <w:p>
            <w:pPr>
              <w:spacing w:after="0"/>
              <w:rPr>
                <w:sz w:val="24"/>
                <w:szCs w:val="24"/>
                <w:color w:val="auto"/>
              </w:rPr>
            </w:pPr>
          </w:p>
        </w:tc>
        <w:tc>
          <w:tcPr>
            <w:tcW w:w="1080" w:type="dxa"/>
            <w:vAlign w:val="bottom"/>
            <w:shd w:val="clear" w:color="auto" w:fill="DCE2EF"/>
          </w:tcPr>
          <w:p>
            <w:pPr>
              <w:jc w:val="right"/>
              <w:ind w:right="40"/>
              <w:spacing w:after="0"/>
              <w:rPr>
                <w:sz w:val="20"/>
                <w:szCs w:val="20"/>
                <w:color w:val="auto"/>
              </w:rPr>
            </w:pPr>
            <w:r>
              <w:rPr>
                <w:rFonts w:ascii="Arial" w:cs="Arial" w:eastAsia="Arial" w:hAnsi="Arial"/>
                <w:sz w:val="16"/>
                <w:szCs w:val="16"/>
                <w:color w:val="auto"/>
              </w:rPr>
              <w:t>8.1</w:t>
            </w:r>
          </w:p>
        </w:tc>
        <w:tc>
          <w:tcPr>
            <w:tcW w:w="1460" w:type="dxa"/>
            <w:vAlign w:val="bottom"/>
            <w:shd w:val="clear" w:color="auto" w:fill="DCE2EF"/>
          </w:tcPr>
          <w:p>
            <w:pPr>
              <w:jc w:val="center"/>
              <w:ind w:left="38"/>
              <w:spacing w:after="0"/>
              <w:rPr>
                <w:sz w:val="20"/>
                <w:szCs w:val="20"/>
                <w:color w:val="auto"/>
              </w:rPr>
            </w:pPr>
            <w:r>
              <w:rPr>
                <w:rFonts w:ascii="Arial" w:cs="Arial" w:eastAsia="Arial" w:hAnsi="Arial"/>
                <w:sz w:val="16"/>
                <w:szCs w:val="16"/>
                <w:color w:val="auto"/>
              </w:rPr>
              <w:t>32.8%</w:t>
            </w:r>
          </w:p>
        </w:tc>
        <w:tc>
          <w:tcPr>
            <w:tcW w:w="0" w:type="dxa"/>
            <w:vAlign w:val="bottom"/>
          </w:tcPr>
          <w:p>
            <w:pPr>
              <w:spacing w:after="0"/>
              <w:rPr>
                <w:sz w:val="1"/>
                <w:szCs w:val="1"/>
                <w:color w:val="auto"/>
              </w:rPr>
            </w:pPr>
          </w:p>
        </w:tc>
      </w:tr>
      <w:tr>
        <w:trPr>
          <w:trHeight w:val="264"/>
        </w:trPr>
        <w:tc>
          <w:tcPr>
            <w:tcW w:w="40" w:type="dxa"/>
            <w:vAlign w:val="bottom"/>
          </w:tcPr>
          <w:p>
            <w:pPr>
              <w:spacing w:after="0"/>
              <w:rPr>
                <w:sz w:val="22"/>
                <w:szCs w:val="22"/>
                <w:color w:val="auto"/>
              </w:rPr>
            </w:pPr>
          </w:p>
        </w:tc>
        <w:tc>
          <w:tcPr>
            <w:tcW w:w="3660" w:type="dxa"/>
            <w:vAlign w:val="bottom"/>
            <w:gridSpan w:val="2"/>
          </w:tcPr>
          <w:p>
            <w:pPr>
              <w:ind w:left="140"/>
              <w:spacing w:after="0"/>
              <w:rPr>
                <w:sz w:val="20"/>
                <w:szCs w:val="20"/>
                <w:color w:val="auto"/>
              </w:rPr>
            </w:pPr>
            <w:r>
              <w:rPr>
                <w:rFonts w:ascii="Arial" w:cs="Arial" w:eastAsia="Arial" w:hAnsi="Arial"/>
                <w:sz w:val="14"/>
                <w:szCs w:val="14"/>
                <w:i w:val="1"/>
                <w:iCs w:val="1"/>
                <w:color w:val="auto"/>
              </w:rPr>
              <w:t>Operating profit margin</w:t>
            </w:r>
          </w:p>
        </w:tc>
        <w:tc>
          <w:tcPr>
            <w:tcW w:w="42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Arial" w:cs="Arial" w:eastAsia="Arial" w:hAnsi="Arial"/>
                <w:sz w:val="14"/>
                <w:szCs w:val="14"/>
                <w:i w:val="1"/>
                <w:iCs w:val="1"/>
                <w:color w:val="auto"/>
              </w:rPr>
              <w:t>7.2%</w:t>
            </w:r>
          </w:p>
        </w:tc>
        <w:tc>
          <w:tcPr>
            <w:tcW w:w="12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1020" w:type="dxa"/>
            <w:vAlign w:val="bottom"/>
            <w:gridSpan w:val="2"/>
          </w:tcPr>
          <w:p>
            <w:pPr>
              <w:jc w:val="right"/>
              <w:ind w:right="40"/>
              <w:spacing w:after="0"/>
              <w:rPr>
                <w:sz w:val="20"/>
                <w:szCs w:val="20"/>
                <w:color w:val="auto"/>
              </w:rPr>
            </w:pPr>
            <w:r>
              <w:rPr>
                <w:rFonts w:ascii="Arial" w:cs="Arial" w:eastAsia="Arial" w:hAnsi="Arial"/>
                <w:sz w:val="14"/>
                <w:szCs w:val="14"/>
                <w:i w:val="1"/>
                <w:iCs w:val="1"/>
                <w:color w:val="auto"/>
              </w:rPr>
              <w:t>7.4%</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80" w:type="dxa"/>
            <w:vAlign w:val="bottom"/>
          </w:tcPr>
          <w:p>
            <w:pPr>
              <w:jc w:val="right"/>
              <w:ind w:right="40"/>
              <w:spacing w:after="0"/>
              <w:rPr>
                <w:sz w:val="20"/>
                <w:szCs w:val="20"/>
                <w:color w:val="auto"/>
              </w:rPr>
            </w:pPr>
            <w:r>
              <w:rPr>
                <w:rFonts w:ascii="Arial" w:cs="Arial" w:eastAsia="Arial" w:hAnsi="Arial"/>
                <w:sz w:val="14"/>
                <w:szCs w:val="14"/>
                <w:i w:val="1"/>
                <w:iCs w:val="1"/>
                <w:color w:val="auto"/>
              </w:rPr>
              <w:t>(28) bps</w:t>
            </w:r>
          </w:p>
        </w:tc>
        <w:tc>
          <w:tcPr>
            <w:tcW w:w="14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3700" w:type="dxa"/>
            <w:vAlign w:val="bottom"/>
            <w:gridSpan w:val="3"/>
            <w:shd w:val="clear" w:color="auto" w:fill="DCE2EF"/>
          </w:tcPr>
          <w:p>
            <w:pPr>
              <w:ind w:left="40"/>
              <w:spacing w:after="0"/>
              <w:rPr>
                <w:sz w:val="20"/>
                <w:szCs w:val="20"/>
                <w:color w:val="auto"/>
              </w:rPr>
            </w:pPr>
            <w:r>
              <w:rPr>
                <w:rFonts w:ascii="Arial" w:cs="Arial" w:eastAsia="Arial" w:hAnsi="Arial"/>
                <w:sz w:val="16"/>
                <w:szCs w:val="16"/>
                <w:color w:val="auto"/>
              </w:rPr>
              <w:t>Education</w:t>
            </w:r>
          </w:p>
        </w:tc>
        <w:tc>
          <w:tcPr>
            <w:tcW w:w="420" w:type="dxa"/>
            <w:vAlign w:val="bottom"/>
            <w:shd w:val="clear" w:color="auto" w:fill="DCE2EF"/>
          </w:tcPr>
          <w:p>
            <w:pPr>
              <w:spacing w:after="0"/>
              <w:rPr>
                <w:sz w:val="24"/>
                <w:szCs w:val="24"/>
                <w:color w:val="auto"/>
              </w:rPr>
            </w:pPr>
          </w:p>
        </w:tc>
        <w:tc>
          <w:tcPr>
            <w:tcW w:w="1300" w:type="dxa"/>
            <w:vAlign w:val="bottom"/>
            <w:shd w:val="clear" w:color="auto" w:fill="DCE2EF"/>
          </w:tcPr>
          <w:p>
            <w:pPr>
              <w:spacing w:after="0"/>
              <w:rPr>
                <w:sz w:val="24"/>
                <w:szCs w:val="24"/>
                <w:color w:val="auto"/>
              </w:rPr>
            </w:pPr>
          </w:p>
        </w:tc>
        <w:tc>
          <w:tcPr>
            <w:tcW w:w="160" w:type="dxa"/>
            <w:vAlign w:val="bottom"/>
            <w:shd w:val="clear" w:color="auto" w:fill="DCE2EF"/>
          </w:tcPr>
          <w:p>
            <w:pPr>
              <w:spacing w:after="0"/>
              <w:rPr>
                <w:sz w:val="24"/>
                <w:szCs w:val="24"/>
                <w:color w:val="auto"/>
              </w:rPr>
            </w:pPr>
          </w:p>
        </w:tc>
        <w:tc>
          <w:tcPr>
            <w:tcW w:w="100" w:type="dxa"/>
            <w:vAlign w:val="bottom"/>
            <w:shd w:val="clear" w:color="auto" w:fill="DCE2EF"/>
          </w:tcPr>
          <w:p>
            <w:pPr>
              <w:spacing w:after="0"/>
              <w:rPr>
                <w:sz w:val="24"/>
                <w:szCs w:val="24"/>
                <w:color w:val="auto"/>
              </w:rPr>
            </w:pPr>
          </w:p>
        </w:tc>
        <w:tc>
          <w:tcPr>
            <w:tcW w:w="220" w:type="dxa"/>
            <w:vAlign w:val="bottom"/>
            <w:shd w:val="clear" w:color="auto" w:fill="DCE2EF"/>
          </w:tcPr>
          <w:p>
            <w:pPr>
              <w:spacing w:after="0"/>
              <w:rPr>
                <w:sz w:val="24"/>
                <w:szCs w:val="24"/>
                <w:color w:val="auto"/>
              </w:rPr>
            </w:pPr>
          </w:p>
        </w:tc>
        <w:tc>
          <w:tcPr>
            <w:tcW w:w="1040" w:type="dxa"/>
            <w:vAlign w:val="bottom"/>
            <w:shd w:val="clear" w:color="auto" w:fill="DCE2EF"/>
          </w:tcPr>
          <w:p>
            <w:pPr>
              <w:jc w:val="right"/>
              <w:ind w:right="80"/>
              <w:spacing w:after="0"/>
              <w:rPr>
                <w:sz w:val="20"/>
                <w:szCs w:val="20"/>
                <w:color w:val="auto"/>
              </w:rPr>
            </w:pPr>
            <w:r>
              <w:rPr>
                <w:rFonts w:ascii="Arial" w:cs="Arial" w:eastAsia="Arial" w:hAnsi="Arial"/>
                <w:sz w:val="16"/>
                <w:szCs w:val="16"/>
                <w:color w:val="auto"/>
              </w:rPr>
              <w:t>19.8</w:t>
            </w:r>
          </w:p>
        </w:tc>
        <w:tc>
          <w:tcPr>
            <w:tcW w:w="120" w:type="dxa"/>
            <w:vAlign w:val="bottom"/>
            <w:shd w:val="clear" w:color="auto" w:fill="DCE2EF"/>
          </w:tcPr>
          <w:p>
            <w:pPr>
              <w:spacing w:after="0"/>
              <w:rPr>
                <w:sz w:val="24"/>
                <w:szCs w:val="24"/>
                <w:color w:val="auto"/>
              </w:rPr>
            </w:pPr>
          </w:p>
        </w:tc>
        <w:tc>
          <w:tcPr>
            <w:tcW w:w="500" w:type="dxa"/>
            <w:vAlign w:val="bottom"/>
            <w:shd w:val="clear" w:color="auto" w:fill="DCE2EF"/>
          </w:tcPr>
          <w:p>
            <w:pPr>
              <w:spacing w:after="0"/>
              <w:rPr>
                <w:sz w:val="24"/>
                <w:szCs w:val="24"/>
                <w:color w:val="auto"/>
              </w:rPr>
            </w:pPr>
          </w:p>
        </w:tc>
        <w:tc>
          <w:tcPr>
            <w:tcW w:w="1020" w:type="dxa"/>
            <w:vAlign w:val="bottom"/>
            <w:gridSpan w:val="2"/>
            <w:shd w:val="clear" w:color="auto" w:fill="DCE2EF"/>
          </w:tcPr>
          <w:p>
            <w:pPr>
              <w:jc w:val="right"/>
              <w:ind w:right="160"/>
              <w:spacing w:after="0"/>
              <w:rPr>
                <w:sz w:val="20"/>
                <w:szCs w:val="20"/>
                <w:color w:val="auto"/>
              </w:rPr>
            </w:pPr>
            <w:r>
              <w:rPr>
                <w:rFonts w:ascii="Arial" w:cs="Arial" w:eastAsia="Arial" w:hAnsi="Arial"/>
                <w:sz w:val="16"/>
                <w:szCs w:val="16"/>
                <w:color w:val="auto"/>
              </w:rPr>
              <w:t>7.2</w:t>
            </w:r>
          </w:p>
        </w:tc>
        <w:tc>
          <w:tcPr>
            <w:tcW w:w="120" w:type="dxa"/>
            <w:vAlign w:val="bottom"/>
            <w:shd w:val="clear" w:color="auto" w:fill="DCE2EF"/>
          </w:tcPr>
          <w:p>
            <w:pPr>
              <w:spacing w:after="0"/>
              <w:rPr>
                <w:sz w:val="24"/>
                <w:szCs w:val="24"/>
                <w:color w:val="auto"/>
              </w:rPr>
            </w:pPr>
          </w:p>
        </w:tc>
        <w:tc>
          <w:tcPr>
            <w:tcW w:w="160" w:type="dxa"/>
            <w:vAlign w:val="bottom"/>
            <w:shd w:val="clear" w:color="auto" w:fill="DCE2EF"/>
          </w:tcPr>
          <w:p>
            <w:pPr>
              <w:spacing w:after="0"/>
              <w:rPr>
                <w:sz w:val="24"/>
                <w:szCs w:val="24"/>
                <w:color w:val="auto"/>
              </w:rPr>
            </w:pPr>
          </w:p>
        </w:tc>
        <w:tc>
          <w:tcPr>
            <w:tcW w:w="1080" w:type="dxa"/>
            <w:vAlign w:val="bottom"/>
            <w:shd w:val="clear" w:color="auto" w:fill="DCE2EF"/>
          </w:tcPr>
          <w:p>
            <w:pPr>
              <w:jc w:val="right"/>
              <w:ind w:right="40"/>
              <w:spacing w:after="0"/>
              <w:rPr>
                <w:sz w:val="20"/>
                <w:szCs w:val="20"/>
                <w:color w:val="auto"/>
              </w:rPr>
            </w:pPr>
            <w:r>
              <w:rPr>
                <w:rFonts w:ascii="Arial" w:cs="Arial" w:eastAsia="Arial" w:hAnsi="Arial"/>
                <w:sz w:val="16"/>
                <w:szCs w:val="16"/>
                <w:color w:val="auto"/>
              </w:rPr>
              <w:t>12.6</w:t>
            </w:r>
          </w:p>
        </w:tc>
        <w:tc>
          <w:tcPr>
            <w:tcW w:w="1460" w:type="dxa"/>
            <w:vAlign w:val="bottom"/>
            <w:shd w:val="clear" w:color="auto" w:fill="DCE2EF"/>
          </w:tcPr>
          <w:p>
            <w:pPr>
              <w:ind w:left="620"/>
              <w:spacing w:after="0"/>
              <w:rPr>
                <w:sz w:val="20"/>
                <w:szCs w:val="20"/>
                <w:color w:val="auto"/>
              </w:rPr>
            </w:pPr>
            <w:r>
              <w:rPr>
                <w:rFonts w:ascii="Arial" w:cs="Arial" w:eastAsia="Arial" w:hAnsi="Arial"/>
                <w:sz w:val="16"/>
                <w:szCs w:val="16"/>
                <w:color w:val="auto"/>
              </w:rPr>
              <w:t>NM*</w:t>
            </w:r>
          </w:p>
        </w:tc>
        <w:tc>
          <w:tcPr>
            <w:tcW w:w="0" w:type="dxa"/>
            <w:vAlign w:val="bottom"/>
          </w:tcPr>
          <w:p>
            <w:pPr>
              <w:spacing w:after="0"/>
              <w:rPr>
                <w:sz w:val="1"/>
                <w:szCs w:val="1"/>
                <w:color w:val="auto"/>
              </w:rPr>
            </w:pPr>
          </w:p>
        </w:tc>
      </w:tr>
      <w:tr>
        <w:trPr>
          <w:trHeight w:val="264"/>
        </w:trPr>
        <w:tc>
          <w:tcPr>
            <w:tcW w:w="40" w:type="dxa"/>
            <w:vAlign w:val="bottom"/>
          </w:tcPr>
          <w:p>
            <w:pPr>
              <w:spacing w:after="0"/>
              <w:rPr>
                <w:sz w:val="22"/>
                <w:szCs w:val="22"/>
                <w:color w:val="auto"/>
              </w:rPr>
            </w:pPr>
          </w:p>
        </w:tc>
        <w:tc>
          <w:tcPr>
            <w:tcW w:w="3660" w:type="dxa"/>
            <w:vAlign w:val="bottom"/>
            <w:gridSpan w:val="2"/>
          </w:tcPr>
          <w:p>
            <w:pPr>
              <w:ind w:left="140"/>
              <w:spacing w:after="0"/>
              <w:rPr>
                <w:sz w:val="20"/>
                <w:szCs w:val="20"/>
                <w:color w:val="auto"/>
              </w:rPr>
            </w:pPr>
            <w:r>
              <w:rPr>
                <w:rFonts w:ascii="Arial" w:cs="Arial" w:eastAsia="Arial" w:hAnsi="Arial"/>
                <w:sz w:val="14"/>
                <w:szCs w:val="14"/>
                <w:i w:val="1"/>
                <w:iCs w:val="1"/>
                <w:color w:val="auto"/>
              </w:rPr>
              <w:t>Operating profit margin</w:t>
            </w:r>
          </w:p>
        </w:tc>
        <w:tc>
          <w:tcPr>
            <w:tcW w:w="42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Arial" w:cs="Arial" w:eastAsia="Arial" w:hAnsi="Arial"/>
                <w:sz w:val="14"/>
                <w:szCs w:val="14"/>
                <w:i w:val="1"/>
                <w:iCs w:val="1"/>
                <w:color w:val="auto"/>
              </w:rPr>
              <w:t>4.8%</w:t>
            </w:r>
          </w:p>
        </w:tc>
        <w:tc>
          <w:tcPr>
            <w:tcW w:w="12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1020" w:type="dxa"/>
            <w:vAlign w:val="bottom"/>
            <w:gridSpan w:val="2"/>
          </w:tcPr>
          <w:p>
            <w:pPr>
              <w:jc w:val="right"/>
              <w:ind w:right="40"/>
              <w:spacing w:after="0"/>
              <w:rPr>
                <w:sz w:val="20"/>
                <w:szCs w:val="20"/>
                <w:color w:val="auto"/>
              </w:rPr>
            </w:pPr>
            <w:r>
              <w:rPr>
                <w:rFonts w:ascii="Arial" w:cs="Arial" w:eastAsia="Arial" w:hAnsi="Arial"/>
                <w:sz w:val="14"/>
                <w:szCs w:val="14"/>
                <w:i w:val="1"/>
                <w:iCs w:val="1"/>
                <w:color w:val="auto"/>
              </w:rPr>
              <w:t>5.5%</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80" w:type="dxa"/>
            <w:vAlign w:val="bottom"/>
          </w:tcPr>
          <w:p>
            <w:pPr>
              <w:jc w:val="right"/>
              <w:ind w:right="40"/>
              <w:spacing w:after="0"/>
              <w:rPr>
                <w:sz w:val="20"/>
                <w:szCs w:val="20"/>
                <w:color w:val="auto"/>
              </w:rPr>
            </w:pPr>
            <w:r>
              <w:rPr>
                <w:rFonts w:ascii="Arial" w:cs="Arial" w:eastAsia="Arial" w:hAnsi="Arial"/>
                <w:sz w:val="14"/>
                <w:szCs w:val="14"/>
                <w:i w:val="1"/>
                <w:iCs w:val="1"/>
                <w:color w:val="auto"/>
              </w:rPr>
              <w:t>(69) bps</w:t>
            </w:r>
          </w:p>
        </w:tc>
        <w:tc>
          <w:tcPr>
            <w:tcW w:w="14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3700" w:type="dxa"/>
            <w:vAlign w:val="bottom"/>
            <w:gridSpan w:val="3"/>
            <w:shd w:val="clear" w:color="auto" w:fill="DCE2EF"/>
          </w:tcPr>
          <w:p>
            <w:pPr>
              <w:ind w:left="40"/>
              <w:spacing w:after="0"/>
              <w:rPr>
                <w:sz w:val="20"/>
                <w:szCs w:val="20"/>
                <w:color w:val="auto"/>
              </w:rPr>
            </w:pPr>
            <w:r>
              <w:rPr>
                <w:rFonts w:ascii="Arial" w:cs="Arial" w:eastAsia="Arial" w:hAnsi="Arial"/>
                <w:sz w:val="16"/>
                <w:szCs w:val="16"/>
                <w:color w:val="auto"/>
              </w:rPr>
              <w:t>Technical Solutions</w:t>
            </w:r>
          </w:p>
        </w:tc>
        <w:tc>
          <w:tcPr>
            <w:tcW w:w="420" w:type="dxa"/>
            <w:vAlign w:val="bottom"/>
            <w:shd w:val="clear" w:color="auto" w:fill="DCE2EF"/>
          </w:tcPr>
          <w:p>
            <w:pPr>
              <w:spacing w:after="0"/>
              <w:rPr>
                <w:sz w:val="24"/>
                <w:szCs w:val="24"/>
                <w:color w:val="auto"/>
              </w:rPr>
            </w:pPr>
          </w:p>
        </w:tc>
        <w:tc>
          <w:tcPr>
            <w:tcW w:w="1300" w:type="dxa"/>
            <w:vAlign w:val="bottom"/>
            <w:shd w:val="clear" w:color="auto" w:fill="DCE2EF"/>
          </w:tcPr>
          <w:p>
            <w:pPr>
              <w:spacing w:after="0"/>
              <w:rPr>
                <w:sz w:val="24"/>
                <w:szCs w:val="24"/>
                <w:color w:val="auto"/>
              </w:rPr>
            </w:pPr>
          </w:p>
        </w:tc>
        <w:tc>
          <w:tcPr>
            <w:tcW w:w="160" w:type="dxa"/>
            <w:vAlign w:val="bottom"/>
            <w:shd w:val="clear" w:color="auto" w:fill="DCE2EF"/>
          </w:tcPr>
          <w:p>
            <w:pPr>
              <w:spacing w:after="0"/>
              <w:rPr>
                <w:sz w:val="24"/>
                <w:szCs w:val="24"/>
                <w:color w:val="auto"/>
              </w:rPr>
            </w:pPr>
          </w:p>
        </w:tc>
        <w:tc>
          <w:tcPr>
            <w:tcW w:w="100" w:type="dxa"/>
            <w:vAlign w:val="bottom"/>
            <w:shd w:val="clear" w:color="auto" w:fill="DCE2EF"/>
          </w:tcPr>
          <w:p>
            <w:pPr>
              <w:spacing w:after="0"/>
              <w:rPr>
                <w:sz w:val="24"/>
                <w:szCs w:val="24"/>
                <w:color w:val="auto"/>
              </w:rPr>
            </w:pPr>
          </w:p>
        </w:tc>
        <w:tc>
          <w:tcPr>
            <w:tcW w:w="220" w:type="dxa"/>
            <w:vAlign w:val="bottom"/>
            <w:shd w:val="clear" w:color="auto" w:fill="DCE2EF"/>
          </w:tcPr>
          <w:p>
            <w:pPr>
              <w:spacing w:after="0"/>
              <w:rPr>
                <w:sz w:val="24"/>
                <w:szCs w:val="24"/>
                <w:color w:val="auto"/>
              </w:rPr>
            </w:pPr>
          </w:p>
        </w:tc>
        <w:tc>
          <w:tcPr>
            <w:tcW w:w="1040" w:type="dxa"/>
            <w:vAlign w:val="bottom"/>
            <w:shd w:val="clear" w:color="auto" w:fill="DCE2EF"/>
          </w:tcPr>
          <w:p>
            <w:pPr>
              <w:jc w:val="right"/>
              <w:ind w:right="80"/>
              <w:spacing w:after="0"/>
              <w:rPr>
                <w:sz w:val="20"/>
                <w:szCs w:val="20"/>
                <w:color w:val="auto"/>
              </w:rPr>
            </w:pPr>
            <w:r>
              <w:rPr>
                <w:rFonts w:ascii="Arial" w:cs="Arial" w:eastAsia="Arial" w:hAnsi="Arial"/>
                <w:sz w:val="16"/>
                <w:szCs w:val="16"/>
                <w:color w:val="auto"/>
              </w:rPr>
              <w:t>13.0</w:t>
            </w:r>
          </w:p>
        </w:tc>
        <w:tc>
          <w:tcPr>
            <w:tcW w:w="120" w:type="dxa"/>
            <w:vAlign w:val="bottom"/>
            <w:shd w:val="clear" w:color="auto" w:fill="DCE2EF"/>
          </w:tcPr>
          <w:p>
            <w:pPr>
              <w:spacing w:after="0"/>
              <w:rPr>
                <w:sz w:val="24"/>
                <w:szCs w:val="24"/>
                <w:color w:val="auto"/>
              </w:rPr>
            </w:pPr>
          </w:p>
        </w:tc>
        <w:tc>
          <w:tcPr>
            <w:tcW w:w="500" w:type="dxa"/>
            <w:vAlign w:val="bottom"/>
            <w:shd w:val="clear" w:color="auto" w:fill="DCE2EF"/>
          </w:tcPr>
          <w:p>
            <w:pPr>
              <w:spacing w:after="0"/>
              <w:rPr>
                <w:sz w:val="24"/>
                <w:szCs w:val="24"/>
                <w:color w:val="auto"/>
              </w:rPr>
            </w:pPr>
          </w:p>
        </w:tc>
        <w:tc>
          <w:tcPr>
            <w:tcW w:w="1020" w:type="dxa"/>
            <w:vAlign w:val="bottom"/>
            <w:gridSpan w:val="2"/>
            <w:shd w:val="clear" w:color="auto" w:fill="DCE2EF"/>
          </w:tcPr>
          <w:p>
            <w:pPr>
              <w:jc w:val="right"/>
              <w:ind w:right="160"/>
              <w:spacing w:after="0"/>
              <w:rPr>
                <w:sz w:val="20"/>
                <w:szCs w:val="20"/>
                <w:color w:val="auto"/>
              </w:rPr>
            </w:pPr>
            <w:r>
              <w:rPr>
                <w:rFonts w:ascii="Arial" w:cs="Arial" w:eastAsia="Arial" w:hAnsi="Arial"/>
                <w:sz w:val="16"/>
                <w:szCs w:val="16"/>
                <w:color w:val="auto"/>
              </w:rPr>
              <w:t>18.1</w:t>
            </w:r>
          </w:p>
        </w:tc>
        <w:tc>
          <w:tcPr>
            <w:tcW w:w="120" w:type="dxa"/>
            <w:vAlign w:val="bottom"/>
            <w:shd w:val="clear" w:color="auto" w:fill="DCE2EF"/>
          </w:tcPr>
          <w:p>
            <w:pPr>
              <w:spacing w:after="0"/>
              <w:rPr>
                <w:sz w:val="24"/>
                <w:szCs w:val="24"/>
                <w:color w:val="auto"/>
              </w:rPr>
            </w:pPr>
          </w:p>
        </w:tc>
        <w:tc>
          <w:tcPr>
            <w:tcW w:w="160" w:type="dxa"/>
            <w:vAlign w:val="bottom"/>
            <w:shd w:val="clear" w:color="auto" w:fill="DCE2EF"/>
          </w:tcPr>
          <w:p>
            <w:pPr>
              <w:spacing w:after="0"/>
              <w:rPr>
                <w:sz w:val="24"/>
                <w:szCs w:val="24"/>
                <w:color w:val="auto"/>
              </w:rPr>
            </w:pPr>
          </w:p>
        </w:tc>
        <w:tc>
          <w:tcPr>
            <w:tcW w:w="1080" w:type="dxa"/>
            <w:vAlign w:val="bottom"/>
            <w:shd w:val="clear" w:color="auto" w:fill="DCE2EF"/>
          </w:tcPr>
          <w:p>
            <w:pPr>
              <w:jc w:val="right"/>
              <w:spacing w:after="0"/>
              <w:rPr>
                <w:sz w:val="20"/>
                <w:szCs w:val="20"/>
                <w:color w:val="auto"/>
              </w:rPr>
            </w:pPr>
            <w:r>
              <w:rPr>
                <w:rFonts w:ascii="Arial" w:cs="Arial" w:eastAsia="Arial" w:hAnsi="Arial"/>
                <w:sz w:val="16"/>
                <w:szCs w:val="16"/>
                <w:color w:val="auto"/>
              </w:rPr>
              <w:t>(5.1)</w:t>
            </w:r>
          </w:p>
        </w:tc>
        <w:tc>
          <w:tcPr>
            <w:tcW w:w="1460" w:type="dxa"/>
            <w:vAlign w:val="bottom"/>
            <w:shd w:val="clear" w:color="auto" w:fill="DCE2EF"/>
          </w:tcPr>
          <w:p>
            <w:pPr>
              <w:jc w:val="center"/>
              <w:ind w:left="18"/>
              <w:spacing w:after="0"/>
              <w:rPr>
                <w:sz w:val="20"/>
                <w:szCs w:val="20"/>
                <w:color w:val="auto"/>
              </w:rPr>
            </w:pPr>
            <w:r>
              <w:rPr>
                <w:rFonts w:ascii="Arial" w:cs="Arial" w:eastAsia="Arial" w:hAnsi="Arial"/>
                <w:sz w:val="16"/>
                <w:szCs w:val="16"/>
                <w:color w:val="auto"/>
                <w:w w:val="99"/>
              </w:rPr>
              <w:t>(28.0)%</w:t>
            </w:r>
          </w:p>
        </w:tc>
        <w:tc>
          <w:tcPr>
            <w:tcW w:w="0" w:type="dxa"/>
            <w:vAlign w:val="bottom"/>
          </w:tcPr>
          <w:p>
            <w:pPr>
              <w:spacing w:after="0"/>
              <w:rPr>
                <w:sz w:val="1"/>
                <w:szCs w:val="1"/>
                <w:color w:val="auto"/>
              </w:rPr>
            </w:pPr>
          </w:p>
        </w:tc>
      </w:tr>
      <w:tr>
        <w:trPr>
          <w:trHeight w:val="264"/>
        </w:trPr>
        <w:tc>
          <w:tcPr>
            <w:tcW w:w="40" w:type="dxa"/>
            <w:vAlign w:val="bottom"/>
          </w:tcPr>
          <w:p>
            <w:pPr>
              <w:spacing w:after="0"/>
              <w:rPr>
                <w:sz w:val="22"/>
                <w:szCs w:val="22"/>
                <w:color w:val="auto"/>
              </w:rPr>
            </w:pPr>
          </w:p>
        </w:tc>
        <w:tc>
          <w:tcPr>
            <w:tcW w:w="3660" w:type="dxa"/>
            <w:vAlign w:val="bottom"/>
            <w:gridSpan w:val="2"/>
          </w:tcPr>
          <w:p>
            <w:pPr>
              <w:ind w:left="140"/>
              <w:spacing w:after="0"/>
              <w:rPr>
                <w:sz w:val="20"/>
                <w:szCs w:val="20"/>
                <w:color w:val="auto"/>
              </w:rPr>
            </w:pPr>
            <w:r>
              <w:rPr>
                <w:rFonts w:ascii="Arial" w:cs="Arial" w:eastAsia="Arial" w:hAnsi="Arial"/>
                <w:sz w:val="14"/>
                <w:szCs w:val="14"/>
                <w:i w:val="1"/>
                <w:iCs w:val="1"/>
                <w:color w:val="auto"/>
              </w:rPr>
              <w:t>Operating profit margin</w:t>
            </w:r>
          </w:p>
        </w:tc>
        <w:tc>
          <w:tcPr>
            <w:tcW w:w="42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Arial" w:cs="Arial" w:eastAsia="Arial" w:hAnsi="Arial"/>
                <w:sz w:val="14"/>
                <w:szCs w:val="14"/>
                <w:i w:val="1"/>
                <w:iCs w:val="1"/>
                <w:color w:val="auto"/>
              </w:rPr>
              <w:t>6.1%</w:t>
            </w:r>
          </w:p>
        </w:tc>
        <w:tc>
          <w:tcPr>
            <w:tcW w:w="12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1020" w:type="dxa"/>
            <w:vAlign w:val="bottom"/>
            <w:gridSpan w:val="2"/>
          </w:tcPr>
          <w:p>
            <w:pPr>
              <w:jc w:val="right"/>
              <w:ind w:right="40"/>
              <w:spacing w:after="0"/>
              <w:rPr>
                <w:sz w:val="20"/>
                <w:szCs w:val="20"/>
                <w:color w:val="auto"/>
              </w:rPr>
            </w:pPr>
            <w:r>
              <w:rPr>
                <w:rFonts w:ascii="Arial" w:cs="Arial" w:eastAsia="Arial" w:hAnsi="Arial"/>
                <w:sz w:val="14"/>
                <w:szCs w:val="14"/>
                <w:i w:val="1"/>
                <w:iCs w:val="1"/>
                <w:color w:val="auto"/>
              </w:rPr>
              <w:t>8.3%</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80" w:type="dxa"/>
            <w:vAlign w:val="bottom"/>
          </w:tcPr>
          <w:p>
            <w:pPr>
              <w:jc w:val="right"/>
              <w:ind w:right="40"/>
              <w:spacing w:after="0"/>
              <w:rPr>
                <w:sz w:val="20"/>
                <w:szCs w:val="20"/>
                <w:color w:val="auto"/>
              </w:rPr>
            </w:pPr>
            <w:r>
              <w:rPr>
                <w:rFonts w:ascii="Arial" w:cs="Arial" w:eastAsia="Arial" w:hAnsi="Arial"/>
                <w:sz w:val="14"/>
                <w:szCs w:val="14"/>
                <w:i w:val="1"/>
                <w:iCs w:val="1"/>
                <w:color w:val="auto"/>
              </w:rPr>
              <w:t>(215) bps</w:t>
            </w:r>
          </w:p>
        </w:tc>
        <w:tc>
          <w:tcPr>
            <w:tcW w:w="14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3700" w:type="dxa"/>
            <w:vAlign w:val="bottom"/>
            <w:gridSpan w:val="3"/>
            <w:shd w:val="clear" w:color="auto" w:fill="DCE2EF"/>
          </w:tcPr>
          <w:p>
            <w:pPr>
              <w:ind w:left="40"/>
              <w:spacing w:after="0"/>
              <w:rPr>
                <w:sz w:val="20"/>
                <w:szCs w:val="20"/>
                <w:color w:val="auto"/>
              </w:rPr>
            </w:pPr>
            <w:r>
              <w:rPr>
                <w:rFonts w:ascii="Arial" w:cs="Arial" w:eastAsia="Arial" w:hAnsi="Arial"/>
                <w:sz w:val="16"/>
                <w:szCs w:val="16"/>
                <w:color w:val="auto"/>
              </w:rPr>
              <w:t>Healthcare</w:t>
            </w:r>
          </w:p>
        </w:tc>
        <w:tc>
          <w:tcPr>
            <w:tcW w:w="420" w:type="dxa"/>
            <w:vAlign w:val="bottom"/>
            <w:shd w:val="clear" w:color="auto" w:fill="DCE2EF"/>
          </w:tcPr>
          <w:p>
            <w:pPr>
              <w:spacing w:after="0"/>
              <w:rPr>
                <w:sz w:val="24"/>
                <w:szCs w:val="24"/>
                <w:color w:val="auto"/>
              </w:rPr>
            </w:pPr>
          </w:p>
        </w:tc>
        <w:tc>
          <w:tcPr>
            <w:tcW w:w="1300" w:type="dxa"/>
            <w:vAlign w:val="bottom"/>
            <w:shd w:val="clear" w:color="auto" w:fill="DCE2EF"/>
          </w:tcPr>
          <w:p>
            <w:pPr>
              <w:spacing w:after="0"/>
              <w:rPr>
                <w:sz w:val="24"/>
                <w:szCs w:val="24"/>
                <w:color w:val="auto"/>
              </w:rPr>
            </w:pPr>
          </w:p>
        </w:tc>
        <w:tc>
          <w:tcPr>
            <w:tcW w:w="160" w:type="dxa"/>
            <w:vAlign w:val="bottom"/>
            <w:shd w:val="clear" w:color="auto" w:fill="DCE2EF"/>
          </w:tcPr>
          <w:p>
            <w:pPr>
              <w:spacing w:after="0"/>
              <w:rPr>
                <w:sz w:val="24"/>
                <w:szCs w:val="24"/>
                <w:color w:val="auto"/>
              </w:rPr>
            </w:pPr>
          </w:p>
        </w:tc>
        <w:tc>
          <w:tcPr>
            <w:tcW w:w="100" w:type="dxa"/>
            <w:vAlign w:val="bottom"/>
            <w:shd w:val="clear" w:color="auto" w:fill="DCE2EF"/>
          </w:tcPr>
          <w:p>
            <w:pPr>
              <w:spacing w:after="0"/>
              <w:rPr>
                <w:sz w:val="24"/>
                <w:szCs w:val="24"/>
                <w:color w:val="auto"/>
              </w:rPr>
            </w:pPr>
          </w:p>
        </w:tc>
        <w:tc>
          <w:tcPr>
            <w:tcW w:w="220" w:type="dxa"/>
            <w:vAlign w:val="bottom"/>
            <w:shd w:val="clear" w:color="auto" w:fill="DCE2EF"/>
          </w:tcPr>
          <w:p>
            <w:pPr>
              <w:spacing w:after="0"/>
              <w:rPr>
                <w:sz w:val="24"/>
                <w:szCs w:val="24"/>
                <w:color w:val="auto"/>
              </w:rPr>
            </w:pPr>
          </w:p>
        </w:tc>
        <w:tc>
          <w:tcPr>
            <w:tcW w:w="1040" w:type="dxa"/>
            <w:vAlign w:val="bottom"/>
            <w:shd w:val="clear" w:color="auto" w:fill="DCE2EF"/>
          </w:tcPr>
          <w:p>
            <w:pPr>
              <w:jc w:val="right"/>
              <w:ind w:right="80"/>
              <w:spacing w:after="0"/>
              <w:rPr>
                <w:sz w:val="20"/>
                <w:szCs w:val="20"/>
                <w:color w:val="auto"/>
              </w:rPr>
            </w:pPr>
            <w:r>
              <w:rPr>
                <w:rFonts w:ascii="Arial" w:cs="Arial" w:eastAsia="Arial" w:hAnsi="Arial"/>
                <w:sz w:val="16"/>
                <w:szCs w:val="16"/>
                <w:color w:val="auto"/>
              </w:rPr>
              <w:t>5.4</w:t>
            </w:r>
          </w:p>
        </w:tc>
        <w:tc>
          <w:tcPr>
            <w:tcW w:w="120" w:type="dxa"/>
            <w:vAlign w:val="bottom"/>
            <w:shd w:val="clear" w:color="auto" w:fill="DCE2EF"/>
          </w:tcPr>
          <w:p>
            <w:pPr>
              <w:spacing w:after="0"/>
              <w:rPr>
                <w:sz w:val="24"/>
                <w:szCs w:val="24"/>
                <w:color w:val="auto"/>
              </w:rPr>
            </w:pPr>
          </w:p>
        </w:tc>
        <w:tc>
          <w:tcPr>
            <w:tcW w:w="500" w:type="dxa"/>
            <w:vAlign w:val="bottom"/>
            <w:shd w:val="clear" w:color="auto" w:fill="DCE2EF"/>
          </w:tcPr>
          <w:p>
            <w:pPr>
              <w:spacing w:after="0"/>
              <w:rPr>
                <w:sz w:val="24"/>
                <w:szCs w:val="24"/>
                <w:color w:val="auto"/>
              </w:rPr>
            </w:pPr>
          </w:p>
        </w:tc>
        <w:tc>
          <w:tcPr>
            <w:tcW w:w="1020" w:type="dxa"/>
            <w:vAlign w:val="bottom"/>
            <w:gridSpan w:val="2"/>
            <w:shd w:val="clear" w:color="auto" w:fill="DCE2EF"/>
          </w:tcPr>
          <w:p>
            <w:pPr>
              <w:jc w:val="right"/>
              <w:ind w:right="160"/>
              <w:spacing w:after="0"/>
              <w:rPr>
                <w:sz w:val="20"/>
                <w:szCs w:val="20"/>
                <w:color w:val="auto"/>
              </w:rPr>
            </w:pPr>
            <w:r>
              <w:rPr>
                <w:rFonts w:ascii="Arial" w:cs="Arial" w:eastAsia="Arial" w:hAnsi="Arial"/>
                <w:sz w:val="16"/>
                <w:szCs w:val="16"/>
                <w:color w:val="auto"/>
              </w:rPr>
              <w:t>4.9</w:t>
            </w:r>
          </w:p>
        </w:tc>
        <w:tc>
          <w:tcPr>
            <w:tcW w:w="120" w:type="dxa"/>
            <w:vAlign w:val="bottom"/>
            <w:shd w:val="clear" w:color="auto" w:fill="DCE2EF"/>
          </w:tcPr>
          <w:p>
            <w:pPr>
              <w:spacing w:after="0"/>
              <w:rPr>
                <w:sz w:val="24"/>
                <w:szCs w:val="24"/>
                <w:color w:val="auto"/>
              </w:rPr>
            </w:pPr>
          </w:p>
        </w:tc>
        <w:tc>
          <w:tcPr>
            <w:tcW w:w="160" w:type="dxa"/>
            <w:vAlign w:val="bottom"/>
            <w:shd w:val="clear" w:color="auto" w:fill="DCE2EF"/>
          </w:tcPr>
          <w:p>
            <w:pPr>
              <w:spacing w:after="0"/>
              <w:rPr>
                <w:sz w:val="24"/>
                <w:szCs w:val="24"/>
                <w:color w:val="auto"/>
              </w:rPr>
            </w:pPr>
          </w:p>
        </w:tc>
        <w:tc>
          <w:tcPr>
            <w:tcW w:w="1080" w:type="dxa"/>
            <w:vAlign w:val="bottom"/>
            <w:shd w:val="clear" w:color="auto" w:fill="DCE2EF"/>
          </w:tcPr>
          <w:p>
            <w:pPr>
              <w:jc w:val="right"/>
              <w:ind w:right="40"/>
              <w:spacing w:after="0"/>
              <w:rPr>
                <w:sz w:val="20"/>
                <w:szCs w:val="20"/>
                <w:color w:val="auto"/>
              </w:rPr>
            </w:pPr>
            <w:r>
              <w:rPr>
                <w:rFonts w:ascii="Arial" w:cs="Arial" w:eastAsia="Arial" w:hAnsi="Arial"/>
                <w:sz w:val="16"/>
                <w:szCs w:val="16"/>
                <w:color w:val="auto"/>
              </w:rPr>
              <w:t>0.5</w:t>
            </w:r>
          </w:p>
        </w:tc>
        <w:tc>
          <w:tcPr>
            <w:tcW w:w="1460" w:type="dxa"/>
            <w:vAlign w:val="bottom"/>
            <w:shd w:val="clear" w:color="auto" w:fill="DCE2EF"/>
          </w:tcPr>
          <w:p>
            <w:pPr>
              <w:jc w:val="center"/>
              <w:ind w:left="18"/>
              <w:spacing w:after="0"/>
              <w:rPr>
                <w:sz w:val="20"/>
                <w:szCs w:val="20"/>
                <w:color w:val="auto"/>
              </w:rPr>
            </w:pPr>
            <w:r>
              <w:rPr>
                <w:rFonts w:ascii="Arial" w:cs="Arial" w:eastAsia="Arial" w:hAnsi="Arial"/>
                <w:sz w:val="16"/>
                <w:szCs w:val="16"/>
                <w:color w:val="auto"/>
                <w:w w:val="98"/>
              </w:rPr>
              <w:t>9.5%</w:t>
            </w:r>
          </w:p>
        </w:tc>
        <w:tc>
          <w:tcPr>
            <w:tcW w:w="0" w:type="dxa"/>
            <w:vAlign w:val="bottom"/>
          </w:tcPr>
          <w:p>
            <w:pPr>
              <w:spacing w:after="0"/>
              <w:rPr>
                <w:sz w:val="1"/>
                <w:szCs w:val="1"/>
                <w:color w:val="auto"/>
              </w:rPr>
            </w:pPr>
          </w:p>
        </w:tc>
      </w:tr>
      <w:tr>
        <w:trPr>
          <w:trHeight w:val="264"/>
        </w:trPr>
        <w:tc>
          <w:tcPr>
            <w:tcW w:w="40" w:type="dxa"/>
            <w:vAlign w:val="bottom"/>
          </w:tcPr>
          <w:p>
            <w:pPr>
              <w:spacing w:after="0"/>
              <w:rPr>
                <w:sz w:val="22"/>
                <w:szCs w:val="22"/>
                <w:color w:val="auto"/>
              </w:rPr>
            </w:pPr>
          </w:p>
        </w:tc>
        <w:tc>
          <w:tcPr>
            <w:tcW w:w="3660" w:type="dxa"/>
            <w:vAlign w:val="bottom"/>
            <w:gridSpan w:val="2"/>
          </w:tcPr>
          <w:p>
            <w:pPr>
              <w:ind w:left="140"/>
              <w:spacing w:after="0"/>
              <w:rPr>
                <w:sz w:val="20"/>
                <w:szCs w:val="20"/>
                <w:color w:val="auto"/>
              </w:rPr>
            </w:pPr>
            <w:r>
              <w:rPr>
                <w:rFonts w:ascii="Arial" w:cs="Arial" w:eastAsia="Arial" w:hAnsi="Arial"/>
                <w:sz w:val="14"/>
                <w:szCs w:val="14"/>
                <w:i w:val="1"/>
                <w:iCs w:val="1"/>
                <w:color w:val="auto"/>
              </w:rPr>
              <w:t>Operating profit margin</w:t>
            </w:r>
          </w:p>
        </w:tc>
        <w:tc>
          <w:tcPr>
            <w:tcW w:w="42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Arial" w:cs="Arial" w:eastAsia="Arial" w:hAnsi="Arial"/>
                <w:sz w:val="14"/>
                <w:szCs w:val="14"/>
                <w:i w:val="1"/>
                <w:iCs w:val="1"/>
                <w:color w:val="auto"/>
              </w:rPr>
              <w:t>3.9%</w:t>
            </w:r>
          </w:p>
        </w:tc>
        <w:tc>
          <w:tcPr>
            <w:tcW w:w="12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1020" w:type="dxa"/>
            <w:vAlign w:val="bottom"/>
            <w:gridSpan w:val="2"/>
          </w:tcPr>
          <w:p>
            <w:pPr>
              <w:jc w:val="right"/>
              <w:ind w:right="40"/>
              <w:spacing w:after="0"/>
              <w:rPr>
                <w:sz w:val="20"/>
                <w:szCs w:val="20"/>
                <w:color w:val="auto"/>
              </w:rPr>
            </w:pPr>
            <w:r>
              <w:rPr>
                <w:rFonts w:ascii="Arial" w:cs="Arial" w:eastAsia="Arial" w:hAnsi="Arial"/>
                <w:sz w:val="14"/>
                <w:szCs w:val="14"/>
                <w:i w:val="1"/>
                <w:iCs w:val="1"/>
                <w:color w:val="auto"/>
              </w:rPr>
              <w:t>4.0%</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80" w:type="dxa"/>
            <w:vAlign w:val="bottom"/>
          </w:tcPr>
          <w:p>
            <w:pPr>
              <w:jc w:val="right"/>
              <w:ind w:right="40"/>
              <w:spacing w:after="0"/>
              <w:rPr>
                <w:sz w:val="20"/>
                <w:szCs w:val="20"/>
                <w:color w:val="auto"/>
              </w:rPr>
            </w:pPr>
            <w:r>
              <w:rPr>
                <w:rFonts w:ascii="Arial" w:cs="Arial" w:eastAsia="Arial" w:hAnsi="Arial"/>
                <w:sz w:val="14"/>
                <w:szCs w:val="14"/>
                <w:i w:val="1"/>
                <w:iCs w:val="1"/>
                <w:color w:val="auto"/>
              </w:rPr>
              <w:t>(11) bps</w:t>
            </w:r>
          </w:p>
        </w:tc>
        <w:tc>
          <w:tcPr>
            <w:tcW w:w="14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3700" w:type="dxa"/>
            <w:vAlign w:val="bottom"/>
            <w:gridSpan w:val="3"/>
            <w:shd w:val="clear" w:color="auto" w:fill="DCE2EF"/>
          </w:tcPr>
          <w:p>
            <w:pPr>
              <w:ind w:left="40"/>
              <w:spacing w:after="0"/>
              <w:rPr>
                <w:sz w:val="20"/>
                <w:szCs w:val="20"/>
                <w:color w:val="auto"/>
              </w:rPr>
            </w:pPr>
            <w:r>
              <w:rPr>
                <w:rFonts w:ascii="Arial" w:cs="Arial" w:eastAsia="Arial" w:hAnsi="Arial"/>
                <w:sz w:val="16"/>
                <w:szCs w:val="16"/>
                <w:color w:val="auto"/>
              </w:rPr>
              <w:t>Government Services</w:t>
            </w:r>
          </w:p>
        </w:tc>
        <w:tc>
          <w:tcPr>
            <w:tcW w:w="420" w:type="dxa"/>
            <w:vAlign w:val="bottom"/>
            <w:shd w:val="clear" w:color="auto" w:fill="DCE2EF"/>
          </w:tcPr>
          <w:p>
            <w:pPr>
              <w:spacing w:after="0"/>
              <w:rPr>
                <w:sz w:val="24"/>
                <w:szCs w:val="24"/>
                <w:color w:val="auto"/>
              </w:rPr>
            </w:pPr>
          </w:p>
        </w:tc>
        <w:tc>
          <w:tcPr>
            <w:tcW w:w="1300" w:type="dxa"/>
            <w:vAlign w:val="bottom"/>
            <w:shd w:val="clear" w:color="auto" w:fill="DCE2EF"/>
          </w:tcPr>
          <w:p>
            <w:pPr>
              <w:spacing w:after="0"/>
              <w:rPr>
                <w:sz w:val="24"/>
                <w:szCs w:val="24"/>
                <w:color w:val="auto"/>
              </w:rPr>
            </w:pPr>
          </w:p>
        </w:tc>
        <w:tc>
          <w:tcPr>
            <w:tcW w:w="160" w:type="dxa"/>
            <w:vAlign w:val="bottom"/>
            <w:shd w:val="clear" w:color="auto" w:fill="DCE2EF"/>
          </w:tcPr>
          <w:p>
            <w:pPr>
              <w:spacing w:after="0"/>
              <w:rPr>
                <w:sz w:val="24"/>
                <w:szCs w:val="24"/>
                <w:color w:val="auto"/>
              </w:rPr>
            </w:pPr>
          </w:p>
        </w:tc>
        <w:tc>
          <w:tcPr>
            <w:tcW w:w="100" w:type="dxa"/>
            <w:vAlign w:val="bottom"/>
            <w:shd w:val="clear" w:color="auto" w:fill="DCE2EF"/>
          </w:tcPr>
          <w:p>
            <w:pPr>
              <w:spacing w:after="0"/>
              <w:rPr>
                <w:sz w:val="24"/>
                <w:szCs w:val="24"/>
                <w:color w:val="auto"/>
              </w:rPr>
            </w:pPr>
          </w:p>
        </w:tc>
        <w:tc>
          <w:tcPr>
            <w:tcW w:w="220" w:type="dxa"/>
            <w:vAlign w:val="bottom"/>
            <w:shd w:val="clear" w:color="auto" w:fill="DCE2EF"/>
          </w:tcPr>
          <w:p>
            <w:pPr>
              <w:spacing w:after="0"/>
              <w:rPr>
                <w:sz w:val="24"/>
                <w:szCs w:val="24"/>
                <w:color w:val="auto"/>
              </w:rPr>
            </w:pPr>
          </w:p>
        </w:tc>
        <w:tc>
          <w:tcPr>
            <w:tcW w:w="1040" w:type="dxa"/>
            <w:vAlign w:val="bottom"/>
            <w:shd w:val="clear" w:color="auto" w:fill="DCE2EF"/>
          </w:tcPr>
          <w:p>
            <w:pPr>
              <w:jc w:val="right"/>
              <w:ind w:right="20"/>
              <w:spacing w:after="0"/>
              <w:rPr>
                <w:sz w:val="20"/>
                <w:szCs w:val="20"/>
                <w:color w:val="auto"/>
              </w:rPr>
            </w:pPr>
            <w:r>
              <w:rPr>
                <w:rFonts w:ascii="Arial" w:cs="Arial" w:eastAsia="Arial" w:hAnsi="Arial"/>
                <w:sz w:val="16"/>
                <w:szCs w:val="16"/>
                <w:color w:val="auto"/>
              </w:rPr>
              <w:t>(0.8)</w:t>
            </w:r>
          </w:p>
        </w:tc>
        <w:tc>
          <w:tcPr>
            <w:tcW w:w="120" w:type="dxa"/>
            <w:vAlign w:val="bottom"/>
            <w:shd w:val="clear" w:color="auto" w:fill="DCE2EF"/>
          </w:tcPr>
          <w:p>
            <w:pPr>
              <w:spacing w:after="0"/>
              <w:rPr>
                <w:sz w:val="24"/>
                <w:szCs w:val="24"/>
                <w:color w:val="auto"/>
              </w:rPr>
            </w:pPr>
          </w:p>
        </w:tc>
        <w:tc>
          <w:tcPr>
            <w:tcW w:w="500" w:type="dxa"/>
            <w:vAlign w:val="bottom"/>
            <w:shd w:val="clear" w:color="auto" w:fill="DCE2EF"/>
          </w:tcPr>
          <w:p>
            <w:pPr>
              <w:spacing w:after="0"/>
              <w:rPr>
                <w:sz w:val="24"/>
                <w:szCs w:val="24"/>
                <w:color w:val="auto"/>
              </w:rPr>
            </w:pPr>
          </w:p>
        </w:tc>
        <w:tc>
          <w:tcPr>
            <w:tcW w:w="1020" w:type="dxa"/>
            <w:vAlign w:val="bottom"/>
            <w:gridSpan w:val="2"/>
            <w:shd w:val="clear" w:color="auto" w:fill="DCE2EF"/>
          </w:tcPr>
          <w:p>
            <w:pPr>
              <w:jc w:val="right"/>
              <w:ind w:right="160"/>
              <w:spacing w:after="0"/>
              <w:rPr>
                <w:sz w:val="20"/>
                <w:szCs w:val="20"/>
                <w:color w:val="auto"/>
              </w:rPr>
            </w:pPr>
            <w:r>
              <w:rPr>
                <w:rFonts w:ascii="Arial" w:cs="Arial" w:eastAsia="Arial" w:hAnsi="Arial"/>
                <w:sz w:val="16"/>
                <w:szCs w:val="16"/>
                <w:color w:val="auto"/>
              </w:rPr>
              <w:t>20.0</w:t>
            </w:r>
          </w:p>
        </w:tc>
        <w:tc>
          <w:tcPr>
            <w:tcW w:w="120" w:type="dxa"/>
            <w:vAlign w:val="bottom"/>
            <w:shd w:val="clear" w:color="auto" w:fill="DCE2EF"/>
          </w:tcPr>
          <w:p>
            <w:pPr>
              <w:spacing w:after="0"/>
              <w:rPr>
                <w:sz w:val="24"/>
                <w:szCs w:val="24"/>
                <w:color w:val="auto"/>
              </w:rPr>
            </w:pPr>
          </w:p>
        </w:tc>
        <w:tc>
          <w:tcPr>
            <w:tcW w:w="160" w:type="dxa"/>
            <w:vAlign w:val="bottom"/>
            <w:shd w:val="clear" w:color="auto" w:fill="DCE2EF"/>
          </w:tcPr>
          <w:p>
            <w:pPr>
              <w:spacing w:after="0"/>
              <w:rPr>
                <w:sz w:val="24"/>
                <w:szCs w:val="24"/>
                <w:color w:val="auto"/>
              </w:rPr>
            </w:pPr>
          </w:p>
        </w:tc>
        <w:tc>
          <w:tcPr>
            <w:tcW w:w="1080" w:type="dxa"/>
            <w:vAlign w:val="bottom"/>
            <w:shd w:val="clear" w:color="auto" w:fill="DCE2EF"/>
          </w:tcPr>
          <w:p>
            <w:pPr>
              <w:jc w:val="right"/>
              <w:spacing w:after="0"/>
              <w:rPr>
                <w:sz w:val="20"/>
                <w:szCs w:val="20"/>
                <w:color w:val="auto"/>
              </w:rPr>
            </w:pPr>
            <w:r>
              <w:rPr>
                <w:rFonts w:ascii="Arial" w:cs="Arial" w:eastAsia="Arial" w:hAnsi="Arial"/>
                <w:sz w:val="16"/>
                <w:szCs w:val="16"/>
                <w:color w:val="auto"/>
              </w:rPr>
              <w:t>(20.8)</w:t>
            </w:r>
          </w:p>
        </w:tc>
        <w:tc>
          <w:tcPr>
            <w:tcW w:w="1460" w:type="dxa"/>
            <w:vAlign w:val="bottom"/>
            <w:shd w:val="clear" w:color="auto" w:fill="DCE2EF"/>
          </w:tcPr>
          <w:p>
            <w:pPr>
              <w:ind w:left="620"/>
              <w:spacing w:after="0"/>
              <w:rPr>
                <w:sz w:val="20"/>
                <w:szCs w:val="20"/>
                <w:color w:val="auto"/>
              </w:rPr>
            </w:pPr>
            <w:r>
              <w:rPr>
                <w:rFonts w:ascii="Arial" w:cs="Arial" w:eastAsia="Arial" w:hAnsi="Arial"/>
                <w:sz w:val="16"/>
                <w:szCs w:val="16"/>
                <w:color w:val="auto"/>
              </w:rPr>
              <w:t>NM*</w:t>
            </w:r>
          </w:p>
        </w:tc>
        <w:tc>
          <w:tcPr>
            <w:tcW w:w="0" w:type="dxa"/>
            <w:vAlign w:val="bottom"/>
          </w:tcPr>
          <w:p>
            <w:pPr>
              <w:spacing w:after="0"/>
              <w:rPr>
                <w:sz w:val="1"/>
                <w:szCs w:val="1"/>
                <w:color w:val="auto"/>
              </w:rPr>
            </w:pPr>
          </w:p>
        </w:tc>
      </w:tr>
      <w:tr>
        <w:trPr>
          <w:trHeight w:val="264"/>
        </w:trPr>
        <w:tc>
          <w:tcPr>
            <w:tcW w:w="40" w:type="dxa"/>
            <w:vAlign w:val="bottom"/>
          </w:tcPr>
          <w:p>
            <w:pPr>
              <w:spacing w:after="0"/>
              <w:rPr>
                <w:sz w:val="22"/>
                <w:szCs w:val="22"/>
                <w:color w:val="auto"/>
              </w:rPr>
            </w:pPr>
          </w:p>
        </w:tc>
        <w:tc>
          <w:tcPr>
            <w:tcW w:w="3660" w:type="dxa"/>
            <w:vAlign w:val="bottom"/>
            <w:gridSpan w:val="2"/>
          </w:tcPr>
          <w:p>
            <w:pPr>
              <w:ind w:left="140"/>
              <w:spacing w:after="0"/>
              <w:rPr>
                <w:sz w:val="20"/>
                <w:szCs w:val="20"/>
                <w:color w:val="auto"/>
              </w:rPr>
            </w:pPr>
            <w:r>
              <w:rPr>
                <w:rFonts w:ascii="Arial" w:cs="Arial" w:eastAsia="Arial" w:hAnsi="Arial"/>
                <w:sz w:val="14"/>
                <w:szCs w:val="14"/>
                <w:i w:val="1"/>
                <w:iCs w:val="1"/>
                <w:color w:val="auto"/>
              </w:rPr>
              <w:t>Operating profit margin</w:t>
            </w:r>
          </w:p>
        </w:tc>
        <w:tc>
          <w:tcPr>
            <w:tcW w:w="42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40" w:type="dxa"/>
            <w:vAlign w:val="bottom"/>
          </w:tcPr>
          <w:p>
            <w:pPr>
              <w:jc w:val="right"/>
              <w:ind w:right="80"/>
              <w:spacing w:after="0"/>
              <w:rPr>
                <w:sz w:val="20"/>
                <w:szCs w:val="20"/>
                <w:color w:val="auto"/>
              </w:rPr>
            </w:pPr>
            <w:r>
              <w:rPr>
                <w:rFonts w:ascii="Arial" w:cs="Arial" w:eastAsia="Arial" w:hAnsi="Arial"/>
                <w:sz w:val="14"/>
                <w:szCs w:val="14"/>
                <w:i w:val="1"/>
                <w:iCs w:val="1"/>
                <w:color w:val="auto"/>
              </w:rPr>
              <w:t>NM*</w:t>
            </w:r>
          </w:p>
        </w:tc>
        <w:tc>
          <w:tcPr>
            <w:tcW w:w="12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1020" w:type="dxa"/>
            <w:vAlign w:val="bottom"/>
            <w:gridSpan w:val="2"/>
          </w:tcPr>
          <w:p>
            <w:pPr>
              <w:jc w:val="right"/>
              <w:ind w:right="40"/>
              <w:spacing w:after="0"/>
              <w:rPr>
                <w:sz w:val="20"/>
                <w:szCs w:val="20"/>
                <w:color w:val="auto"/>
              </w:rPr>
            </w:pPr>
            <w:r>
              <w:rPr>
                <w:rFonts w:ascii="Arial" w:cs="Arial" w:eastAsia="Arial" w:hAnsi="Arial"/>
                <w:sz w:val="14"/>
                <w:szCs w:val="14"/>
                <w:i w:val="1"/>
                <w:iCs w:val="1"/>
                <w:color w:val="auto"/>
              </w:rPr>
              <w:t>27.0%</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80" w:type="dxa"/>
            <w:vAlign w:val="bottom"/>
          </w:tcPr>
          <w:p>
            <w:pPr>
              <w:jc w:val="right"/>
              <w:ind w:right="40"/>
              <w:spacing w:after="0"/>
              <w:rPr>
                <w:sz w:val="20"/>
                <w:szCs w:val="20"/>
                <w:color w:val="auto"/>
              </w:rPr>
            </w:pPr>
            <w:r>
              <w:rPr>
                <w:rFonts w:ascii="Arial" w:cs="Arial" w:eastAsia="Arial" w:hAnsi="Arial"/>
                <w:sz w:val="14"/>
                <w:szCs w:val="14"/>
                <w:i w:val="1"/>
                <w:iCs w:val="1"/>
                <w:color w:val="auto"/>
              </w:rPr>
              <w:t>NM*</w:t>
            </w:r>
          </w:p>
        </w:tc>
        <w:tc>
          <w:tcPr>
            <w:tcW w:w="14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3700" w:type="dxa"/>
            <w:vAlign w:val="bottom"/>
            <w:gridSpan w:val="3"/>
            <w:shd w:val="clear" w:color="auto" w:fill="DCE2EF"/>
          </w:tcPr>
          <w:p>
            <w:pPr>
              <w:ind w:left="40"/>
              <w:spacing w:after="0"/>
              <w:rPr>
                <w:sz w:val="20"/>
                <w:szCs w:val="20"/>
                <w:color w:val="auto"/>
              </w:rPr>
            </w:pPr>
            <w:r>
              <w:rPr>
                <w:rFonts w:ascii="Arial" w:cs="Arial" w:eastAsia="Arial" w:hAnsi="Arial"/>
                <w:sz w:val="16"/>
                <w:szCs w:val="16"/>
                <w:color w:val="auto"/>
              </w:rPr>
              <w:t>Corporate</w:t>
            </w:r>
          </w:p>
        </w:tc>
        <w:tc>
          <w:tcPr>
            <w:tcW w:w="420" w:type="dxa"/>
            <w:vAlign w:val="bottom"/>
            <w:shd w:val="clear" w:color="auto" w:fill="DCE2EF"/>
          </w:tcPr>
          <w:p>
            <w:pPr>
              <w:spacing w:after="0"/>
              <w:rPr>
                <w:sz w:val="24"/>
                <w:szCs w:val="24"/>
                <w:color w:val="auto"/>
              </w:rPr>
            </w:pPr>
          </w:p>
        </w:tc>
        <w:tc>
          <w:tcPr>
            <w:tcW w:w="1300" w:type="dxa"/>
            <w:vAlign w:val="bottom"/>
            <w:shd w:val="clear" w:color="auto" w:fill="DCE2EF"/>
          </w:tcPr>
          <w:p>
            <w:pPr>
              <w:spacing w:after="0"/>
              <w:rPr>
                <w:sz w:val="24"/>
                <w:szCs w:val="24"/>
                <w:color w:val="auto"/>
              </w:rPr>
            </w:pPr>
          </w:p>
        </w:tc>
        <w:tc>
          <w:tcPr>
            <w:tcW w:w="160" w:type="dxa"/>
            <w:vAlign w:val="bottom"/>
            <w:shd w:val="clear" w:color="auto" w:fill="DCE2EF"/>
          </w:tcPr>
          <w:p>
            <w:pPr>
              <w:spacing w:after="0"/>
              <w:rPr>
                <w:sz w:val="24"/>
                <w:szCs w:val="24"/>
                <w:color w:val="auto"/>
              </w:rPr>
            </w:pPr>
          </w:p>
        </w:tc>
        <w:tc>
          <w:tcPr>
            <w:tcW w:w="100" w:type="dxa"/>
            <w:vAlign w:val="bottom"/>
            <w:shd w:val="clear" w:color="auto" w:fill="DCE2EF"/>
          </w:tcPr>
          <w:p>
            <w:pPr>
              <w:spacing w:after="0"/>
              <w:rPr>
                <w:sz w:val="24"/>
                <w:szCs w:val="24"/>
                <w:color w:val="auto"/>
              </w:rPr>
            </w:pPr>
          </w:p>
        </w:tc>
        <w:tc>
          <w:tcPr>
            <w:tcW w:w="220" w:type="dxa"/>
            <w:vAlign w:val="bottom"/>
            <w:shd w:val="clear" w:color="auto" w:fill="DCE2EF"/>
          </w:tcPr>
          <w:p>
            <w:pPr>
              <w:spacing w:after="0"/>
              <w:rPr>
                <w:sz w:val="24"/>
                <w:szCs w:val="24"/>
                <w:color w:val="auto"/>
              </w:rPr>
            </w:pPr>
          </w:p>
        </w:tc>
        <w:tc>
          <w:tcPr>
            <w:tcW w:w="1040" w:type="dxa"/>
            <w:vAlign w:val="bottom"/>
            <w:shd w:val="clear" w:color="auto" w:fill="DCE2EF"/>
          </w:tcPr>
          <w:p>
            <w:pPr>
              <w:jc w:val="right"/>
              <w:ind w:right="20"/>
              <w:spacing w:after="0"/>
              <w:rPr>
                <w:sz w:val="20"/>
                <w:szCs w:val="20"/>
                <w:color w:val="auto"/>
              </w:rPr>
            </w:pPr>
            <w:r>
              <w:rPr>
                <w:rFonts w:ascii="Arial" w:cs="Arial" w:eastAsia="Arial" w:hAnsi="Arial"/>
                <w:sz w:val="16"/>
                <w:szCs w:val="16"/>
                <w:color w:val="auto"/>
              </w:rPr>
              <w:t>(84.5)</w:t>
            </w:r>
          </w:p>
        </w:tc>
        <w:tc>
          <w:tcPr>
            <w:tcW w:w="120" w:type="dxa"/>
            <w:vAlign w:val="bottom"/>
            <w:shd w:val="clear" w:color="auto" w:fill="DCE2EF"/>
          </w:tcPr>
          <w:p>
            <w:pPr>
              <w:spacing w:after="0"/>
              <w:rPr>
                <w:sz w:val="24"/>
                <w:szCs w:val="24"/>
                <w:color w:val="auto"/>
              </w:rPr>
            </w:pPr>
          </w:p>
        </w:tc>
        <w:tc>
          <w:tcPr>
            <w:tcW w:w="500" w:type="dxa"/>
            <w:vAlign w:val="bottom"/>
            <w:shd w:val="clear" w:color="auto" w:fill="DCE2EF"/>
          </w:tcPr>
          <w:p>
            <w:pPr>
              <w:spacing w:after="0"/>
              <w:rPr>
                <w:sz w:val="24"/>
                <w:szCs w:val="24"/>
                <w:color w:val="auto"/>
              </w:rPr>
            </w:pPr>
          </w:p>
        </w:tc>
        <w:tc>
          <w:tcPr>
            <w:tcW w:w="1020" w:type="dxa"/>
            <w:vAlign w:val="bottom"/>
            <w:gridSpan w:val="2"/>
            <w:shd w:val="clear" w:color="auto" w:fill="DCE2EF"/>
          </w:tcPr>
          <w:p>
            <w:pPr>
              <w:jc w:val="right"/>
              <w:ind w:right="100"/>
              <w:spacing w:after="0"/>
              <w:rPr>
                <w:sz w:val="20"/>
                <w:szCs w:val="20"/>
                <w:color w:val="auto"/>
              </w:rPr>
            </w:pPr>
            <w:r>
              <w:rPr>
                <w:rFonts w:ascii="Arial" w:cs="Arial" w:eastAsia="Arial" w:hAnsi="Arial"/>
                <w:sz w:val="16"/>
                <w:szCs w:val="16"/>
                <w:color w:val="auto"/>
              </w:rPr>
              <w:t>(71.0)</w:t>
            </w:r>
          </w:p>
        </w:tc>
        <w:tc>
          <w:tcPr>
            <w:tcW w:w="120" w:type="dxa"/>
            <w:vAlign w:val="bottom"/>
            <w:shd w:val="clear" w:color="auto" w:fill="DCE2EF"/>
          </w:tcPr>
          <w:p>
            <w:pPr>
              <w:spacing w:after="0"/>
              <w:rPr>
                <w:sz w:val="24"/>
                <w:szCs w:val="24"/>
                <w:color w:val="auto"/>
              </w:rPr>
            </w:pPr>
          </w:p>
        </w:tc>
        <w:tc>
          <w:tcPr>
            <w:tcW w:w="160" w:type="dxa"/>
            <w:vAlign w:val="bottom"/>
            <w:shd w:val="clear" w:color="auto" w:fill="DCE2EF"/>
          </w:tcPr>
          <w:p>
            <w:pPr>
              <w:spacing w:after="0"/>
              <w:rPr>
                <w:sz w:val="24"/>
                <w:szCs w:val="24"/>
                <w:color w:val="auto"/>
              </w:rPr>
            </w:pPr>
          </w:p>
        </w:tc>
        <w:tc>
          <w:tcPr>
            <w:tcW w:w="1080" w:type="dxa"/>
            <w:vAlign w:val="bottom"/>
            <w:shd w:val="clear" w:color="auto" w:fill="DCE2EF"/>
          </w:tcPr>
          <w:p>
            <w:pPr>
              <w:jc w:val="right"/>
              <w:spacing w:after="0"/>
              <w:rPr>
                <w:sz w:val="20"/>
                <w:szCs w:val="20"/>
                <w:color w:val="auto"/>
              </w:rPr>
            </w:pPr>
            <w:r>
              <w:rPr>
                <w:rFonts w:ascii="Arial" w:cs="Arial" w:eastAsia="Arial" w:hAnsi="Arial"/>
                <w:sz w:val="16"/>
                <w:szCs w:val="16"/>
                <w:color w:val="auto"/>
              </w:rPr>
              <w:t>(13.5)</w:t>
            </w:r>
          </w:p>
        </w:tc>
        <w:tc>
          <w:tcPr>
            <w:tcW w:w="1460" w:type="dxa"/>
            <w:vAlign w:val="bottom"/>
            <w:shd w:val="clear" w:color="auto" w:fill="DCE2EF"/>
          </w:tcPr>
          <w:p>
            <w:pPr>
              <w:jc w:val="center"/>
              <w:ind w:left="18"/>
              <w:spacing w:after="0"/>
              <w:rPr>
                <w:sz w:val="20"/>
                <w:szCs w:val="20"/>
                <w:color w:val="auto"/>
              </w:rPr>
            </w:pPr>
            <w:r>
              <w:rPr>
                <w:rFonts w:ascii="Arial" w:cs="Arial" w:eastAsia="Arial" w:hAnsi="Arial"/>
                <w:sz w:val="16"/>
                <w:szCs w:val="16"/>
                <w:color w:val="auto"/>
                <w:w w:val="99"/>
              </w:rPr>
              <w:t>(19.0)%</w:t>
            </w:r>
          </w:p>
        </w:tc>
        <w:tc>
          <w:tcPr>
            <w:tcW w:w="0" w:type="dxa"/>
            <w:vAlign w:val="bottom"/>
          </w:tcPr>
          <w:p>
            <w:pPr>
              <w:spacing w:after="0"/>
              <w:rPr>
                <w:sz w:val="1"/>
                <w:szCs w:val="1"/>
                <w:color w:val="auto"/>
              </w:rPr>
            </w:pPr>
          </w:p>
        </w:tc>
      </w:tr>
      <w:tr>
        <w:trPr>
          <w:trHeight w:val="218"/>
        </w:trPr>
        <w:tc>
          <w:tcPr>
            <w:tcW w:w="5680" w:type="dxa"/>
            <w:vAlign w:val="bottom"/>
            <w:gridSpan w:val="7"/>
          </w:tcPr>
          <w:p>
            <w:pPr>
              <w:ind w:left="40"/>
              <w:spacing w:after="0"/>
              <w:rPr>
                <w:sz w:val="20"/>
                <w:szCs w:val="20"/>
                <w:color w:val="auto"/>
              </w:rPr>
            </w:pPr>
            <w:r>
              <w:rPr>
                <w:rFonts w:ascii="Arial" w:cs="Arial" w:eastAsia="Arial" w:hAnsi="Arial"/>
                <w:sz w:val="16"/>
                <w:szCs w:val="16"/>
                <w:color w:val="auto"/>
              </w:rPr>
              <w:t>Adjustment for income from unconsolidated affiliates, net, included in</w:t>
            </w:r>
          </w:p>
        </w:tc>
        <w:tc>
          <w:tcPr>
            <w:tcW w:w="2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4"/>
        </w:trPr>
        <w:tc>
          <w:tcPr>
            <w:tcW w:w="40" w:type="dxa"/>
            <w:vAlign w:val="bottom"/>
          </w:tcPr>
          <w:p>
            <w:pPr>
              <w:spacing w:after="0"/>
              <w:rPr>
                <w:sz w:val="17"/>
                <w:szCs w:val="17"/>
                <w:color w:val="auto"/>
              </w:rPr>
            </w:pPr>
          </w:p>
        </w:tc>
        <w:tc>
          <w:tcPr>
            <w:tcW w:w="3660" w:type="dxa"/>
            <w:vAlign w:val="bottom"/>
            <w:gridSpan w:val="2"/>
          </w:tcPr>
          <w:p>
            <w:pPr>
              <w:ind w:left="160"/>
              <w:spacing w:after="0"/>
              <w:rPr>
                <w:sz w:val="20"/>
                <w:szCs w:val="20"/>
                <w:color w:val="auto"/>
              </w:rPr>
            </w:pPr>
            <w:r>
              <w:rPr>
                <w:rFonts w:ascii="Arial" w:cs="Arial" w:eastAsia="Arial" w:hAnsi="Arial"/>
                <w:sz w:val="16"/>
                <w:szCs w:val="16"/>
                <w:color w:val="auto"/>
              </w:rPr>
              <w:t>Aviation and Government Services</w:t>
            </w:r>
          </w:p>
        </w:tc>
        <w:tc>
          <w:tcPr>
            <w:tcW w:w="42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40" w:type="dxa"/>
            <w:vAlign w:val="bottom"/>
          </w:tcPr>
          <w:p>
            <w:pPr>
              <w:jc w:val="right"/>
              <w:ind w:right="20"/>
              <w:spacing w:after="0"/>
              <w:rPr>
                <w:sz w:val="20"/>
                <w:szCs w:val="20"/>
                <w:color w:val="auto"/>
              </w:rPr>
            </w:pPr>
            <w:r>
              <w:rPr>
                <w:rFonts w:ascii="Arial" w:cs="Arial" w:eastAsia="Arial" w:hAnsi="Arial"/>
                <w:sz w:val="16"/>
                <w:szCs w:val="16"/>
                <w:color w:val="auto"/>
              </w:rPr>
              <w:t>(1.6)</w:t>
            </w:r>
          </w:p>
        </w:tc>
        <w:tc>
          <w:tcPr>
            <w:tcW w:w="1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6"/>
                <w:szCs w:val="16"/>
                <w:color w:val="auto"/>
              </w:rPr>
              <w:t>(2.4)</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tcPr>
          <w:p>
            <w:pPr>
              <w:jc w:val="right"/>
              <w:ind w:right="40"/>
              <w:spacing w:after="0"/>
              <w:rPr>
                <w:sz w:val="20"/>
                <w:szCs w:val="20"/>
                <w:color w:val="auto"/>
              </w:rPr>
            </w:pPr>
            <w:r>
              <w:rPr>
                <w:rFonts w:ascii="Arial" w:cs="Arial" w:eastAsia="Arial" w:hAnsi="Arial"/>
                <w:sz w:val="16"/>
                <w:szCs w:val="16"/>
                <w:color w:val="auto"/>
              </w:rPr>
              <w:t>0.8</w:t>
            </w:r>
          </w:p>
        </w:tc>
        <w:tc>
          <w:tcPr>
            <w:tcW w:w="1460" w:type="dxa"/>
            <w:vAlign w:val="bottom"/>
          </w:tcPr>
          <w:p>
            <w:pPr>
              <w:jc w:val="center"/>
              <w:ind w:left="38"/>
              <w:spacing w:after="0"/>
              <w:rPr>
                <w:sz w:val="20"/>
                <w:szCs w:val="20"/>
                <w:color w:val="auto"/>
              </w:rPr>
            </w:pPr>
            <w:r>
              <w:rPr>
                <w:rFonts w:ascii="Arial" w:cs="Arial" w:eastAsia="Arial" w:hAnsi="Arial"/>
                <w:sz w:val="16"/>
                <w:szCs w:val="16"/>
                <w:color w:val="auto"/>
              </w:rPr>
              <w:t>32.0%</w:t>
            </w:r>
          </w:p>
        </w:tc>
        <w:tc>
          <w:tcPr>
            <w:tcW w:w="0" w:type="dxa"/>
            <w:vAlign w:val="bottom"/>
          </w:tcPr>
          <w:p>
            <w:pPr>
              <w:spacing w:after="0"/>
              <w:rPr>
                <w:sz w:val="1"/>
                <w:szCs w:val="1"/>
                <w:color w:val="auto"/>
              </w:rPr>
            </w:pPr>
          </w:p>
        </w:tc>
      </w:tr>
      <w:tr>
        <w:trPr>
          <w:trHeight w:val="228"/>
        </w:trPr>
        <w:tc>
          <w:tcPr>
            <w:tcW w:w="5680" w:type="dxa"/>
            <w:vAlign w:val="bottom"/>
            <w:gridSpan w:val="7"/>
            <w:shd w:val="clear" w:color="auto" w:fill="DCE2EF"/>
          </w:tcPr>
          <w:p>
            <w:pPr>
              <w:ind w:left="40"/>
              <w:spacing w:after="0"/>
              <w:rPr>
                <w:sz w:val="20"/>
                <w:szCs w:val="20"/>
                <w:color w:val="auto"/>
              </w:rPr>
            </w:pPr>
            <w:r>
              <w:rPr>
                <w:rFonts w:ascii="Arial" w:cs="Arial" w:eastAsia="Arial" w:hAnsi="Arial"/>
                <w:sz w:val="16"/>
                <w:szCs w:val="16"/>
                <w:color w:val="auto"/>
              </w:rPr>
              <w:t>Adjustment for tax deductions for energy efficient government buildings,</w:t>
            </w:r>
          </w:p>
        </w:tc>
        <w:tc>
          <w:tcPr>
            <w:tcW w:w="220" w:type="dxa"/>
            <w:vAlign w:val="bottom"/>
            <w:shd w:val="clear" w:color="auto" w:fill="DCE2EF"/>
          </w:tcPr>
          <w:p>
            <w:pPr>
              <w:spacing w:after="0"/>
              <w:rPr>
                <w:sz w:val="19"/>
                <w:szCs w:val="19"/>
                <w:color w:val="auto"/>
              </w:rPr>
            </w:pPr>
          </w:p>
        </w:tc>
        <w:tc>
          <w:tcPr>
            <w:tcW w:w="1040" w:type="dxa"/>
            <w:vAlign w:val="bottom"/>
            <w:shd w:val="clear" w:color="auto" w:fill="DCE2EF"/>
          </w:tcPr>
          <w:p>
            <w:pPr>
              <w:spacing w:after="0"/>
              <w:rPr>
                <w:sz w:val="19"/>
                <w:szCs w:val="19"/>
                <w:color w:val="auto"/>
              </w:rPr>
            </w:pPr>
          </w:p>
        </w:tc>
        <w:tc>
          <w:tcPr>
            <w:tcW w:w="120" w:type="dxa"/>
            <w:vAlign w:val="bottom"/>
            <w:shd w:val="clear" w:color="auto" w:fill="DCE2EF"/>
          </w:tcPr>
          <w:p>
            <w:pPr>
              <w:spacing w:after="0"/>
              <w:rPr>
                <w:sz w:val="19"/>
                <w:szCs w:val="19"/>
                <w:color w:val="auto"/>
              </w:rPr>
            </w:pPr>
          </w:p>
        </w:tc>
        <w:tc>
          <w:tcPr>
            <w:tcW w:w="500" w:type="dxa"/>
            <w:vAlign w:val="bottom"/>
            <w:shd w:val="clear" w:color="auto" w:fill="DCE2EF"/>
          </w:tcPr>
          <w:p>
            <w:pPr>
              <w:spacing w:after="0"/>
              <w:rPr>
                <w:sz w:val="19"/>
                <w:szCs w:val="19"/>
                <w:color w:val="auto"/>
              </w:rPr>
            </w:pPr>
          </w:p>
        </w:tc>
        <w:tc>
          <w:tcPr>
            <w:tcW w:w="100" w:type="dxa"/>
            <w:vAlign w:val="bottom"/>
            <w:shd w:val="clear" w:color="auto" w:fill="DCE2EF"/>
          </w:tcPr>
          <w:p>
            <w:pPr>
              <w:spacing w:after="0"/>
              <w:rPr>
                <w:sz w:val="19"/>
                <w:szCs w:val="19"/>
                <w:color w:val="auto"/>
              </w:rPr>
            </w:pPr>
          </w:p>
        </w:tc>
        <w:tc>
          <w:tcPr>
            <w:tcW w:w="920" w:type="dxa"/>
            <w:vAlign w:val="bottom"/>
            <w:shd w:val="clear" w:color="auto" w:fill="DCE2EF"/>
          </w:tcPr>
          <w:p>
            <w:pPr>
              <w:spacing w:after="0"/>
              <w:rPr>
                <w:sz w:val="19"/>
                <w:szCs w:val="19"/>
                <w:color w:val="auto"/>
              </w:rPr>
            </w:pPr>
          </w:p>
        </w:tc>
        <w:tc>
          <w:tcPr>
            <w:tcW w:w="120" w:type="dxa"/>
            <w:vAlign w:val="bottom"/>
            <w:shd w:val="clear" w:color="auto" w:fill="DCE2EF"/>
          </w:tcPr>
          <w:p>
            <w:pPr>
              <w:spacing w:after="0"/>
              <w:rPr>
                <w:sz w:val="19"/>
                <w:szCs w:val="19"/>
                <w:color w:val="auto"/>
              </w:rPr>
            </w:pPr>
          </w:p>
        </w:tc>
        <w:tc>
          <w:tcPr>
            <w:tcW w:w="160" w:type="dxa"/>
            <w:vAlign w:val="bottom"/>
            <w:shd w:val="clear" w:color="auto" w:fill="DCE2EF"/>
          </w:tcPr>
          <w:p>
            <w:pPr>
              <w:spacing w:after="0"/>
              <w:rPr>
                <w:sz w:val="19"/>
                <w:szCs w:val="19"/>
                <w:color w:val="auto"/>
              </w:rPr>
            </w:pPr>
          </w:p>
        </w:tc>
        <w:tc>
          <w:tcPr>
            <w:tcW w:w="1080" w:type="dxa"/>
            <w:vAlign w:val="bottom"/>
            <w:shd w:val="clear" w:color="auto" w:fill="DCE2EF"/>
          </w:tcPr>
          <w:p>
            <w:pPr>
              <w:spacing w:after="0"/>
              <w:rPr>
                <w:sz w:val="19"/>
                <w:szCs w:val="19"/>
                <w:color w:val="auto"/>
              </w:rPr>
            </w:pPr>
          </w:p>
        </w:tc>
        <w:tc>
          <w:tcPr>
            <w:tcW w:w="1460" w:type="dxa"/>
            <w:vAlign w:val="bottom"/>
            <w:shd w:val="clear" w:color="auto" w:fill="DCE2EF"/>
          </w:tcPr>
          <w:p>
            <w:pPr>
              <w:spacing w:after="0"/>
              <w:rPr>
                <w:sz w:val="19"/>
                <w:szCs w:val="19"/>
                <w:color w:val="auto"/>
              </w:rPr>
            </w:pPr>
          </w:p>
        </w:tc>
        <w:tc>
          <w:tcPr>
            <w:tcW w:w="0" w:type="dxa"/>
            <w:vAlign w:val="bottom"/>
          </w:tcPr>
          <w:p>
            <w:pPr>
              <w:spacing w:after="0"/>
              <w:rPr>
                <w:sz w:val="1"/>
                <w:szCs w:val="1"/>
                <w:color w:val="auto"/>
              </w:rPr>
            </w:pPr>
          </w:p>
        </w:tc>
      </w:tr>
      <w:tr>
        <w:trPr>
          <w:trHeight w:val="208"/>
        </w:trPr>
        <w:tc>
          <w:tcPr>
            <w:tcW w:w="40" w:type="dxa"/>
            <w:vAlign w:val="bottom"/>
            <w:shd w:val="clear" w:color="auto" w:fill="DCE2EF"/>
          </w:tcPr>
          <w:p>
            <w:pPr>
              <w:spacing w:after="0"/>
              <w:rPr>
                <w:sz w:val="18"/>
                <w:szCs w:val="18"/>
                <w:color w:val="auto"/>
              </w:rPr>
            </w:pPr>
          </w:p>
        </w:tc>
        <w:tc>
          <w:tcPr>
            <w:tcW w:w="3660" w:type="dxa"/>
            <w:vAlign w:val="bottom"/>
            <w:gridSpan w:val="2"/>
            <w:shd w:val="clear" w:color="auto" w:fill="DCE2EF"/>
          </w:tcPr>
          <w:p>
            <w:pPr>
              <w:ind w:left="160"/>
              <w:spacing w:after="0"/>
              <w:rPr>
                <w:sz w:val="20"/>
                <w:szCs w:val="20"/>
                <w:color w:val="auto"/>
              </w:rPr>
            </w:pPr>
            <w:r>
              <w:rPr>
                <w:rFonts w:ascii="Arial" w:cs="Arial" w:eastAsia="Arial" w:hAnsi="Arial"/>
                <w:sz w:val="16"/>
                <w:szCs w:val="16"/>
                <w:color w:val="auto"/>
              </w:rPr>
              <w:t>included in Technical Solutions</w:t>
            </w:r>
          </w:p>
        </w:tc>
        <w:tc>
          <w:tcPr>
            <w:tcW w:w="420" w:type="dxa"/>
            <w:vAlign w:val="bottom"/>
            <w:shd w:val="clear" w:color="auto" w:fill="DCE2EF"/>
          </w:tcPr>
          <w:p>
            <w:pPr>
              <w:spacing w:after="0"/>
              <w:rPr>
                <w:sz w:val="18"/>
                <w:szCs w:val="18"/>
                <w:color w:val="auto"/>
              </w:rPr>
            </w:pPr>
          </w:p>
        </w:tc>
        <w:tc>
          <w:tcPr>
            <w:tcW w:w="1300" w:type="dxa"/>
            <w:vAlign w:val="bottom"/>
            <w:shd w:val="clear" w:color="auto" w:fill="DCE2EF"/>
          </w:tcPr>
          <w:p>
            <w:pPr>
              <w:spacing w:after="0"/>
              <w:rPr>
                <w:sz w:val="18"/>
                <w:szCs w:val="18"/>
                <w:color w:val="auto"/>
              </w:rPr>
            </w:pPr>
          </w:p>
        </w:tc>
        <w:tc>
          <w:tcPr>
            <w:tcW w:w="160" w:type="dxa"/>
            <w:vAlign w:val="bottom"/>
            <w:tcBorders>
              <w:bottom w:val="single" w:sz="8" w:color="auto"/>
            </w:tcBorders>
            <w:shd w:val="clear" w:color="auto" w:fill="DCE2EF"/>
          </w:tcPr>
          <w:p>
            <w:pPr>
              <w:spacing w:after="0"/>
              <w:rPr>
                <w:sz w:val="18"/>
                <w:szCs w:val="18"/>
                <w:color w:val="auto"/>
              </w:rPr>
            </w:pPr>
          </w:p>
        </w:tc>
        <w:tc>
          <w:tcPr>
            <w:tcW w:w="100" w:type="dxa"/>
            <w:vAlign w:val="bottom"/>
            <w:tcBorders>
              <w:bottom w:val="single" w:sz="8" w:color="auto"/>
            </w:tcBorders>
            <w:shd w:val="clear" w:color="auto" w:fill="DCE2EF"/>
          </w:tcPr>
          <w:p>
            <w:pPr>
              <w:spacing w:after="0"/>
              <w:rPr>
                <w:sz w:val="18"/>
                <w:szCs w:val="18"/>
                <w:color w:val="auto"/>
              </w:rPr>
            </w:pPr>
          </w:p>
        </w:tc>
        <w:tc>
          <w:tcPr>
            <w:tcW w:w="220" w:type="dxa"/>
            <w:vAlign w:val="bottom"/>
            <w:tcBorders>
              <w:bottom w:val="single" w:sz="8" w:color="auto"/>
            </w:tcBorders>
            <w:shd w:val="clear" w:color="auto" w:fill="DCE2EF"/>
          </w:tcPr>
          <w:p>
            <w:pPr>
              <w:spacing w:after="0"/>
              <w:rPr>
                <w:sz w:val="18"/>
                <w:szCs w:val="18"/>
                <w:color w:val="auto"/>
              </w:rPr>
            </w:pPr>
          </w:p>
        </w:tc>
        <w:tc>
          <w:tcPr>
            <w:tcW w:w="1040" w:type="dxa"/>
            <w:vAlign w:val="bottom"/>
            <w:tcBorders>
              <w:bottom w:val="single" w:sz="8" w:color="auto"/>
            </w:tcBorders>
            <w:shd w:val="clear" w:color="auto" w:fill="DCE2EF"/>
          </w:tcPr>
          <w:p>
            <w:pPr>
              <w:jc w:val="right"/>
              <w:ind w:right="20"/>
              <w:spacing w:after="0"/>
              <w:rPr>
                <w:sz w:val="20"/>
                <w:szCs w:val="20"/>
                <w:color w:val="auto"/>
              </w:rPr>
            </w:pPr>
            <w:r>
              <w:rPr>
                <w:rFonts w:ascii="Arial" w:cs="Arial" w:eastAsia="Arial" w:hAnsi="Arial"/>
                <w:sz w:val="16"/>
                <w:szCs w:val="16"/>
                <w:color w:val="auto"/>
              </w:rPr>
              <w:t>(2.3)</w:t>
            </w:r>
          </w:p>
        </w:tc>
        <w:tc>
          <w:tcPr>
            <w:tcW w:w="120" w:type="dxa"/>
            <w:vAlign w:val="bottom"/>
            <w:shd w:val="clear" w:color="auto" w:fill="DCE2EF"/>
          </w:tcPr>
          <w:p>
            <w:pPr>
              <w:spacing w:after="0"/>
              <w:rPr>
                <w:sz w:val="18"/>
                <w:szCs w:val="18"/>
                <w:color w:val="auto"/>
              </w:rPr>
            </w:pPr>
          </w:p>
        </w:tc>
        <w:tc>
          <w:tcPr>
            <w:tcW w:w="500" w:type="dxa"/>
            <w:vAlign w:val="bottom"/>
            <w:tcBorders>
              <w:bottom w:val="single" w:sz="8" w:color="auto"/>
            </w:tcBorders>
            <w:shd w:val="clear" w:color="auto" w:fill="DCE2EF"/>
          </w:tcPr>
          <w:p>
            <w:pPr>
              <w:spacing w:after="0"/>
              <w:rPr>
                <w:sz w:val="18"/>
                <w:szCs w:val="18"/>
                <w:color w:val="auto"/>
              </w:rPr>
            </w:pPr>
          </w:p>
        </w:tc>
        <w:tc>
          <w:tcPr>
            <w:tcW w:w="1020" w:type="dxa"/>
            <w:vAlign w:val="bottom"/>
            <w:tcBorders>
              <w:bottom w:val="single" w:sz="8" w:color="auto"/>
            </w:tcBorders>
            <w:gridSpan w:val="2"/>
            <w:shd w:val="clear" w:color="auto" w:fill="DCE2EF"/>
          </w:tcPr>
          <w:p>
            <w:pPr>
              <w:jc w:val="right"/>
              <w:ind w:right="100"/>
              <w:spacing w:after="0"/>
              <w:rPr>
                <w:sz w:val="20"/>
                <w:szCs w:val="20"/>
                <w:color w:val="auto"/>
              </w:rPr>
            </w:pPr>
            <w:r>
              <w:rPr>
                <w:rFonts w:ascii="Arial" w:cs="Arial" w:eastAsia="Arial" w:hAnsi="Arial"/>
                <w:sz w:val="16"/>
                <w:szCs w:val="16"/>
                <w:color w:val="auto"/>
              </w:rPr>
              <w:t>(1.4)</w:t>
            </w:r>
          </w:p>
        </w:tc>
        <w:tc>
          <w:tcPr>
            <w:tcW w:w="120" w:type="dxa"/>
            <w:vAlign w:val="bottom"/>
            <w:shd w:val="clear" w:color="auto" w:fill="DCE2EF"/>
          </w:tcPr>
          <w:p>
            <w:pPr>
              <w:spacing w:after="0"/>
              <w:rPr>
                <w:sz w:val="18"/>
                <w:szCs w:val="18"/>
                <w:color w:val="auto"/>
              </w:rPr>
            </w:pPr>
          </w:p>
        </w:tc>
        <w:tc>
          <w:tcPr>
            <w:tcW w:w="160" w:type="dxa"/>
            <w:vAlign w:val="bottom"/>
            <w:tcBorders>
              <w:bottom w:val="single" w:sz="8" w:color="auto"/>
            </w:tcBorders>
            <w:shd w:val="clear" w:color="auto" w:fill="DCE2EF"/>
          </w:tcPr>
          <w:p>
            <w:pPr>
              <w:spacing w:after="0"/>
              <w:rPr>
                <w:sz w:val="18"/>
                <w:szCs w:val="18"/>
                <w:color w:val="auto"/>
              </w:rPr>
            </w:pPr>
          </w:p>
        </w:tc>
        <w:tc>
          <w:tcPr>
            <w:tcW w:w="1080" w:type="dxa"/>
            <w:vAlign w:val="bottom"/>
            <w:tcBorders>
              <w:bottom w:val="single" w:sz="8" w:color="auto"/>
            </w:tcBorders>
            <w:shd w:val="clear" w:color="auto" w:fill="DCE2EF"/>
          </w:tcPr>
          <w:p>
            <w:pPr>
              <w:jc w:val="right"/>
              <w:spacing w:after="0"/>
              <w:rPr>
                <w:sz w:val="20"/>
                <w:szCs w:val="20"/>
                <w:color w:val="auto"/>
              </w:rPr>
            </w:pPr>
            <w:r>
              <w:rPr>
                <w:rFonts w:ascii="Arial" w:cs="Arial" w:eastAsia="Arial" w:hAnsi="Arial"/>
                <w:sz w:val="16"/>
                <w:szCs w:val="16"/>
                <w:color w:val="auto"/>
              </w:rPr>
              <w:t>(0.9)</w:t>
            </w:r>
          </w:p>
        </w:tc>
        <w:tc>
          <w:tcPr>
            <w:tcW w:w="1460" w:type="dxa"/>
            <w:vAlign w:val="bottom"/>
            <w:shd w:val="clear" w:color="auto" w:fill="DCE2EF"/>
          </w:tcPr>
          <w:p>
            <w:pPr>
              <w:jc w:val="center"/>
              <w:ind w:left="38"/>
              <w:spacing w:after="0"/>
              <w:rPr>
                <w:sz w:val="20"/>
                <w:szCs w:val="20"/>
                <w:color w:val="auto"/>
              </w:rPr>
            </w:pPr>
            <w:r>
              <w:rPr>
                <w:rFonts w:ascii="Arial" w:cs="Arial" w:eastAsia="Arial" w:hAnsi="Arial"/>
                <w:sz w:val="16"/>
                <w:szCs w:val="16"/>
                <w:color w:val="auto"/>
              </w:rPr>
              <w:t>68.7%</w:t>
            </w: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8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460" w:type="dxa"/>
            <w:vAlign w:val="bottom"/>
            <w:gridSpan w:val="2"/>
          </w:tcPr>
          <w:p>
            <w:pPr>
              <w:jc w:val="right"/>
              <w:ind w:right="4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40" w:type="dxa"/>
            <w:vAlign w:val="bottom"/>
          </w:tcPr>
          <w:p>
            <w:pPr>
              <w:jc w:val="right"/>
              <w:ind w:right="80"/>
              <w:spacing w:after="0"/>
              <w:rPr>
                <w:sz w:val="20"/>
                <w:szCs w:val="20"/>
                <w:color w:val="auto"/>
              </w:rPr>
            </w:pPr>
            <w:r>
              <w:rPr>
                <w:rFonts w:ascii="Arial" w:cs="Arial" w:eastAsia="Arial" w:hAnsi="Arial"/>
                <w:sz w:val="16"/>
                <w:szCs w:val="16"/>
                <w:color w:val="auto"/>
              </w:rPr>
              <w:t>64.8</w:t>
            </w:r>
          </w:p>
        </w:tc>
        <w:tc>
          <w:tcPr>
            <w:tcW w:w="620" w:type="dxa"/>
            <w:vAlign w:val="bottom"/>
            <w:gridSpan w:val="2"/>
          </w:tcPr>
          <w:p>
            <w:pPr>
              <w:jc w:val="right"/>
              <w:ind w:right="380"/>
              <w:spacing w:after="0"/>
              <w:rPr>
                <w:sz w:val="20"/>
                <w:szCs w:val="20"/>
                <w:color w:val="auto"/>
              </w:rPr>
            </w:pPr>
            <w:r>
              <w:rPr>
                <w:rFonts w:ascii="Arial" w:cs="Arial" w:eastAsia="Arial" w:hAnsi="Arial"/>
                <w:sz w:val="16"/>
                <w:szCs w:val="16"/>
                <w:color w:val="auto"/>
              </w:rPr>
              <w:t>$</w:t>
            </w:r>
          </w:p>
        </w:tc>
        <w:tc>
          <w:tcPr>
            <w:tcW w:w="1020" w:type="dxa"/>
            <w:vAlign w:val="bottom"/>
            <w:gridSpan w:val="2"/>
          </w:tcPr>
          <w:p>
            <w:pPr>
              <w:jc w:val="right"/>
              <w:ind w:right="160"/>
              <w:spacing w:after="0"/>
              <w:rPr>
                <w:sz w:val="20"/>
                <w:szCs w:val="20"/>
                <w:color w:val="auto"/>
              </w:rPr>
            </w:pPr>
            <w:r>
              <w:rPr>
                <w:rFonts w:ascii="Arial" w:cs="Arial" w:eastAsia="Arial" w:hAnsi="Arial"/>
                <w:sz w:val="16"/>
                <w:szCs w:val="16"/>
                <w:color w:val="auto"/>
              </w:rPr>
              <w:t>74.8</w:t>
            </w:r>
          </w:p>
        </w:tc>
        <w:tc>
          <w:tcPr>
            <w:tcW w:w="12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80" w:type="dxa"/>
            <w:vAlign w:val="bottom"/>
          </w:tcPr>
          <w:p>
            <w:pPr>
              <w:jc w:val="right"/>
              <w:spacing w:after="0"/>
              <w:rPr>
                <w:sz w:val="20"/>
                <w:szCs w:val="20"/>
                <w:color w:val="auto"/>
              </w:rPr>
            </w:pPr>
            <w:r>
              <w:rPr>
                <w:rFonts w:ascii="Arial" w:cs="Arial" w:eastAsia="Arial" w:hAnsi="Arial"/>
                <w:sz w:val="16"/>
                <w:szCs w:val="16"/>
                <w:color w:val="auto"/>
              </w:rPr>
              <w:t>(10.0)</w:t>
            </w:r>
          </w:p>
        </w:tc>
        <w:tc>
          <w:tcPr>
            <w:tcW w:w="1460" w:type="dxa"/>
            <w:vAlign w:val="bottom"/>
          </w:tcPr>
          <w:p>
            <w:pPr>
              <w:jc w:val="center"/>
              <w:ind w:left="18"/>
              <w:spacing w:after="0"/>
              <w:rPr>
                <w:sz w:val="20"/>
                <w:szCs w:val="20"/>
                <w:color w:val="auto"/>
              </w:rPr>
            </w:pPr>
            <w:r>
              <w:rPr>
                <w:rFonts w:ascii="Arial" w:cs="Arial" w:eastAsia="Arial" w:hAnsi="Arial"/>
                <w:sz w:val="16"/>
                <w:szCs w:val="16"/>
                <w:color w:val="auto"/>
                <w:w w:val="99"/>
              </w:rPr>
              <w:t>(13.4)%</w:t>
            </w:r>
          </w:p>
        </w:tc>
        <w:tc>
          <w:tcPr>
            <w:tcW w:w="0" w:type="dxa"/>
            <w:vAlign w:val="bottom"/>
          </w:tcPr>
          <w:p>
            <w:pPr>
              <w:spacing w:after="0"/>
              <w:rPr>
                <w:sz w:val="1"/>
                <w:szCs w:val="1"/>
                <w:color w:val="auto"/>
              </w:rPr>
            </w:pPr>
          </w:p>
        </w:tc>
      </w:tr>
      <w:tr>
        <w:trPr>
          <w:trHeight w:val="20"/>
        </w:trPr>
        <w:tc>
          <w:tcPr>
            <w:tcW w:w="3700" w:type="dxa"/>
            <w:vAlign w:val="bottom"/>
            <w:gridSpan w:val="3"/>
            <w:vMerge w:val="restart"/>
          </w:tcPr>
          <w:p>
            <w:pPr>
              <w:ind w:left="40"/>
              <w:spacing w:after="0"/>
              <w:rPr>
                <w:sz w:val="20"/>
                <w:szCs w:val="20"/>
                <w:color w:val="auto"/>
              </w:rPr>
            </w:pPr>
            <w:r>
              <w:rPr>
                <w:rFonts w:ascii="Arial" w:cs="Arial" w:eastAsia="Arial" w:hAnsi="Arial"/>
                <w:sz w:val="16"/>
                <w:szCs w:val="16"/>
                <w:color w:val="auto"/>
              </w:rPr>
              <w:t>*Not meaningful</w:t>
            </w:r>
          </w:p>
        </w:tc>
        <w:tc>
          <w:tcPr>
            <w:tcW w:w="4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5"/>
        </w:trPr>
        <w:tc>
          <w:tcPr>
            <w:tcW w:w="3700" w:type="dxa"/>
            <w:vAlign w:val="bottom"/>
            <w:gridSpan w:val="3"/>
            <w:vMerge w:val="continue"/>
          </w:tcPr>
          <w:p>
            <w:pPr>
              <w:spacing w:after="0"/>
              <w:rPr>
                <w:sz w:val="24"/>
                <w:szCs w:val="24"/>
                <w:color w:val="auto"/>
              </w:rPr>
            </w:pPr>
          </w:p>
        </w:tc>
        <w:tc>
          <w:tcPr>
            <w:tcW w:w="4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1"/>
        </w:trPr>
        <w:tc>
          <w:tcPr>
            <w:tcW w:w="3700" w:type="dxa"/>
            <w:vAlign w:val="bottom"/>
            <w:gridSpan w:val="3"/>
          </w:tcPr>
          <w:p>
            <w:pPr>
              <w:ind w:left="40"/>
              <w:spacing w:after="0"/>
              <w:rPr>
                <w:sz w:val="20"/>
                <w:szCs w:val="20"/>
                <w:color w:val="auto"/>
              </w:rPr>
            </w:pPr>
            <w:r>
              <w:rPr>
                <w:rFonts w:ascii="Arial" w:cs="Arial" w:eastAsia="Arial" w:hAnsi="Arial"/>
                <w:sz w:val="18"/>
                <w:szCs w:val="18"/>
                <w:b w:val="1"/>
                <w:bCs w:val="1"/>
                <w:i w:val="1"/>
                <w:iCs w:val="1"/>
                <w:color w:val="0046AD"/>
              </w:rPr>
              <w:t>Business &amp; Industry</w:t>
            </w:r>
          </w:p>
        </w:tc>
        <w:tc>
          <w:tcPr>
            <w:tcW w:w="4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7"/>
        </w:trPr>
        <w:tc>
          <w:tcPr>
            <w:tcW w:w="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840" w:type="dxa"/>
            <w:vAlign w:val="bottom"/>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2820" w:type="dxa"/>
            <w:vAlign w:val="bottom"/>
            <w:tcBorders>
              <w:bottom w:val="single" w:sz="8" w:color="auto"/>
            </w:tcBorders>
            <w:gridSpan w:val="5"/>
          </w:tcPr>
          <w:p>
            <w:pPr>
              <w:jc w:val="right"/>
              <w:ind w:right="60"/>
              <w:spacing w:after="0"/>
              <w:rPr>
                <w:sz w:val="20"/>
                <w:szCs w:val="20"/>
                <w:color w:val="auto"/>
              </w:rPr>
            </w:pPr>
            <w:r>
              <w:rPr>
                <w:rFonts w:ascii="Arial" w:cs="Arial" w:eastAsia="Arial" w:hAnsi="Arial"/>
                <w:sz w:val="18"/>
                <w:szCs w:val="18"/>
                <w:b w:val="1"/>
                <w:bCs w:val="1"/>
                <w:color w:val="auto"/>
              </w:rPr>
              <w:t>Six Months Ended April 30,</w:t>
            </w:r>
          </w:p>
        </w:tc>
        <w:tc>
          <w:tcPr>
            <w:tcW w:w="12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3700" w:type="dxa"/>
            <w:vAlign w:val="bottom"/>
            <w:gridSpan w:val="3"/>
          </w:tcPr>
          <w:p>
            <w:pPr>
              <w:ind w:left="40"/>
              <w:spacing w:after="0"/>
              <w:rPr>
                <w:sz w:val="20"/>
                <w:szCs w:val="20"/>
                <w:color w:val="auto"/>
              </w:rPr>
            </w:pPr>
            <w:r>
              <w:rPr>
                <w:rFonts w:ascii="Arial" w:cs="Arial" w:eastAsia="Arial" w:hAnsi="Arial"/>
                <w:sz w:val="14"/>
                <w:szCs w:val="14"/>
                <w:i w:val="1"/>
                <w:iCs w:val="1"/>
                <w:u w:val="single" w:color="auto"/>
                <w:color w:val="auto"/>
              </w:rPr>
              <w:t>(</w:t>
            </w:r>
            <w:r>
              <w:rPr>
                <w:rFonts w:ascii="Arial" w:cs="Arial" w:eastAsia="Arial" w:hAnsi="Arial"/>
                <w:sz w:val="14"/>
                <w:szCs w:val="14"/>
                <w:i w:val="1"/>
                <w:iCs w:val="1"/>
                <w:color w:val="auto"/>
              </w:rPr>
              <w:t>$ in millions)</w:t>
            </w:r>
          </w:p>
        </w:tc>
        <w:tc>
          <w:tcPr>
            <w:tcW w:w="420" w:type="dxa"/>
            <w:vAlign w:val="bottom"/>
          </w:tcPr>
          <w:p>
            <w:pPr>
              <w:spacing w:after="0"/>
              <w:rPr>
                <w:sz w:val="19"/>
                <w:szCs w:val="19"/>
                <w:color w:val="auto"/>
              </w:rPr>
            </w:pPr>
          </w:p>
        </w:tc>
        <w:tc>
          <w:tcPr>
            <w:tcW w:w="1300" w:type="dxa"/>
            <w:vAlign w:val="bottom"/>
          </w:tcPr>
          <w:p>
            <w:pPr>
              <w:jc w:val="right"/>
              <w:ind w:right="496"/>
              <w:spacing w:after="0"/>
              <w:rPr>
                <w:sz w:val="20"/>
                <w:szCs w:val="20"/>
                <w:color w:val="auto"/>
              </w:rPr>
            </w:pPr>
            <w:r>
              <w:rPr>
                <w:rFonts w:ascii="Arial" w:cs="Arial" w:eastAsia="Arial" w:hAnsi="Arial"/>
                <w:sz w:val="18"/>
                <w:szCs w:val="18"/>
                <w:b w:val="1"/>
                <w:bCs w:val="1"/>
                <w:color w:val="auto"/>
              </w:rPr>
              <w:t>2018</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tcPr>
          <w:p>
            <w:pPr>
              <w:jc w:val="right"/>
              <w:ind w:right="40"/>
              <w:spacing w:after="0"/>
              <w:rPr>
                <w:sz w:val="20"/>
                <w:szCs w:val="20"/>
                <w:color w:val="auto"/>
              </w:rPr>
            </w:pPr>
            <w:r>
              <w:rPr>
                <w:rFonts w:ascii="Arial" w:cs="Arial" w:eastAsia="Arial" w:hAnsi="Arial"/>
                <w:sz w:val="18"/>
                <w:szCs w:val="18"/>
                <w:b w:val="1"/>
                <w:bCs w:val="1"/>
                <w:color w:val="auto"/>
              </w:rPr>
              <w:t>2017</w:t>
            </w: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b w:val="1"/>
                <w:bCs w:val="1"/>
                <w:color w:val="auto"/>
              </w:rPr>
              <w:t>Increase</w:t>
            </w:r>
          </w:p>
        </w:tc>
        <w:tc>
          <w:tcPr>
            <w:tcW w:w="14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40" w:type="dxa"/>
            <w:vAlign w:val="bottom"/>
            <w:tcBorders>
              <w:bottom w:val="single" w:sz="8" w:color="DCE2EF"/>
            </w:tcBorders>
          </w:tcPr>
          <w:p>
            <w:pPr>
              <w:spacing w:after="0" w:line="20" w:lineRule="exact"/>
              <w:rPr>
                <w:sz w:val="1"/>
                <w:szCs w:val="1"/>
                <w:color w:val="auto"/>
              </w:rPr>
            </w:pPr>
          </w:p>
        </w:tc>
        <w:tc>
          <w:tcPr>
            <w:tcW w:w="820" w:type="dxa"/>
            <w:vAlign w:val="bottom"/>
            <w:tcBorders>
              <w:top w:val="single" w:sz="8" w:color="auto"/>
              <w:bottom w:val="single" w:sz="8" w:color="DCE2EF"/>
            </w:tcBorders>
          </w:tcPr>
          <w:p>
            <w:pPr>
              <w:spacing w:after="0" w:line="20" w:lineRule="exact"/>
              <w:rPr>
                <w:sz w:val="1"/>
                <w:szCs w:val="1"/>
                <w:color w:val="auto"/>
              </w:rPr>
            </w:pPr>
          </w:p>
        </w:tc>
        <w:tc>
          <w:tcPr>
            <w:tcW w:w="2840" w:type="dxa"/>
            <w:vAlign w:val="bottom"/>
            <w:tcBorders>
              <w:bottom w:val="single" w:sz="8" w:color="DCE2E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DCE2E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DCE2EF"/>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64"/>
        </w:trPr>
        <w:tc>
          <w:tcPr>
            <w:tcW w:w="3700" w:type="dxa"/>
            <w:vAlign w:val="bottom"/>
            <w:gridSpan w:val="3"/>
            <w:shd w:val="clear" w:color="auto" w:fill="DCE2EF"/>
          </w:tcPr>
          <w:p>
            <w:pPr>
              <w:ind w:left="40"/>
              <w:spacing w:after="0"/>
              <w:rPr>
                <w:sz w:val="20"/>
                <w:szCs w:val="20"/>
                <w:color w:val="auto"/>
              </w:rPr>
            </w:pPr>
            <w:r>
              <w:rPr>
                <w:rFonts w:ascii="Arial" w:cs="Arial" w:eastAsia="Arial" w:hAnsi="Arial"/>
                <w:sz w:val="18"/>
                <w:szCs w:val="18"/>
                <w:color w:val="auto"/>
              </w:rPr>
              <w:t>Revenues</w:t>
            </w:r>
          </w:p>
        </w:tc>
        <w:tc>
          <w:tcPr>
            <w:tcW w:w="420" w:type="dxa"/>
            <w:vAlign w:val="bottom"/>
            <w:shd w:val="clear" w:color="auto" w:fill="DCE2EF"/>
          </w:tcPr>
          <w:p>
            <w:pPr>
              <w:jc w:val="right"/>
              <w:ind w:right="210"/>
              <w:spacing w:after="0"/>
              <w:rPr>
                <w:sz w:val="20"/>
                <w:szCs w:val="20"/>
                <w:color w:val="auto"/>
              </w:rPr>
            </w:pPr>
            <w:r>
              <w:rPr>
                <w:rFonts w:ascii="Arial" w:cs="Arial" w:eastAsia="Arial" w:hAnsi="Arial"/>
                <w:sz w:val="18"/>
                <w:szCs w:val="18"/>
                <w:color w:val="auto"/>
                <w:w w:val="99"/>
              </w:rPr>
              <w:t>$</w:t>
            </w:r>
          </w:p>
        </w:tc>
        <w:tc>
          <w:tcPr>
            <w:tcW w:w="1300" w:type="dxa"/>
            <w:vAlign w:val="bottom"/>
            <w:shd w:val="clear" w:color="auto" w:fill="DCE2EF"/>
          </w:tcPr>
          <w:p>
            <w:pPr>
              <w:jc w:val="right"/>
              <w:spacing w:after="0"/>
              <w:rPr>
                <w:sz w:val="20"/>
                <w:szCs w:val="20"/>
                <w:color w:val="auto"/>
              </w:rPr>
            </w:pPr>
            <w:r>
              <w:rPr>
                <w:rFonts w:ascii="Arial" w:cs="Arial" w:eastAsia="Arial" w:hAnsi="Arial"/>
                <w:sz w:val="18"/>
                <w:szCs w:val="18"/>
                <w:color w:val="auto"/>
              </w:rPr>
              <w:t>1,445.3</w:t>
            </w:r>
          </w:p>
        </w:tc>
        <w:tc>
          <w:tcPr>
            <w:tcW w:w="160" w:type="dxa"/>
            <w:vAlign w:val="bottom"/>
            <w:shd w:val="clear" w:color="auto" w:fill="DCE2EF"/>
          </w:tcPr>
          <w:p>
            <w:pPr>
              <w:spacing w:after="0"/>
              <w:rPr>
                <w:sz w:val="22"/>
                <w:szCs w:val="22"/>
                <w:color w:val="auto"/>
              </w:rPr>
            </w:pPr>
          </w:p>
        </w:tc>
        <w:tc>
          <w:tcPr>
            <w:tcW w:w="100" w:type="dxa"/>
            <w:vAlign w:val="bottom"/>
            <w:shd w:val="clear" w:color="auto" w:fill="DCE2EF"/>
          </w:tcPr>
          <w:p>
            <w:pPr>
              <w:spacing w:after="0"/>
              <w:rPr>
                <w:sz w:val="22"/>
                <w:szCs w:val="22"/>
                <w:color w:val="auto"/>
              </w:rPr>
            </w:pPr>
          </w:p>
        </w:tc>
        <w:tc>
          <w:tcPr>
            <w:tcW w:w="220" w:type="dxa"/>
            <w:vAlign w:val="bottom"/>
            <w:shd w:val="clear" w:color="auto" w:fill="DCE2EF"/>
          </w:tcPr>
          <w:p>
            <w:pPr>
              <w:jc w:val="right"/>
              <w:ind w:right="10"/>
              <w:spacing w:after="0"/>
              <w:rPr>
                <w:sz w:val="20"/>
                <w:szCs w:val="20"/>
                <w:color w:val="auto"/>
              </w:rPr>
            </w:pPr>
            <w:r>
              <w:rPr>
                <w:rFonts w:ascii="Arial" w:cs="Arial" w:eastAsia="Arial" w:hAnsi="Arial"/>
                <w:sz w:val="18"/>
                <w:szCs w:val="18"/>
                <w:color w:val="auto"/>
                <w:w w:val="99"/>
              </w:rPr>
              <w:t>$</w:t>
            </w:r>
          </w:p>
        </w:tc>
        <w:tc>
          <w:tcPr>
            <w:tcW w:w="1660" w:type="dxa"/>
            <w:vAlign w:val="bottom"/>
            <w:gridSpan w:val="3"/>
            <w:shd w:val="clear" w:color="auto" w:fill="DCE2EF"/>
          </w:tcPr>
          <w:p>
            <w:pPr>
              <w:jc w:val="right"/>
              <w:ind w:right="160"/>
              <w:spacing w:after="0"/>
              <w:rPr>
                <w:sz w:val="20"/>
                <w:szCs w:val="20"/>
                <w:color w:val="auto"/>
              </w:rPr>
            </w:pPr>
            <w:r>
              <w:rPr>
                <w:rFonts w:ascii="Arial" w:cs="Arial" w:eastAsia="Arial" w:hAnsi="Arial"/>
                <w:sz w:val="18"/>
                <w:szCs w:val="18"/>
                <w:color w:val="auto"/>
              </w:rPr>
              <w:t>1,293.0</w:t>
            </w:r>
          </w:p>
        </w:tc>
        <w:tc>
          <w:tcPr>
            <w:tcW w:w="1020" w:type="dxa"/>
            <w:vAlign w:val="bottom"/>
            <w:gridSpan w:val="2"/>
            <w:shd w:val="clear" w:color="auto" w:fill="DCE2EF"/>
          </w:tcPr>
          <w:p>
            <w:pPr>
              <w:jc w:val="right"/>
              <w:ind w:right="780"/>
              <w:spacing w:after="0"/>
              <w:rPr>
                <w:sz w:val="20"/>
                <w:szCs w:val="20"/>
                <w:color w:val="auto"/>
              </w:rPr>
            </w:pPr>
            <w:r>
              <w:rPr>
                <w:rFonts w:ascii="Arial" w:cs="Arial" w:eastAsia="Arial" w:hAnsi="Arial"/>
                <w:sz w:val="18"/>
                <w:szCs w:val="18"/>
                <w:color w:val="auto"/>
              </w:rPr>
              <w:t>$</w:t>
            </w:r>
          </w:p>
        </w:tc>
        <w:tc>
          <w:tcPr>
            <w:tcW w:w="120" w:type="dxa"/>
            <w:vAlign w:val="bottom"/>
            <w:shd w:val="clear" w:color="auto" w:fill="DCE2EF"/>
          </w:tcPr>
          <w:p>
            <w:pPr>
              <w:spacing w:after="0"/>
              <w:rPr>
                <w:sz w:val="22"/>
                <w:szCs w:val="22"/>
                <w:color w:val="auto"/>
              </w:rPr>
            </w:pPr>
          </w:p>
        </w:tc>
        <w:tc>
          <w:tcPr>
            <w:tcW w:w="160" w:type="dxa"/>
            <w:vAlign w:val="bottom"/>
            <w:shd w:val="clear" w:color="auto" w:fill="DCE2EF"/>
          </w:tcPr>
          <w:p>
            <w:pPr>
              <w:spacing w:after="0"/>
              <w:rPr>
                <w:sz w:val="22"/>
                <w:szCs w:val="22"/>
                <w:color w:val="auto"/>
              </w:rPr>
            </w:pPr>
          </w:p>
        </w:tc>
        <w:tc>
          <w:tcPr>
            <w:tcW w:w="1080" w:type="dxa"/>
            <w:vAlign w:val="bottom"/>
            <w:shd w:val="clear" w:color="auto" w:fill="DCE2EF"/>
          </w:tcPr>
          <w:p>
            <w:pPr>
              <w:jc w:val="right"/>
              <w:ind w:right="480"/>
              <w:spacing w:after="0"/>
              <w:rPr>
                <w:sz w:val="20"/>
                <w:szCs w:val="20"/>
                <w:color w:val="auto"/>
              </w:rPr>
            </w:pPr>
            <w:r>
              <w:rPr>
                <w:rFonts w:ascii="Arial" w:cs="Arial" w:eastAsia="Arial" w:hAnsi="Arial"/>
                <w:sz w:val="18"/>
                <w:szCs w:val="18"/>
                <w:color w:val="auto"/>
              </w:rPr>
              <w:t>152.3</w:t>
            </w:r>
          </w:p>
        </w:tc>
        <w:tc>
          <w:tcPr>
            <w:tcW w:w="1460" w:type="dxa"/>
            <w:vAlign w:val="bottom"/>
            <w:shd w:val="clear" w:color="auto" w:fill="DCE2EF"/>
          </w:tcPr>
          <w:p>
            <w:pPr>
              <w:ind w:left="300"/>
              <w:spacing w:after="0"/>
              <w:rPr>
                <w:sz w:val="20"/>
                <w:szCs w:val="20"/>
                <w:color w:val="auto"/>
              </w:rPr>
            </w:pPr>
            <w:r>
              <w:rPr>
                <w:rFonts w:ascii="Arial" w:cs="Arial" w:eastAsia="Arial" w:hAnsi="Arial"/>
                <w:sz w:val="18"/>
                <w:szCs w:val="18"/>
                <w:color w:val="auto"/>
              </w:rPr>
              <w:t>11.8%</w:t>
            </w:r>
          </w:p>
        </w:tc>
        <w:tc>
          <w:tcPr>
            <w:tcW w:w="0" w:type="dxa"/>
            <w:vAlign w:val="bottom"/>
          </w:tcPr>
          <w:p>
            <w:pPr>
              <w:spacing w:after="0"/>
              <w:rPr>
                <w:sz w:val="1"/>
                <w:szCs w:val="1"/>
                <w:color w:val="auto"/>
              </w:rPr>
            </w:pPr>
          </w:p>
        </w:tc>
      </w:tr>
      <w:tr>
        <w:trPr>
          <w:trHeight w:val="270"/>
        </w:trPr>
        <w:tc>
          <w:tcPr>
            <w:tcW w:w="3700" w:type="dxa"/>
            <w:vAlign w:val="bottom"/>
            <w:gridSpan w:val="3"/>
          </w:tcPr>
          <w:p>
            <w:pPr>
              <w:ind w:left="40"/>
              <w:spacing w:after="0"/>
              <w:rPr>
                <w:sz w:val="20"/>
                <w:szCs w:val="20"/>
                <w:color w:val="auto"/>
              </w:rPr>
            </w:pPr>
            <w:r>
              <w:rPr>
                <w:rFonts w:ascii="Arial" w:cs="Arial" w:eastAsia="Arial" w:hAnsi="Arial"/>
                <w:sz w:val="18"/>
                <w:szCs w:val="18"/>
                <w:color w:val="auto"/>
              </w:rPr>
              <w:t>Operating profit</w:t>
            </w:r>
            <w:r>
              <w:rPr>
                <w:rFonts w:ascii="Arial" w:cs="Arial" w:eastAsia="Arial" w:hAnsi="Arial"/>
                <w:sz w:val="21"/>
                <w:szCs w:val="21"/>
                <w:color w:val="auto"/>
                <w:vertAlign w:val="superscript"/>
              </w:rPr>
              <w:t>(1)</w:t>
            </w:r>
          </w:p>
        </w:tc>
        <w:tc>
          <w:tcPr>
            <w:tcW w:w="420" w:type="dxa"/>
            <w:vAlign w:val="bottom"/>
          </w:tcPr>
          <w:p>
            <w:pPr>
              <w:spacing w:after="0"/>
              <w:rPr>
                <w:sz w:val="23"/>
                <w:szCs w:val="23"/>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72.0</w:t>
            </w:r>
          </w:p>
        </w:tc>
        <w:tc>
          <w:tcPr>
            <w:tcW w:w="1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620" w:type="dxa"/>
            <w:vAlign w:val="bottom"/>
            <w:gridSpan w:val="2"/>
          </w:tcPr>
          <w:p>
            <w:pPr>
              <w:jc w:val="right"/>
              <w:ind w:right="160"/>
              <w:spacing w:after="0"/>
              <w:rPr>
                <w:sz w:val="20"/>
                <w:szCs w:val="20"/>
                <w:color w:val="auto"/>
              </w:rPr>
            </w:pPr>
            <w:r>
              <w:rPr>
                <w:rFonts w:ascii="Arial" w:cs="Arial" w:eastAsia="Arial" w:hAnsi="Arial"/>
                <w:sz w:val="18"/>
                <w:szCs w:val="18"/>
                <w:color w:val="auto"/>
              </w:rPr>
              <w:t>63.2</w:t>
            </w:r>
          </w:p>
        </w:tc>
        <w:tc>
          <w:tcPr>
            <w:tcW w:w="10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80" w:type="dxa"/>
            <w:vAlign w:val="bottom"/>
          </w:tcPr>
          <w:p>
            <w:pPr>
              <w:jc w:val="right"/>
              <w:ind w:right="480"/>
              <w:spacing w:after="0"/>
              <w:rPr>
                <w:sz w:val="20"/>
                <w:szCs w:val="20"/>
                <w:color w:val="auto"/>
              </w:rPr>
            </w:pPr>
            <w:r>
              <w:rPr>
                <w:rFonts w:ascii="Arial" w:cs="Arial" w:eastAsia="Arial" w:hAnsi="Arial"/>
                <w:sz w:val="18"/>
                <w:szCs w:val="18"/>
                <w:color w:val="auto"/>
              </w:rPr>
              <w:t>8.8</w:t>
            </w:r>
          </w:p>
        </w:tc>
        <w:tc>
          <w:tcPr>
            <w:tcW w:w="1460" w:type="dxa"/>
            <w:vAlign w:val="bottom"/>
          </w:tcPr>
          <w:p>
            <w:pPr>
              <w:ind w:left="300"/>
              <w:spacing w:after="0"/>
              <w:rPr>
                <w:sz w:val="20"/>
                <w:szCs w:val="20"/>
                <w:color w:val="auto"/>
              </w:rPr>
            </w:pPr>
            <w:r>
              <w:rPr>
                <w:rFonts w:ascii="Arial" w:cs="Arial" w:eastAsia="Arial" w:hAnsi="Arial"/>
                <w:sz w:val="18"/>
                <w:szCs w:val="18"/>
                <w:color w:val="auto"/>
              </w:rPr>
              <w:t>14.0%</w:t>
            </w:r>
          </w:p>
        </w:tc>
        <w:tc>
          <w:tcPr>
            <w:tcW w:w="0" w:type="dxa"/>
            <w:vAlign w:val="bottom"/>
          </w:tcPr>
          <w:p>
            <w:pPr>
              <w:spacing w:after="0"/>
              <w:rPr>
                <w:sz w:val="1"/>
                <w:szCs w:val="1"/>
                <w:color w:val="auto"/>
              </w:rPr>
            </w:pPr>
          </w:p>
        </w:tc>
      </w:tr>
      <w:tr>
        <w:trPr>
          <w:trHeight w:val="270"/>
        </w:trPr>
        <w:tc>
          <w:tcPr>
            <w:tcW w:w="40" w:type="dxa"/>
            <w:vAlign w:val="bottom"/>
            <w:shd w:val="clear" w:color="auto" w:fill="DCE2EF"/>
          </w:tcPr>
          <w:p>
            <w:pPr>
              <w:spacing w:after="0"/>
              <w:rPr>
                <w:sz w:val="23"/>
                <w:szCs w:val="23"/>
                <w:color w:val="auto"/>
              </w:rPr>
            </w:pPr>
          </w:p>
        </w:tc>
        <w:tc>
          <w:tcPr>
            <w:tcW w:w="3660" w:type="dxa"/>
            <w:vAlign w:val="bottom"/>
            <w:gridSpan w:val="2"/>
            <w:shd w:val="clear" w:color="auto" w:fill="DCE2EF"/>
          </w:tcPr>
          <w:p>
            <w:pPr>
              <w:ind w:left="140"/>
              <w:spacing w:after="0"/>
              <w:rPr>
                <w:sz w:val="20"/>
                <w:szCs w:val="20"/>
                <w:color w:val="auto"/>
              </w:rPr>
            </w:pPr>
            <w:r>
              <w:rPr>
                <w:rFonts w:ascii="Arial" w:cs="Arial" w:eastAsia="Arial" w:hAnsi="Arial"/>
                <w:sz w:val="14"/>
                <w:szCs w:val="14"/>
                <w:i w:val="1"/>
                <w:iCs w:val="1"/>
                <w:color w:val="auto"/>
              </w:rPr>
              <w:t>Operating profit margin</w:t>
            </w:r>
          </w:p>
        </w:tc>
        <w:tc>
          <w:tcPr>
            <w:tcW w:w="420" w:type="dxa"/>
            <w:vAlign w:val="bottom"/>
            <w:shd w:val="clear" w:color="auto" w:fill="DCE2EF"/>
          </w:tcPr>
          <w:p>
            <w:pPr>
              <w:spacing w:after="0"/>
              <w:rPr>
                <w:sz w:val="23"/>
                <w:szCs w:val="23"/>
                <w:color w:val="auto"/>
              </w:rPr>
            </w:pPr>
          </w:p>
        </w:tc>
        <w:tc>
          <w:tcPr>
            <w:tcW w:w="1460" w:type="dxa"/>
            <w:vAlign w:val="bottom"/>
            <w:gridSpan w:val="2"/>
            <w:shd w:val="clear" w:color="auto" w:fill="DCE2EF"/>
          </w:tcPr>
          <w:p>
            <w:pPr>
              <w:jc w:val="right"/>
              <w:ind w:right="40"/>
              <w:spacing w:after="0"/>
              <w:rPr>
                <w:sz w:val="20"/>
                <w:szCs w:val="20"/>
                <w:color w:val="auto"/>
              </w:rPr>
            </w:pPr>
            <w:r>
              <w:rPr>
                <w:rFonts w:ascii="Arial" w:cs="Arial" w:eastAsia="Arial" w:hAnsi="Arial"/>
                <w:sz w:val="14"/>
                <w:szCs w:val="14"/>
                <w:i w:val="1"/>
                <w:iCs w:val="1"/>
                <w:color w:val="auto"/>
              </w:rPr>
              <w:t>5.0%</w:t>
            </w:r>
          </w:p>
        </w:tc>
        <w:tc>
          <w:tcPr>
            <w:tcW w:w="100" w:type="dxa"/>
            <w:vAlign w:val="bottom"/>
            <w:shd w:val="clear" w:color="auto" w:fill="DCE2EF"/>
          </w:tcPr>
          <w:p>
            <w:pPr>
              <w:spacing w:after="0"/>
              <w:rPr>
                <w:sz w:val="23"/>
                <w:szCs w:val="23"/>
                <w:color w:val="auto"/>
              </w:rPr>
            </w:pPr>
          </w:p>
        </w:tc>
        <w:tc>
          <w:tcPr>
            <w:tcW w:w="220" w:type="dxa"/>
            <w:vAlign w:val="bottom"/>
            <w:shd w:val="clear" w:color="auto" w:fill="DCE2EF"/>
          </w:tcPr>
          <w:p>
            <w:pPr>
              <w:spacing w:after="0"/>
              <w:rPr>
                <w:sz w:val="23"/>
                <w:szCs w:val="23"/>
                <w:color w:val="auto"/>
              </w:rPr>
            </w:pPr>
          </w:p>
        </w:tc>
        <w:tc>
          <w:tcPr>
            <w:tcW w:w="1040" w:type="dxa"/>
            <w:vAlign w:val="bottom"/>
            <w:shd w:val="clear" w:color="auto" w:fill="DCE2EF"/>
          </w:tcPr>
          <w:p>
            <w:pPr>
              <w:spacing w:after="0"/>
              <w:rPr>
                <w:sz w:val="23"/>
                <w:szCs w:val="23"/>
                <w:color w:val="auto"/>
              </w:rPr>
            </w:pPr>
          </w:p>
        </w:tc>
        <w:tc>
          <w:tcPr>
            <w:tcW w:w="620" w:type="dxa"/>
            <w:vAlign w:val="bottom"/>
            <w:gridSpan w:val="2"/>
            <w:shd w:val="clear" w:color="auto" w:fill="DCE2EF"/>
          </w:tcPr>
          <w:p>
            <w:pPr>
              <w:jc w:val="right"/>
              <w:ind w:right="40"/>
              <w:spacing w:after="0"/>
              <w:rPr>
                <w:sz w:val="20"/>
                <w:szCs w:val="20"/>
                <w:color w:val="auto"/>
              </w:rPr>
            </w:pPr>
            <w:r>
              <w:rPr>
                <w:rFonts w:ascii="Arial" w:cs="Arial" w:eastAsia="Arial" w:hAnsi="Arial"/>
                <w:sz w:val="14"/>
                <w:szCs w:val="14"/>
                <w:i w:val="1"/>
                <w:iCs w:val="1"/>
                <w:color w:val="auto"/>
              </w:rPr>
              <w:t>4.9%</w:t>
            </w:r>
          </w:p>
        </w:tc>
        <w:tc>
          <w:tcPr>
            <w:tcW w:w="100" w:type="dxa"/>
            <w:vAlign w:val="bottom"/>
            <w:shd w:val="clear" w:color="auto" w:fill="DCE2EF"/>
          </w:tcPr>
          <w:p>
            <w:pPr>
              <w:spacing w:after="0"/>
              <w:rPr>
                <w:sz w:val="23"/>
                <w:szCs w:val="23"/>
                <w:color w:val="auto"/>
              </w:rPr>
            </w:pPr>
          </w:p>
        </w:tc>
        <w:tc>
          <w:tcPr>
            <w:tcW w:w="920" w:type="dxa"/>
            <w:vAlign w:val="bottom"/>
            <w:shd w:val="clear" w:color="auto" w:fill="DCE2EF"/>
          </w:tcPr>
          <w:p>
            <w:pPr>
              <w:spacing w:after="0"/>
              <w:rPr>
                <w:sz w:val="23"/>
                <w:szCs w:val="23"/>
                <w:color w:val="auto"/>
              </w:rPr>
            </w:pPr>
          </w:p>
        </w:tc>
        <w:tc>
          <w:tcPr>
            <w:tcW w:w="120" w:type="dxa"/>
            <w:vAlign w:val="bottom"/>
            <w:shd w:val="clear" w:color="auto" w:fill="DCE2EF"/>
          </w:tcPr>
          <w:p>
            <w:pPr>
              <w:spacing w:after="0"/>
              <w:rPr>
                <w:sz w:val="23"/>
                <w:szCs w:val="23"/>
                <w:color w:val="auto"/>
              </w:rPr>
            </w:pPr>
          </w:p>
        </w:tc>
        <w:tc>
          <w:tcPr>
            <w:tcW w:w="160" w:type="dxa"/>
            <w:vAlign w:val="bottom"/>
            <w:shd w:val="clear" w:color="auto" w:fill="DCE2EF"/>
          </w:tcPr>
          <w:p>
            <w:pPr>
              <w:spacing w:after="0"/>
              <w:rPr>
                <w:sz w:val="23"/>
                <w:szCs w:val="23"/>
                <w:color w:val="auto"/>
              </w:rPr>
            </w:pPr>
          </w:p>
        </w:tc>
        <w:tc>
          <w:tcPr>
            <w:tcW w:w="1080" w:type="dxa"/>
            <w:vAlign w:val="bottom"/>
            <w:shd w:val="clear" w:color="auto" w:fill="DCE2EF"/>
          </w:tcPr>
          <w:p>
            <w:pPr>
              <w:jc w:val="right"/>
              <w:ind w:right="480"/>
              <w:spacing w:after="0"/>
              <w:rPr>
                <w:sz w:val="20"/>
                <w:szCs w:val="20"/>
                <w:color w:val="auto"/>
              </w:rPr>
            </w:pPr>
            <w:r>
              <w:rPr>
                <w:rFonts w:ascii="Arial" w:cs="Arial" w:eastAsia="Arial" w:hAnsi="Arial"/>
                <w:sz w:val="14"/>
                <w:szCs w:val="14"/>
                <w:i w:val="1"/>
                <w:iCs w:val="1"/>
                <w:color w:val="auto"/>
              </w:rPr>
              <w:t>10 bps</w:t>
            </w:r>
          </w:p>
        </w:tc>
        <w:tc>
          <w:tcPr>
            <w:tcW w:w="1460" w:type="dxa"/>
            <w:vAlign w:val="bottom"/>
            <w:shd w:val="clear" w:color="auto" w:fill="DCE2EF"/>
          </w:tcPr>
          <w:p>
            <w:pPr>
              <w:spacing w:after="0"/>
              <w:rPr>
                <w:sz w:val="23"/>
                <w:szCs w:val="23"/>
                <w:color w:val="auto"/>
              </w:rPr>
            </w:pPr>
          </w:p>
        </w:tc>
        <w:tc>
          <w:tcPr>
            <w:tcW w:w="0" w:type="dxa"/>
            <w:vAlign w:val="bottom"/>
          </w:tcPr>
          <w:p>
            <w:pPr>
              <w:spacing w:after="0"/>
              <w:rPr>
                <w:sz w:val="1"/>
                <w:szCs w:val="1"/>
                <w:color w:val="auto"/>
              </w:rPr>
            </w:pPr>
          </w:p>
        </w:tc>
      </w:tr>
    </w:tbl>
    <w:p>
      <w:pPr>
        <w:spacing w:after="0" w:line="23" w:lineRule="exact"/>
        <w:rPr>
          <w:sz w:val="20"/>
          <w:szCs w:val="20"/>
          <w:color w:val="auto"/>
        </w:rPr>
      </w:pPr>
    </w:p>
    <w:p>
      <w:pPr>
        <w:ind w:left="180" w:hanging="172"/>
        <w:spacing w:after="0"/>
        <w:tabs>
          <w:tab w:leader="none" w:pos="180" w:val="left"/>
        </w:tabs>
        <w:numPr>
          <w:ilvl w:val="0"/>
          <w:numId w:val="19"/>
        </w:numPr>
        <w:rPr>
          <w:rFonts w:ascii="Arial" w:cs="Arial" w:eastAsia="Arial" w:hAnsi="Arial"/>
          <w:sz w:val="21"/>
          <w:szCs w:val="21"/>
          <w:color w:val="auto"/>
          <w:vertAlign w:val="superscript"/>
        </w:rPr>
      </w:pPr>
      <w:r>
        <w:rPr>
          <w:rFonts w:ascii="Arial" w:cs="Arial" w:eastAsia="Arial" w:hAnsi="Arial"/>
          <w:sz w:val="15"/>
          <w:szCs w:val="15"/>
          <w:color w:val="auto"/>
        </w:rPr>
        <w:t>The six months ended April 30, 2018 includes $3.7 million of amortization expense related to the GCA acquisition.</w:t>
      </w:r>
    </w:p>
    <w:p>
      <w:pPr>
        <w:spacing w:after="0" w:line="167"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B&amp;I revenues increased by $152.3 million, or 11.8%, during the six months ended April 30, 2018, as compared to the six months ended April 30, 2017. The increase was primarily attributable to incremental revenues from the GCA acquisition of $83.2 million and net new janitorial business, including new contract wins in the U.K. and the expansion of existing accounts. Management reimbursement revenues for this segment totaled $126.5 million and $115.9 million for the six months ended April 30, 2018 and 2017, respectively.</w:t>
      </w:r>
    </w:p>
    <w:p>
      <w:pPr>
        <w:sectPr>
          <w:pgSz w:w="11900" w:h="16838" w:orient="portrait"/>
          <w:cols w:equalWidth="0" w:num="1">
            <w:col w:w="11420"/>
          </w:cols>
          <w:pgMar w:left="240" w:top="360"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37</w:t>
      </w:r>
    </w:p>
    <w:p>
      <w:pPr>
        <w:sectPr>
          <w:pgSz w:w="11900" w:h="16838" w:orient="portrait"/>
          <w:cols w:equalWidth="0" w:num="1">
            <w:col w:w="11420"/>
          </w:cols>
          <w:pgMar w:left="240" w:top="360" w:right="239" w:bottom="1440" w:gutter="0" w:footer="0" w:header="0"/>
          <w:type w:val="continuous"/>
        </w:sectPr>
      </w:pPr>
    </w:p>
    <w:bookmarkStart w:id="40" w:name="page41"/>
    <w:bookmarkEnd w:id="40"/>
    <w:p>
      <w:pPr>
        <w:jc w:val="both"/>
        <w:ind w:firstLine="648"/>
        <w:spacing w:after="0" w:line="252" w:lineRule="auto"/>
        <w:rPr>
          <w:sz w:val="20"/>
          <w:szCs w:val="20"/>
          <w:color w:val="auto"/>
        </w:rPr>
      </w:pPr>
      <w:r>
        <w:rPr>
          <w:rFonts w:ascii="Arial" w:cs="Arial" w:eastAsia="Arial" w:hAnsi="Arial"/>
          <w:sz w:val="18"/>
          <w:szCs w:val="18"/>
          <w:color w:val="auto"/>
        </w:rPr>
        <w:t>Operating profit increased by $ 8.8 million, or 14.0%, during the six months ended April 30, 2018, as compared to the six months ended April 30, 2017. Operating profit margin increased by 10 bps to 5.0% in the six months ended April 30, 2018 from 4.9% in the six months ended April 30, 2017. The increase in operating profit margin was primarily associated with the management of selling, general and administrative expenses. This increase was partially offset by lower margins on Vehicle Services Contracts and certain janitorial accounts, as well as an increase in amortization expense related to the GCA acquisition. While labor challenges are present in certain areas of our B&amp;I business, it is our most mature business and has the highest proportion of unionized labor, which allows us to manage labor costs more efficiently.</w:t>
      </w:r>
    </w:p>
    <w:p>
      <w:pPr>
        <w:spacing w:after="0" w:line="308"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3700" w:type="dxa"/>
            <w:vAlign w:val="bottom"/>
            <w:gridSpan w:val="3"/>
          </w:tcPr>
          <w:p>
            <w:pPr>
              <w:ind w:left="40"/>
              <w:spacing w:after="0"/>
              <w:rPr>
                <w:sz w:val="20"/>
                <w:szCs w:val="20"/>
                <w:color w:val="auto"/>
              </w:rPr>
            </w:pPr>
            <w:r>
              <w:rPr>
                <w:rFonts w:ascii="Arial" w:cs="Arial" w:eastAsia="Arial" w:hAnsi="Arial"/>
                <w:sz w:val="18"/>
                <w:szCs w:val="18"/>
                <w:b w:val="1"/>
                <w:bCs w:val="1"/>
                <w:i w:val="1"/>
                <w:iCs w:val="1"/>
                <w:color w:val="0046AD"/>
              </w:rPr>
              <w:t>Aviation</w:t>
            </w:r>
          </w:p>
        </w:tc>
        <w:tc>
          <w:tcPr>
            <w:tcW w:w="42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1560" w:type="dxa"/>
            <w:vAlign w:val="bottom"/>
          </w:tcPr>
          <w:p>
            <w:pPr>
              <w:spacing w:after="0"/>
              <w:rPr>
                <w:sz w:val="20"/>
                <w:szCs w:val="20"/>
                <w:color w:val="auto"/>
              </w:rPr>
            </w:pPr>
          </w:p>
        </w:tc>
      </w:tr>
      <w:tr>
        <w:trPr>
          <w:trHeight w:val="277"/>
        </w:trPr>
        <w:tc>
          <w:tcPr>
            <w:tcW w:w="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8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540" w:type="dxa"/>
            <w:vAlign w:val="bottom"/>
            <w:gridSpan w:val="5"/>
          </w:tcPr>
          <w:p>
            <w:pPr>
              <w:ind w:left="360"/>
              <w:spacing w:after="0"/>
              <w:rPr>
                <w:sz w:val="20"/>
                <w:szCs w:val="20"/>
                <w:color w:val="auto"/>
              </w:rPr>
            </w:pPr>
            <w:r>
              <w:rPr>
                <w:rFonts w:ascii="Arial" w:cs="Arial" w:eastAsia="Arial" w:hAnsi="Arial"/>
                <w:sz w:val="18"/>
                <w:szCs w:val="18"/>
                <w:b w:val="1"/>
                <w:bCs w:val="1"/>
                <w:color w:val="auto"/>
              </w:rPr>
              <w:t>Six Months Ended April 30,</w:t>
            </w:r>
          </w:p>
        </w:tc>
        <w:tc>
          <w:tcPr>
            <w:tcW w:w="56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560" w:type="dxa"/>
            <w:vAlign w:val="bottom"/>
          </w:tcPr>
          <w:p>
            <w:pPr>
              <w:spacing w:after="0"/>
              <w:rPr>
                <w:sz w:val="24"/>
                <w:szCs w:val="24"/>
                <w:color w:val="auto"/>
              </w:rPr>
            </w:pPr>
          </w:p>
        </w:tc>
      </w:tr>
      <w:tr>
        <w:trPr>
          <w:trHeight w:val="230"/>
        </w:trPr>
        <w:tc>
          <w:tcPr>
            <w:tcW w:w="3700" w:type="dxa"/>
            <w:vAlign w:val="bottom"/>
            <w:gridSpan w:val="3"/>
          </w:tcPr>
          <w:p>
            <w:pPr>
              <w:ind w:left="40"/>
              <w:spacing w:after="0"/>
              <w:rPr>
                <w:sz w:val="20"/>
                <w:szCs w:val="20"/>
                <w:color w:val="auto"/>
              </w:rPr>
            </w:pPr>
            <w:r>
              <w:rPr>
                <w:rFonts w:ascii="Arial" w:cs="Arial" w:eastAsia="Arial" w:hAnsi="Arial"/>
                <w:sz w:val="14"/>
                <w:szCs w:val="14"/>
                <w:i w:val="1"/>
                <w:iCs w:val="1"/>
                <w:u w:val="single" w:color="auto"/>
                <w:color w:val="auto"/>
              </w:rPr>
              <w:t>(</w:t>
            </w:r>
            <w:r>
              <w:rPr>
                <w:rFonts w:ascii="Arial" w:cs="Arial" w:eastAsia="Arial" w:hAnsi="Arial"/>
                <w:sz w:val="14"/>
                <w:szCs w:val="14"/>
                <w:i w:val="1"/>
                <w:iCs w:val="1"/>
                <w:color w:val="auto"/>
              </w:rPr>
              <w:t>$ in millions)</w:t>
            </w:r>
          </w:p>
        </w:tc>
        <w:tc>
          <w:tcPr>
            <w:tcW w:w="420" w:type="dxa"/>
            <w:vAlign w:val="bottom"/>
            <w:tcBorders>
              <w:top w:val="single" w:sz="8" w:color="auto"/>
            </w:tcBorders>
          </w:tcPr>
          <w:p>
            <w:pPr>
              <w:spacing w:after="0"/>
              <w:rPr>
                <w:sz w:val="19"/>
                <w:szCs w:val="19"/>
                <w:color w:val="auto"/>
              </w:rPr>
            </w:pPr>
          </w:p>
        </w:tc>
        <w:tc>
          <w:tcPr>
            <w:tcW w:w="1460" w:type="dxa"/>
            <w:vAlign w:val="bottom"/>
            <w:tcBorders>
              <w:top w:val="single" w:sz="8" w:color="auto"/>
            </w:tcBorders>
          </w:tcPr>
          <w:p>
            <w:pPr>
              <w:jc w:val="right"/>
              <w:ind w:right="654"/>
              <w:spacing w:after="0"/>
              <w:rPr>
                <w:sz w:val="20"/>
                <w:szCs w:val="20"/>
                <w:color w:val="auto"/>
              </w:rPr>
            </w:pPr>
            <w:r>
              <w:rPr>
                <w:rFonts w:ascii="Arial" w:cs="Arial" w:eastAsia="Arial" w:hAnsi="Arial"/>
                <w:sz w:val="18"/>
                <w:szCs w:val="18"/>
                <w:b w:val="1"/>
                <w:bCs w:val="1"/>
                <w:color w:val="auto"/>
              </w:rPr>
              <w:t>2018</w:t>
            </w:r>
          </w:p>
        </w:tc>
        <w:tc>
          <w:tcPr>
            <w:tcW w:w="100" w:type="dxa"/>
            <w:vAlign w:val="bottom"/>
            <w:tcBorders>
              <w:top w:val="single" w:sz="8" w:color="auto"/>
            </w:tcBorders>
          </w:tcPr>
          <w:p>
            <w:pPr>
              <w:spacing w:after="0"/>
              <w:rPr>
                <w:sz w:val="19"/>
                <w:szCs w:val="19"/>
                <w:color w:val="auto"/>
              </w:rPr>
            </w:pPr>
          </w:p>
        </w:tc>
        <w:tc>
          <w:tcPr>
            <w:tcW w:w="440" w:type="dxa"/>
            <w:vAlign w:val="bottom"/>
            <w:tcBorders>
              <w:top w:val="single" w:sz="8" w:color="auto"/>
            </w:tcBorders>
          </w:tcPr>
          <w:p>
            <w:pPr>
              <w:spacing w:after="0"/>
              <w:rPr>
                <w:sz w:val="19"/>
                <w:szCs w:val="19"/>
                <w:color w:val="auto"/>
              </w:rPr>
            </w:pPr>
          </w:p>
        </w:tc>
        <w:tc>
          <w:tcPr>
            <w:tcW w:w="1440" w:type="dxa"/>
            <w:vAlign w:val="bottom"/>
            <w:tcBorders>
              <w:top w:val="single" w:sz="8" w:color="auto"/>
            </w:tcBorders>
          </w:tcPr>
          <w:p>
            <w:pPr>
              <w:jc w:val="right"/>
              <w:ind w:right="654"/>
              <w:spacing w:after="0"/>
              <w:rPr>
                <w:sz w:val="20"/>
                <w:szCs w:val="20"/>
                <w:color w:val="auto"/>
              </w:rPr>
            </w:pPr>
            <w:r>
              <w:rPr>
                <w:rFonts w:ascii="Arial" w:cs="Arial" w:eastAsia="Arial" w:hAnsi="Arial"/>
                <w:sz w:val="18"/>
                <w:szCs w:val="18"/>
                <w:b w:val="1"/>
                <w:bCs w:val="1"/>
                <w:color w:val="auto"/>
              </w:rPr>
              <w:t>2017</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180" w:type="dxa"/>
            <w:vAlign w:val="bottom"/>
            <w:gridSpan w:val="2"/>
          </w:tcPr>
          <w:p>
            <w:pPr>
              <w:jc w:val="right"/>
              <w:ind w:right="850"/>
              <w:spacing w:after="0"/>
              <w:rPr>
                <w:sz w:val="20"/>
                <w:szCs w:val="20"/>
                <w:color w:val="auto"/>
              </w:rPr>
            </w:pPr>
            <w:r>
              <w:rPr>
                <w:rFonts w:ascii="Arial" w:cs="Arial" w:eastAsia="Arial" w:hAnsi="Arial"/>
                <w:sz w:val="18"/>
                <w:szCs w:val="18"/>
                <w:b w:val="1"/>
                <w:bCs w:val="1"/>
                <w:color w:val="auto"/>
              </w:rPr>
              <w:t>Increase / (Decrease)</w:t>
            </w:r>
          </w:p>
        </w:tc>
      </w:tr>
      <w:tr>
        <w:trPr>
          <w:trHeight w:val="21"/>
        </w:trPr>
        <w:tc>
          <w:tcPr>
            <w:tcW w:w="40" w:type="dxa"/>
            <w:vAlign w:val="bottom"/>
            <w:tcBorders>
              <w:bottom w:val="single" w:sz="8" w:color="DCE2EF"/>
            </w:tcBorders>
          </w:tcPr>
          <w:p>
            <w:pPr>
              <w:spacing w:after="0" w:line="20" w:lineRule="exact"/>
              <w:rPr>
                <w:sz w:val="1"/>
                <w:szCs w:val="1"/>
                <w:color w:val="auto"/>
              </w:rPr>
            </w:pPr>
          </w:p>
        </w:tc>
        <w:tc>
          <w:tcPr>
            <w:tcW w:w="820" w:type="dxa"/>
            <w:vAlign w:val="bottom"/>
            <w:tcBorders>
              <w:top w:val="single" w:sz="8" w:color="auto"/>
              <w:bottom w:val="single" w:sz="8" w:color="DCE2EF"/>
            </w:tcBorders>
          </w:tcPr>
          <w:p>
            <w:pPr>
              <w:spacing w:after="0" w:line="20" w:lineRule="exact"/>
              <w:rPr>
                <w:sz w:val="1"/>
                <w:szCs w:val="1"/>
                <w:color w:val="auto"/>
              </w:rPr>
            </w:pPr>
          </w:p>
        </w:tc>
        <w:tc>
          <w:tcPr>
            <w:tcW w:w="2840" w:type="dxa"/>
            <w:vAlign w:val="bottom"/>
            <w:tcBorders>
              <w:bottom w:val="single" w:sz="8" w:color="DCE2E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DCE2E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DCE2EF"/>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r>
      <w:tr>
        <w:trPr>
          <w:trHeight w:val="244"/>
        </w:trPr>
        <w:tc>
          <w:tcPr>
            <w:tcW w:w="40" w:type="dxa"/>
            <w:vAlign w:val="bottom"/>
            <w:tcBorders>
              <w:bottom w:val="single" w:sz="8" w:color="DCE2EF"/>
            </w:tcBorders>
            <w:shd w:val="clear" w:color="auto" w:fill="DCE2EF"/>
          </w:tcPr>
          <w:p>
            <w:pPr>
              <w:spacing w:after="0"/>
              <w:rPr>
                <w:sz w:val="21"/>
                <w:szCs w:val="21"/>
                <w:color w:val="auto"/>
              </w:rPr>
            </w:pPr>
          </w:p>
        </w:tc>
        <w:tc>
          <w:tcPr>
            <w:tcW w:w="820" w:type="dxa"/>
            <w:vAlign w:val="bottom"/>
            <w:tcBorders>
              <w:bottom w:val="single" w:sz="8" w:color="DCE2EF"/>
            </w:tcBorders>
            <w:shd w:val="clear" w:color="auto" w:fill="DCE2EF"/>
          </w:tcPr>
          <w:p>
            <w:pPr>
              <w:spacing w:after="0"/>
              <w:rPr>
                <w:sz w:val="20"/>
                <w:szCs w:val="20"/>
                <w:color w:val="auto"/>
              </w:rPr>
            </w:pPr>
            <w:r>
              <w:rPr>
                <w:rFonts w:ascii="Arial" w:cs="Arial" w:eastAsia="Arial" w:hAnsi="Arial"/>
                <w:sz w:val="18"/>
                <w:szCs w:val="18"/>
                <w:color w:val="auto"/>
                <w:w w:val="98"/>
                <w:shd w:val="clear" w:color="auto" w:fill="DCE2EF"/>
              </w:rPr>
              <w:t>Revenues</w:t>
            </w:r>
          </w:p>
        </w:tc>
        <w:tc>
          <w:tcPr>
            <w:tcW w:w="2840" w:type="dxa"/>
            <w:vAlign w:val="bottom"/>
            <w:tcBorders>
              <w:bottom w:val="single" w:sz="8" w:color="DCE2EF"/>
            </w:tcBorders>
            <w:shd w:val="clear" w:color="auto" w:fill="DCE2EF"/>
          </w:tcPr>
          <w:p>
            <w:pPr>
              <w:spacing w:after="0"/>
              <w:rPr>
                <w:sz w:val="21"/>
                <w:szCs w:val="21"/>
                <w:color w:val="auto"/>
              </w:rPr>
            </w:pPr>
          </w:p>
        </w:tc>
        <w:tc>
          <w:tcPr>
            <w:tcW w:w="420" w:type="dxa"/>
            <w:vAlign w:val="bottom"/>
            <w:tcBorders>
              <w:bottom w:val="single" w:sz="8" w:color="DCE2EF"/>
            </w:tcBorders>
            <w:shd w:val="clear" w:color="auto" w:fill="DCE2EF"/>
          </w:tcPr>
          <w:p>
            <w:pPr>
              <w:jc w:val="right"/>
              <w:ind w:right="210"/>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DCE2EF"/>
            </w:tcBorders>
            <w:shd w:val="clear" w:color="auto" w:fill="DCE2EF"/>
          </w:tcPr>
          <w:p>
            <w:pPr>
              <w:jc w:val="right"/>
              <w:ind w:right="74"/>
              <w:spacing w:after="0"/>
              <w:rPr>
                <w:sz w:val="20"/>
                <w:szCs w:val="20"/>
                <w:color w:val="auto"/>
              </w:rPr>
            </w:pPr>
            <w:r>
              <w:rPr>
                <w:rFonts w:ascii="Arial" w:cs="Arial" w:eastAsia="Arial" w:hAnsi="Arial"/>
                <w:sz w:val="18"/>
                <w:szCs w:val="18"/>
                <w:color w:val="auto"/>
              </w:rPr>
              <w:t>501.6</w:t>
            </w:r>
          </w:p>
        </w:tc>
        <w:tc>
          <w:tcPr>
            <w:tcW w:w="100" w:type="dxa"/>
            <w:vAlign w:val="bottom"/>
            <w:tcBorders>
              <w:bottom w:val="single" w:sz="8" w:color="DCE2EF"/>
            </w:tcBorders>
            <w:shd w:val="clear" w:color="auto" w:fill="DCE2EF"/>
          </w:tcPr>
          <w:p>
            <w:pPr>
              <w:spacing w:after="0"/>
              <w:rPr>
                <w:sz w:val="21"/>
                <w:szCs w:val="21"/>
                <w:color w:val="auto"/>
              </w:rPr>
            </w:pPr>
          </w:p>
        </w:tc>
        <w:tc>
          <w:tcPr>
            <w:tcW w:w="440" w:type="dxa"/>
            <w:vAlign w:val="bottom"/>
            <w:tcBorders>
              <w:bottom w:val="single" w:sz="8" w:color="DCE2EF"/>
            </w:tcBorders>
            <w:shd w:val="clear" w:color="auto" w:fill="DCE2EF"/>
          </w:tcPr>
          <w:p>
            <w:pPr>
              <w:jc w:val="right"/>
              <w:ind w:right="230"/>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DCE2EF"/>
            </w:tcBorders>
            <w:shd w:val="clear" w:color="auto" w:fill="DCE2EF"/>
          </w:tcPr>
          <w:p>
            <w:pPr>
              <w:jc w:val="right"/>
              <w:ind w:right="74"/>
              <w:spacing w:after="0"/>
              <w:rPr>
                <w:sz w:val="20"/>
                <w:szCs w:val="20"/>
                <w:color w:val="auto"/>
              </w:rPr>
            </w:pPr>
            <w:r>
              <w:rPr>
                <w:rFonts w:ascii="Arial" w:cs="Arial" w:eastAsia="Arial" w:hAnsi="Arial"/>
                <w:sz w:val="18"/>
                <w:szCs w:val="18"/>
                <w:color w:val="auto"/>
              </w:rPr>
              <w:t>464.0</w:t>
            </w:r>
          </w:p>
        </w:tc>
        <w:tc>
          <w:tcPr>
            <w:tcW w:w="100" w:type="dxa"/>
            <w:vAlign w:val="bottom"/>
            <w:tcBorders>
              <w:bottom w:val="single" w:sz="8" w:color="DCE2EF"/>
            </w:tcBorders>
            <w:shd w:val="clear" w:color="auto" w:fill="DCE2EF"/>
          </w:tcPr>
          <w:p>
            <w:pPr>
              <w:spacing w:after="0"/>
              <w:rPr>
                <w:sz w:val="21"/>
                <w:szCs w:val="21"/>
                <w:color w:val="auto"/>
              </w:rPr>
            </w:pPr>
          </w:p>
        </w:tc>
        <w:tc>
          <w:tcPr>
            <w:tcW w:w="560" w:type="dxa"/>
            <w:vAlign w:val="bottom"/>
            <w:tcBorders>
              <w:bottom w:val="single" w:sz="8" w:color="DCE2EF"/>
            </w:tcBorders>
            <w:shd w:val="clear" w:color="auto" w:fill="DCE2EF"/>
          </w:tcPr>
          <w:p>
            <w:pPr>
              <w:jc w:val="right"/>
              <w:ind w:right="330"/>
              <w:spacing w:after="0"/>
              <w:rPr>
                <w:sz w:val="20"/>
                <w:szCs w:val="20"/>
                <w:color w:val="auto"/>
              </w:rPr>
            </w:pPr>
            <w:r>
              <w:rPr>
                <w:rFonts w:ascii="Arial" w:cs="Arial" w:eastAsia="Arial" w:hAnsi="Arial"/>
                <w:sz w:val="18"/>
                <w:szCs w:val="18"/>
                <w:color w:val="auto"/>
              </w:rPr>
              <w:t>$</w:t>
            </w:r>
          </w:p>
        </w:tc>
        <w:tc>
          <w:tcPr>
            <w:tcW w:w="1620" w:type="dxa"/>
            <w:vAlign w:val="bottom"/>
            <w:tcBorders>
              <w:bottom w:val="single" w:sz="8" w:color="DCE2EF"/>
            </w:tcBorders>
            <w:shd w:val="clear" w:color="auto" w:fill="DCE2EF"/>
          </w:tcPr>
          <w:p>
            <w:pPr>
              <w:jc w:val="right"/>
              <w:ind w:right="374"/>
              <w:spacing w:after="0"/>
              <w:rPr>
                <w:sz w:val="20"/>
                <w:szCs w:val="20"/>
                <w:color w:val="auto"/>
              </w:rPr>
            </w:pPr>
            <w:r>
              <w:rPr>
                <w:rFonts w:ascii="Arial" w:cs="Arial" w:eastAsia="Arial" w:hAnsi="Arial"/>
                <w:sz w:val="18"/>
                <w:szCs w:val="18"/>
                <w:color w:val="auto"/>
              </w:rPr>
              <w:t>37.6</w:t>
            </w:r>
          </w:p>
        </w:tc>
        <w:tc>
          <w:tcPr>
            <w:tcW w:w="1560" w:type="dxa"/>
            <w:vAlign w:val="bottom"/>
            <w:tcBorders>
              <w:bottom w:val="single" w:sz="8" w:color="DCE2EF"/>
            </w:tcBorders>
            <w:shd w:val="clear" w:color="auto" w:fill="DCE2EF"/>
          </w:tcPr>
          <w:p>
            <w:pPr>
              <w:jc w:val="right"/>
              <w:ind w:right="610"/>
              <w:spacing w:after="0"/>
              <w:rPr>
                <w:sz w:val="20"/>
                <w:szCs w:val="20"/>
                <w:color w:val="auto"/>
              </w:rPr>
            </w:pPr>
            <w:r>
              <w:rPr>
                <w:rFonts w:ascii="Arial" w:cs="Arial" w:eastAsia="Arial" w:hAnsi="Arial"/>
                <w:sz w:val="18"/>
                <w:szCs w:val="18"/>
                <w:color w:val="auto"/>
              </w:rPr>
              <w:t>8.1%</w:t>
            </w:r>
          </w:p>
        </w:tc>
      </w:tr>
      <w:tr>
        <w:trPr>
          <w:trHeight w:val="263"/>
        </w:trPr>
        <w:tc>
          <w:tcPr>
            <w:tcW w:w="3700" w:type="dxa"/>
            <w:vAlign w:val="bottom"/>
            <w:gridSpan w:val="3"/>
          </w:tcPr>
          <w:p>
            <w:pPr>
              <w:ind w:left="40"/>
              <w:spacing w:after="0"/>
              <w:rPr>
                <w:sz w:val="20"/>
                <w:szCs w:val="20"/>
                <w:color w:val="auto"/>
              </w:rPr>
            </w:pPr>
            <w:r>
              <w:rPr>
                <w:rFonts w:ascii="Arial" w:cs="Arial" w:eastAsia="Arial" w:hAnsi="Arial"/>
                <w:sz w:val="18"/>
                <w:szCs w:val="18"/>
                <w:color w:val="auto"/>
              </w:rPr>
              <w:t>Operating profit</w:t>
            </w:r>
          </w:p>
        </w:tc>
        <w:tc>
          <w:tcPr>
            <w:tcW w:w="420" w:type="dxa"/>
            <w:vAlign w:val="bottom"/>
          </w:tcPr>
          <w:p>
            <w:pPr>
              <w:spacing w:after="0"/>
              <w:rPr>
                <w:sz w:val="22"/>
                <w:szCs w:val="22"/>
                <w:color w:val="auto"/>
              </w:rPr>
            </w:pPr>
          </w:p>
        </w:tc>
        <w:tc>
          <w:tcPr>
            <w:tcW w:w="1460" w:type="dxa"/>
            <w:vAlign w:val="bottom"/>
          </w:tcPr>
          <w:p>
            <w:pPr>
              <w:jc w:val="right"/>
              <w:ind w:right="74"/>
              <w:spacing w:after="0"/>
              <w:rPr>
                <w:sz w:val="20"/>
                <w:szCs w:val="20"/>
                <w:color w:val="auto"/>
              </w:rPr>
            </w:pPr>
            <w:r>
              <w:rPr>
                <w:rFonts w:ascii="Arial" w:cs="Arial" w:eastAsia="Arial" w:hAnsi="Arial"/>
                <w:sz w:val="18"/>
                <w:szCs w:val="18"/>
                <w:color w:val="auto"/>
              </w:rPr>
              <w:t>10.9</w:t>
            </w:r>
          </w:p>
        </w:tc>
        <w:tc>
          <w:tcPr>
            <w:tcW w:w="1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440" w:type="dxa"/>
            <w:vAlign w:val="bottom"/>
          </w:tcPr>
          <w:p>
            <w:pPr>
              <w:jc w:val="right"/>
              <w:ind w:right="74"/>
              <w:spacing w:after="0"/>
              <w:rPr>
                <w:sz w:val="20"/>
                <w:szCs w:val="20"/>
                <w:color w:val="auto"/>
              </w:rPr>
            </w:pPr>
            <w:r>
              <w:rPr>
                <w:rFonts w:ascii="Arial" w:cs="Arial" w:eastAsia="Arial" w:hAnsi="Arial"/>
                <w:sz w:val="18"/>
                <w:szCs w:val="18"/>
                <w:color w:val="auto"/>
              </w:rPr>
              <w:t>11.4</w:t>
            </w:r>
          </w:p>
        </w:tc>
        <w:tc>
          <w:tcPr>
            <w:tcW w:w="10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620" w:type="dxa"/>
            <w:vAlign w:val="bottom"/>
          </w:tcPr>
          <w:p>
            <w:pPr>
              <w:jc w:val="right"/>
              <w:ind w:right="314"/>
              <w:spacing w:after="0"/>
              <w:rPr>
                <w:sz w:val="20"/>
                <w:szCs w:val="20"/>
                <w:color w:val="auto"/>
              </w:rPr>
            </w:pPr>
            <w:r>
              <w:rPr>
                <w:rFonts w:ascii="Arial" w:cs="Arial" w:eastAsia="Arial" w:hAnsi="Arial"/>
                <w:sz w:val="18"/>
                <w:szCs w:val="18"/>
                <w:color w:val="auto"/>
              </w:rPr>
              <w:t>(0.5)</w:t>
            </w:r>
          </w:p>
        </w:tc>
        <w:tc>
          <w:tcPr>
            <w:tcW w:w="1560" w:type="dxa"/>
            <w:vAlign w:val="bottom"/>
          </w:tcPr>
          <w:p>
            <w:pPr>
              <w:jc w:val="right"/>
              <w:ind w:right="550"/>
              <w:spacing w:after="0"/>
              <w:rPr>
                <w:sz w:val="20"/>
                <w:szCs w:val="20"/>
                <w:color w:val="auto"/>
              </w:rPr>
            </w:pPr>
            <w:r>
              <w:rPr>
                <w:rFonts w:ascii="Arial" w:cs="Arial" w:eastAsia="Arial" w:hAnsi="Arial"/>
                <w:sz w:val="18"/>
                <w:szCs w:val="18"/>
                <w:color w:val="auto"/>
              </w:rPr>
              <w:t>(4.2)%</w:t>
            </w:r>
          </w:p>
        </w:tc>
      </w:tr>
      <w:tr>
        <w:trPr>
          <w:trHeight w:val="250"/>
        </w:trPr>
        <w:tc>
          <w:tcPr>
            <w:tcW w:w="40" w:type="dxa"/>
            <w:vAlign w:val="bottom"/>
            <w:shd w:val="clear" w:color="auto" w:fill="DCE2EF"/>
          </w:tcPr>
          <w:p>
            <w:pPr>
              <w:spacing w:after="0"/>
              <w:rPr>
                <w:sz w:val="21"/>
                <w:szCs w:val="21"/>
                <w:color w:val="auto"/>
              </w:rPr>
            </w:pPr>
          </w:p>
        </w:tc>
        <w:tc>
          <w:tcPr>
            <w:tcW w:w="3660" w:type="dxa"/>
            <w:vAlign w:val="bottom"/>
            <w:gridSpan w:val="2"/>
            <w:shd w:val="clear" w:color="auto" w:fill="DCE2EF"/>
          </w:tcPr>
          <w:p>
            <w:pPr>
              <w:ind w:left="140"/>
              <w:spacing w:after="0"/>
              <w:rPr>
                <w:sz w:val="20"/>
                <w:szCs w:val="20"/>
                <w:color w:val="auto"/>
              </w:rPr>
            </w:pPr>
            <w:r>
              <w:rPr>
                <w:rFonts w:ascii="Arial" w:cs="Arial" w:eastAsia="Arial" w:hAnsi="Arial"/>
                <w:sz w:val="14"/>
                <w:szCs w:val="14"/>
                <w:i w:val="1"/>
                <w:iCs w:val="1"/>
                <w:color w:val="auto"/>
                <w:shd w:val="clear" w:color="auto" w:fill="DCE2EF"/>
              </w:rPr>
              <w:t>Operating profit margin</w:t>
            </w:r>
          </w:p>
        </w:tc>
        <w:tc>
          <w:tcPr>
            <w:tcW w:w="420" w:type="dxa"/>
            <w:vAlign w:val="bottom"/>
            <w:shd w:val="clear" w:color="auto" w:fill="DCE2EF"/>
          </w:tcPr>
          <w:p>
            <w:pPr>
              <w:spacing w:after="0"/>
              <w:rPr>
                <w:sz w:val="21"/>
                <w:szCs w:val="21"/>
                <w:color w:val="auto"/>
              </w:rPr>
            </w:pPr>
          </w:p>
        </w:tc>
        <w:tc>
          <w:tcPr>
            <w:tcW w:w="1460" w:type="dxa"/>
            <w:vAlign w:val="bottom"/>
            <w:shd w:val="clear" w:color="auto" w:fill="DCE2EF"/>
          </w:tcPr>
          <w:p>
            <w:pPr>
              <w:jc w:val="right"/>
              <w:spacing w:after="0"/>
              <w:rPr>
                <w:sz w:val="20"/>
                <w:szCs w:val="20"/>
                <w:color w:val="auto"/>
              </w:rPr>
            </w:pPr>
            <w:r>
              <w:rPr>
                <w:rFonts w:ascii="Arial" w:cs="Arial" w:eastAsia="Arial" w:hAnsi="Arial"/>
                <w:sz w:val="14"/>
                <w:szCs w:val="14"/>
                <w:i w:val="1"/>
                <w:iCs w:val="1"/>
                <w:color w:val="auto"/>
              </w:rPr>
              <w:t>2.2%</w:t>
            </w:r>
          </w:p>
        </w:tc>
        <w:tc>
          <w:tcPr>
            <w:tcW w:w="100" w:type="dxa"/>
            <w:vAlign w:val="bottom"/>
            <w:shd w:val="clear" w:color="auto" w:fill="DCE2EF"/>
          </w:tcPr>
          <w:p>
            <w:pPr>
              <w:spacing w:after="0"/>
              <w:rPr>
                <w:sz w:val="21"/>
                <w:szCs w:val="21"/>
                <w:color w:val="auto"/>
              </w:rPr>
            </w:pPr>
          </w:p>
        </w:tc>
        <w:tc>
          <w:tcPr>
            <w:tcW w:w="440" w:type="dxa"/>
            <w:vAlign w:val="bottom"/>
            <w:shd w:val="clear" w:color="auto" w:fill="DCE2EF"/>
          </w:tcPr>
          <w:p>
            <w:pPr>
              <w:spacing w:after="0"/>
              <w:rPr>
                <w:sz w:val="21"/>
                <w:szCs w:val="21"/>
                <w:color w:val="auto"/>
              </w:rPr>
            </w:pPr>
          </w:p>
        </w:tc>
        <w:tc>
          <w:tcPr>
            <w:tcW w:w="1440" w:type="dxa"/>
            <w:vAlign w:val="bottom"/>
            <w:shd w:val="clear" w:color="auto" w:fill="DCE2EF"/>
          </w:tcPr>
          <w:p>
            <w:pPr>
              <w:jc w:val="right"/>
              <w:spacing w:after="0"/>
              <w:rPr>
                <w:sz w:val="20"/>
                <w:szCs w:val="20"/>
                <w:color w:val="auto"/>
              </w:rPr>
            </w:pPr>
            <w:r>
              <w:rPr>
                <w:rFonts w:ascii="Arial" w:cs="Arial" w:eastAsia="Arial" w:hAnsi="Arial"/>
                <w:sz w:val="14"/>
                <w:szCs w:val="14"/>
                <w:i w:val="1"/>
                <w:iCs w:val="1"/>
                <w:color w:val="auto"/>
              </w:rPr>
              <w:t>2.4%</w:t>
            </w:r>
          </w:p>
        </w:tc>
        <w:tc>
          <w:tcPr>
            <w:tcW w:w="100" w:type="dxa"/>
            <w:vAlign w:val="bottom"/>
            <w:shd w:val="clear" w:color="auto" w:fill="DCE2EF"/>
          </w:tcPr>
          <w:p>
            <w:pPr>
              <w:spacing w:after="0"/>
              <w:rPr>
                <w:sz w:val="21"/>
                <w:szCs w:val="21"/>
                <w:color w:val="auto"/>
              </w:rPr>
            </w:pPr>
          </w:p>
        </w:tc>
        <w:tc>
          <w:tcPr>
            <w:tcW w:w="560" w:type="dxa"/>
            <w:vAlign w:val="bottom"/>
            <w:shd w:val="clear" w:color="auto" w:fill="DCE2EF"/>
          </w:tcPr>
          <w:p>
            <w:pPr>
              <w:spacing w:after="0"/>
              <w:rPr>
                <w:sz w:val="21"/>
                <w:szCs w:val="21"/>
                <w:color w:val="auto"/>
              </w:rPr>
            </w:pPr>
          </w:p>
        </w:tc>
        <w:tc>
          <w:tcPr>
            <w:tcW w:w="1620" w:type="dxa"/>
            <w:vAlign w:val="bottom"/>
            <w:shd w:val="clear" w:color="auto" w:fill="DCE2EF"/>
          </w:tcPr>
          <w:p>
            <w:pPr>
              <w:jc w:val="right"/>
              <w:ind w:right="374"/>
              <w:spacing w:after="0"/>
              <w:rPr>
                <w:sz w:val="20"/>
                <w:szCs w:val="20"/>
                <w:color w:val="auto"/>
              </w:rPr>
            </w:pPr>
            <w:r>
              <w:rPr>
                <w:rFonts w:ascii="Arial" w:cs="Arial" w:eastAsia="Arial" w:hAnsi="Arial"/>
                <w:sz w:val="14"/>
                <w:szCs w:val="14"/>
                <w:i w:val="1"/>
                <w:iCs w:val="1"/>
                <w:color w:val="auto"/>
              </w:rPr>
              <w:t>(28) bps</w:t>
            </w:r>
          </w:p>
        </w:tc>
        <w:tc>
          <w:tcPr>
            <w:tcW w:w="1560" w:type="dxa"/>
            <w:vAlign w:val="bottom"/>
            <w:shd w:val="clear" w:color="auto" w:fill="DCE2EF"/>
          </w:tcPr>
          <w:p>
            <w:pPr>
              <w:spacing w:after="0"/>
              <w:rPr>
                <w:sz w:val="21"/>
                <w:szCs w:val="21"/>
                <w:color w:val="auto"/>
              </w:rPr>
            </w:pPr>
          </w:p>
        </w:tc>
      </w:tr>
      <w:tr>
        <w:trPr>
          <w:trHeight w:val="27"/>
        </w:trPr>
        <w:tc>
          <w:tcPr>
            <w:tcW w:w="40" w:type="dxa"/>
            <w:vAlign w:val="bottom"/>
            <w:shd w:val="clear" w:color="auto" w:fill="DCE2EF"/>
          </w:tcPr>
          <w:p>
            <w:pPr>
              <w:spacing w:after="0"/>
              <w:rPr>
                <w:sz w:val="2"/>
                <w:szCs w:val="2"/>
                <w:color w:val="auto"/>
              </w:rPr>
            </w:pPr>
          </w:p>
        </w:tc>
        <w:tc>
          <w:tcPr>
            <w:tcW w:w="820" w:type="dxa"/>
            <w:vAlign w:val="bottom"/>
            <w:shd w:val="clear" w:color="auto" w:fill="DCE2EF"/>
          </w:tcPr>
          <w:p>
            <w:pPr>
              <w:spacing w:after="0"/>
              <w:rPr>
                <w:sz w:val="2"/>
                <w:szCs w:val="2"/>
                <w:color w:val="auto"/>
              </w:rPr>
            </w:pPr>
          </w:p>
        </w:tc>
        <w:tc>
          <w:tcPr>
            <w:tcW w:w="2840" w:type="dxa"/>
            <w:vAlign w:val="bottom"/>
            <w:shd w:val="clear" w:color="auto" w:fill="DCE2EF"/>
          </w:tcPr>
          <w:p>
            <w:pPr>
              <w:spacing w:after="0"/>
              <w:rPr>
                <w:sz w:val="2"/>
                <w:szCs w:val="2"/>
                <w:color w:val="auto"/>
              </w:rPr>
            </w:pPr>
          </w:p>
        </w:tc>
        <w:tc>
          <w:tcPr>
            <w:tcW w:w="420" w:type="dxa"/>
            <w:vAlign w:val="bottom"/>
            <w:shd w:val="clear" w:color="auto" w:fill="DCE2EF"/>
          </w:tcPr>
          <w:p>
            <w:pPr>
              <w:spacing w:after="0"/>
              <w:rPr>
                <w:sz w:val="2"/>
                <w:szCs w:val="2"/>
                <w:color w:val="auto"/>
              </w:rPr>
            </w:pPr>
          </w:p>
        </w:tc>
        <w:tc>
          <w:tcPr>
            <w:tcW w:w="1460" w:type="dxa"/>
            <w:vAlign w:val="bottom"/>
            <w:shd w:val="clear" w:color="auto" w:fill="DCE2EF"/>
          </w:tcPr>
          <w:p>
            <w:pPr>
              <w:spacing w:after="0"/>
              <w:rPr>
                <w:sz w:val="2"/>
                <w:szCs w:val="2"/>
                <w:color w:val="auto"/>
              </w:rPr>
            </w:pPr>
          </w:p>
        </w:tc>
        <w:tc>
          <w:tcPr>
            <w:tcW w:w="100" w:type="dxa"/>
            <w:vAlign w:val="bottom"/>
            <w:shd w:val="clear" w:color="auto" w:fill="DCE2EF"/>
          </w:tcPr>
          <w:p>
            <w:pPr>
              <w:spacing w:after="0"/>
              <w:rPr>
                <w:sz w:val="2"/>
                <w:szCs w:val="2"/>
                <w:color w:val="auto"/>
              </w:rPr>
            </w:pPr>
          </w:p>
        </w:tc>
        <w:tc>
          <w:tcPr>
            <w:tcW w:w="440" w:type="dxa"/>
            <w:vAlign w:val="bottom"/>
            <w:shd w:val="clear" w:color="auto" w:fill="DCE2EF"/>
          </w:tcPr>
          <w:p>
            <w:pPr>
              <w:spacing w:after="0"/>
              <w:rPr>
                <w:sz w:val="2"/>
                <w:szCs w:val="2"/>
                <w:color w:val="auto"/>
              </w:rPr>
            </w:pPr>
          </w:p>
        </w:tc>
        <w:tc>
          <w:tcPr>
            <w:tcW w:w="1440" w:type="dxa"/>
            <w:vAlign w:val="bottom"/>
            <w:shd w:val="clear" w:color="auto" w:fill="DCE2EF"/>
          </w:tcPr>
          <w:p>
            <w:pPr>
              <w:spacing w:after="0"/>
              <w:rPr>
                <w:sz w:val="2"/>
                <w:szCs w:val="2"/>
                <w:color w:val="auto"/>
              </w:rPr>
            </w:pPr>
          </w:p>
        </w:tc>
        <w:tc>
          <w:tcPr>
            <w:tcW w:w="100" w:type="dxa"/>
            <w:vAlign w:val="bottom"/>
            <w:shd w:val="clear" w:color="auto" w:fill="DCE2EF"/>
          </w:tcPr>
          <w:p>
            <w:pPr>
              <w:spacing w:after="0"/>
              <w:rPr>
                <w:sz w:val="2"/>
                <w:szCs w:val="2"/>
                <w:color w:val="auto"/>
              </w:rPr>
            </w:pPr>
          </w:p>
        </w:tc>
        <w:tc>
          <w:tcPr>
            <w:tcW w:w="560" w:type="dxa"/>
            <w:vAlign w:val="bottom"/>
            <w:shd w:val="clear" w:color="auto" w:fill="DCE2EF"/>
          </w:tcPr>
          <w:p>
            <w:pPr>
              <w:spacing w:after="0"/>
              <w:rPr>
                <w:sz w:val="2"/>
                <w:szCs w:val="2"/>
                <w:color w:val="auto"/>
              </w:rPr>
            </w:pPr>
          </w:p>
        </w:tc>
        <w:tc>
          <w:tcPr>
            <w:tcW w:w="1620" w:type="dxa"/>
            <w:vAlign w:val="bottom"/>
            <w:shd w:val="clear" w:color="auto" w:fill="DCE2EF"/>
          </w:tcPr>
          <w:p>
            <w:pPr>
              <w:spacing w:after="0"/>
              <w:rPr>
                <w:sz w:val="2"/>
                <w:szCs w:val="2"/>
                <w:color w:val="auto"/>
              </w:rPr>
            </w:pPr>
          </w:p>
        </w:tc>
        <w:tc>
          <w:tcPr>
            <w:tcW w:w="1560" w:type="dxa"/>
            <w:vAlign w:val="bottom"/>
            <w:shd w:val="clear" w:color="auto" w:fill="DCE2EF"/>
          </w:tcPr>
          <w:p>
            <w:pPr>
              <w:spacing w:after="0"/>
              <w:rPr>
                <w:sz w:val="2"/>
                <w:szCs w:val="2"/>
                <w:color w:val="auto"/>
              </w:rPr>
            </w:pPr>
          </w:p>
        </w:tc>
      </w:tr>
    </w:tbl>
    <w:p>
      <w:pPr>
        <w:spacing w:after="0" w:line="161"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Aviation revenues increased by $37.6 million, or 8.1%, during the six months ended April 30, 2018, as compared to the six months ended April 30, 2017. The increase was primarily attributable to organic growth in parking and transportation and to incremental revenues of $8.6 million from the GCA acquisition. This increase was partially offset by the loss of certain accounts. Management reimbursement revenues for this segment totaled $53.1 million and $32.7 million for the six months ended April 30, 2018 and 2017, respectively.</w:t>
      </w:r>
    </w:p>
    <w:p>
      <w:pPr>
        <w:spacing w:after="0" w:line="150"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Operating profit decreased by $0.5 million, or 4.2%, during the six months ended April 30, 2018, as compared to the six months ended April 30, 2017. Operating profit margin decreased by 28 bps to 2.2% in the six months ended April 30, 2018 from 2.4% in the six months ended April 30, 2017. The decrease in operating profit margin was primarily attributable to lower margins and operational issues on certain accounts. This decrease was partially offset by the termination of an unprofitable contract at the end of 2017 and the management of selling, general and administrative expenses.</w:t>
      </w:r>
    </w:p>
    <w:p>
      <w:pPr>
        <w:spacing w:after="0" w:line="305" w:lineRule="exact"/>
        <w:rPr>
          <w:sz w:val="20"/>
          <w:szCs w:val="20"/>
          <w:color w:val="auto"/>
        </w:rPr>
      </w:pPr>
    </w:p>
    <w:tbl>
      <w:tblPr>
        <w:tblLayout w:type="fixed"/>
        <w:tblInd w:w="20" w:type="dxa"/>
        <w:tblCellMar>
          <w:top w:w="0" w:type="dxa"/>
          <w:left w:w="0" w:type="dxa"/>
          <w:bottom w:w="0" w:type="dxa"/>
          <w:right w:w="0" w:type="dxa"/>
        </w:tblCellMar>
      </w:tblPr>
      <w:tr>
        <w:trPr>
          <w:trHeight w:val="239"/>
        </w:trPr>
        <w:tc>
          <w:tcPr>
            <w:tcW w:w="3680" w:type="dxa"/>
            <w:vAlign w:val="bottom"/>
            <w:gridSpan w:val="3"/>
          </w:tcPr>
          <w:p>
            <w:pPr>
              <w:ind w:left="20"/>
              <w:spacing w:after="0"/>
              <w:rPr>
                <w:sz w:val="20"/>
                <w:szCs w:val="20"/>
                <w:color w:val="auto"/>
              </w:rPr>
            </w:pPr>
            <w:r>
              <w:rPr>
                <w:rFonts w:ascii="Arial" w:cs="Arial" w:eastAsia="Arial" w:hAnsi="Arial"/>
                <w:sz w:val="18"/>
                <w:szCs w:val="18"/>
                <w:b w:val="1"/>
                <w:bCs w:val="1"/>
                <w:i w:val="1"/>
                <w:iCs w:val="1"/>
                <w:color w:val="0046AD"/>
              </w:rPr>
              <w:t>Technology &amp; Manufacturing</w:t>
            </w:r>
          </w:p>
        </w:tc>
        <w:tc>
          <w:tcPr>
            <w:tcW w:w="44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1600" w:type="dxa"/>
            <w:vAlign w:val="bottom"/>
          </w:tcPr>
          <w:p>
            <w:pPr>
              <w:spacing w:after="0"/>
              <w:rPr>
                <w:sz w:val="20"/>
                <w:szCs w:val="20"/>
                <w:color w:val="auto"/>
              </w:rPr>
            </w:pPr>
          </w:p>
        </w:tc>
      </w:tr>
      <w:tr>
        <w:trPr>
          <w:trHeight w:val="277"/>
        </w:trPr>
        <w:tc>
          <w:tcPr>
            <w:tcW w:w="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8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540" w:type="dxa"/>
            <w:vAlign w:val="bottom"/>
            <w:gridSpan w:val="5"/>
          </w:tcPr>
          <w:p>
            <w:pPr>
              <w:ind w:left="340"/>
              <w:spacing w:after="0"/>
              <w:rPr>
                <w:sz w:val="20"/>
                <w:szCs w:val="20"/>
                <w:color w:val="auto"/>
              </w:rPr>
            </w:pPr>
            <w:r>
              <w:rPr>
                <w:rFonts w:ascii="Arial" w:cs="Arial" w:eastAsia="Arial" w:hAnsi="Arial"/>
                <w:sz w:val="18"/>
                <w:szCs w:val="18"/>
                <w:b w:val="1"/>
                <w:bCs w:val="1"/>
                <w:color w:val="auto"/>
              </w:rPr>
              <w:t>Six Months Ended April 30,</w:t>
            </w:r>
          </w:p>
        </w:tc>
        <w:tc>
          <w:tcPr>
            <w:tcW w:w="54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600" w:type="dxa"/>
            <w:vAlign w:val="bottom"/>
          </w:tcPr>
          <w:p>
            <w:pPr>
              <w:spacing w:after="0"/>
              <w:rPr>
                <w:sz w:val="24"/>
                <w:szCs w:val="24"/>
                <w:color w:val="auto"/>
              </w:rPr>
            </w:pPr>
          </w:p>
        </w:tc>
      </w:tr>
      <w:tr>
        <w:trPr>
          <w:trHeight w:val="230"/>
        </w:trPr>
        <w:tc>
          <w:tcPr>
            <w:tcW w:w="3680" w:type="dxa"/>
            <w:vAlign w:val="bottom"/>
            <w:gridSpan w:val="3"/>
          </w:tcPr>
          <w:p>
            <w:pPr>
              <w:ind w:left="20"/>
              <w:spacing w:after="0"/>
              <w:rPr>
                <w:sz w:val="20"/>
                <w:szCs w:val="20"/>
                <w:color w:val="auto"/>
              </w:rPr>
            </w:pPr>
            <w:r>
              <w:rPr>
                <w:rFonts w:ascii="Arial" w:cs="Arial" w:eastAsia="Arial" w:hAnsi="Arial"/>
                <w:sz w:val="14"/>
                <w:szCs w:val="14"/>
                <w:i w:val="1"/>
                <w:iCs w:val="1"/>
                <w:u w:val="single" w:color="auto"/>
                <w:color w:val="auto"/>
              </w:rPr>
              <w:t>(</w:t>
            </w:r>
            <w:r>
              <w:rPr>
                <w:rFonts w:ascii="Arial" w:cs="Arial" w:eastAsia="Arial" w:hAnsi="Arial"/>
                <w:sz w:val="14"/>
                <w:szCs w:val="14"/>
                <w:i w:val="1"/>
                <w:iCs w:val="1"/>
                <w:color w:val="auto"/>
              </w:rPr>
              <w:t>$ in millions)</w:t>
            </w:r>
          </w:p>
        </w:tc>
        <w:tc>
          <w:tcPr>
            <w:tcW w:w="440" w:type="dxa"/>
            <w:vAlign w:val="bottom"/>
            <w:tcBorders>
              <w:top w:val="single" w:sz="8" w:color="auto"/>
            </w:tcBorders>
          </w:tcPr>
          <w:p>
            <w:pPr>
              <w:spacing w:after="0"/>
              <w:rPr>
                <w:sz w:val="19"/>
                <w:szCs w:val="19"/>
                <w:color w:val="auto"/>
              </w:rPr>
            </w:pPr>
          </w:p>
        </w:tc>
        <w:tc>
          <w:tcPr>
            <w:tcW w:w="1440" w:type="dxa"/>
            <w:vAlign w:val="bottom"/>
            <w:tcBorders>
              <w:top w:val="single" w:sz="8" w:color="auto"/>
            </w:tcBorders>
          </w:tcPr>
          <w:p>
            <w:pPr>
              <w:jc w:val="right"/>
              <w:ind w:right="654"/>
              <w:spacing w:after="0"/>
              <w:rPr>
                <w:sz w:val="20"/>
                <w:szCs w:val="20"/>
                <w:color w:val="auto"/>
              </w:rPr>
            </w:pPr>
            <w:r>
              <w:rPr>
                <w:rFonts w:ascii="Arial" w:cs="Arial" w:eastAsia="Arial" w:hAnsi="Arial"/>
                <w:sz w:val="18"/>
                <w:szCs w:val="18"/>
                <w:b w:val="1"/>
                <w:bCs w:val="1"/>
                <w:color w:val="auto"/>
              </w:rPr>
              <w:t>2018</w:t>
            </w:r>
          </w:p>
        </w:tc>
        <w:tc>
          <w:tcPr>
            <w:tcW w:w="120" w:type="dxa"/>
            <w:vAlign w:val="bottom"/>
            <w:tcBorders>
              <w:top w:val="single" w:sz="8" w:color="auto"/>
            </w:tcBorders>
          </w:tcPr>
          <w:p>
            <w:pPr>
              <w:spacing w:after="0"/>
              <w:rPr>
                <w:sz w:val="19"/>
                <w:szCs w:val="19"/>
                <w:color w:val="auto"/>
              </w:rPr>
            </w:pPr>
          </w:p>
        </w:tc>
        <w:tc>
          <w:tcPr>
            <w:tcW w:w="420" w:type="dxa"/>
            <w:vAlign w:val="bottom"/>
            <w:tcBorders>
              <w:top w:val="single" w:sz="8" w:color="auto"/>
            </w:tcBorders>
          </w:tcPr>
          <w:p>
            <w:pPr>
              <w:spacing w:after="0"/>
              <w:rPr>
                <w:sz w:val="19"/>
                <w:szCs w:val="19"/>
                <w:color w:val="auto"/>
              </w:rPr>
            </w:pPr>
          </w:p>
        </w:tc>
        <w:tc>
          <w:tcPr>
            <w:tcW w:w="1460" w:type="dxa"/>
            <w:vAlign w:val="bottom"/>
            <w:tcBorders>
              <w:top w:val="single" w:sz="8" w:color="auto"/>
            </w:tcBorders>
          </w:tcPr>
          <w:p>
            <w:pPr>
              <w:jc w:val="right"/>
              <w:ind w:right="674"/>
              <w:spacing w:after="0"/>
              <w:rPr>
                <w:sz w:val="20"/>
                <w:szCs w:val="20"/>
                <w:color w:val="auto"/>
              </w:rPr>
            </w:pPr>
            <w:r>
              <w:rPr>
                <w:rFonts w:ascii="Arial" w:cs="Arial" w:eastAsia="Arial" w:hAnsi="Arial"/>
                <w:sz w:val="18"/>
                <w:szCs w:val="18"/>
                <w:b w:val="1"/>
                <w:bCs w:val="1"/>
                <w:color w:val="auto"/>
              </w:rPr>
              <w:t>2017</w:t>
            </w: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3200" w:type="dxa"/>
            <w:vAlign w:val="bottom"/>
            <w:gridSpan w:val="2"/>
          </w:tcPr>
          <w:p>
            <w:pPr>
              <w:jc w:val="right"/>
              <w:ind w:right="870"/>
              <w:spacing w:after="0"/>
              <w:rPr>
                <w:sz w:val="20"/>
                <w:szCs w:val="20"/>
                <w:color w:val="auto"/>
              </w:rPr>
            </w:pPr>
            <w:r>
              <w:rPr>
                <w:rFonts w:ascii="Arial" w:cs="Arial" w:eastAsia="Arial" w:hAnsi="Arial"/>
                <w:sz w:val="18"/>
                <w:szCs w:val="18"/>
                <w:b w:val="1"/>
                <w:bCs w:val="1"/>
                <w:color w:val="auto"/>
              </w:rPr>
              <w:t>Increase / (Decrease)</w:t>
            </w:r>
          </w:p>
        </w:tc>
      </w:tr>
      <w:tr>
        <w:trPr>
          <w:trHeight w:val="21"/>
        </w:trPr>
        <w:tc>
          <w:tcPr>
            <w:tcW w:w="20" w:type="dxa"/>
            <w:vAlign w:val="bottom"/>
            <w:tcBorders>
              <w:bottom w:val="single" w:sz="8" w:color="DCE2EF"/>
            </w:tcBorders>
          </w:tcPr>
          <w:p>
            <w:pPr>
              <w:spacing w:after="0" w:line="20" w:lineRule="exact"/>
              <w:rPr>
                <w:sz w:val="1"/>
                <w:szCs w:val="1"/>
                <w:color w:val="auto"/>
              </w:rPr>
            </w:pPr>
          </w:p>
        </w:tc>
        <w:tc>
          <w:tcPr>
            <w:tcW w:w="820" w:type="dxa"/>
            <w:vAlign w:val="bottom"/>
            <w:tcBorders>
              <w:top w:val="single" w:sz="8" w:color="auto"/>
              <w:bottom w:val="single" w:sz="8" w:color="DCE2EF"/>
            </w:tcBorders>
          </w:tcPr>
          <w:p>
            <w:pPr>
              <w:spacing w:after="0" w:line="20" w:lineRule="exact"/>
              <w:rPr>
                <w:sz w:val="1"/>
                <w:szCs w:val="1"/>
                <w:color w:val="auto"/>
              </w:rPr>
            </w:pPr>
          </w:p>
        </w:tc>
        <w:tc>
          <w:tcPr>
            <w:tcW w:w="2840" w:type="dxa"/>
            <w:vAlign w:val="bottom"/>
            <w:tcBorders>
              <w:bottom w:val="single" w:sz="8" w:color="DCE2E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DCE2E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DCE2EF"/>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r>
      <w:tr>
        <w:trPr>
          <w:trHeight w:val="244"/>
        </w:trPr>
        <w:tc>
          <w:tcPr>
            <w:tcW w:w="20" w:type="dxa"/>
            <w:vAlign w:val="bottom"/>
            <w:tcBorders>
              <w:bottom w:val="single" w:sz="8" w:color="DCE2EF"/>
            </w:tcBorders>
            <w:shd w:val="clear" w:color="auto" w:fill="DCE2EF"/>
          </w:tcPr>
          <w:p>
            <w:pPr>
              <w:spacing w:after="0"/>
              <w:rPr>
                <w:sz w:val="21"/>
                <w:szCs w:val="21"/>
                <w:color w:val="auto"/>
              </w:rPr>
            </w:pPr>
          </w:p>
        </w:tc>
        <w:tc>
          <w:tcPr>
            <w:tcW w:w="820" w:type="dxa"/>
            <w:vAlign w:val="bottom"/>
            <w:tcBorders>
              <w:bottom w:val="single" w:sz="8" w:color="DCE2EF"/>
            </w:tcBorders>
            <w:shd w:val="clear" w:color="auto" w:fill="DCE2EF"/>
          </w:tcPr>
          <w:p>
            <w:pPr>
              <w:spacing w:after="0"/>
              <w:rPr>
                <w:sz w:val="20"/>
                <w:szCs w:val="20"/>
                <w:color w:val="auto"/>
              </w:rPr>
            </w:pPr>
            <w:r>
              <w:rPr>
                <w:rFonts w:ascii="Arial" w:cs="Arial" w:eastAsia="Arial" w:hAnsi="Arial"/>
                <w:sz w:val="18"/>
                <w:szCs w:val="18"/>
                <w:color w:val="auto"/>
                <w:w w:val="98"/>
                <w:shd w:val="clear" w:color="auto" w:fill="DCE2EF"/>
              </w:rPr>
              <w:t>Revenues</w:t>
            </w:r>
          </w:p>
        </w:tc>
        <w:tc>
          <w:tcPr>
            <w:tcW w:w="2840" w:type="dxa"/>
            <w:vAlign w:val="bottom"/>
            <w:tcBorders>
              <w:bottom w:val="single" w:sz="8" w:color="DCE2EF"/>
            </w:tcBorders>
            <w:shd w:val="clear" w:color="auto" w:fill="DCE2EF"/>
          </w:tcPr>
          <w:p>
            <w:pPr>
              <w:spacing w:after="0"/>
              <w:rPr>
                <w:sz w:val="21"/>
                <w:szCs w:val="21"/>
                <w:color w:val="auto"/>
              </w:rPr>
            </w:pPr>
          </w:p>
        </w:tc>
        <w:tc>
          <w:tcPr>
            <w:tcW w:w="440" w:type="dxa"/>
            <w:vAlign w:val="bottom"/>
            <w:tcBorders>
              <w:bottom w:val="single" w:sz="8" w:color="DCE2EF"/>
            </w:tcBorders>
            <w:shd w:val="clear" w:color="auto" w:fill="DCE2EF"/>
          </w:tcPr>
          <w:p>
            <w:pPr>
              <w:jc w:val="right"/>
              <w:ind w:right="230"/>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DCE2EF"/>
            </w:tcBorders>
            <w:shd w:val="clear" w:color="auto" w:fill="DCE2EF"/>
          </w:tcPr>
          <w:p>
            <w:pPr>
              <w:jc w:val="right"/>
              <w:ind w:right="74"/>
              <w:spacing w:after="0"/>
              <w:rPr>
                <w:sz w:val="20"/>
                <w:szCs w:val="20"/>
                <w:color w:val="auto"/>
              </w:rPr>
            </w:pPr>
            <w:r>
              <w:rPr>
                <w:rFonts w:ascii="Arial" w:cs="Arial" w:eastAsia="Arial" w:hAnsi="Arial"/>
                <w:sz w:val="18"/>
                <w:szCs w:val="18"/>
                <w:color w:val="auto"/>
              </w:rPr>
              <w:t>459.5</w:t>
            </w:r>
          </w:p>
        </w:tc>
        <w:tc>
          <w:tcPr>
            <w:tcW w:w="120" w:type="dxa"/>
            <w:vAlign w:val="bottom"/>
            <w:tcBorders>
              <w:bottom w:val="single" w:sz="8" w:color="DCE2EF"/>
            </w:tcBorders>
            <w:shd w:val="clear" w:color="auto" w:fill="DCE2EF"/>
          </w:tcPr>
          <w:p>
            <w:pPr>
              <w:spacing w:after="0"/>
              <w:rPr>
                <w:sz w:val="21"/>
                <w:szCs w:val="21"/>
                <w:color w:val="auto"/>
              </w:rPr>
            </w:pPr>
          </w:p>
        </w:tc>
        <w:tc>
          <w:tcPr>
            <w:tcW w:w="420" w:type="dxa"/>
            <w:vAlign w:val="bottom"/>
            <w:tcBorders>
              <w:bottom w:val="single" w:sz="8" w:color="DCE2EF"/>
            </w:tcBorders>
            <w:shd w:val="clear" w:color="auto" w:fill="DCE2EF"/>
          </w:tcPr>
          <w:p>
            <w:pPr>
              <w:jc w:val="right"/>
              <w:ind w:right="210"/>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DCE2EF"/>
            </w:tcBorders>
            <w:shd w:val="clear" w:color="auto" w:fill="DCE2EF"/>
          </w:tcPr>
          <w:p>
            <w:pPr>
              <w:jc w:val="right"/>
              <w:ind w:right="94"/>
              <w:spacing w:after="0"/>
              <w:rPr>
                <w:sz w:val="20"/>
                <w:szCs w:val="20"/>
                <w:color w:val="auto"/>
              </w:rPr>
            </w:pPr>
            <w:r>
              <w:rPr>
                <w:rFonts w:ascii="Arial" w:cs="Arial" w:eastAsia="Arial" w:hAnsi="Arial"/>
                <w:sz w:val="18"/>
                <w:szCs w:val="18"/>
                <w:color w:val="auto"/>
              </w:rPr>
              <w:t>332.9</w:t>
            </w:r>
          </w:p>
        </w:tc>
        <w:tc>
          <w:tcPr>
            <w:tcW w:w="100" w:type="dxa"/>
            <w:vAlign w:val="bottom"/>
            <w:tcBorders>
              <w:bottom w:val="single" w:sz="8" w:color="DCE2EF"/>
            </w:tcBorders>
            <w:shd w:val="clear" w:color="auto" w:fill="DCE2EF"/>
          </w:tcPr>
          <w:p>
            <w:pPr>
              <w:spacing w:after="0"/>
              <w:rPr>
                <w:sz w:val="21"/>
                <w:szCs w:val="21"/>
                <w:color w:val="auto"/>
              </w:rPr>
            </w:pPr>
          </w:p>
        </w:tc>
        <w:tc>
          <w:tcPr>
            <w:tcW w:w="540" w:type="dxa"/>
            <w:vAlign w:val="bottom"/>
            <w:tcBorders>
              <w:bottom w:val="single" w:sz="8" w:color="DCE2EF"/>
            </w:tcBorders>
            <w:shd w:val="clear" w:color="auto" w:fill="DCE2EF"/>
          </w:tcPr>
          <w:p>
            <w:pPr>
              <w:jc w:val="right"/>
              <w:ind w:right="330"/>
              <w:spacing w:after="0"/>
              <w:rPr>
                <w:sz w:val="20"/>
                <w:szCs w:val="20"/>
                <w:color w:val="auto"/>
              </w:rPr>
            </w:pPr>
            <w:r>
              <w:rPr>
                <w:rFonts w:ascii="Arial" w:cs="Arial" w:eastAsia="Arial" w:hAnsi="Arial"/>
                <w:sz w:val="18"/>
                <w:szCs w:val="18"/>
                <w:color w:val="auto"/>
                <w:w w:val="99"/>
              </w:rPr>
              <w:t>$</w:t>
            </w:r>
          </w:p>
        </w:tc>
        <w:tc>
          <w:tcPr>
            <w:tcW w:w="1600" w:type="dxa"/>
            <w:vAlign w:val="bottom"/>
            <w:tcBorders>
              <w:bottom w:val="single" w:sz="8" w:color="DCE2EF"/>
            </w:tcBorders>
            <w:shd w:val="clear" w:color="auto" w:fill="DCE2EF"/>
          </w:tcPr>
          <w:p>
            <w:pPr>
              <w:jc w:val="right"/>
              <w:ind w:right="354"/>
              <w:spacing w:after="0"/>
              <w:rPr>
                <w:sz w:val="20"/>
                <w:szCs w:val="20"/>
                <w:color w:val="auto"/>
              </w:rPr>
            </w:pPr>
            <w:r>
              <w:rPr>
                <w:rFonts w:ascii="Arial" w:cs="Arial" w:eastAsia="Arial" w:hAnsi="Arial"/>
                <w:sz w:val="18"/>
                <w:szCs w:val="18"/>
                <w:color w:val="auto"/>
              </w:rPr>
              <w:t>126.6</w:t>
            </w:r>
          </w:p>
        </w:tc>
        <w:tc>
          <w:tcPr>
            <w:tcW w:w="1600" w:type="dxa"/>
            <w:vAlign w:val="bottom"/>
            <w:tcBorders>
              <w:bottom w:val="single" w:sz="8" w:color="DCE2EF"/>
            </w:tcBorders>
            <w:shd w:val="clear" w:color="auto" w:fill="DCE2EF"/>
          </w:tcPr>
          <w:p>
            <w:pPr>
              <w:jc w:val="right"/>
              <w:ind w:right="570"/>
              <w:spacing w:after="0"/>
              <w:rPr>
                <w:sz w:val="20"/>
                <w:szCs w:val="20"/>
                <w:color w:val="auto"/>
              </w:rPr>
            </w:pPr>
            <w:r>
              <w:rPr>
                <w:rFonts w:ascii="Arial" w:cs="Arial" w:eastAsia="Arial" w:hAnsi="Arial"/>
                <w:sz w:val="18"/>
                <w:szCs w:val="18"/>
                <w:color w:val="auto"/>
              </w:rPr>
              <w:t>38.0%</w:t>
            </w:r>
          </w:p>
        </w:tc>
      </w:tr>
      <w:tr>
        <w:trPr>
          <w:trHeight w:val="270"/>
        </w:trPr>
        <w:tc>
          <w:tcPr>
            <w:tcW w:w="3680" w:type="dxa"/>
            <w:vAlign w:val="bottom"/>
            <w:gridSpan w:val="3"/>
          </w:tcPr>
          <w:p>
            <w:pPr>
              <w:ind w:left="20"/>
              <w:spacing w:after="0"/>
              <w:rPr>
                <w:sz w:val="20"/>
                <w:szCs w:val="20"/>
                <w:color w:val="auto"/>
              </w:rPr>
            </w:pPr>
            <w:r>
              <w:rPr>
                <w:rFonts w:ascii="Arial" w:cs="Arial" w:eastAsia="Arial" w:hAnsi="Arial"/>
                <w:sz w:val="18"/>
                <w:szCs w:val="18"/>
                <w:color w:val="auto"/>
              </w:rPr>
              <w:t>Operating profit</w:t>
            </w:r>
            <w:r>
              <w:rPr>
                <w:rFonts w:ascii="Arial" w:cs="Arial" w:eastAsia="Arial" w:hAnsi="Arial"/>
                <w:sz w:val="21"/>
                <w:szCs w:val="21"/>
                <w:color w:val="auto"/>
                <w:vertAlign w:val="superscript"/>
              </w:rPr>
              <w:t>(1)</w:t>
            </w:r>
          </w:p>
        </w:tc>
        <w:tc>
          <w:tcPr>
            <w:tcW w:w="440" w:type="dxa"/>
            <w:vAlign w:val="bottom"/>
          </w:tcPr>
          <w:p>
            <w:pPr>
              <w:spacing w:after="0"/>
              <w:rPr>
                <w:sz w:val="23"/>
                <w:szCs w:val="23"/>
                <w:color w:val="auto"/>
              </w:rPr>
            </w:pPr>
          </w:p>
        </w:tc>
        <w:tc>
          <w:tcPr>
            <w:tcW w:w="1440" w:type="dxa"/>
            <w:vAlign w:val="bottom"/>
          </w:tcPr>
          <w:p>
            <w:pPr>
              <w:jc w:val="right"/>
              <w:ind w:right="74"/>
              <w:spacing w:after="0"/>
              <w:rPr>
                <w:sz w:val="20"/>
                <w:szCs w:val="20"/>
                <w:color w:val="auto"/>
              </w:rPr>
            </w:pPr>
            <w:r>
              <w:rPr>
                <w:rFonts w:ascii="Arial" w:cs="Arial" w:eastAsia="Arial" w:hAnsi="Arial"/>
                <w:sz w:val="18"/>
                <w:szCs w:val="18"/>
                <w:color w:val="auto"/>
              </w:rPr>
              <w:t>32.9</w:t>
            </w:r>
          </w:p>
        </w:tc>
        <w:tc>
          <w:tcPr>
            <w:tcW w:w="1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460" w:type="dxa"/>
            <w:vAlign w:val="bottom"/>
          </w:tcPr>
          <w:p>
            <w:pPr>
              <w:jc w:val="right"/>
              <w:ind w:right="94"/>
              <w:spacing w:after="0"/>
              <w:rPr>
                <w:sz w:val="20"/>
                <w:szCs w:val="20"/>
                <w:color w:val="auto"/>
              </w:rPr>
            </w:pPr>
            <w:r>
              <w:rPr>
                <w:rFonts w:ascii="Arial" w:cs="Arial" w:eastAsia="Arial" w:hAnsi="Arial"/>
                <w:sz w:val="18"/>
                <w:szCs w:val="18"/>
                <w:color w:val="auto"/>
              </w:rPr>
              <w:t>24.8</w:t>
            </w:r>
          </w:p>
        </w:tc>
        <w:tc>
          <w:tcPr>
            <w:tcW w:w="10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1600" w:type="dxa"/>
            <w:vAlign w:val="bottom"/>
          </w:tcPr>
          <w:p>
            <w:pPr>
              <w:jc w:val="right"/>
              <w:ind w:right="354"/>
              <w:spacing w:after="0"/>
              <w:rPr>
                <w:sz w:val="20"/>
                <w:szCs w:val="20"/>
                <w:color w:val="auto"/>
              </w:rPr>
            </w:pPr>
            <w:r>
              <w:rPr>
                <w:rFonts w:ascii="Arial" w:cs="Arial" w:eastAsia="Arial" w:hAnsi="Arial"/>
                <w:sz w:val="18"/>
                <w:szCs w:val="18"/>
                <w:color w:val="auto"/>
              </w:rPr>
              <w:t>8.1</w:t>
            </w:r>
          </w:p>
        </w:tc>
        <w:tc>
          <w:tcPr>
            <w:tcW w:w="1600" w:type="dxa"/>
            <w:vAlign w:val="bottom"/>
          </w:tcPr>
          <w:p>
            <w:pPr>
              <w:jc w:val="right"/>
              <w:ind w:right="570"/>
              <w:spacing w:after="0"/>
              <w:rPr>
                <w:sz w:val="20"/>
                <w:szCs w:val="20"/>
                <w:color w:val="auto"/>
              </w:rPr>
            </w:pPr>
            <w:r>
              <w:rPr>
                <w:rFonts w:ascii="Arial" w:cs="Arial" w:eastAsia="Arial" w:hAnsi="Arial"/>
                <w:sz w:val="18"/>
                <w:szCs w:val="18"/>
                <w:color w:val="auto"/>
              </w:rPr>
              <w:t>32.8%</w:t>
            </w:r>
          </w:p>
        </w:tc>
      </w:tr>
      <w:tr>
        <w:trPr>
          <w:trHeight w:val="243"/>
        </w:trPr>
        <w:tc>
          <w:tcPr>
            <w:tcW w:w="20" w:type="dxa"/>
            <w:vAlign w:val="bottom"/>
            <w:shd w:val="clear" w:color="auto" w:fill="DCE2EF"/>
          </w:tcPr>
          <w:p>
            <w:pPr>
              <w:spacing w:after="0"/>
              <w:rPr>
                <w:sz w:val="21"/>
                <w:szCs w:val="21"/>
                <w:color w:val="auto"/>
              </w:rPr>
            </w:pPr>
          </w:p>
        </w:tc>
        <w:tc>
          <w:tcPr>
            <w:tcW w:w="3660" w:type="dxa"/>
            <w:vAlign w:val="bottom"/>
            <w:gridSpan w:val="2"/>
            <w:shd w:val="clear" w:color="auto" w:fill="DCE2EF"/>
          </w:tcPr>
          <w:p>
            <w:pPr>
              <w:ind w:left="140"/>
              <w:spacing w:after="0"/>
              <w:rPr>
                <w:sz w:val="20"/>
                <w:szCs w:val="20"/>
                <w:color w:val="auto"/>
              </w:rPr>
            </w:pPr>
            <w:r>
              <w:rPr>
                <w:rFonts w:ascii="Arial" w:cs="Arial" w:eastAsia="Arial" w:hAnsi="Arial"/>
                <w:sz w:val="14"/>
                <w:szCs w:val="14"/>
                <w:i w:val="1"/>
                <w:iCs w:val="1"/>
                <w:color w:val="auto"/>
                <w:shd w:val="clear" w:color="auto" w:fill="DCE2EF"/>
              </w:rPr>
              <w:t>Operating profit margin</w:t>
            </w:r>
          </w:p>
        </w:tc>
        <w:tc>
          <w:tcPr>
            <w:tcW w:w="440" w:type="dxa"/>
            <w:vAlign w:val="bottom"/>
            <w:shd w:val="clear" w:color="auto" w:fill="DCE2EF"/>
          </w:tcPr>
          <w:p>
            <w:pPr>
              <w:spacing w:after="0"/>
              <w:rPr>
                <w:sz w:val="21"/>
                <w:szCs w:val="21"/>
                <w:color w:val="auto"/>
              </w:rPr>
            </w:pPr>
          </w:p>
        </w:tc>
        <w:tc>
          <w:tcPr>
            <w:tcW w:w="1440" w:type="dxa"/>
            <w:vAlign w:val="bottom"/>
            <w:shd w:val="clear" w:color="auto" w:fill="DCE2EF"/>
          </w:tcPr>
          <w:p>
            <w:pPr>
              <w:jc w:val="right"/>
              <w:spacing w:after="0"/>
              <w:rPr>
                <w:sz w:val="20"/>
                <w:szCs w:val="20"/>
                <w:color w:val="auto"/>
              </w:rPr>
            </w:pPr>
            <w:r>
              <w:rPr>
                <w:rFonts w:ascii="Arial" w:cs="Arial" w:eastAsia="Arial" w:hAnsi="Arial"/>
                <w:sz w:val="14"/>
                <w:szCs w:val="14"/>
                <w:i w:val="1"/>
                <w:iCs w:val="1"/>
                <w:color w:val="auto"/>
              </w:rPr>
              <w:t>7.2%</w:t>
            </w:r>
          </w:p>
        </w:tc>
        <w:tc>
          <w:tcPr>
            <w:tcW w:w="120" w:type="dxa"/>
            <w:vAlign w:val="bottom"/>
            <w:shd w:val="clear" w:color="auto" w:fill="DCE2EF"/>
          </w:tcPr>
          <w:p>
            <w:pPr>
              <w:spacing w:after="0"/>
              <w:rPr>
                <w:sz w:val="21"/>
                <w:szCs w:val="21"/>
                <w:color w:val="auto"/>
              </w:rPr>
            </w:pPr>
          </w:p>
        </w:tc>
        <w:tc>
          <w:tcPr>
            <w:tcW w:w="420" w:type="dxa"/>
            <w:vAlign w:val="bottom"/>
            <w:shd w:val="clear" w:color="auto" w:fill="DCE2EF"/>
          </w:tcPr>
          <w:p>
            <w:pPr>
              <w:spacing w:after="0"/>
              <w:rPr>
                <w:sz w:val="21"/>
                <w:szCs w:val="21"/>
                <w:color w:val="auto"/>
              </w:rPr>
            </w:pPr>
          </w:p>
        </w:tc>
        <w:tc>
          <w:tcPr>
            <w:tcW w:w="1460" w:type="dxa"/>
            <w:vAlign w:val="bottom"/>
            <w:shd w:val="clear" w:color="auto" w:fill="DCE2EF"/>
          </w:tcPr>
          <w:p>
            <w:pPr>
              <w:jc w:val="right"/>
              <w:spacing w:after="0"/>
              <w:rPr>
                <w:sz w:val="20"/>
                <w:szCs w:val="20"/>
                <w:color w:val="auto"/>
              </w:rPr>
            </w:pPr>
            <w:r>
              <w:rPr>
                <w:rFonts w:ascii="Arial" w:cs="Arial" w:eastAsia="Arial" w:hAnsi="Arial"/>
                <w:sz w:val="14"/>
                <w:szCs w:val="14"/>
                <w:i w:val="1"/>
                <w:iCs w:val="1"/>
                <w:color w:val="auto"/>
              </w:rPr>
              <w:t>7.4%</w:t>
            </w:r>
          </w:p>
        </w:tc>
        <w:tc>
          <w:tcPr>
            <w:tcW w:w="100" w:type="dxa"/>
            <w:vAlign w:val="bottom"/>
            <w:shd w:val="clear" w:color="auto" w:fill="DCE2EF"/>
          </w:tcPr>
          <w:p>
            <w:pPr>
              <w:spacing w:after="0"/>
              <w:rPr>
                <w:sz w:val="21"/>
                <w:szCs w:val="21"/>
                <w:color w:val="auto"/>
              </w:rPr>
            </w:pPr>
          </w:p>
        </w:tc>
        <w:tc>
          <w:tcPr>
            <w:tcW w:w="540" w:type="dxa"/>
            <w:vAlign w:val="bottom"/>
            <w:shd w:val="clear" w:color="auto" w:fill="DCE2EF"/>
          </w:tcPr>
          <w:p>
            <w:pPr>
              <w:spacing w:after="0"/>
              <w:rPr>
                <w:sz w:val="21"/>
                <w:szCs w:val="21"/>
                <w:color w:val="auto"/>
              </w:rPr>
            </w:pPr>
          </w:p>
        </w:tc>
        <w:tc>
          <w:tcPr>
            <w:tcW w:w="1600" w:type="dxa"/>
            <w:vAlign w:val="bottom"/>
            <w:shd w:val="clear" w:color="auto" w:fill="DCE2EF"/>
          </w:tcPr>
          <w:p>
            <w:pPr>
              <w:jc w:val="right"/>
              <w:ind w:right="354"/>
              <w:spacing w:after="0"/>
              <w:rPr>
                <w:sz w:val="20"/>
                <w:szCs w:val="20"/>
                <w:color w:val="auto"/>
              </w:rPr>
            </w:pPr>
            <w:r>
              <w:rPr>
                <w:rFonts w:ascii="Arial" w:cs="Arial" w:eastAsia="Arial" w:hAnsi="Arial"/>
                <w:sz w:val="14"/>
                <w:szCs w:val="14"/>
                <w:i w:val="1"/>
                <w:iCs w:val="1"/>
                <w:color w:val="auto"/>
              </w:rPr>
              <w:t>(28) bps</w:t>
            </w:r>
          </w:p>
        </w:tc>
        <w:tc>
          <w:tcPr>
            <w:tcW w:w="1600" w:type="dxa"/>
            <w:vAlign w:val="bottom"/>
            <w:shd w:val="clear" w:color="auto" w:fill="DCE2EF"/>
          </w:tcPr>
          <w:p>
            <w:pPr>
              <w:spacing w:after="0"/>
              <w:rPr>
                <w:sz w:val="21"/>
                <w:szCs w:val="21"/>
                <w:color w:val="auto"/>
              </w:rPr>
            </w:pPr>
          </w:p>
        </w:tc>
      </w:tr>
      <w:tr>
        <w:trPr>
          <w:trHeight w:val="27"/>
        </w:trPr>
        <w:tc>
          <w:tcPr>
            <w:tcW w:w="20" w:type="dxa"/>
            <w:vAlign w:val="bottom"/>
            <w:shd w:val="clear" w:color="auto" w:fill="DCE2EF"/>
          </w:tcPr>
          <w:p>
            <w:pPr>
              <w:spacing w:after="0"/>
              <w:rPr>
                <w:sz w:val="2"/>
                <w:szCs w:val="2"/>
                <w:color w:val="auto"/>
              </w:rPr>
            </w:pPr>
          </w:p>
        </w:tc>
        <w:tc>
          <w:tcPr>
            <w:tcW w:w="820" w:type="dxa"/>
            <w:vAlign w:val="bottom"/>
            <w:shd w:val="clear" w:color="auto" w:fill="DCE2EF"/>
          </w:tcPr>
          <w:p>
            <w:pPr>
              <w:spacing w:after="0"/>
              <w:rPr>
                <w:sz w:val="2"/>
                <w:szCs w:val="2"/>
                <w:color w:val="auto"/>
              </w:rPr>
            </w:pPr>
          </w:p>
        </w:tc>
        <w:tc>
          <w:tcPr>
            <w:tcW w:w="2840" w:type="dxa"/>
            <w:vAlign w:val="bottom"/>
            <w:shd w:val="clear" w:color="auto" w:fill="DCE2EF"/>
          </w:tcPr>
          <w:p>
            <w:pPr>
              <w:spacing w:after="0"/>
              <w:rPr>
                <w:sz w:val="2"/>
                <w:szCs w:val="2"/>
                <w:color w:val="auto"/>
              </w:rPr>
            </w:pPr>
          </w:p>
        </w:tc>
        <w:tc>
          <w:tcPr>
            <w:tcW w:w="440" w:type="dxa"/>
            <w:vAlign w:val="bottom"/>
            <w:shd w:val="clear" w:color="auto" w:fill="DCE2EF"/>
          </w:tcPr>
          <w:p>
            <w:pPr>
              <w:spacing w:after="0"/>
              <w:rPr>
                <w:sz w:val="2"/>
                <w:szCs w:val="2"/>
                <w:color w:val="auto"/>
              </w:rPr>
            </w:pPr>
          </w:p>
        </w:tc>
        <w:tc>
          <w:tcPr>
            <w:tcW w:w="1440" w:type="dxa"/>
            <w:vAlign w:val="bottom"/>
            <w:shd w:val="clear" w:color="auto" w:fill="DCE2EF"/>
          </w:tcPr>
          <w:p>
            <w:pPr>
              <w:spacing w:after="0"/>
              <w:rPr>
                <w:sz w:val="2"/>
                <w:szCs w:val="2"/>
                <w:color w:val="auto"/>
              </w:rPr>
            </w:pPr>
          </w:p>
        </w:tc>
        <w:tc>
          <w:tcPr>
            <w:tcW w:w="120" w:type="dxa"/>
            <w:vAlign w:val="bottom"/>
            <w:shd w:val="clear" w:color="auto" w:fill="DCE2EF"/>
          </w:tcPr>
          <w:p>
            <w:pPr>
              <w:spacing w:after="0"/>
              <w:rPr>
                <w:sz w:val="2"/>
                <w:szCs w:val="2"/>
                <w:color w:val="auto"/>
              </w:rPr>
            </w:pPr>
          </w:p>
        </w:tc>
        <w:tc>
          <w:tcPr>
            <w:tcW w:w="420" w:type="dxa"/>
            <w:vAlign w:val="bottom"/>
            <w:shd w:val="clear" w:color="auto" w:fill="DCE2EF"/>
          </w:tcPr>
          <w:p>
            <w:pPr>
              <w:spacing w:after="0"/>
              <w:rPr>
                <w:sz w:val="2"/>
                <w:szCs w:val="2"/>
                <w:color w:val="auto"/>
              </w:rPr>
            </w:pPr>
          </w:p>
        </w:tc>
        <w:tc>
          <w:tcPr>
            <w:tcW w:w="1460" w:type="dxa"/>
            <w:vAlign w:val="bottom"/>
            <w:shd w:val="clear" w:color="auto" w:fill="DCE2EF"/>
          </w:tcPr>
          <w:p>
            <w:pPr>
              <w:spacing w:after="0"/>
              <w:rPr>
                <w:sz w:val="2"/>
                <w:szCs w:val="2"/>
                <w:color w:val="auto"/>
              </w:rPr>
            </w:pPr>
          </w:p>
        </w:tc>
        <w:tc>
          <w:tcPr>
            <w:tcW w:w="100" w:type="dxa"/>
            <w:vAlign w:val="bottom"/>
            <w:shd w:val="clear" w:color="auto" w:fill="DCE2EF"/>
          </w:tcPr>
          <w:p>
            <w:pPr>
              <w:spacing w:after="0"/>
              <w:rPr>
                <w:sz w:val="2"/>
                <w:szCs w:val="2"/>
                <w:color w:val="auto"/>
              </w:rPr>
            </w:pPr>
          </w:p>
        </w:tc>
        <w:tc>
          <w:tcPr>
            <w:tcW w:w="540" w:type="dxa"/>
            <w:vAlign w:val="bottom"/>
            <w:shd w:val="clear" w:color="auto" w:fill="DCE2EF"/>
          </w:tcPr>
          <w:p>
            <w:pPr>
              <w:spacing w:after="0"/>
              <w:rPr>
                <w:sz w:val="2"/>
                <w:szCs w:val="2"/>
                <w:color w:val="auto"/>
              </w:rPr>
            </w:pPr>
          </w:p>
        </w:tc>
        <w:tc>
          <w:tcPr>
            <w:tcW w:w="1600" w:type="dxa"/>
            <w:vAlign w:val="bottom"/>
            <w:shd w:val="clear" w:color="auto" w:fill="DCE2EF"/>
          </w:tcPr>
          <w:p>
            <w:pPr>
              <w:spacing w:after="0"/>
              <w:rPr>
                <w:sz w:val="2"/>
                <w:szCs w:val="2"/>
                <w:color w:val="auto"/>
              </w:rPr>
            </w:pPr>
          </w:p>
        </w:tc>
        <w:tc>
          <w:tcPr>
            <w:tcW w:w="1600" w:type="dxa"/>
            <w:vAlign w:val="bottom"/>
            <w:shd w:val="clear" w:color="auto" w:fill="DCE2EF"/>
          </w:tcPr>
          <w:p>
            <w:pPr>
              <w:spacing w:after="0"/>
              <w:rPr>
                <w:sz w:val="2"/>
                <w:szCs w:val="2"/>
                <w:color w:val="auto"/>
              </w:rPr>
            </w:pPr>
          </w:p>
        </w:tc>
      </w:tr>
    </w:tbl>
    <w:p>
      <w:pPr>
        <w:spacing w:after="0" w:line="9" w:lineRule="exact"/>
        <w:rPr>
          <w:sz w:val="20"/>
          <w:szCs w:val="20"/>
          <w:color w:val="auto"/>
        </w:rPr>
      </w:pPr>
    </w:p>
    <w:p>
      <w:pPr>
        <w:ind w:left="180" w:hanging="172"/>
        <w:spacing w:after="0"/>
        <w:tabs>
          <w:tab w:leader="none" w:pos="180" w:val="left"/>
        </w:tabs>
        <w:numPr>
          <w:ilvl w:val="0"/>
          <w:numId w:val="20"/>
        </w:numPr>
        <w:rPr>
          <w:rFonts w:ascii="Arial" w:cs="Arial" w:eastAsia="Arial" w:hAnsi="Arial"/>
          <w:sz w:val="21"/>
          <w:szCs w:val="21"/>
          <w:color w:val="auto"/>
          <w:vertAlign w:val="superscript"/>
        </w:rPr>
      </w:pPr>
      <w:r>
        <w:rPr>
          <w:rFonts w:ascii="Arial" w:cs="Arial" w:eastAsia="Arial" w:hAnsi="Arial"/>
          <w:sz w:val="15"/>
          <w:szCs w:val="15"/>
          <w:color w:val="auto"/>
        </w:rPr>
        <w:t>The six months ended April 30, 2018 includes $5.2 million of amortization expense related to the GCA acquisition.</w:t>
      </w:r>
    </w:p>
    <w:p>
      <w:pPr>
        <w:spacing w:after="0" w:line="154" w:lineRule="exact"/>
        <w:rPr>
          <w:sz w:val="20"/>
          <w:szCs w:val="20"/>
          <w:color w:val="auto"/>
        </w:rPr>
      </w:pPr>
    </w:p>
    <w:p>
      <w:pPr>
        <w:jc w:val="both"/>
        <w:ind w:right="20" w:firstLine="648"/>
        <w:spacing w:after="0" w:line="262" w:lineRule="auto"/>
        <w:rPr>
          <w:sz w:val="20"/>
          <w:szCs w:val="20"/>
          <w:color w:val="auto"/>
        </w:rPr>
      </w:pPr>
      <w:r>
        <w:rPr>
          <w:rFonts w:ascii="Arial" w:cs="Arial" w:eastAsia="Arial" w:hAnsi="Arial"/>
          <w:sz w:val="18"/>
          <w:szCs w:val="18"/>
          <w:color w:val="auto"/>
        </w:rPr>
        <w:t>T&amp;M revenues increased by $126.6 million, or 38.0%, during the six months ended April 30, 2018, as compared to the six months ended April 30, 2017. The increase was primarily related to incremental revenues from the GCA acquisition of $119.2 million.</w:t>
      </w:r>
    </w:p>
    <w:p>
      <w:pPr>
        <w:spacing w:after="0" w:line="142"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Operating profit increased by $8.1 million, or 32.8%, during the six months ended April 30, 2018, as compared to the six months ended April 30, 2017. Operating profit margin decreased by 28 bps to 7.2% in the six months ended April 30, 2018 from 7.4% in the six months ended April 30, 2017. The decrease in operating profit margin was primarily attributable to higher amortization expense related to the GCA acquisition and an increase in wages and related personnel costs due to a tight labor market. This decrease was partially offset by certain higher margin acquired contracts.</w:t>
      </w: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20"/>
          </w:cols>
          <w:pgMar w:left="240" w:top="544" w:right="239" w:bottom="1440" w:gutter="0" w:footer="0" w:header="0"/>
        </w:sectPr>
      </w:pPr>
    </w:p>
    <w:bookmarkStart w:id="41" w:name="page42"/>
    <w:bookmarkEnd w:id="41"/>
    <w:tbl>
      <w:tblPr>
        <w:tblLayout w:type="fixed"/>
        <w:tblInd w:w="20" w:type="dxa"/>
        <w:tblCellMar>
          <w:top w:w="0" w:type="dxa"/>
          <w:left w:w="0" w:type="dxa"/>
          <w:bottom w:w="0" w:type="dxa"/>
          <w:right w:w="0" w:type="dxa"/>
        </w:tblCellMar>
      </w:tblPr>
      <w:tr>
        <w:trPr>
          <w:trHeight w:val="239"/>
        </w:trPr>
        <w:tc>
          <w:tcPr>
            <w:tcW w:w="3680" w:type="dxa"/>
            <w:vAlign w:val="bottom"/>
            <w:gridSpan w:val="3"/>
          </w:tcPr>
          <w:p>
            <w:pPr>
              <w:ind w:left="20"/>
              <w:spacing w:after="0"/>
              <w:rPr>
                <w:sz w:val="20"/>
                <w:szCs w:val="20"/>
                <w:color w:val="auto"/>
              </w:rPr>
            </w:pPr>
            <w:r>
              <w:rPr>
                <w:rFonts w:ascii="Arial" w:cs="Arial" w:eastAsia="Arial" w:hAnsi="Arial"/>
                <w:sz w:val="18"/>
                <w:szCs w:val="18"/>
                <w:b w:val="1"/>
                <w:bCs w:val="1"/>
                <w:i w:val="1"/>
                <w:iCs w:val="1"/>
                <w:color w:val="0046AD"/>
              </w:rPr>
              <w:t>Education</w:t>
            </w:r>
          </w:p>
        </w:tc>
        <w:tc>
          <w:tcPr>
            <w:tcW w:w="44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1560" w:type="dxa"/>
            <w:vAlign w:val="bottom"/>
          </w:tcPr>
          <w:p>
            <w:pPr>
              <w:spacing w:after="0"/>
              <w:rPr>
                <w:sz w:val="20"/>
                <w:szCs w:val="20"/>
                <w:color w:val="auto"/>
              </w:rPr>
            </w:pPr>
          </w:p>
        </w:tc>
      </w:tr>
      <w:tr>
        <w:trPr>
          <w:trHeight w:val="277"/>
        </w:trPr>
        <w:tc>
          <w:tcPr>
            <w:tcW w:w="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8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540" w:type="dxa"/>
            <w:vAlign w:val="bottom"/>
            <w:gridSpan w:val="5"/>
          </w:tcPr>
          <w:p>
            <w:pPr>
              <w:ind w:left="340"/>
              <w:spacing w:after="0"/>
              <w:rPr>
                <w:sz w:val="20"/>
                <w:szCs w:val="20"/>
                <w:color w:val="auto"/>
              </w:rPr>
            </w:pPr>
            <w:r>
              <w:rPr>
                <w:rFonts w:ascii="Arial" w:cs="Arial" w:eastAsia="Arial" w:hAnsi="Arial"/>
                <w:sz w:val="18"/>
                <w:szCs w:val="18"/>
                <w:b w:val="1"/>
                <w:bCs w:val="1"/>
                <w:color w:val="auto"/>
              </w:rPr>
              <w:t>Six Months Ended April 30,</w:t>
            </w:r>
          </w:p>
        </w:tc>
        <w:tc>
          <w:tcPr>
            <w:tcW w:w="54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560" w:type="dxa"/>
            <w:vAlign w:val="bottom"/>
          </w:tcPr>
          <w:p>
            <w:pPr>
              <w:spacing w:after="0"/>
              <w:rPr>
                <w:sz w:val="24"/>
                <w:szCs w:val="24"/>
                <w:color w:val="auto"/>
              </w:rPr>
            </w:pPr>
          </w:p>
        </w:tc>
      </w:tr>
      <w:tr>
        <w:trPr>
          <w:trHeight w:val="230"/>
        </w:trPr>
        <w:tc>
          <w:tcPr>
            <w:tcW w:w="3680" w:type="dxa"/>
            <w:vAlign w:val="bottom"/>
            <w:gridSpan w:val="3"/>
          </w:tcPr>
          <w:p>
            <w:pPr>
              <w:ind w:left="20"/>
              <w:spacing w:after="0"/>
              <w:rPr>
                <w:sz w:val="20"/>
                <w:szCs w:val="20"/>
                <w:color w:val="auto"/>
              </w:rPr>
            </w:pPr>
            <w:r>
              <w:rPr>
                <w:rFonts w:ascii="Arial" w:cs="Arial" w:eastAsia="Arial" w:hAnsi="Arial"/>
                <w:sz w:val="14"/>
                <w:szCs w:val="14"/>
                <w:i w:val="1"/>
                <w:iCs w:val="1"/>
                <w:u w:val="single" w:color="auto"/>
                <w:color w:val="auto"/>
              </w:rPr>
              <w:t>(</w:t>
            </w:r>
            <w:r>
              <w:rPr>
                <w:rFonts w:ascii="Arial" w:cs="Arial" w:eastAsia="Arial" w:hAnsi="Arial"/>
                <w:sz w:val="14"/>
                <w:szCs w:val="14"/>
                <w:i w:val="1"/>
                <w:iCs w:val="1"/>
                <w:color w:val="auto"/>
              </w:rPr>
              <w:t>$ in millions)</w:t>
            </w:r>
          </w:p>
        </w:tc>
        <w:tc>
          <w:tcPr>
            <w:tcW w:w="440" w:type="dxa"/>
            <w:vAlign w:val="bottom"/>
            <w:tcBorders>
              <w:top w:val="single" w:sz="8" w:color="auto"/>
            </w:tcBorders>
          </w:tcPr>
          <w:p>
            <w:pPr>
              <w:spacing w:after="0"/>
              <w:rPr>
                <w:sz w:val="19"/>
                <w:szCs w:val="19"/>
                <w:color w:val="auto"/>
              </w:rPr>
            </w:pPr>
          </w:p>
        </w:tc>
        <w:tc>
          <w:tcPr>
            <w:tcW w:w="1440" w:type="dxa"/>
            <w:vAlign w:val="bottom"/>
            <w:tcBorders>
              <w:top w:val="single" w:sz="8" w:color="auto"/>
            </w:tcBorders>
          </w:tcPr>
          <w:p>
            <w:pPr>
              <w:jc w:val="right"/>
              <w:ind w:right="654"/>
              <w:spacing w:after="0"/>
              <w:rPr>
                <w:sz w:val="20"/>
                <w:szCs w:val="20"/>
                <w:color w:val="auto"/>
              </w:rPr>
            </w:pPr>
            <w:r>
              <w:rPr>
                <w:rFonts w:ascii="Arial" w:cs="Arial" w:eastAsia="Arial" w:hAnsi="Arial"/>
                <w:sz w:val="18"/>
                <w:szCs w:val="18"/>
                <w:b w:val="1"/>
                <w:bCs w:val="1"/>
                <w:color w:val="auto"/>
              </w:rPr>
              <w:t>2018</w:t>
            </w:r>
          </w:p>
        </w:tc>
        <w:tc>
          <w:tcPr>
            <w:tcW w:w="120" w:type="dxa"/>
            <w:vAlign w:val="bottom"/>
            <w:tcBorders>
              <w:top w:val="single" w:sz="8" w:color="auto"/>
            </w:tcBorders>
          </w:tcPr>
          <w:p>
            <w:pPr>
              <w:spacing w:after="0"/>
              <w:rPr>
                <w:sz w:val="19"/>
                <w:szCs w:val="19"/>
                <w:color w:val="auto"/>
              </w:rPr>
            </w:pPr>
          </w:p>
        </w:tc>
        <w:tc>
          <w:tcPr>
            <w:tcW w:w="420" w:type="dxa"/>
            <w:vAlign w:val="bottom"/>
            <w:tcBorders>
              <w:top w:val="single" w:sz="8" w:color="auto"/>
            </w:tcBorders>
          </w:tcPr>
          <w:p>
            <w:pPr>
              <w:spacing w:after="0"/>
              <w:rPr>
                <w:sz w:val="19"/>
                <w:szCs w:val="19"/>
                <w:color w:val="auto"/>
              </w:rPr>
            </w:pPr>
          </w:p>
        </w:tc>
        <w:tc>
          <w:tcPr>
            <w:tcW w:w="1460" w:type="dxa"/>
            <w:vAlign w:val="bottom"/>
            <w:tcBorders>
              <w:top w:val="single" w:sz="8" w:color="auto"/>
            </w:tcBorders>
          </w:tcPr>
          <w:p>
            <w:pPr>
              <w:jc w:val="right"/>
              <w:ind w:right="674"/>
              <w:spacing w:after="0"/>
              <w:rPr>
                <w:sz w:val="20"/>
                <w:szCs w:val="20"/>
                <w:color w:val="auto"/>
              </w:rPr>
            </w:pPr>
            <w:r>
              <w:rPr>
                <w:rFonts w:ascii="Arial" w:cs="Arial" w:eastAsia="Arial" w:hAnsi="Arial"/>
                <w:sz w:val="18"/>
                <w:szCs w:val="18"/>
                <w:b w:val="1"/>
                <w:bCs w:val="1"/>
                <w:color w:val="auto"/>
              </w:rPr>
              <w:t>2017</w:t>
            </w: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3200" w:type="dxa"/>
            <w:vAlign w:val="bottom"/>
            <w:gridSpan w:val="2"/>
          </w:tcPr>
          <w:p>
            <w:pPr>
              <w:ind w:left="440"/>
              <w:spacing w:after="0"/>
              <w:rPr>
                <w:sz w:val="20"/>
                <w:szCs w:val="20"/>
                <w:color w:val="auto"/>
              </w:rPr>
            </w:pPr>
            <w:r>
              <w:rPr>
                <w:rFonts w:ascii="Arial" w:cs="Arial" w:eastAsia="Arial" w:hAnsi="Arial"/>
                <w:sz w:val="18"/>
                <w:szCs w:val="18"/>
                <w:b w:val="1"/>
                <w:bCs w:val="1"/>
                <w:color w:val="auto"/>
              </w:rPr>
              <w:t>Increase / (Decrease)</w:t>
            </w:r>
          </w:p>
        </w:tc>
      </w:tr>
      <w:tr>
        <w:trPr>
          <w:trHeight w:val="21"/>
        </w:trPr>
        <w:tc>
          <w:tcPr>
            <w:tcW w:w="20" w:type="dxa"/>
            <w:vAlign w:val="bottom"/>
            <w:tcBorders>
              <w:bottom w:val="single" w:sz="8" w:color="DCE3EF"/>
            </w:tcBorders>
          </w:tcPr>
          <w:p>
            <w:pPr>
              <w:spacing w:after="0" w:line="20" w:lineRule="exact"/>
              <w:rPr>
                <w:sz w:val="1"/>
                <w:szCs w:val="1"/>
                <w:color w:val="auto"/>
              </w:rPr>
            </w:pPr>
          </w:p>
        </w:tc>
        <w:tc>
          <w:tcPr>
            <w:tcW w:w="820" w:type="dxa"/>
            <w:vAlign w:val="bottom"/>
            <w:tcBorders>
              <w:top w:val="single" w:sz="8" w:color="auto"/>
              <w:bottom w:val="single" w:sz="8" w:color="DCE3EF"/>
            </w:tcBorders>
          </w:tcPr>
          <w:p>
            <w:pPr>
              <w:spacing w:after="0" w:line="20" w:lineRule="exact"/>
              <w:rPr>
                <w:sz w:val="1"/>
                <w:szCs w:val="1"/>
                <w:color w:val="auto"/>
              </w:rPr>
            </w:pPr>
          </w:p>
        </w:tc>
        <w:tc>
          <w:tcPr>
            <w:tcW w:w="2840" w:type="dxa"/>
            <w:vAlign w:val="bottom"/>
            <w:tcBorders>
              <w:bottom w:val="single" w:sz="8" w:color="DCE3E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DCE3E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DCE3EF"/>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r>
      <w:tr>
        <w:trPr>
          <w:trHeight w:val="264"/>
        </w:trPr>
        <w:tc>
          <w:tcPr>
            <w:tcW w:w="3680" w:type="dxa"/>
            <w:vAlign w:val="bottom"/>
            <w:gridSpan w:val="3"/>
            <w:shd w:val="clear" w:color="auto" w:fill="DCE3EF"/>
          </w:tcPr>
          <w:p>
            <w:pPr>
              <w:ind w:left="20"/>
              <w:spacing w:after="0"/>
              <w:rPr>
                <w:sz w:val="20"/>
                <w:szCs w:val="20"/>
                <w:color w:val="auto"/>
              </w:rPr>
            </w:pPr>
            <w:r>
              <w:rPr>
                <w:rFonts w:ascii="Arial" w:cs="Arial" w:eastAsia="Arial" w:hAnsi="Arial"/>
                <w:sz w:val="18"/>
                <w:szCs w:val="18"/>
                <w:color w:val="auto"/>
              </w:rPr>
              <w:t>Revenues</w:t>
            </w:r>
          </w:p>
        </w:tc>
        <w:tc>
          <w:tcPr>
            <w:tcW w:w="440" w:type="dxa"/>
            <w:vAlign w:val="bottom"/>
            <w:shd w:val="clear" w:color="auto" w:fill="DCE3EF"/>
          </w:tcPr>
          <w:p>
            <w:pPr>
              <w:jc w:val="right"/>
              <w:ind w:right="230"/>
              <w:spacing w:after="0"/>
              <w:rPr>
                <w:sz w:val="20"/>
                <w:szCs w:val="20"/>
                <w:color w:val="auto"/>
              </w:rPr>
            </w:pPr>
            <w:r>
              <w:rPr>
                <w:rFonts w:ascii="Arial" w:cs="Arial" w:eastAsia="Arial" w:hAnsi="Arial"/>
                <w:sz w:val="18"/>
                <w:szCs w:val="18"/>
                <w:color w:val="auto"/>
                <w:w w:val="99"/>
              </w:rPr>
              <w:t>$</w:t>
            </w:r>
          </w:p>
        </w:tc>
        <w:tc>
          <w:tcPr>
            <w:tcW w:w="1440" w:type="dxa"/>
            <w:vAlign w:val="bottom"/>
            <w:shd w:val="clear" w:color="auto" w:fill="DCE3EF"/>
          </w:tcPr>
          <w:p>
            <w:pPr>
              <w:jc w:val="right"/>
              <w:ind w:right="74"/>
              <w:spacing w:after="0"/>
              <w:rPr>
                <w:sz w:val="20"/>
                <w:szCs w:val="20"/>
                <w:color w:val="auto"/>
              </w:rPr>
            </w:pPr>
            <w:r>
              <w:rPr>
                <w:rFonts w:ascii="Arial" w:cs="Arial" w:eastAsia="Arial" w:hAnsi="Arial"/>
                <w:sz w:val="18"/>
                <w:szCs w:val="18"/>
                <w:color w:val="auto"/>
              </w:rPr>
              <w:t>412.6</w:t>
            </w:r>
          </w:p>
        </w:tc>
        <w:tc>
          <w:tcPr>
            <w:tcW w:w="120" w:type="dxa"/>
            <w:vAlign w:val="bottom"/>
            <w:shd w:val="clear" w:color="auto" w:fill="DCE3EF"/>
          </w:tcPr>
          <w:p>
            <w:pPr>
              <w:spacing w:after="0"/>
              <w:rPr>
                <w:sz w:val="22"/>
                <w:szCs w:val="22"/>
                <w:color w:val="auto"/>
              </w:rPr>
            </w:pPr>
          </w:p>
        </w:tc>
        <w:tc>
          <w:tcPr>
            <w:tcW w:w="420" w:type="dxa"/>
            <w:vAlign w:val="bottom"/>
            <w:shd w:val="clear" w:color="auto" w:fill="DCE3EF"/>
          </w:tcPr>
          <w:p>
            <w:pPr>
              <w:jc w:val="right"/>
              <w:ind w:right="210"/>
              <w:spacing w:after="0"/>
              <w:rPr>
                <w:sz w:val="20"/>
                <w:szCs w:val="20"/>
                <w:color w:val="auto"/>
              </w:rPr>
            </w:pPr>
            <w:r>
              <w:rPr>
                <w:rFonts w:ascii="Arial" w:cs="Arial" w:eastAsia="Arial" w:hAnsi="Arial"/>
                <w:sz w:val="18"/>
                <w:szCs w:val="18"/>
                <w:color w:val="auto"/>
                <w:w w:val="99"/>
              </w:rPr>
              <w:t>$</w:t>
            </w:r>
          </w:p>
        </w:tc>
        <w:tc>
          <w:tcPr>
            <w:tcW w:w="1460" w:type="dxa"/>
            <w:vAlign w:val="bottom"/>
            <w:shd w:val="clear" w:color="auto" w:fill="DCE3EF"/>
          </w:tcPr>
          <w:p>
            <w:pPr>
              <w:jc w:val="right"/>
              <w:ind w:right="94"/>
              <w:spacing w:after="0"/>
              <w:rPr>
                <w:sz w:val="20"/>
                <w:szCs w:val="20"/>
                <w:color w:val="auto"/>
              </w:rPr>
            </w:pPr>
            <w:r>
              <w:rPr>
                <w:rFonts w:ascii="Arial" w:cs="Arial" w:eastAsia="Arial" w:hAnsi="Arial"/>
                <w:sz w:val="18"/>
                <w:szCs w:val="18"/>
                <w:color w:val="auto"/>
              </w:rPr>
              <w:t>132.2</w:t>
            </w:r>
          </w:p>
        </w:tc>
        <w:tc>
          <w:tcPr>
            <w:tcW w:w="100" w:type="dxa"/>
            <w:vAlign w:val="bottom"/>
            <w:shd w:val="clear" w:color="auto" w:fill="DCE3EF"/>
          </w:tcPr>
          <w:p>
            <w:pPr>
              <w:spacing w:after="0"/>
              <w:rPr>
                <w:sz w:val="22"/>
                <w:szCs w:val="22"/>
                <w:color w:val="auto"/>
              </w:rPr>
            </w:pPr>
          </w:p>
        </w:tc>
        <w:tc>
          <w:tcPr>
            <w:tcW w:w="540" w:type="dxa"/>
            <w:vAlign w:val="bottom"/>
            <w:shd w:val="clear" w:color="auto" w:fill="DCE3EF"/>
          </w:tcPr>
          <w:p>
            <w:pPr>
              <w:jc w:val="right"/>
              <w:ind w:right="330"/>
              <w:spacing w:after="0"/>
              <w:rPr>
                <w:sz w:val="20"/>
                <w:szCs w:val="20"/>
                <w:color w:val="auto"/>
              </w:rPr>
            </w:pPr>
            <w:r>
              <w:rPr>
                <w:rFonts w:ascii="Arial" w:cs="Arial" w:eastAsia="Arial" w:hAnsi="Arial"/>
                <w:sz w:val="18"/>
                <w:szCs w:val="18"/>
                <w:color w:val="auto"/>
                <w:w w:val="99"/>
              </w:rPr>
              <w:t>$</w:t>
            </w:r>
          </w:p>
        </w:tc>
        <w:tc>
          <w:tcPr>
            <w:tcW w:w="1640" w:type="dxa"/>
            <w:vAlign w:val="bottom"/>
            <w:shd w:val="clear" w:color="auto" w:fill="DCE3EF"/>
          </w:tcPr>
          <w:p>
            <w:pPr>
              <w:jc w:val="right"/>
              <w:ind w:right="394"/>
              <w:spacing w:after="0"/>
              <w:rPr>
                <w:sz w:val="20"/>
                <w:szCs w:val="20"/>
                <w:color w:val="auto"/>
              </w:rPr>
            </w:pPr>
            <w:r>
              <w:rPr>
                <w:rFonts w:ascii="Arial" w:cs="Arial" w:eastAsia="Arial" w:hAnsi="Arial"/>
                <w:sz w:val="18"/>
                <w:szCs w:val="18"/>
                <w:color w:val="auto"/>
              </w:rPr>
              <w:t>280.4</w:t>
            </w:r>
          </w:p>
        </w:tc>
        <w:tc>
          <w:tcPr>
            <w:tcW w:w="1560" w:type="dxa"/>
            <w:vAlign w:val="bottom"/>
            <w:shd w:val="clear" w:color="auto" w:fill="DCE3EF"/>
          </w:tcPr>
          <w:p>
            <w:pPr>
              <w:ind w:left="480"/>
              <w:spacing w:after="0"/>
              <w:rPr>
                <w:sz w:val="20"/>
                <w:szCs w:val="20"/>
                <w:color w:val="auto"/>
              </w:rPr>
            </w:pPr>
            <w:r>
              <w:rPr>
                <w:rFonts w:ascii="Arial" w:cs="Arial" w:eastAsia="Arial" w:hAnsi="Arial"/>
                <w:sz w:val="18"/>
                <w:szCs w:val="18"/>
                <w:color w:val="auto"/>
              </w:rPr>
              <w:t>NM*</w:t>
            </w:r>
          </w:p>
        </w:tc>
      </w:tr>
      <w:tr>
        <w:trPr>
          <w:trHeight w:val="270"/>
        </w:trPr>
        <w:tc>
          <w:tcPr>
            <w:tcW w:w="3680" w:type="dxa"/>
            <w:vAlign w:val="bottom"/>
            <w:gridSpan w:val="3"/>
          </w:tcPr>
          <w:p>
            <w:pPr>
              <w:ind w:left="20"/>
              <w:spacing w:after="0"/>
              <w:rPr>
                <w:sz w:val="20"/>
                <w:szCs w:val="20"/>
                <w:color w:val="auto"/>
              </w:rPr>
            </w:pPr>
            <w:r>
              <w:rPr>
                <w:rFonts w:ascii="Arial" w:cs="Arial" w:eastAsia="Arial" w:hAnsi="Arial"/>
                <w:sz w:val="18"/>
                <w:szCs w:val="18"/>
                <w:color w:val="auto"/>
              </w:rPr>
              <w:t>Operating profit</w:t>
            </w:r>
            <w:r>
              <w:rPr>
                <w:rFonts w:ascii="Arial" w:cs="Arial" w:eastAsia="Arial" w:hAnsi="Arial"/>
                <w:sz w:val="21"/>
                <w:szCs w:val="21"/>
                <w:color w:val="auto"/>
                <w:vertAlign w:val="superscript"/>
              </w:rPr>
              <w:t>(1)</w:t>
            </w:r>
          </w:p>
        </w:tc>
        <w:tc>
          <w:tcPr>
            <w:tcW w:w="440" w:type="dxa"/>
            <w:vAlign w:val="bottom"/>
          </w:tcPr>
          <w:p>
            <w:pPr>
              <w:spacing w:after="0"/>
              <w:rPr>
                <w:sz w:val="23"/>
                <w:szCs w:val="23"/>
                <w:color w:val="auto"/>
              </w:rPr>
            </w:pPr>
          </w:p>
        </w:tc>
        <w:tc>
          <w:tcPr>
            <w:tcW w:w="1440" w:type="dxa"/>
            <w:vAlign w:val="bottom"/>
          </w:tcPr>
          <w:p>
            <w:pPr>
              <w:jc w:val="right"/>
              <w:ind w:right="74"/>
              <w:spacing w:after="0"/>
              <w:rPr>
                <w:sz w:val="20"/>
                <w:szCs w:val="20"/>
                <w:color w:val="auto"/>
              </w:rPr>
            </w:pPr>
            <w:r>
              <w:rPr>
                <w:rFonts w:ascii="Arial" w:cs="Arial" w:eastAsia="Arial" w:hAnsi="Arial"/>
                <w:sz w:val="18"/>
                <w:szCs w:val="18"/>
                <w:color w:val="auto"/>
              </w:rPr>
              <w:t>19.8</w:t>
            </w:r>
          </w:p>
        </w:tc>
        <w:tc>
          <w:tcPr>
            <w:tcW w:w="1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460" w:type="dxa"/>
            <w:vAlign w:val="bottom"/>
          </w:tcPr>
          <w:p>
            <w:pPr>
              <w:jc w:val="right"/>
              <w:ind w:right="94"/>
              <w:spacing w:after="0"/>
              <w:rPr>
                <w:sz w:val="20"/>
                <w:szCs w:val="20"/>
                <w:color w:val="auto"/>
              </w:rPr>
            </w:pPr>
            <w:r>
              <w:rPr>
                <w:rFonts w:ascii="Arial" w:cs="Arial" w:eastAsia="Arial" w:hAnsi="Arial"/>
                <w:sz w:val="18"/>
                <w:szCs w:val="18"/>
                <w:color w:val="auto"/>
              </w:rPr>
              <w:t>7.2</w:t>
            </w:r>
          </w:p>
        </w:tc>
        <w:tc>
          <w:tcPr>
            <w:tcW w:w="10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1640" w:type="dxa"/>
            <w:vAlign w:val="bottom"/>
          </w:tcPr>
          <w:p>
            <w:pPr>
              <w:jc w:val="right"/>
              <w:ind w:right="394"/>
              <w:spacing w:after="0"/>
              <w:rPr>
                <w:sz w:val="20"/>
                <w:szCs w:val="20"/>
                <w:color w:val="auto"/>
              </w:rPr>
            </w:pPr>
            <w:r>
              <w:rPr>
                <w:rFonts w:ascii="Arial" w:cs="Arial" w:eastAsia="Arial" w:hAnsi="Arial"/>
                <w:sz w:val="18"/>
                <w:szCs w:val="18"/>
                <w:color w:val="auto"/>
              </w:rPr>
              <w:t>12.6</w:t>
            </w:r>
          </w:p>
        </w:tc>
        <w:tc>
          <w:tcPr>
            <w:tcW w:w="1560" w:type="dxa"/>
            <w:vAlign w:val="bottom"/>
          </w:tcPr>
          <w:p>
            <w:pPr>
              <w:ind w:left="480"/>
              <w:spacing w:after="0"/>
              <w:rPr>
                <w:sz w:val="20"/>
                <w:szCs w:val="20"/>
                <w:color w:val="auto"/>
              </w:rPr>
            </w:pPr>
            <w:r>
              <w:rPr>
                <w:rFonts w:ascii="Arial" w:cs="Arial" w:eastAsia="Arial" w:hAnsi="Arial"/>
                <w:sz w:val="18"/>
                <w:szCs w:val="18"/>
                <w:color w:val="auto"/>
              </w:rPr>
              <w:t>NM*</w:t>
            </w:r>
          </w:p>
        </w:tc>
      </w:tr>
      <w:tr>
        <w:trPr>
          <w:trHeight w:val="270"/>
        </w:trPr>
        <w:tc>
          <w:tcPr>
            <w:tcW w:w="20" w:type="dxa"/>
            <w:vAlign w:val="bottom"/>
            <w:shd w:val="clear" w:color="auto" w:fill="DCE3EF"/>
          </w:tcPr>
          <w:p>
            <w:pPr>
              <w:spacing w:after="0"/>
              <w:rPr>
                <w:sz w:val="23"/>
                <w:szCs w:val="23"/>
                <w:color w:val="auto"/>
              </w:rPr>
            </w:pPr>
          </w:p>
        </w:tc>
        <w:tc>
          <w:tcPr>
            <w:tcW w:w="3660" w:type="dxa"/>
            <w:vAlign w:val="bottom"/>
            <w:gridSpan w:val="2"/>
            <w:shd w:val="clear" w:color="auto" w:fill="DCE3EF"/>
          </w:tcPr>
          <w:p>
            <w:pPr>
              <w:ind w:left="140"/>
              <w:spacing w:after="0"/>
              <w:rPr>
                <w:sz w:val="20"/>
                <w:szCs w:val="20"/>
                <w:color w:val="auto"/>
              </w:rPr>
            </w:pPr>
            <w:r>
              <w:rPr>
                <w:rFonts w:ascii="Arial" w:cs="Arial" w:eastAsia="Arial" w:hAnsi="Arial"/>
                <w:sz w:val="14"/>
                <w:szCs w:val="14"/>
                <w:i w:val="1"/>
                <w:iCs w:val="1"/>
                <w:color w:val="auto"/>
              </w:rPr>
              <w:t>Operating profit margin</w:t>
            </w:r>
          </w:p>
        </w:tc>
        <w:tc>
          <w:tcPr>
            <w:tcW w:w="440" w:type="dxa"/>
            <w:vAlign w:val="bottom"/>
            <w:shd w:val="clear" w:color="auto" w:fill="DCE3EF"/>
          </w:tcPr>
          <w:p>
            <w:pPr>
              <w:spacing w:after="0"/>
              <w:rPr>
                <w:sz w:val="23"/>
                <w:szCs w:val="23"/>
                <w:color w:val="auto"/>
              </w:rPr>
            </w:pPr>
          </w:p>
        </w:tc>
        <w:tc>
          <w:tcPr>
            <w:tcW w:w="1440" w:type="dxa"/>
            <w:vAlign w:val="bottom"/>
            <w:shd w:val="clear" w:color="auto" w:fill="DCE3EF"/>
          </w:tcPr>
          <w:p>
            <w:pPr>
              <w:jc w:val="right"/>
              <w:spacing w:after="0"/>
              <w:rPr>
                <w:sz w:val="20"/>
                <w:szCs w:val="20"/>
                <w:color w:val="auto"/>
              </w:rPr>
            </w:pPr>
            <w:r>
              <w:rPr>
                <w:rFonts w:ascii="Arial" w:cs="Arial" w:eastAsia="Arial" w:hAnsi="Arial"/>
                <w:sz w:val="14"/>
                <w:szCs w:val="14"/>
                <w:i w:val="1"/>
                <w:iCs w:val="1"/>
                <w:color w:val="auto"/>
              </w:rPr>
              <w:t>4.8%</w:t>
            </w:r>
          </w:p>
        </w:tc>
        <w:tc>
          <w:tcPr>
            <w:tcW w:w="120" w:type="dxa"/>
            <w:vAlign w:val="bottom"/>
            <w:shd w:val="clear" w:color="auto" w:fill="DCE3EF"/>
          </w:tcPr>
          <w:p>
            <w:pPr>
              <w:spacing w:after="0"/>
              <w:rPr>
                <w:sz w:val="23"/>
                <w:szCs w:val="23"/>
                <w:color w:val="auto"/>
              </w:rPr>
            </w:pPr>
          </w:p>
        </w:tc>
        <w:tc>
          <w:tcPr>
            <w:tcW w:w="420" w:type="dxa"/>
            <w:vAlign w:val="bottom"/>
            <w:shd w:val="clear" w:color="auto" w:fill="DCE3EF"/>
          </w:tcPr>
          <w:p>
            <w:pPr>
              <w:spacing w:after="0"/>
              <w:rPr>
                <w:sz w:val="23"/>
                <w:szCs w:val="23"/>
                <w:color w:val="auto"/>
              </w:rPr>
            </w:pPr>
          </w:p>
        </w:tc>
        <w:tc>
          <w:tcPr>
            <w:tcW w:w="1460" w:type="dxa"/>
            <w:vAlign w:val="bottom"/>
            <w:shd w:val="clear" w:color="auto" w:fill="DCE3EF"/>
          </w:tcPr>
          <w:p>
            <w:pPr>
              <w:jc w:val="right"/>
              <w:spacing w:after="0"/>
              <w:rPr>
                <w:sz w:val="20"/>
                <w:szCs w:val="20"/>
                <w:color w:val="auto"/>
              </w:rPr>
            </w:pPr>
            <w:r>
              <w:rPr>
                <w:rFonts w:ascii="Arial" w:cs="Arial" w:eastAsia="Arial" w:hAnsi="Arial"/>
                <w:sz w:val="14"/>
                <w:szCs w:val="14"/>
                <w:i w:val="1"/>
                <w:iCs w:val="1"/>
                <w:color w:val="auto"/>
              </w:rPr>
              <w:t>5.5%</w:t>
            </w:r>
          </w:p>
        </w:tc>
        <w:tc>
          <w:tcPr>
            <w:tcW w:w="100" w:type="dxa"/>
            <w:vAlign w:val="bottom"/>
            <w:shd w:val="clear" w:color="auto" w:fill="DCE3EF"/>
          </w:tcPr>
          <w:p>
            <w:pPr>
              <w:spacing w:after="0"/>
              <w:rPr>
                <w:sz w:val="23"/>
                <w:szCs w:val="23"/>
                <w:color w:val="auto"/>
              </w:rPr>
            </w:pPr>
          </w:p>
        </w:tc>
        <w:tc>
          <w:tcPr>
            <w:tcW w:w="540" w:type="dxa"/>
            <w:vAlign w:val="bottom"/>
            <w:shd w:val="clear" w:color="auto" w:fill="DCE3EF"/>
          </w:tcPr>
          <w:p>
            <w:pPr>
              <w:spacing w:after="0"/>
              <w:rPr>
                <w:sz w:val="23"/>
                <w:szCs w:val="23"/>
                <w:color w:val="auto"/>
              </w:rPr>
            </w:pPr>
          </w:p>
        </w:tc>
        <w:tc>
          <w:tcPr>
            <w:tcW w:w="1640" w:type="dxa"/>
            <w:vAlign w:val="bottom"/>
            <w:shd w:val="clear" w:color="auto" w:fill="DCE3EF"/>
          </w:tcPr>
          <w:p>
            <w:pPr>
              <w:jc w:val="right"/>
              <w:ind w:right="394"/>
              <w:spacing w:after="0"/>
              <w:rPr>
                <w:sz w:val="20"/>
                <w:szCs w:val="20"/>
                <w:color w:val="auto"/>
              </w:rPr>
            </w:pPr>
            <w:r>
              <w:rPr>
                <w:rFonts w:ascii="Arial" w:cs="Arial" w:eastAsia="Arial" w:hAnsi="Arial"/>
                <w:sz w:val="14"/>
                <w:szCs w:val="14"/>
                <w:i w:val="1"/>
                <w:iCs w:val="1"/>
                <w:color w:val="auto"/>
              </w:rPr>
              <w:t>(69) bps</w:t>
            </w:r>
          </w:p>
        </w:tc>
        <w:tc>
          <w:tcPr>
            <w:tcW w:w="1560" w:type="dxa"/>
            <w:vAlign w:val="bottom"/>
            <w:shd w:val="clear" w:color="auto" w:fill="DCE3EF"/>
          </w:tcPr>
          <w:p>
            <w:pPr>
              <w:spacing w:after="0"/>
              <w:rPr>
                <w:sz w:val="23"/>
                <w:szCs w:val="23"/>
                <w:color w:val="auto"/>
              </w:rPr>
            </w:pPr>
          </w:p>
        </w:tc>
      </w:tr>
    </w:tbl>
    <w:p>
      <w:pPr>
        <w:spacing w:after="0" w:line="245" w:lineRule="exact"/>
        <w:rPr>
          <w:sz w:val="20"/>
          <w:szCs w:val="20"/>
          <w:color w:val="auto"/>
        </w:rPr>
      </w:pPr>
    </w:p>
    <w:p>
      <w:pPr>
        <w:ind w:left="40"/>
        <w:spacing w:after="0"/>
        <w:rPr>
          <w:sz w:val="20"/>
          <w:szCs w:val="20"/>
          <w:color w:val="auto"/>
        </w:rPr>
      </w:pPr>
      <w:r>
        <w:rPr>
          <w:rFonts w:ascii="Arial" w:cs="Arial" w:eastAsia="Arial" w:hAnsi="Arial"/>
          <w:sz w:val="16"/>
          <w:szCs w:val="16"/>
          <w:color w:val="auto"/>
        </w:rPr>
        <w:t>*Not meaningful</w:t>
      </w:r>
    </w:p>
    <w:p>
      <w:pPr>
        <w:spacing w:after="0" w:line="39" w:lineRule="exact"/>
        <w:rPr>
          <w:sz w:val="20"/>
          <w:szCs w:val="20"/>
          <w:color w:val="auto"/>
        </w:rPr>
      </w:pPr>
    </w:p>
    <w:p>
      <w:pPr>
        <w:ind w:left="180" w:hanging="172"/>
        <w:spacing w:after="0"/>
        <w:tabs>
          <w:tab w:leader="none" w:pos="180" w:val="left"/>
        </w:tabs>
        <w:numPr>
          <w:ilvl w:val="0"/>
          <w:numId w:val="21"/>
        </w:numPr>
        <w:rPr>
          <w:rFonts w:ascii="Arial" w:cs="Arial" w:eastAsia="Arial" w:hAnsi="Arial"/>
          <w:sz w:val="21"/>
          <w:szCs w:val="21"/>
          <w:color w:val="auto"/>
          <w:vertAlign w:val="superscript"/>
        </w:rPr>
      </w:pPr>
      <w:r>
        <w:rPr>
          <w:rFonts w:ascii="Arial" w:cs="Arial" w:eastAsia="Arial" w:hAnsi="Arial"/>
          <w:sz w:val="15"/>
          <w:szCs w:val="15"/>
          <w:color w:val="auto"/>
        </w:rPr>
        <w:t>The six months ended April 30, 2018 includes $12.8 million of amortization expense related to the GCA acquisition.</w:t>
      </w:r>
    </w:p>
    <w:p>
      <w:pPr>
        <w:spacing w:after="0" w:line="154" w:lineRule="exact"/>
        <w:rPr>
          <w:sz w:val="20"/>
          <w:szCs w:val="20"/>
          <w:color w:val="auto"/>
        </w:rPr>
      </w:pPr>
    </w:p>
    <w:p>
      <w:pPr>
        <w:jc w:val="both"/>
        <w:ind w:firstLine="648"/>
        <w:spacing w:after="0" w:line="262" w:lineRule="auto"/>
        <w:rPr>
          <w:sz w:val="20"/>
          <w:szCs w:val="20"/>
          <w:color w:val="auto"/>
        </w:rPr>
      </w:pPr>
      <w:r>
        <w:rPr>
          <w:rFonts w:ascii="Arial" w:cs="Arial" w:eastAsia="Arial" w:hAnsi="Arial"/>
          <w:sz w:val="18"/>
          <w:szCs w:val="18"/>
          <w:color w:val="auto"/>
        </w:rPr>
        <w:t>Education revenues increased by $280.4 million during the six months ended April 30, 2018, as compared to the six months ended April 30, 2017. The increase was attributable to incremental revenues from the GCA acquisition of $281.9 million.</w:t>
      </w:r>
    </w:p>
    <w:p>
      <w:pPr>
        <w:spacing w:after="0" w:line="142"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18"/>
          <w:szCs w:val="18"/>
          <w:color w:val="auto"/>
        </w:rPr>
        <w:t>Operating profit increased by $12.6 million during the six months ended April 30, 2018, as compared to the six months ended April 30, 2017. Operating profit margin decreased by 69 bps to 4.8% in the six months ended April 30, 2018 from 5.5% in the six months ended April 30,</w:t>
      </w:r>
    </w:p>
    <w:p>
      <w:pPr>
        <w:spacing w:after="0" w:line="1"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2017. The decrease in operating profit margin was primarily associated with higher amortization expense related to the GCA acquisition and an increase in wages and related personnel costs due to a tight labor market. This decrease was partially offset by certain higher margin acquired contracts and the management of selling, general and administrative expenses.</w:t>
      </w:r>
    </w:p>
    <w:p>
      <w:pPr>
        <w:spacing w:after="0" w:line="302" w:lineRule="exact"/>
        <w:rPr>
          <w:sz w:val="20"/>
          <w:szCs w:val="20"/>
          <w:color w:val="auto"/>
        </w:rPr>
      </w:pPr>
    </w:p>
    <w:tbl>
      <w:tblPr>
        <w:tblLayout w:type="fixed"/>
        <w:tblInd w:w="20" w:type="dxa"/>
        <w:tblCellMar>
          <w:top w:w="0" w:type="dxa"/>
          <w:left w:w="0" w:type="dxa"/>
          <w:bottom w:w="0" w:type="dxa"/>
          <w:right w:w="0" w:type="dxa"/>
        </w:tblCellMar>
      </w:tblPr>
      <w:tr>
        <w:trPr>
          <w:trHeight w:val="239"/>
        </w:trPr>
        <w:tc>
          <w:tcPr>
            <w:tcW w:w="3680" w:type="dxa"/>
            <w:vAlign w:val="bottom"/>
            <w:gridSpan w:val="3"/>
          </w:tcPr>
          <w:p>
            <w:pPr>
              <w:ind w:left="20"/>
              <w:spacing w:after="0"/>
              <w:rPr>
                <w:sz w:val="20"/>
                <w:szCs w:val="20"/>
                <w:color w:val="auto"/>
              </w:rPr>
            </w:pPr>
            <w:r>
              <w:rPr>
                <w:rFonts w:ascii="Arial" w:cs="Arial" w:eastAsia="Arial" w:hAnsi="Arial"/>
                <w:sz w:val="18"/>
                <w:szCs w:val="18"/>
                <w:b w:val="1"/>
                <w:bCs w:val="1"/>
                <w:i w:val="1"/>
                <w:iCs w:val="1"/>
                <w:color w:val="0046AD"/>
              </w:rPr>
              <w:t>Technical Solutions</w:t>
            </w:r>
          </w:p>
        </w:tc>
        <w:tc>
          <w:tcPr>
            <w:tcW w:w="44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800" w:type="dxa"/>
            <w:vAlign w:val="bottom"/>
          </w:tcPr>
          <w:p>
            <w:pPr>
              <w:spacing w:after="0"/>
              <w:rPr>
                <w:sz w:val="20"/>
                <w:szCs w:val="20"/>
                <w:color w:val="auto"/>
              </w:rPr>
            </w:pPr>
          </w:p>
        </w:tc>
        <w:tc>
          <w:tcPr>
            <w:tcW w:w="1340" w:type="dxa"/>
            <w:vAlign w:val="bottom"/>
          </w:tcPr>
          <w:p>
            <w:pPr>
              <w:spacing w:after="0"/>
              <w:rPr>
                <w:sz w:val="20"/>
                <w:szCs w:val="20"/>
                <w:color w:val="auto"/>
              </w:rPr>
            </w:pPr>
          </w:p>
        </w:tc>
      </w:tr>
      <w:tr>
        <w:trPr>
          <w:trHeight w:val="277"/>
        </w:trPr>
        <w:tc>
          <w:tcPr>
            <w:tcW w:w="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8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540" w:type="dxa"/>
            <w:vAlign w:val="bottom"/>
            <w:gridSpan w:val="5"/>
          </w:tcPr>
          <w:p>
            <w:pPr>
              <w:ind w:left="340"/>
              <w:spacing w:after="0"/>
              <w:rPr>
                <w:sz w:val="20"/>
                <w:szCs w:val="20"/>
                <w:color w:val="auto"/>
              </w:rPr>
            </w:pPr>
            <w:r>
              <w:rPr>
                <w:rFonts w:ascii="Arial" w:cs="Arial" w:eastAsia="Arial" w:hAnsi="Arial"/>
                <w:sz w:val="18"/>
                <w:szCs w:val="18"/>
                <w:b w:val="1"/>
                <w:bCs w:val="1"/>
                <w:color w:val="auto"/>
              </w:rPr>
              <w:t>Six Months Ended April 30,</w:t>
            </w:r>
          </w:p>
        </w:tc>
        <w:tc>
          <w:tcPr>
            <w:tcW w:w="60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1340" w:type="dxa"/>
            <w:vAlign w:val="bottom"/>
          </w:tcPr>
          <w:p>
            <w:pPr>
              <w:spacing w:after="0"/>
              <w:rPr>
                <w:sz w:val="24"/>
                <w:szCs w:val="24"/>
                <w:color w:val="auto"/>
              </w:rPr>
            </w:pPr>
          </w:p>
        </w:tc>
      </w:tr>
      <w:tr>
        <w:trPr>
          <w:trHeight w:val="230"/>
        </w:trPr>
        <w:tc>
          <w:tcPr>
            <w:tcW w:w="3680" w:type="dxa"/>
            <w:vAlign w:val="bottom"/>
            <w:gridSpan w:val="3"/>
          </w:tcPr>
          <w:p>
            <w:pPr>
              <w:ind w:left="20"/>
              <w:spacing w:after="0"/>
              <w:rPr>
                <w:sz w:val="20"/>
                <w:szCs w:val="20"/>
                <w:color w:val="auto"/>
              </w:rPr>
            </w:pPr>
            <w:r>
              <w:rPr>
                <w:rFonts w:ascii="Arial" w:cs="Arial" w:eastAsia="Arial" w:hAnsi="Arial"/>
                <w:sz w:val="14"/>
                <w:szCs w:val="14"/>
                <w:i w:val="1"/>
                <w:iCs w:val="1"/>
                <w:u w:val="single" w:color="auto"/>
                <w:color w:val="auto"/>
              </w:rPr>
              <w:t>(</w:t>
            </w:r>
            <w:r>
              <w:rPr>
                <w:rFonts w:ascii="Arial" w:cs="Arial" w:eastAsia="Arial" w:hAnsi="Arial"/>
                <w:sz w:val="14"/>
                <w:szCs w:val="14"/>
                <w:i w:val="1"/>
                <w:iCs w:val="1"/>
                <w:color w:val="auto"/>
              </w:rPr>
              <w:t>$ in millions)</w:t>
            </w:r>
          </w:p>
        </w:tc>
        <w:tc>
          <w:tcPr>
            <w:tcW w:w="440" w:type="dxa"/>
            <w:vAlign w:val="bottom"/>
            <w:tcBorders>
              <w:top w:val="single" w:sz="8" w:color="auto"/>
            </w:tcBorders>
          </w:tcPr>
          <w:p>
            <w:pPr>
              <w:spacing w:after="0"/>
              <w:rPr>
                <w:sz w:val="19"/>
                <w:szCs w:val="19"/>
                <w:color w:val="auto"/>
              </w:rPr>
            </w:pPr>
          </w:p>
        </w:tc>
        <w:tc>
          <w:tcPr>
            <w:tcW w:w="1440" w:type="dxa"/>
            <w:vAlign w:val="bottom"/>
            <w:tcBorders>
              <w:top w:val="single" w:sz="8" w:color="auto"/>
            </w:tcBorders>
          </w:tcPr>
          <w:p>
            <w:pPr>
              <w:jc w:val="right"/>
              <w:ind w:right="654"/>
              <w:spacing w:after="0"/>
              <w:rPr>
                <w:sz w:val="20"/>
                <w:szCs w:val="20"/>
                <w:color w:val="auto"/>
              </w:rPr>
            </w:pPr>
            <w:r>
              <w:rPr>
                <w:rFonts w:ascii="Arial" w:cs="Arial" w:eastAsia="Arial" w:hAnsi="Arial"/>
                <w:sz w:val="18"/>
                <w:szCs w:val="18"/>
                <w:b w:val="1"/>
                <w:bCs w:val="1"/>
                <w:color w:val="auto"/>
              </w:rPr>
              <w:t>2018</w:t>
            </w:r>
          </w:p>
        </w:tc>
        <w:tc>
          <w:tcPr>
            <w:tcW w:w="120" w:type="dxa"/>
            <w:vAlign w:val="bottom"/>
            <w:tcBorders>
              <w:top w:val="single" w:sz="8" w:color="auto"/>
            </w:tcBorders>
          </w:tcPr>
          <w:p>
            <w:pPr>
              <w:spacing w:after="0"/>
              <w:rPr>
                <w:sz w:val="19"/>
                <w:szCs w:val="19"/>
                <w:color w:val="auto"/>
              </w:rPr>
            </w:pPr>
          </w:p>
        </w:tc>
        <w:tc>
          <w:tcPr>
            <w:tcW w:w="420" w:type="dxa"/>
            <w:vAlign w:val="bottom"/>
            <w:tcBorders>
              <w:top w:val="single" w:sz="8" w:color="auto"/>
            </w:tcBorders>
          </w:tcPr>
          <w:p>
            <w:pPr>
              <w:spacing w:after="0"/>
              <w:rPr>
                <w:sz w:val="19"/>
                <w:szCs w:val="19"/>
                <w:color w:val="auto"/>
              </w:rPr>
            </w:pPr>
          </w:p>
        </w:tc>
        <w:tc>
          <w:tcPr>
            <w:tcW w:w="1460" w:type="dxa"/>
            <w:vAlign w:val="bottom"/>
            <w:tcBorders>
              <w:top w:val="single" w:sz="8" w:color="auto"/>
            </w:tcBorders>
          </w:tcPr>
          <w:p>
            <w:pPr>
              <w:jc w:val="right"/>
              <w:ind w:right="674"/>
              <w:spacing w:after="0"/>
              <w:rPr>
                <w:sz w:val="20"/>
                <w:szCs w:val="20"/>
                <w:color w:val="auto"/>
              </w:rPr>
            </w:pPr>
            <w:r>
              <w:rPr>
                <w:rFonts w:ascii="Arial" w:cs="Arial" w:eastAsia="Arial" w:hAnsi="Arial"/>
                <w:sz w:val="18"/>
                <w:szCs w:val="18"/>
                <w:b w:val="1"/>
                <w:bCs w:val="1"/>
                <w:color w:val="auto"/>
              </w:rPr>
              <w:t>2017</w:t>
            </w: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800" w:type="dxa"/>
            <w:vAlign w:val="bottom"/>
          </w:tcPr>
          <w:p>
            <w:pPr>
              <w:jc w:val="right"/>
              <w:ind w:right="34"/>
              <w:spacing w:after="0"/>
              <w:rPr>
                <w:sz w:val="20"/>
                <w:szCs w:val="20"/>
                <w:color w:val="auto"/>
              </w:rPr>
            </w:pPr>
            <w:r>
              <w:rPr>
                <w:rFonts w:ascii="Arial" w:cs="Arial" w:eastAsia="Arial" w:hAnsi="Arial"/>
                <w:sz w:val="18"/>
                <w:szCs w:val="18"/>
                <w:b w:val="1"/>
                <w:bCs w:val="1"/>
                <w:color w:val="auto"/>
              </w:rPr>
              <w:t>Decrease</w:t>
            </w:r>
          </w:p>
        </w:tc>
        <w:tc>
          <w:tcPr>
            <w:tcW w:w="1340" w:type="dxa"/>
            <w:vAlign w:val="bottom"/>
          </w:tcPr>
          <w:p>
            <w:pPr>
              <w:spacing w:after="0"/>
              <w:rPr>
                <w:sz w:val="19"/>
                <w:szCs w:val="19"/>
                <w:color w:val="auto"/>
              </w:rPr>
            </w:pPr>
          </w:p>
        </w:tc>
      </w:tr>
      <w:tr>
        <w:trPr>
          <w:trHeight w:val="21"/>
        </w:trPr>
        <w:tc>
          <w:tcPr>
            <w:tcW w:w="20" w:type="dxa"/>
            <w:vAlign w:val="bottom"/>
            <w:tcBorders>
              <w:bottom w:val="single" w:sz="8" w:color="DCE2EF"/>
            </w:tcBorders>
          </w:tcPr>
          <w:p>
            <w:pPr>
              <w:spacing w:after="0" w:line="20" w:lineRule="exact"/>
              <w:rPr>
                <w:sz w:val="1"/>
                <w:szCs w:val="1"/>
                <w:color w:val="auto"/>
              </w:rPr>
            </w:pPr>
          </w:p>
        </w:tc>
        <w:tc>
          <w:tcPr>
            <w:tcW w:w="820" w:type="dxa"/>
            <w:vAlign w:val="bottom"/>
            <w:tcBorders>
              <w:top w:val="single" w:sz="8" w:color="auto"/>
              <w:bottom w:val="single" w:sz="8" w:color="DCE2EF"/>
            </w:tcBorders>
          </w:tcPr>
          <w:p>
            <w:pPr>
              <w:spacing w:after="0" w:line="20" w:lineRule="exact"/>
              <w:rPr>
                <w:sz w:val="1"/>
                <w:szCs w:val="1"/>
                <w:color w:val="auto"/>
              </w:rPr>
            </w:pPr>
          </w:p>
        </w:tc>
        <w:tc>
          <w:tcPr>
            <w:tcW w:w="2840" w:type="dxa"/>
            <w:vAlign w:val="bottom"/>
            <w:tcBorders>
              <w:bottom w:val="single" w:sz="8" w:color="DCE2E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DCE2E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DCE2EF"/>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r>
        <w:trPr>
          <w:trHeight w:val="244"/>
        </w:trPr>
        <w:tc>
          <w:tcPr>
            <w:tcW w:w="20" w:type="dxa"/>
            <w:vAlign w:val="bottom"/>
            <w:tcBorders>
              <w:bottom w:val="single" w:sz="8" w:color="DCE2EF"/>
            </w:tcBorders>
            <w:shd w:val="clear" w:color="auto" w:fill="DCE2EF"/>
          </w:tcPr>
          <w:p>
            <w:pPr>
              <w:spacing w:after="0"/>
              <w:rPr>
                <w:sz w:val="21"/>
                <w:szCs w:val="21"/>
                <w:color w:val="auto"/>
              </w:rPr>
            </w:pPr>
          </w:p>
        </w:tc>
        <w:tc>
          <w:tcPr>
            <w:tcW w:w="820" w:type="dxa"/>
            <w:vAlign w:val="bottom"/>
            <w:tcBorders>
              <w:bottom w:val="single" w:sz="8" w:color="DCE2EF"/>
            </w:tcBorders>
            <w:shd w:val="clear" w:color="auto" w:fill="DCE2EF"/>
          </w:tcPr>
          <w:p>
            <w:pPr>
              <w:spacing w:after="0"/>
              <w:rPr>
                <w:sz w:val="20"/>
                <w:szCs w:val="20"/>
                <w:color w:val="auto"/>
              </w:rPr>
            </w:pPr>
            <w:r>
              <w:rPr>
                <w:rFonts w:ascii="Arial" w:cs="Arial" w:eastAsia="Arial" w:hAnsi="Arial"/>
                <w:sz w:val="18"/>
                <w:szCs w:val="18"/>
                <w:color w:val="auto"/>
                <w:w w:val="98"/>
                <w:shd w:val="clear" w:color="auto" w:fill="DCE2EF"/>
              </w:rPr>
              <w:t>Revenues</w:t>
            </w:r>
          </w:p>
        </w:tc>
        <w:tc>
          <w:tcPr>
            <w:tcW w:w="2840" w:type="dxa"/>
            <w:vAlign w:val="bottom"/>
            <w:tcBorders>
              <w:bottom w:val="single" w:sz="8" w:color="DCE2EF"/>
            </w:tcBorders>
            <w:shd w:val="clear" w:color="auto" w:fill="DCE2EF"/>
          </w:tcPr>
          <w:p>
            <w:pPr>
              <w:spacing w:after="0"/>
              <w:rPr>
                <w:sz w:val="21"/>
                <w:szCs w:val="21"/>
                <w:color w:val="auto"/>
              </w:rPr>
            </w:pPr>
          </w:p>
        </w:tc>
        <w:tc>
          <w:tcPr>
            <w:tcW w:w="440" w:type="dxa"/>
            <w:vAlign w:val="bottom"/>
            <w:tcBorders>
              <w:bottom w:val="single" w:sz="8" w:color="DCE2EF"/>
            </w:tcBorders>
            <w:shd w:val="clear" w:color="auto" w:fill="DCE2EF"/>
          </w:tcPr>
          <w:p>
            <w:pPr>
              <w:jc w:val="right"/>
              <w:ind w:right="230"/>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DCE2EF"/>
            </w:tcBorders>
            <w:shd w:val="clear" w:color="auto" w:fill="DCE2EF"/>
          </w:tcPr>
          <w:p>
            <w:pPr>
              <w:jc w:val="right"/>
              <w:ind w:right="74"/>
              <w:spacing w:after="0"/>
              <w:rPr>
                <w:sz w:val="20"/>
                <w:szCs w:val="20"/>
                <w:color w:val="auto"/>
              </w:rPr>
            </w:pPr>
            <w:r>
              <w:rPr>
                <w:rFonts w:ascii="Arial" w:cs="Arial" w:eastAsia="Arial" w:hAnsi="Arial"/>
                <w:sz w:val="18"/>
                <w:szCs w:val="18"/>
                <w:color w:val="auto"/>
              </w:rPr>
              <w:t>212.5</w:t>
            </w:r>
          </w:p>
        </w:tc>
        <w:tc>
          <w:tcPr>
            <w:tcW w:w="120" w:type="dxa"/>
            <w:vAlign w:val="bottom"/>
            <w:tcBorders>
              <w:bottom w:val="single" w:sz="8" w:color="DCE2EF"/>
            </w:tcBorders>
            <w:shd w:val="clear" w:color="auto" w:fill="DCE2EF"/>
          </w:tcPr>
          <w:p>
            <w:pPr>
              <w:spacing w:after="0"/>
              <w:rPr>
                <w:sz w:val="21"/>
                <w:szCs w:val="21"/>
                <w:color w:val="auto"/>
              </w:rPr>
            </w:pPr>
          </w:p>
        </w:tc>
        <w:tc>
          <w:tcPr>
            <w:tcW w:w="420" w:type="dxa"/>
            <w:vAlign w:val="bottom"/>
            <w:tcBorders>
              <w:bottom w:val="single" w:sz="8" w:color="DCE2EF"/>
            </w:tcBorders>
            <w:shd w:val="clear" w:color="auto" w:fill="DCE2EF"/>
          </w:tcPr>
          <w:p>
            <w:pPr>
              <w:jc w:val="right"/>
              <w:ind w:right="210"/>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DCE2EF"/>
            </w:tcBorders>
            <w:shd w:val="clear" w:color="auto" w:fill="DCE2EF"/>
          </w:tcPr>
          <w:p>
            <w:pPr>
              <w:jc w:val="right"/>
              <w:ind w:right="94"/>
              <w:spacing w:after="0"/>
              <w:rPr>
                <w:sz w:val="20"/>
                <w:szCs w:val="20"/>
                <w:color w:val="auto"/>
              </w:rPr>
            </w:pPr>
            <w:r>
              <w:rPr>
                <w:rFonts w:ascii="Arial" w:cs="Arial" w:eastAsia="Arial" w:hAnsi="Arial"/>
                <w:sz w:val="18"/>
                <w:szCs w:val="18"/>
                <w:color w:val="auto"/>
              </w:rPr>
              <w:t>218.5</w:t>
            </w:r>
          </w:p>
        </w:tc>
        <w:tc>
          <w:tcPr>
            <w:tcW w:w="100" w:type="dxa"/>
            <w:vAlign w:val="bottom"/>
            <w:tcBorders>
              <w:bottom w:val="single" w:sz="8" w:color="DCE2EF"/>
            </w:tcBorders>
            <w:shd w:val="clear" w:color="auto" w:fill="DCE2EF"/>
          </w:tcPr>
          <w:p>
            <w:pPr>
              <w:spacing w:after="0"/>
              <w:rPr>
                <w:sz w:val="21"/>
                <w:szCs w:val="21"/>
                <w:color w:val="auto"/>
              </w:rPr>
            </w:pPr>
          </w:p>
        </w:tc>
        <w:tc>
          <w:tcPr>
            <w:tcW w:w="600" w:type="dxa"/>
            <w:vAlign w:val="bottom"/>
            <w:tcBorders>
              <w:bottom w:val="single" w:sz="8" w:color="DCE2EF"/>
            </w:tcBorders>
            <w:shd w:val="clear" w:color="auto" w:fill="DCE2EF"/>
          </w:tcPr>
          <w:p>
            <w:pPr>
              <w:jc w:val="right"/>
              <w:ind w:right="390"/>
              <w:spacing w:after="0"/>
              <w:rPr>
                <w:sz w:val="20"/>
                <w:szCs w:val="20"/>
                <w:color w:val="auto"/>
              </w:rPr>
            </w:pPr>
            <w:r>
              <w:rPr>
                <w:rFonts w:ascii="Arial" w:cs="Arial" w:eastAsia="Arial" w:hAnsi="Arial"/>
                <w:sz w:val="18"/>
                <w:szCs w:val="18"/>
                <w:color w:val="auto"/>
                <w:w w:val="99"/>
              </w:rPr>
              <w:t>$</w:t>
            </w:r>
          </w:p>
        </w:tc>
        <w:tc>
          <w:tcPr>
            <w:tcW w:w="1800" w:type="dxa"/>
            <w:vAlign w:val="bottom"/>
            <w:tcBorders>
              <w:bottom w:val="single" w:sz="8" w:color="DCE2EF"/>
            </w:tcBorders>
            <w:shd w:val="clear" w:color="auto" w:fill="DCE2EF"/>
          </w:tcPr>
          <w:p>
            <w:pPr>
              <w:jc w:val="right"/>
              <w:ind w:right="554"/>
              <w:spacing w:after="0"/>
              <w:rPr>
                <w:sz w:val="20"/>
                <w:szCs w:val="20"/>
                <w:color w:val="auto"/>
              </w:rPr>
            </w:pPr>
            <w:r>
              <w:rPr>
                <w:rFonts w:ascii="Arial" w:cs="Arial" w:eastAsia="Arial" w:hAnsi="Arial"/>
                <w:sz w:val="18"/>
                <w:szCs w:val="18"/>
                <w:color w:val="auto"/>
              </w:rPr>
              <w:t>(6.0)</w:t>
            </w:r>
          </w:p>
        </w:tc>
        <w:tc>
          <w:tcPr>
            <w:tcW w:w="1340" w:type="dxa"/>
            <w:vAlign w:val="bottom"/>
            <w:tcBorders>
              <w:bottom w:val="single" w:sz="8" w:color="DCE2EF"/>
            </w:tcBorders>
            <w:shd w:val="clear" w:color="auto" w:fill="DCE2EF"/>
          </w:tcPr>
          <w:p>
            <w:pPr>
              <w:jc w:val="right"/>
              <w:ind w:right="550"/>
              <w:spacing w:after="0"/>
              <w:rPr>
                <w:sz w:val="20"/>
                <w:szCs w:val="20"/>
                <w:color w:val="auto"/>
              </w:rPr>
            </w:pPr>
            <w:r>
              <w:rPr>
                <w:rFonts w:ascii="Arial" w:cs="Arial" w:eastAsia="Arial" w:hAnsi="Arial"/>
                <w:sz w:val="18"/>
                <w:szCs w:val="18"/>
                <w:color w:val="auto"/>
              </w:rPr>
              <w:t>(2.7)%</w:t>
            </w:r>
          </w:p>
        </w:tc>
      </w:tr>
      <w:tr>
        <w:trPr>
          <w:trHeight w:val="263"/>
        </w:trPr>
        <w:tc>
          <w:tcPr>
            <w:tcW w:w="3680" w:type="dxa"/>
            <w:vAlign w:val="bottom"/>
            <w:gridSpan w:val="3"/>
          </w:tcPr>
          <w:p>
            <w:pPr>
              <w:ind w:left="20"/>
              <w:spacing w:after="0"/>
              <w:rPr>
                <w:sz w:val="20"/>
                <w:szCs w:val="20"/>
                <w:color w:val="auto"/>
              </w:rPr>
            </w:pPr>
            <w:r>
              <w:rPr>
                <w:rFonts w:ascii="Arial" w:cs="Arial" w:eastAsia="Arial" w:hAnsi="Arial"/>
                <w:sz w:val="18"/>
                <w:szCs w:val="18"/>
                <w:color w:val="auto"/>
              </w:rPr>
              <w:t>Operating profit</w:t>
            </w:r>
          </w:p>
        </w:tc>
        <w:tc>
          <w:tcPr>
            <w:tcW w:w="440" w:type="dxa"/>
            <w:vAlign w:val="bottom"/>
          </w:tcPr>
          <w:p>
            <w:pPr>
              <w:spacing w:after="0"/>
              <w:rPr>
                <w:sz w:val="22"/>
                <w:szCs w:val="22"/>
                <w:color w:val="auto"/>
              </w:rPr>
            </w:pPr>
          </w:p>
        </w:tc>
        <w:tc>
          <w:tcPr>
            <w:tcW w:w="1440" w:type="dxa"/>
            <w:vAlign w:val="bottom"/>
          </w:tcPr>
          <w:p>
            <w:pPr>
              <w:jc w:val="right"/>
              <w:ind w:right="74"/>
              <w:spacing w:after="0"/>
              <w:rPr>
                <w:sz w:val="20"/>
                <w:szCs w:val="20"/>
                <w:color w:val="auto"/>
              </w:rPr>
            </w:pPr>
            <w:r>
              <w:rPr>
                <w:rFonts w:ascii="Arial" w:cs="Arial" w:eastAsia="Arial" w:hAnsi="Arial"/>
                <w:sz w:val="18"/>
                <w:szCs w:val="18"/>
                <w:color w:val="auto"/>
              </w:rPr>
              <w:t>13.0</w:t>
            </w:r>
          </w:p>
        </w:tc>
        <w:tc>
          <w:tcPr>
            <w:tcW w:w="12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460" w:type="dxa"/>
            <w:vAlign w:val="bottom"/>
          </w:tcPr>
          <w:p>
            <w:pPr>
              <w:jc w:val="right"/>
              <w:ind w:right="94"/>
              <w:spacing w:after="0"/>
              <w:rPr>
                <w:sz w:val="20"/>
                <w:szCs w:val="20"/>
                <w:color w:val="auto"/>
              </w:rPr>
            </w:pPr>
            <w:r>
              <w:rPr>
                <w:rFonts w:ascii="Arial" w:cs="Arial" w:eastAsia="Arial" w:hAnsi="Arial"/>
                <w:sz w:val="18"/>
                <w:szCs w:val="18"/>
                <w:color w:val="auto"/>
              </w:rPr>
              <w:t>18.1</w:t>
            </w:r>
          </w:p>
        </w:tc>
        <w:tc>
          <w:tcPr>
            <w:tcW w:w="10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1800" w:type="dxa"/>
            <w:vAlign w:val="bottom"/>
          </w:tcPr>
          <w:p>
            <w:pPr>
              <w:jc w:val="right"/>
              <w:ind w:right="554"/>
              <w:spacing w:after="0"/>
              <w:rPr>
                <w:sz w:val="20"/>
                <w:szCs w:val="20"/>
                <w:color w:val="auto"/>
              </w:rPr>
            </w:pPr>
            <w:r>
              <w:rPr>
                <w:rFonts w:ascii="Arial" w:cs="Arial" w:eastAsia="Arial" w:hAnsi="Arial"/>
                <w:sz w:val="18"/>
                <w:szCs w:val="18"/>
                <w:color w:val="auto"/>
              </w:rPr>
              <w:t>(5.1)</w:t>
            </w:r>
          </w:p>
        </w:tc>
        <w:tc>
          <w:tcPr>
            <w:tcW w:w="1340" w:type="dxa"/>
            <w:vAlign w:val="bottom"/>
          </w:tcPr>
          <w:p>
            <w:pPr>
              <w:jc w:val="right"/>
              <w:ind w:right="510"/>
              <w:spacing w:after="0"/>
              <w:rPr>
                <w:sz w:val="20"/>
                <w:szCs w:val="20"/>
                <w:color w:val="auto"/>
              </w:rPr>
            </w:pPr>
            <w:r>
              <w:rPr>
                <w:rFonts w:ascii="Arial" w:cs="Arial" w:eastAsia="Arial" w:hAnsi="Arial"/>
                <w:sz w:val="18"/>
                <w:szCs w:val="18"/>
                <w:color w:val="auto"/>
              </w:rPr>
              <w:t>(28.0)%</w:t>
            </w:r>
          </w:p>
        </w:tc>
      </w:tr>
      <w:tr>
        <w:trPr>
          <w:trHeight w:val="250"/>
        </w:trPr>
        <w:tc>
          <w:tcPr>
            <w:tcW w:w="20" w:type="dxa"/>
            <w:vAlign w:val="bottom"/>
            <w:shd w:val="clear" w:color="auto" w:fill="DCE2EF"/>
          </w:tcPr>
          <w:p>
            <w:pPr>
              <w:spacing w:after="0"/>
              <w:rPr>
                <w:sz w:val="21"/>
                <w:szCs w:val="21"/>
                <w:color w:val="auto"/>
              </w:rPr>
            </w:pPr>
          </w:p>
        </w:tc>
        <w:tc>
          <w:tcPr>
            <w:tcW w:w="3660" w:type="dxa"/>
            <w:vAlign w:val="bottom"/>
            <w:gridSpan w:val="2"/>
            <w:shd w:val="clear" w:color="auto" w:fill="DCE2EF"/>
          </w:tcPr>
          <w:p>
            <w:pPr>
              <w:ind w:left="140"/>
              <w:spacing w:after="0"/>
              <w:rPr>
                <w:sz w:val="20"/>
                <w:szCs w:val="20"/>
                <w:color w:val="auto"/>
              </w:rPr>
            </w:pPr>
            <w:r>
              <w:rPr>
                <w:rFonts w:ascii="Arial" w:cs="Arial" w:eastAsia="Arial" w:hAnsi="Arial"/>
                <w:sz w:val="14"/>
                <w:szCs w:val="14"/>
                <w:i w:val="1"/>
                <w:iCs w:val="1"/>
                <w:color w:val="auto"/>
                <w:shd w:val="clear" w:color="auto" w:fill="DCE2EF"/>
              </w:rPr>
              <w:t>Operating profit margin</w:t>
            </w:r>
          </w:p>
        </w:tc>
        <w:tc>
          <w:tcPr>
            <w:tcW w:w="440" w:type="dxa"/>
            <w:vAlign w:val="bottom"/>
            <w:shd w:val="clear" w:color="auto" w:fill="DCE2EF"/>
          </w:tcPr>
          <w:p>
            <w:pPr>
              <w:spacing w:after="0"/>
              <w:rPr>
                <w:sz w:val="21"/>
                <w:szCs w:val="21"/>
                <w:color w:val="auto"/>
              </w:rPr>
            </w:pPr>
          </w:p>
        </w:tc>
        <w:tc>
          <w:tcPr>
            <w:tcW w:w="1440" w:type="dxa"/>
            <w:vAlign w:val="bottom"/>
            <w:shd w:val="clear" w:color="auto" w:fill="DCE2EF"/>
          </w:tcPr>
          <w:p>
            <w:pPr>
              <w:jc w:val="right"/>
              <w:spacing w:after="0"/>
              <w:rPr>
                <w:sz w:val="20"/>
                <w:szCs w:val="20"/>
                <w:color w:val="auto"/>
              </w:rPr>
            </w:pPr>
            <w:r>
              <w:rPr>
                <w:rFonts w:ascii="Arial" w:cs="Arial" w:eastAsia="Arial" w:hAnsi="Arial"/>
                <w:sz w:val="14"/>
                <w:szCs w:val="14"/>
                <w:i w:val="1"/>
                <w:iCs w:val="1"/>
                <w:color w:val="auto"/>
              </w:rPr>
              <w:t>6.1%</w:t>
            </w:r>
          </w:p>
        </w:tc>
        <w:tc>
          <w:tcPr>
            <w:tcW w:w="120" w:type="dxa"/>
            <w:vAlign w:val="bottom"/>
            <w:shd w:val="clear" w:color="auto" w:fill="DCE2EF"/>
          </w:tcPr>
          <w:p>
            <w:pPr>
              <w:spacing w:after="0"/>
              <w:rPr>
                <w:sz w:val="21"/>
                <w:szCs w:val="21"/>
                <w:color w:val="auto"/>
              </w:rPr>
            </w:pPr>
          </w:p>
        </w:tc>
        <w:tc>
          <w:tcPr>
            <w:tcW w:w="420" w:type="dxa"/>
            <w:vAlign w:val="bottom"/>
            <w:shd w:val="clear" w:color="auto" w:fill="DCE2EF"/>
          </w:tcPr>
          <w:p>
            <w:pPr>
              <w:spacing w:after="0"/>
              <w:rPr>
                <w:sz w:val="21"/>
                <w:szCs w:val="21"/>
                <w:color w:val="auto"/>
              </w:rPr>
            </w:pPr>
          </w:p>
        </w:tc>
        <w:tc>
          <w:tcPr>
            <w:tcW w:w="1460" w:type="dxa"/>
            <w:vAlign w:val="bottom"/>
            <w:shd w:val="clear" w:color="auto" w:fill="DCE2EF"/>
          </w:tcPr>
          <w:p>
            <w:pPr>
              <w:jc w:val="right"/>
              <w:spacing w:after="0"/>
              <w:rPr>
                <w:sz w:val="20"/>
                <w:szCs w:val="20"/>
                <w:color w:val="auto"/>
              </w:rPr>
            </w:pPr>
            <w:r>
              <w:rPr>
                <w:rFonts w:ascii="Arial" w:cs="Arial" w:eastAsia="Arial" w:hAnsi="Arial"/>
                <w:sz w:val="14"/>
                <w:szCs w:val="14"/>
                <w:i w:val="1"/>
                <w:iCs w:val="1"/>
                <w:color w:val="auto"/>
              </w:rPr>
              <w:t>8.3%</w:t>
            </w:r>
          </w:p>
        </w:tc>
        <w:tc>
          <w:tcPr>
            <w:tcW w:w="100" w:type="dxa"/>
            <w:vAlign w:val="bottom"/>
            <w:shd w:val="clear" w:color="auto" w:fill="DCE2EF"/>
          </w:tcPr>
          <w:p>
            <w:pPr>
              <w:spacing w:after="0"/>
              <w:rPr>
                <w:sz w:val="21"/>
                <w:szCs w:val="21"/>
                <w:color w:val="auto"/>
              </w:rPr>
            </w:pPr>
          </w:p>
        </w:tc>
        <w:tc>
          <w:tcPr>
            <w:tcW w:w="600" w:type="dxa"/>
            <w:vAlign w:val="bottom"/>
            <w:shd w:val="clear" w:color="auto" w:fill="DCE2EF"/>
          </w:tcPr>
          <w:p>
            <w:pPr>
              <w:spacing w:after="0"/>
              <w:rPr>
                <w:sz w:val="21"/>
                <w:szCs w:val="21"/>
                <w:color w:val="auto"/>
              </w:rPr>
            </w:pPr>
          </w:p>
        </w:tc>
        <w:tc>
          <w:tcPr>
            <w:tcW w:w="1800" w:type="dxa"/>
            <w:vAlign w:val="bottom"/>
            <w:shd w:val="clear" w:color="auto" w:fill="DCE2EF"/>
          </w:tcPr>
          <w:p>
            <w:pPr>
              <w:jc w:val="right"/>
              <w:ind w:right="614"/>
              <w:spacing w:after="0"/>
              <w:rPr>
                <w:sz w:val="20"/>
                <w:szCs w:val="20"/>
                <w:color w:val="auto"/>
              </w:rPr>
            </w:pPr>
            <w:r>
              <w:rPr>
                <w:rFonts w:ascii="Arial" w:cs="Arial" w:eastAsia="Arial" w:hAnsi="Arial"/>
                <w:sz w:val="14"/>
                <w:szCs w:val="14"/>
                <w:i w:val="1"/>
                <w:iCs w:val="1"/>
                <w:color w:val="auto"/>
              </w:rPr>
              <w:t>(215) bps</w:t>
            </w:r>
          </w:p>
        </w:tc>
        <w:tc>
          <w:tcPr>
            <w:tcW w:w="1340" w:type="dxa"/>
            <w:vAlign w:val="bottom"/>
            <w:shd w:val="clear" w:color="auto" w:fill="DCE2EF"/>
          </w:tcPr>
          <w:p>
            <w:pPr>
              <w:spacing w:after="0"/>
              <w:rPr>
                <w:sz w:val="21"/>
                <w:szCs w:val="21"/>
                <w:color w:val="auto"/>
              </w:rPr>
            </w:pPr>
          </w:p>
        </w:tc>
      </w:tr>
      <w:tr>
        <w:trPr>
          <w:trHeight w:val="27"/>
        </w:trPr>
        <w:tc>
          <w:tcPr>
            <w:tcW w:w="20" w:type="dxa"/>
            <w:vAlign w:val="bottom"/>
            <w:shd w:val="clear" w:color="auto" w:fill="DCE2EF"/>
          </w:tcPr>
          <w:p>
            <w:pPr>
              <w:spacing w:after="0"/>
              <w:rPr>
                <w:sz w:val="2"/>
                <w:szCs w:val="2"/>
                <w:color w:val="auto"/>
              </w:rPr>
            </w:pPr>
          </w:p>
        </w:tc>
        <w:tc>
          <w:tcPr>
            <w:tcW w:w="820" w:type="dxa"/>
            <w:vAlign w:val="bottom"/>
            <w:shd w:val="clear" w:color="auto" w:fill="DCE2EF"/>
          </w:tcPr>
          <w:p>
            <w:pPr>
              <w:spacing w:after="0"/>
              <w:rPr>
                <w:sz w:val="2"/>
                <w:szCs w:val="2"/>
                <w:color w:val="auto"/>
              </w:rPr>
            </w:pPr>
          </w:p>
        </w:tc>
        <w:tc>
          <w:tcPr>
            <w:tcW w:w="2840" w:type="dxa"/>
            <w:vAlign w:val="bottom"/>
            <w:shd w:val="clear" w:color="auto" w:fill="DCE2EF"/>
          </w:tcPr>
          <w:p>
            <w:pPr>
              <w:spacing w:after="0"/>
              <w:rPr>
                <w:sz w:val="2"/>
                <w:szCs w:val="2"/>
                <w:color w:val="auto"/>
              </w:rPr>
            </w:pPr>
          </w:p>
        </w:tc>
        <w:tc>
          <w:tcPr>
            <w:tcW w:w="440" w:type="dxa"/>
            <w:vAlign w:val="bottom"/>
            <w:shd w:val="clear" w:color="auto" w:fill="DCE2EF"/>
          </w:tcPr>
          <w:p>
            <w:pPr>
              <w:spacing w:after="0"/>
              <w:rPr>
                <w:sz w:val="2"/>
                <w:szCs w:val="2"/>
                <w:color w:val="auto"/>
              </w:rPr>
            </w:pPr>
          </w:p>
        </w:tc>
        <w:tc>
          <w:tcPr>
            <w:tcW w:w="1440" w:type="dxa"/>
            <w:vAlign w:val="bottom"/>
            <w:shd w:val="clear" w:color="auto" w:fill="DCE2EF"/>
          </w:tcPr>
          <w:p>
            <w:pPr>
              <w:spacing w:after="0"/>
              <w:rPr>
                <w:sz w:val="2"/>
                <w:szCs w:val="2"/>
                <w:color w:val="auto"/>
              </w:rPr>
            </w:pPr>
          </w:p>
        </w:tc>
        <w:tc>
          <w:tcPr>
            <w:tcW w:w="120" w:type="dxa"/>
            <w:vAlign w:val="bottom"/>
            <w:shd w:val="clear" w:color="auto" w:fill="DCE2EF"/>
          </w:tcPr>
          <w:p>
            <w:pPr>
              <w:spacing w:after="0"/>
              <w:rPr>
                <w:sz w:val="2"/>
                <w:szCs w:val="2"/>
                <w:color w:val="auto"/>
              </w:rPr>
            </w:pPr>
          </w:p>
        </w:tc>
        <w:tc>
          <w:tcPr>
            <w:tcW w:w="420" w:type="dxa"/>
            <w:vAlign w:val="bottom"/>
            <w:shd w:val="clear" w:color="auto" w:fill="DCE2EF"/>
          </w:tcPr>
          <w:p>
            <w:pPr>
              <w:spacing w:after="0"/>
              <w:rPr>
                <w:sz w:val="2"/>
                <w:szCs w:val="2"/>
                <w:color w:val="auto"/>
              </w:rPr>
            </w:pPr>
          </w:p>
        </w:tc>
        <w:tc>
          <w:tcPr>
            <w:tcW w:w="1460" w:type="dxa"/>
            <w:vAlign w:val="bottom"/>
            <w:shd w:val="clear" w:color="auto" w:fill="DCE2EF"/>
          </w:tcPr>
          <w:p>
            <w:pPr>
              <w:spacing w:after="0"/>
              <w:rPr>
                <w:sz w:val="2"/>
                <w:szCs w:val="2"/>
                <w:color w:val="auto"/>
              </w:rPr>
            </w:pPr>
          </w:p>
        </w:tc>
        <w:tc>
          <w:tcPr>
            <w:tcW w:w="100" w:type="dxa"/>
            <w:vAlign w:val="bottom"/>
            <w:shd w:val="clear" w:color="auto" w:fill="DCE2EF"/>
          </w:tcPr>
          <w:p>
            <w:pPr>
              <w:spacing w:after="0"/>
              <w:rPr>
                <w:sz w:val="2"/>
                <w:szCs w:val="2"/>
                <w:color w:val="auto"/>
              </w:rPr>
            </w:pPr>
          </w:p>
        </w:tc>
        <w:tc>
          <w:tcPr>
            <w:tcW w:w="600" w:type="dxa"/>
            <w:vAlign w:val="bottom"/>
            <w:shd w:val="clear" w:color="auto" w:fill="DCE2EF"/>
          </w:tcPr>
          <w:p>
            <w:pPr>
              <w:spacing w:after="0"/>
              <w:rPr>
                <w:sz w:val="2"/>
                <w:szCs w:val="2"/>
                <w:color w:val="auto"/>
              </w:rPr>
            </w:pPr>
          </w:p>
        </w:tc>
        <w:tc>
          <w:tcPr>
            <w:tcW w:w="1800" w:type="dxa"/>
            <w:vAlign w:val="bottom"/>
            <w:shd w:val="clear" w:color="auto" w:fill="DCE2EF"/>
          </w:tcPr>
          <w:p>
            <w:pPr>
              <w:spacing w:after="0"/>
              <w:rPr>
                <w:sz w:val="2"/>
                <w:szCs w:val="2"/>
                <w:color w:val="auto"/>
              </w:rPr>
            </w:pPr>
          </w:p>
        </w:tc>
        <w:tc>
          <w:tcPr>
            <w:tcW w:w="1340" w:type="dxa"/>
            <w:vAlign w:val="bottom"/>
            <w:shd w:val="clear" w:color="auto" w:fill="DCE2EF"/>
          </w:tcPr>
          <w:p>
            <w:pPr>
              <w:spacing w:after="0"/>
              <w:rPr>
                <w:sz w:val="2"/>
                <w:szCs w:val="2"/>
                <w:color w:val="auto"/>
              </w:rPr>
            </w:pPr>
          </w:p>
        </w:tc>
      </w:tr>
    </w:tbl>
    <w:p>
      <w:pPr>
        <w:spacing w:after="0" w:line="161"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color w:val="auto"/>
        </w:rPr>
        <w:t>Technical Solutions revenues decreased by $6.0 million, or 2.7%, during the six months ended April 30, 2018, as compared to the six months ended April 30, 2017. This decrease was primarily attributable to the timing of new project bookings and the completion of certain bundled energy solutions projects.</w:t>
      </w:r>
    </w:p>
    <w:p>
      <w:pPr>
        <w:spacing w:after="0" w:line="148"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Operating profit decreased by $5.1 million, or 28.0%, during the six months ended April 30, 2018, as compared to the six months ended April 30, 2017. Operating profit margin decreased by 215 bps to 6.1% in the six months ended April 30, 2018 from 8.3% in the six months ended April 30, 2017. The decrease in operating profit margin was primarily attributable to the investment in sales personnel and the loss of certain higher margin contracts in our U.K. business. This decrease was partially offset by favorable margins on certain projects in our U.S. business and higher tax deductions for energy efficient government building projects.</w:t>
      </w:r>
    </w:p>
    <w:p>
      <w:pPr>
        <w:spacing w:after="0" w:line="305"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3700" w:type="dxa"/>
            <w:vAlign w:val="bottom"/>
            <w:gridSpan w:val="3"/>
          </w:tcPr>
          <w:p>
            <w:pPr>
              <w:ind w:left="40"/>
              <w:spacing w:after="0"/>
              <w:rPr>
                <w:sz w:val="20"/>
                <w:szCs w:val="20"/>
                <w:color w:val="auto"/>
              </w:rPr>
            </w:pPr>
            <w:r>
              <w:rPr>
                <w:rFonts w:ascii="Arial" w:cs="Arial" w:eastAsia="Arial" w:hAnsi="Arial"/>
                <w:sz w:val="18"/>
                <w:szCs w:val="18"/>
                <w:b w:val="1"/>
                <w:bCs w:val="1"/>
                <w:i w:val="1"/>
                <w:iCs w:val="1"/>
                <w:color w:val="0046AD"/>
              </w:rPr>
              <w:t>Healthcare</w:t>
            </w:r>
          </w:p>
        </w:tc>
        <w:tc>
          <w:tcPr>
            <w:tcW w:w="42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1580" w:type="dxa"/>
            <w:vAlign w:val="bottom"/>
          </w:tcPr>
          <w:p>
            <w:pPr>
              <w:spacing w:after="0"/>
              <w:rPr>
                <w:sz w:val="20"/>
                <w:szCs w:val="20"/>
                <w:color w:val="auto"/>
              </w:rPr>
            </w:pPr>
          </w:p>
        </w:tc>
      </w:tr>
      <w:tr>
        <w:trPr>
          <w:trHeight w:val="277"/>
        </w:trPr>
        <w:tc>
          <w:tcPr>
            <w:tcW w:w="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8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540" w:type="dxa"/>
            <w:vAlign w:val="bottom"/>
            <w:gridSpan w:val="5"/>
          </w:tcPr>
          <w:p>
            <w:pPr>
              <w:ind w:left="360"/>
              <w:spacing w:after="0"/>
              <w:rPr>
                <w:sz w:val="20"/>
                <w:szCs w:val="20"/>
                <w:color w:val="auto"/>
              </w:rPr>
            </w:pPr>
            <w:r>
              <w:rPr>
                <w:rFonts w:ascii="Arial" w:cs="Arial" w:eastAsia="Arial" w:hAnsi="Arial"/>
                <w:sz w:val="18"/>
                <w:szCs w:val="18"/>
                <w:b w:val="1"/>
                <w:bCs w:val="1"/>
                <w:color w:val="auto"/>
              </w:rPr>
              <w:t>Six Months Ended April 30,</w:t>
            </w:r>
          </w:p>
        </w:tc>
        <w:tc>
          <w:tcPr>
            <w:tcW w:w="56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580" w:type="dxa"/>
            <w:vAlign w:val="bottom"/>
          </w:tcPr>
          <w:p>
            <w:pPr>
              <w:spacing w:after="0"/>
              <w:rPr>
                <w:sz w:val="24"/>
                <w:szCs w:val="24"/>
                <w:color w:val="auto"/>
              </w:rPr>
            </w:pPr>
          </w:p>
        </w:tc>
      </w:tr>
      <w:tr>
        <w:trPr>
          <w:trHeight w:val="230"/>
        </w:trPr>
        <w:tc>
          <w:tcPr>
            <w:tcW w:w="3700" w:type="dxa"/>
            <w:vAlign w:val="bottom"/>
            <w:gridSpan w:val="3"/>
          </w:tcPr>
          <w:p>
            <w:pPr>
              <w:ind w:left="40"/>
              <w:spacing w:after="0"/>
              <w:rPr>
                <w:sz w:val="20"/>
                <w:szCs w:val="20"/>
                <w:color w:val="auto"/>
              </w:rPr>
            </w:pPr>
            <w:r>
              <w:rPr>
                <w:rFonts w:ascii="Arial" w:cs="Arial" w:eastAsia="Arial" w:hAnsi="Arial"/>
                <w:sz w:val="14"/>
                <w:szCs w:val="14"/>
                <w:i w:val="1"/>
                <w:iCs w:val="1"/>
                <w:u w:val="single" w:color="auto"/>
                <w:color w:val="auto"/>
              </w:rPr>
              <w:t>(</w:t>
            </w:r>
            <w:r>
              <w:rPr>
                <w:rFonts w:ascii="Arial" w:cs="Arial" w:eastAsia="Arial" w:hAnsi="Arial"/>
                <w:sz w:val="14"/>
                <w:szCs w:val="14"/>
                <w:i w:val="1"/>
                <w:iCs w:val="1"/>
                <w:color w:val="auto"/>
              </w:rPr>
              <w:t>$ in millions)</w:t>
            </w:r>
          </w:p>
        </w:tc>
        <w:tc>
          <w:tcPr>
            <w:tcW w:w="420" w:type="dxa"/>
            <w:vAlign w:val="bottom"/>
            <w:tcBorders>
              <w:top w:val="single" w:sz="8" w:color="auto"/>
            </w:tcBorders>
          </w:tcPr>
          <w:p>
            <w:pPr>
              <w:spacing w:after="0"/>
              <w:rPr>
                <w:sz w:val="19"/>
                <w:szCs w:val="19"/>
                <w:color w:val="auto"/>
              </w:rPr>
            </w:pPr>
          </w:p>
        </w:tc>
        <w:tc>
          <w:tcPr>
            <w:tcW w:w="1460" w:type="dxa"/>
            <w:vAlign w:val="bottom"/>
            <w:tcBorders>
              <w:top w:val="single" w:sz="8" w:color="auto"/>
            </w:tcBorders>
          </w:tcPr>
          <w:p>
            <w:pPr>
              <w:jc w:val="right"/>
              <w:ind w:right="654"/>
              <w:spacing w:after="0"/>
              <w:rPr>
                <w:sz w:val="20"/>
                <w:szCs w:val="20"/>
                <w:color w:val="auto"/>
              </w:rPr>
            </w:pPr>
            <w:r>
              <w:rPr>
                <w:rFonts w:ascii="Arial" w:cs="Arial" w:eastAsia="Arial" w:hAnsi="Arial"/>
                <w:sz w:val="18"/>
                <w:szCs w:val="18"/>
                <w:b w:val="1"/>
                <w:bCs w:val="1"/>
                <w:color w:val="auto"/>
              </w:rPr>
              <w:t>2018</w:t>
            </w:r>
          </w:p>
        </w:tc>
        <w:tc>
          <w:tcPr>
            <w:tcW w:w="100" w:type="dxa"/>
            <w:vAlign w:val="bottom"/>
            <w:tcBorders>
              <w:top w:val="single" w:sz="8" w:color="auto"/>
            </w:tcBorders>
          </w:tcPr>
          <w:p>
            <w:pPr>
              <w:spacing w:after="0"/>
              <w:rPr>
                <w:sz w:val="19"/>
                <w:szCs w:val="19"/>
                <w:color w:val="auto"/>
              </w:rPr>
            </w:pPr>
          </w:p>
        </w:tc>
        <w:tc>
          <w:tcPr>
            <w:tcW w:w="440" w:type="dxa"/>
            <w:vAlign w:val="bottom"/>
            <w:tcBorders>
              <w:top w:val="single" w:sz="8" w:color="auto"/>
            </w:tcBorders>
          </w:tcPr>
          <w:p>
            <w:pPr>
              <w:spacing w:after="0"/>
              <w:rPr>
                <w:sz w:val="19"/>
                <w:szCs w:val="19"/>
                <w:color w:val="auto"/>
              </w:rPr>
            </w:pPr>
          </w:p>
        </w:tc>
        <w:tc>
          <w:tcPr>
            <w:tcW w:w="1440" w:type="dxa"/>
            <w:vAlign w:val="bottom"/>
            <w:tcBorders>
              <w:top w:val="single" w:sz="8" w:color="auto"/>
            </w:tcBorders>
          </w:tcPr>
          <w:p>
            <w:pPr>
              <w:jc w:val="right"/>
              <w:ind w:right="654"/>
              <w:spacing w:after="0"/>
              <w:rPr>
                <w:sz w:val="20"/>
                <w:szCs w:val="20"/>
                <w:color w:val="auto"/>
              </w:rPr>
            </w:pPr>
            <w:r>
              <w:rPr>
                <w:rFonts w:ascii="Arial" w:cs="Arial" w:eastAsia="Arial" w:hAnsi="Arial"/>
                <w:sz w:val="18"/>
                <w:szCs w:val="18"/>
                <w:b w:val="1"/>
                <w:bCs w:val="1"/>
                <w:color w:val="auto"/>
              </w:rPr>
              <w:t>2017</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180" w:type="dxa"/>
            <w:vAlign w:val="bottom"/>
            <w:gridSpan w:val="2"/>
          </w:tcPr>
          <w:p>
            <w:pPr>
              <w:ind w:left="420"/>
              <w:spacing w:after="0"/>
              <w:rPr>
                <w:sz w:val="20"/>
                <w:szCs w:val="20"/>
                <w:color w:val="auto"/>
              </w:rPr>
            </w:pPr>
            <w:r>
              <w:rPr>
                <w:rFonts w:ascii="Arial" w:cs="Arial" w:eastAsia="Arial" w:hAnsi="Arial"/>
                <w:sz w:val="18"/>
                <w:szCs w:val="18"/>
                <w:b w:val="1"/>
                <w:bCs w:val="1"/>
                <w:color w:val="auto"/>
              </w:rPr>
              <w:t>Increase / (Decrease)</w:t>
            </w:r>
          </w:p>
        </w:tc>
      </w:tr>
      <w:tr>
        <w:trPr>
          <w:trHeight w:val="21"/>
        </w:trPr>
        <w:tc>
          <w:tcPr>
            <w:tcW w:w="40" w:type="dxa"/>
            <w:vAlign w:val="bottom"/>
            <w:tcBorders>
              <w:bottom w:val="single" w:sz="8" w:color="DCE2EF"/>
            </w:tcBorders>
          </w:tcPr>
          <w:p>
            <w:pPr>
              <w:spacing w:after="0" w:line="20" w:lineRule="exact"/>
              <w:rPr>
                <w:sz w:val="1"/>
                <w:szCs w:val="1"/>
                <w:color w:val="auto"/>
              </w:rPr>
            </w:pPr>
          </w:p>
        </w:tc>
        <w:tc>
          <w:tcPr>
            <w:tcW w:w="820" w:type="dxa"/>
            <w:vAlign w:val="bottom"/>
            <w:tcBorders>
              <w:top w:val="single" w:sz="8" w:color="auto"/>
              <w:bottom w:val="single" w:sz="8" w:color="DCE2EF"/>
            </w:tcBorders>
          </w:tcPr>
          <w:p>
            <w:pPr>
              <w:spacing w:after="0" w:line="20" w:lineRule="exact"/>
              <w:rPr>
                <w:sz w:val="1"/>
                <w:szCs w:val="1"/>
                <w:color w:val="auto"/>
              </w:rPr>
            </w:pPr>
          </w:p>
        </w:tc>
        <w:tc>
          <w:tcPr>
            <w:tcW w:w="2840" w:type="dxa"/>
            <w:vAlign w:val="bottom"/>
            <w:tcBorders>
              <w:bottom w:val="single" w:sz="8" w:color="DCE2E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DCE2E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DCE2EF"/>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r>
      <w:tr>
        <w:trPr>
          <w:trHeight w:val="264"/>
        </w:trPr>
        <w:tc>
          <w:tcPr>
            <w:tcW w:w="3700" w:type="dxa"/>
            <w:vAlign w:val="bottom"/>
            <w:gridSpan w:val="3"/>
            <w:shd w:val="clear" w:color="auto" w:fill="DCE2EF"/>
          </w:tcPr>
          <w:p>
            <w:pPr>
              <w:ind w:left="40"/>
              <w:spacing w:after="0"/>
              <w:rPr>
                <w:sz w:val="20"/>
                <w:szCs w:val="20"/>
                <w:color w:val="auto"/>
              </w:rPr>
            </w:pPr>
            <w:r>
              <w:rPr>
                <w:rFonts w:ascii="Arial" w:cs="Arial" w:eastAsia="Arial" w:hAnsi="Arial"/>
                <w:sz w:val="18"/>
                <w:szCs w:val="18"/>
                <w:color w:val="auto"/>
              </w:rPr>
              <w:t>Revenues</w:t>
            </w:r>
          </w:p>
        </w:tc>
        <w:tc>
          <w:tcPr>
            <w:tcW w:w="420" w:type="dxa"/>
            <w:vAlign w:val="bottom"/>
            <w:shd w:val="clear" w:color="auto" w:fill="DCE2EF"/>
          </w:tcPr>
          <w:p>
            <w:pPr>
              <w:jc w:val="right"/>
              <w:ind w:right="210"/>
              <w:spacing w:after="0"/>
              <w:rPr>
                <w:sz w:val="20"/>
                <w:szCs w:val="20"/>
                <w:color w:val="auto"/>
              </w:rPr>
            </w:pPr>
            <w:r>
              <w:rPr>
                <w:rFonts w:ascii="Arial" w:cs="Arial" w:eastAsia="Arial" w:hAnsi="Arial"/>
                <w:sz w:val="18"/>
                <w:szCs w:val="18"/>
                <w:color w:val="auto"/>
                <w:w w:val="99"/>
              </w:rPr>
              <w:t>$</w:t>
            </w:r>
          </w:p>
        </w:tc>
        <w:tc>
          <w:tcPr>
            <w:tcW w:w="1460" w:type="dxa"/>
            <w:vAlign w:val="bottom"/>
            <w:shd w:val="clear" w:color="auto" w:fill="DCE2EF"/>
          </w:tcPr>
          <w:p>
            <w:pPr>
              <w:jc w:val="right"/>
              <w:ind w:right="74"/>
              <w:spacing w:after="0"/>
              <w:rPr>
                <w:sz w:val="20"/>
                <w:szCs w:val="20"/>
                <w:color w:val="auto"/>
              </w:rPr>
            </w:pPr>
            <w:r>
              <w:rPr>
                <w:rFonts w:ascii="Arial" w:cs="Arial" w:eastAsia="Arial" w:hAnsi="Arial"/>
                <w:sz w:val="18"/>
                <w:szCs w:val="18"/>
                <w:color w:val="auto"/>
              </w:rPr>
              <w:t>137.6</w:t>
            </w:r>
          </w:p>
        </w:tc>
        <w:tc>
          <w:tcPr>
            <w:tcW w:w="100" w:type="dxa"/>
            <w:vAlign w:val="bottom"/>
            <w:shd w:val="clear" w:color="auto" w:fill="DCE2EF"/>
          </w:tcPr>
          <w:p>
            <w:pPr>
              <w:spacing w:after="0"/>
              <w:rPr>
                <w:sz w:val="22"/>
                <w:szCs w:val="22"/>
                <w:color w:val="auto"/>
              </w:rPr>
            </w:pPr>
          </w:p>
        </w:tc>
        <w:tc>
          <w:tcPr>
            <w:tcW w:w="440" w:type="dxa"/>
            <w:vAlign w:val="bottom"/>
            <w:shd w:val="clear" w:color="auto" w:fill="DCE2EF"/>
          </w:tcPr>
          <w:p>
            <w:pPr>
              <w:jc w:val="right"/>
              <w:ind w:right="230"/>
              <w:spacing w:after="0"/>
              <w:rPr>
                <w:sz w:val="20"/>
                <w:szCs w:val="20"/>
                <w:color w:val="auto"/>
              </w:rPr>
            </w:pPr>
            <w:r>
              <w:rPr>
                <w:rFonts w:ascii="Arial" w:cs="Arial" w:eastAsia="Arial" w:hAnsi="Arial"/>
                <w:sz w:val="18"/>
                <w:szCs w:val="18"/>
                <w:color w:val="auto"/>
                <w:w w:val="99"/>
              </w:rPr>
              <w:t>$</w:t>
            </w:r>
          </w:p>
        </w:tc>
        <w:tc>
          <w:tcPr>
            <w:tcW w:w="1440" w:type="dxa"/>
            <w:vAlign w:val="bottom"/>
            <w:shd w:val="clear" w:color="auto" w:fill="DCE2EF"/>
          </w:tcPr>
          <w:p>
            <w:pPr>
              <w:jc w:val="right"/>
              <w:ind w:right="74"/>
              <w:spacing w:after="0"/>
              <w:rPr>
                <w:sz w:val="20"/>
                <w:szCs w:val="20"/>
                <w:color w:val="auto"/>
              </w:rPr>
            </w:pPr>
            <w:r>
              <w:rPr>
                <w:rFonts w:ascii="Arial" w:cs="Arial" w:eastAsia="Arial" w:hAnsi="Arial"/>
                <w:sz w:val="18"/>
                <w:szCs w:val="18"/>
                <w:color w:val="auto"/>
              </w:rPr>
              <w:t>122.3</w:t>
            </w:r>
          </w:p>
        </w:tc>
        <w:tc>
          <w:tcPr>
            <w:tcW w:w="100" w:type="dxa"/>
            <w:vAlign w:val="bottom"/>
            <w:shd w:val="clear" w:color="auto" w:fill="DCE2EF"/>
          </w:tcPr>
          <w:p>
            <w:pPr>
              <w:spacing w:after="0"/>
              <w:rPr>
                <w:sz w:val="22"/>
                <w:szCs w:val="22"/>
                <w:color w:val="auto"/>
              </w:rPr>
            </w:pPr>
          </w:p>
        </w:tc>
        <w:tc>
          <w:tcPr>
            <w:tcW w:w="560" w:type="dxa"/>
            <w:vAlign w:val="bottom"/>
            <w:shd w:val="clear" w:color="auto" w:fill="DCE2EF"/>
          </w:tcPr>
          <w:p>
            <w:pPr>
              <w:jc w:val="right"/>
              <w:ind w:right="330"/>
              <w:spacing w:after="0"/>
              <w:rPr>
                <w:sz w:val="20"/>
                <w:szCs w:val="20"/>
                <w:color w:val="auto"/>
              </w:rPr>
            </w:pPr>
            <w:r>
              <w:rPr>
                <w:rFonts w:ascii="Arial" w:cs="Arial" w:eastAsia="Arial" w:hAnsi="Arial"/>
                <w:sz w:val="18"/>
                <w:szCs w:val="18"/>
                <w:color w:val="auto"/>
              </w:rPr>
              <w:t>$</w:t>
            </w:r>
          </w:p>
        </w:tc>
        <w:tc>
          <w:tcPr>
            <w:tcW w:w="1600" w:type="dxa"/>
            <w:vAlign w:val="bottom"/>
            <w:shd w:val="clear" w:color="auto" w:fill="DCE2EF"/>
          </w:tcPr>
          <w:p>
            <w:pPr>
              <w:jc w:val="right"/>
              <w:ind w:right="354"/>
              <w:spacing w:after="0"/>
              <w:rPr>
                <w:sz w:val="20"/>
                <w:szCs w:val="20"/>
                <w:color w:val="auto"/>
              </w:rPr>
            </w:pPr>
            <w:r>
              <w:rPr>
                <w:rFonts w:ascii="Arial" w:cs="Arial" w:eastAsia="Arial" w:hAnsi="Arial"/>
                <w:sz w:val="18"/>
                <w:szCs w:val="18"/>
                <w:color w:val="auto"/>
              </w:rPr>
              <w:t>15.3</w:t>
            </w:r>
          </w:p>
        </w:tc>
        <w:tc>
          <w:tcPr>
            <w:tcW w:w="1580" w:type="dxa"/>
            <w:vAlign w:val="bottom"/>
            <w:shd w:val="clear" w:color="auto" w:fill="DCE2EF"/>
          </w:tcPr>
          <w:p>
            <w:pPr>
              <w:jc w:val="right"/>
              <w:ind w:right="550"/>
              <w:spacing w:after="0"/>
              <w:rPr>
                <w:sz w:val="20"/>
                <w:szCs w:val="20"/>
                <w:color w:val="auto"/>
              </w:rPr>
            </w:pPr>
            <w:r>
              <w:rPr>
                <w:rFonts w:ascii="Arial" w:cs="Arial" w:eastAsia="Arial" w:hAnsi="Arial"/>
                <w:sz w:val="18"/>
                <w:szCs w:val="18"/>
                <w:color w:val="auto"/>
              </w:rPr>
              <w:t>12.5%</w:t>
            </w:r>
          </w:p>
        </w:tc>
      </w:tr>
      <w:tr>
        <w:trPr>
          <w:trHeight w:val="263"/>
        </w:trPr>
        <w:tc>
          <w:tcPr>
            <w:tcW w:w="3700" w:type="dxa"/>
            <w:vAlign w:val="bottom"/>
            <w:gridSpan w:val="3"/>
          </w:tcPr>
          <w:p>
            <w:pPr>
              <w:ind w:left="40"/>
              <w:spacing w:after="0"/>
              <w:rPr>
                <w:sz w:val="20"/>
                <w:szCs w:val="20"/>
                <w:color w:val="auto"/>
              </w:rPr>
            </w:pPr>
            <w:r>
              <w:rPr>
                <w:rFonts w:ascii="Arial" w:cs="Arial" w:eastAsia="Arial" w:hAnsi="Arial"/>
                <w:sz w:val="18"/>
                <w:szCs w:val="18"/>
                <w:color w:val="auto"/>
              </w:rPr>
              <w:t>Operating profit</w:t>
            </w:r>
          </w:p>
        </w:tc>
        <w:tc>
          <w:tcPr>
            <w:tcW w:w="420" w:type="dxa"/>
            <w:vAlign w:val="bottom"/>
          </w:tcPr>
          <w:p>
            <w:pPr>
              <w:spacing w:after="0"/>
              <w:rPr>
                <w:sz w:val="22"/>
                <w:szCs w:val="22"/>
                <w:color w:val="auto"/>
              </w:rPr>
            </w:pPr>
          </w:p>
        </w:tc>
        <w:tc>
          <w:tcPr>
            <w:tcW w:w="1460" w:type="dxa"/>
            <w:vAlign w:val="bottom"/>
          </w:tcPr>
          <w:p>
            <w:pPr>
              <w:jc w:val="right"/>
              <w:ind w:right="74"/>
              <w:spacing w:after="0"/>
              <w:rPr>
                <w:sz w:val="20"/>
                <w:szCs w:val="20"/>
                <w:color w:val="auto"/>
              </w:rPr>
            </w:pPr>
            <w:r>
              <w:rPr>
                <w:rFonts w:ascii="Arial" w:cs="Arial" w:eastAsia="Arial" w:hAnsi="Arial"/>
                <w:sz w:val="18"/>
                <w:szCs w:val="18"/>
                <w:color w:val="auto"/>
              </w:rPr>
              <w:t>5.4</w:t>
            </w:r>
          </w:p>
        </w:tc>
        <w:tc>
          <w:tcPr>
            <w:tcW w:w="1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440" w:type="dxa"/>
            <w:vAlign w:val="bottom"/>
          </w:tcPr>
          <w:p>
            <w:pPr>
              <w:jc w:val="right"/>
              <w:ind w:right="74"/>
              <w:spacing w:after="0"/>
              <w:rPr>
                <w:sz w:val="20"/>
                <w:szCs w:val="20"/>
                <w:color w:val="auto"/>
              </w:rPr>
            </w:pPr>
            <w:r>
              <w:rPr>
                <w:rFonts w:ascii="Arial" w:cs="Arial" w:eastAsia="Arial" w:hAnsi="Arial"/>
                <w:sz w:val="18"/>
                <w:szCs w:val="18"/>
                <w:color w:val="auto"/>
              </w:rPr>
              <w:t>4.9</w:t>
            </w:r>
          </w:p>
        </w:tc>
        <w:tc>
          <w:tcPr>
            <w:tcW w:w="10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600" w:type="dxa"/>
            <w:vAlign w:val="bottom"/>
          </w:tcPr>
          <w:p>
            <w:pPr>
              <w:jc w:val="right"/>
              <w:ind w:right="354"/>
              <w:spacing w:after="0"/>
              <w:rPr>
                <w:sz w:val="20"/>
                <w:szCs w:val="20"/>
                <w:color w:val="auto"/>
              </w:rPr>
            </w:pPr>
            <w:r>
              <w:rPr>
                <w:rFonts w:ascii="Arial" w:cs="Arial" w:eastAsia="Arial" w:hAnsi="Arial"/>
                <w:sz w:val="18"/>
                <w:szCs w:val="18"/>
                <w:color w:val="auto"/>
              </w:rPr>
              <w:t>0.5</w:t>
            </w:r>
          </w:p>
        </w:tc>
        <w:tc>
          <w:tcPr>
            <w:tcW w:w="1580" w:type="dxa"/>
            <w:vAlign w:val="bottom"/>
          </w:tcPr>
          <w:p>
            <w:pPr>
              <w:jc w:val="right"/>
              <w:ind w:right="610"/>
              <w:spacing w:after="0"/>
              <w:rPr>
                <w:sz w:val="20"/>
                <w:szCs w:val="20"/>
                <w:color w:val="auto"/>
              </w:rPr>
            </w:pPr>
            <w:r>
              <w:rPr>
                <w:rFonts w:ascii="Arial" w:cs="Arial" w:eastAsia="Arial" w:hAnsi="Arial"/>
                <w:sz w:val="18"/>
                <w:szCs w:val="18"/>
                <w:color w:val="auto"/>
              </w:rPr>
              <w:t>9.5%</w:t>
            </w:r>
          </w:p>
        </w:tc>
      </w:tr>
      <w:tr>
        <w:trPr>
          <w:trHeight w:val="277"/>
        </w:trPr>
        <w:tc>
          <w:tcPr>
            <w:tcW w:w="40" w:type="dxa"/>
            <w:vAlign w:val="bottom"/>
            <w:shd w:val="clear" w:color="auto" w:fill="DCE2EF"/>
          </w:tcPr>
          <w:p>
            <w:pPr>
              <w:spacing w:after="0"/>
              <w:rPr>
                <w:sz w:val="24"/>
                <w:szCs w:val="24"/>
                <w:color w:val="auto"/>
              </w:rPr>
            </w:pPr>
          </w:p>
        </w:tc>
        <w:tc>
          <w:tcPr>
            <w:tcW w:w="3660" w:type="dxa"/>
            <w:vAlign w:val="bottom"/>
            <w:gridSpan w:val="2"/>
            <w:shd w:val="clear" w:color="auto" w:fill="DCE2EF"/>
          </w:tcPr>
          <w:p>
            <w:pPr>
              <w:ind w:left="140"/>
              <w:spacing w:after="0"/>
              <w:rPr>
                <w:sz w:val="20"/>
                <w:szCs w:val="20"/>
                <w:color w:val="auto"/>
              </w:rPr>
            </w:pPr>
            <w:r>
              <w:rPr>
                <w:rFonts w:ascii="Arial" w:cs="Arial" w:eastAsia="Arial" w:hAnsi="Arial"/>
                <w:sz w:val="14"/>
                <w:szCs w:val="14"/>
                <w:i w:val="1"/>
                <w:iCs w:val="1"/>
                <w:color w:val="auto"/>
              </w:rPr>
              <w:t>Operating profit margin</w:t>
            </w:r>
          </w:p>
        </w:tc>
        <w:tc>
          <w:tcPr>
            <w:tcW w:w="420" w:type="dxa"/>
            <w:vAlign w:val="bottom"/>
            <w:shd w:val="clear" w:color="auto" w:fill="DCE2EF"/>
          </w:tcPr>
          <w:p>
            <w:pPr>
              <w:spacing w:after="0"/>
              <w:rPr>
                <w:sz w:val="24"/>
                <w:szCs w:val="24"/>
                <w:color w:val="auto"/>
              </w:rPr>
            </w:pPr>
          </w:p>
        </w:tc>
        <w:tc>
          <w:tcPr>
            <w:tcW w:w="1460" w:type="dxa"/>
            <w:vAlign w:val="bottom"/>
            <w:shd w:val="clear" w:color="auto" w:fill="DCE2EF"/>
          </w:tcPr>
          <w:p>
            <w:pPr>
              <w:jc w:val="right"/>
              <w:spacing w:after="0"/>
              <w:rPr>
                <w:sz w:val="20"/>
                <w:szCs w:val="20"/>
                <w:color w:val="auto"/>
              </w:rPr>
            </w:pPr>
            <w:r>
              <w:rPr>
                <w:rFonts w:ascii="Arial" w:cs="Arial" w:eastAsia="Arial" w:hAnsi="Arial"/>
                <w:sz w:val="14"/>
                <w:szCs w:val="14"/>
                <w:i w:val="1"/>
                <w:iCs w:val="1"/>
                <w:color w:val="auto"/>
              </w:rPr>
              <w:t>3.9%</w:t>
            </w:r>
          </w:p>
        </w:tc>
        <w:tc>
          <w:tcPr>
            <w:tcW w:w="100" w:type="dxa"/>
            <w:vAlign w:val="bottom"/>
            <w:shd w:val="clear" w:color="auto" w:fill="DCE2EF"/>
          </w:tcPr>
          <w:p>
            <w:pPr>
              <w:spacing w:after="0"/>
              <w:rPr>
                <w:sz w:val="24"/>
                <w:szCs w:val="24"/>
                <w:color w:val="auto"/>
              </w:rPr>
            </w:pPr>
          </w:p>
        </w:tc>
        <w:tc>
          <w:tcPr>
            <w:tcW w:w="440" w:type="dxa"/>
            <w:vAlign w:val="bottom"/>
            <w:shd w:val="clear" w:color="auto" w:fill="DCE2EF"/>
          </w:tcPr>
          <w:p>
            <w:pPr>
              <w:spacing w:after="0"/>
              <w:rPr>
                <w:sz w:val="24"/>
                <w:szCs w:val="24"/>
                <w:color w:val="auto"/>
              </w:rPr>
            </w:pPr>
          </w:p>
        </w:tc>
        <w:tc>
          <w:tcPr>
            <w:tcW w:w="1440" w:type="dxa"/>
            <w:vAlign w:val="bottom"/>
            <w:shd w:val="clear" w:color="auto" w:fill="DCE2EF"/>
          </w:tcPr>
          <w:p>
            <w:pPr>
              <w:jc w:val="right"/>
              <w:spacing w:after="0"/>
              <w:rPr>
                <w:sz w:val="20"/>
                <w:szCs w:val="20"/>
                <w:color w:val="auto"/>
              </w:rPr>
            </w:pPr>
            <w:r>
              <w:rPr>
                <w:rFonts w:ascii="Arial" w:cs="Arial" w:eastAsia="Arial" w:hAnsi="Arial"/>
                <w:sz w:val="14"/>
                <w:szCs w:val="14"/>
                <w:i w:val="1"/>
                <w:iCs w:val="1"/>
                <w:color w:val="auto"/>
              </w:rPr>
              <w:t>4.0%</w:t>
            </w:r>
          </w:p>
        </w:tc>
        <w:tc>
          <w:tcPr>
            <w:tcW w:w="100" w:type="dxa"/>
            <w:vAlign w:val="bottom"/>
            <w:shd w:val="clear" w:color="auto" w:fill="DCE2EF"/>
          </w:tcPr>
          <w:p>
            <w:pPr>
              <w:spacing w:after="0"/>
              <w:rPr>
                <w:sz w:val="24"/>
                <w:szCs w:val="24"/>
                <w:color w:val="auto"/>
              </w:rPr>
            </w:pPr>
          </w:p>
        </w:tc>
        <w:tc>
          <w:tcPr>
            <w:tcW w:w="560" w:type="dxa"/>
            <w:vAlign w:val="bottom"/>
            <w:shd w:val="clear" w:color="auto" w:fill="DCE2EF"/>
          </w:tcPr>
          <w:p>
            <w:pPr>
              <w:spacing w:after="0"/>
              <w:rPr>
                <w:sz w:val="24"/>
                <w:szCs w:val="24"/>
                <w:color w:val="auto"/>
              </w:rPr>
            </w:pPr>
          </w:p>
        </w:tc>
        <w:tc>
          <w:tcPr>
            <w:tcW w:w="1600" w:type="dxa"/>
            <w:vAlign w:val="bottom"/>
            <w:shd w:val="clear" w:color="auto" w:fill="DCE2EF"/>
          </w:tcPr>
          <w:p>
            <w:pPr>
              <w:jc w:val="right"/>
              <w:ind w:right="354"/>
              <w:spacing w:after="0"/>
              <w:rPr>
                <w:sz w:val="20"/>
                <w:szCs w:val="20"/>
                <w:color w:val="auto"/>
              </w:rPr>
            </w:pPr>
            <w:r>
              <w:rPr>
                <w:rFonts w:ascii="Arial" w:cs="Arial" w:eastAsia="Arial" w:hAnsi="Arial"/>
                <w:sz w:val="14"/>
                <w:szCs w:val="14"/>
                <w:i w:val="1"/>
                <w:iCs w:val="1"/>
                <w:color w:val="auto"/>
              </w:rPr>
              <w:t>(11) bps</w:t>
            </w:r>
          </w:p>
        </w:tc>
        <w:tc>
          <w:tcPr>
            <w:tcW w:w="1580" w:type="dxa"/>
            <w:vAlign w:val="bottom"/>
            <w:shd w:val="clear" w:color="auto" w:fill="DCE2EF"/>
          </w:tcPr>
          <w:p>
            <w:pPr>
              <w:spacing w:after="0"/>
              <w:rPr>
                <w:sz w:val="24"/>
                <w:szCs w:val="24"/>
                <w:color w:val="auto"/>
              </w:rPr>
            </w:pPr>
          </w:p>
        </w:tc>
      </w:tr>
    </w:tbl>
    <w:p>
      <w:pPr>
        <w:spacing w:after="0" w:line="161" w:lineRule="exact"/>
        <w:rPr>
          <w:sz w:val="20"/>
          <w:szCs w:val="20"/>
          <w:color w:val="auto"/>
        </w:rPr>
      </w:pPr>
    </w:p>
    <w:p>
      <w:pPr>
        <w:jc w:val="both"/>
        <w:ind w:right="20" w:firstLine="648"/>
        <w:spacing w:after="0" w:line="256" w:lineRule="auto"/>
        <w:rPr>
          <w:sz w:val="20"/>
          <w:szCs w:val="20"/>
          <w:color w:val="auto"/>
        </w:rPr>
      </w:pPr>
      <w:r>
        <w:rPr>
          <w:rFonts w:ascii="Arial" w:cs="Arial" w:eastAsia="Arial" w:hAnsi="Arial"/>
          <w:sz w:val="18"/>
          <w:szCs w:val="18"/>
          <w:color w:val="auto"/>
        </w:rPr>
        <w:t>Healthcare revenues increased by $15.3 million, or 12.5%, during the six months ended April 30, 2018, as compared to the six months ended April 30, 2017. This increase was primarily attributable to incremental revenues from the GCA acquisition of $15.1 million and net new business.</w:t>
      </w:r>
    </w:p>
    <w:p>
      <w:pPr>
        <w:spacing w:after="0" w:line="148"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Operating profit increased by $0.5 million, or 9.5%, during the six months ended April 30, 2018, as compared to the six months ended April 30, 2017. Operating profit margin decreased by 11 bps to 3.9% in the six months ended April 30, 2018 from 4.0% in the six months ended April 30, 2017. This decrease was primarily attributable to lower margin new business, partially offset by the management of selling, general and administrative expenses.</w:t>
      </w: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20"/>
          </w:cols>
          <w:pgMar w:left="240" w:top="589" w:right="239" w:bottom="1440" w:gutter="0" w:footer="0" w:header="0"/>
        </w:sectPr>
      </w:pPr>
    </w:p>
    <w:bookmarkStart w:id="42" w:name="page43"/>
    <w:bookmarkEnd w:id="42"/>
    <w:tbl>
      <w:tblPr>
        <w:tblLayout w:type="fixed"/>
        <w:tblInd w:w="20" w:type="dxa"/>
        <w:tblCellMar>
          <w:top w:w="0" w:type="dxa"/>
          <w:left w:w="0" w:type="dxa"/>
          <w:bottom w:w="0" w:type="dxa"/>
          <w:right w:w="0" w:type="dxa"/>
        </w:tblCellMar>
      </w:tblPr>
      <w:tr>
        <w:trPr>
          <w:trHeight w:val="239"/>
        </w:trPr>
        <w:tc>
          <w:tcPr>
            <w:tcW w:w="3740" w:type="dxa"/>
            <w:vAlign w:val="bottom"/>
            <w:gridSpan w:val="3"/>
          </w:tcPr>
          <w:p>
            <w:pPr>
              <w:ind w:left="20"/>
              <w:spacing w:after="0"/>
              <w:rPr>
                <w:sz w:val="20"/>
                <w:szCs w:val="20"/>
                <w:color w:val="auto"/>
              </w:rPr>
            </w:pPr>
            <w:r>
              <w:rPr>
                <w:rFonts w:ascii="Arial" w:cs="Arial" w:eastAsia="Arial" w:hAnsi="Arial"/>
                <w:sz w:val="18"/>
                <w:szCs w:val="18"/>
                <w:b w:val="1"/>
                <w:bCs w:val="1"/>
                <w:i w:val="1"/>
                <w:iCs w:val="1"/>
                <w:color w:val="0046AD"/>
              </w:rPr>
              <w:t>Corporate</w:t>
            </w:r>
          </w:p>
        </w:tc>
        <w:tc>
          <w:tcPr>
            <w:tcW w:w="12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1340" w:type="dxa"/>
            <w:vAlign w:val="bottom"/>
          </w:tcPr>
          <w:p>
            <w:pPr>
              <w:spacing w:after="0"/>
              <w:rPr>
                <w:sz w:val="20"/>
                <w:szCs w:val="20"/>
                <w:color w:val="auto"/>
              </w:rPr>
            </w:pPr>
          </w:p>
        </w:tc>
      </w:tr>
      <w:tr>
        <w:trPr>
          <w:trHeight w:val="277"/>
        </w:trPr>
        <w:tc>
          <w:tcPr>
            <w:tcW w:w="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900" w:type="dxa"/>
            <w:vAlign w:val="bottom"/>
          </w:tcPr>
          <w:p>
            <w:pPr>
              <w:spacing w:after="0"/>
              <w:rPr>
                <w:sz w:val="24"/>
                <w:szCs w:val="24"/>
                <w:color w:val="auto"/>
              </w:rPr>
            </w:pPr>
          </w:p>
        </w:tc>
        <w:tc>
          <w:tcPr>
            <w:tcW w:w="3180" w:type="dxa"/>
            <w:vAlign w:val="bottom"/>
            <w:tcBorders>
              <w:bottom w:val="single" w:sz="8" w:color="auto"/>
            </w:tcBorders>
            <w:gridSpan w:val="4"/>
          </w:tcPr>
          <w:p>
            <w:pPr>
              <w:jc w:val="right"/>
              <w:ind w:right="30"/>
              <w:spacing w:after="0"/>
              <w:rPr>
                <w:sz w:val="20"/>
                <w:szCs w:val="20"/>
                <w:color w:val="auto"/>
              </w:rPr>
            </w:pPr>
            <w:r>
              <w:rPr>
                <w:rFonts w:ascii="Arial" w:cs="Arial" w:eastAsia="Arial" w:hAnsi="Arial"/>
                <w:sz w:val="18"/>
                <w:szCs w:val="18"/>
                <w:b w:val="1"/>
                <w:bCs w:val="1"/>
                <w:color w:val="auto"/>
              </w:rPr>
              <w:t>Six Months Ended April 30,</w:t>
            </w:r>
          </w:p>
        </w:tc>
        <w:tc>
          <w:tcPr>
            <w:tcW w:w="60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1340" w:type="dxa"/>
            <w:vAlign w:val="bottom"/>
          </w:tcPr>
          <w:p>
            <w:pPr>
              <w:spacing w:after="0"/>
              <w:rPr>
                <w:sz w:val="24"/>
                <w:szCs w:val="24"/>
                <w:color w:val="auto"/>
              </w:rPr>
            </w:pPr>
          </w:p>
        </w:tc>
      </w:tr>
      <w:tr>
        <w:trPr>
          <w:trHeight w:val="230"/>
        </w:trPr>
        <w:tc>
          <w:tcPr>
            <w:tcW w:w="3740" w:type="dxa"/>
            <w:vAlign w:val="bottom"/>
            <w:gridSpan w:val="3"/>
          </w:tcPr>
          <w:p>
            <w:pPr>
              <w:ind w:left="20"/>
              <w:spacing w:after="0"/>
              <w:rPr>
                <w:sz w:val="20"/>
                <w:szCs w:val="20"/>
                <w:color w:val="auto"/>
              </w:rPr>
            </w:pPr>
            <w:r>
              <w:rPr>
                <w:rFonts w:ascii="Arial" w:cs="Arial" w:eastAsia="Arial" w:hAnsi="Arial"/>
                <w:sz w:val="14"/>
                <w:szCs w:val="14"/>
                <w:i w:val="1"/>
                <w:iCs w:val="1"/>
                <w:u w:val="single" w:color="auto"/>
                <w:color w:val="auto"/>
              </w:rPr>
              <w:t>(</w:t>
            </w:r>
            <w:r>
              <w:rPr>
                <w:rFonts w:ascii="Arial" w:cs="Arial" w:eastAsia="Arial" w:hAnsi="Arial"/>
                <w:sz w:val="14"/>
                <w:szCs w:val="14"/>
                <w:i w:val="1"/>
                <w:iCs w:val="1"/>
                <w:color w:val="auto"/>
              </w:rPr>
              <w:t>$ in millions)</w:t>
            </w:r>
          </w:p>
        </w:tc>
        <w:tc>
          <w:tcPr>
            <w:tcW w:w="1240" w:type="dxa"/>
            <w:vAlign w:val="bottom"/>
          </w:tcPr>
          <w:p>
            <w:pPr>
              <w:jc w:val="right"/>
              <w:ind w:right="30"/>
              <w:spacing w:after="0"/>
              <w:rPr>
                <w:sz w:val="20"/>
                <w:szCs w:val="20"/>
                <w:color w:val="auto"/>
              </w:rPr>
            </w:pPr>
            <w:r>
              <w:rPr>
                <w:rFonts w:ascii="Arial" w:cs="Arial" w:eastAsia="Arial" w:hAnsi="Arial"/>
                <w:sz w:val="18"/>
                <w:szCs w:val="18"/>
                <w:b w:val="1"/>
                <w:bCs w:val="1"/>
                <w:color w:val="auto"/>
              </w:rPr>
              <w:t>2018</w:t>
            </w:r>
          </w:p>
        </w:tc>
        <w:tc>
          <w:tcPr>
            <w:tcW w:w="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40" w:type="dxa"/>
            <w:vAlign w:val="bottom"/>
          </w:tcPr>
          <w:p>
            <w:pPr>
              <w:jc w:val="right"/>
              <w:ind w:right="30"/>
              <w:spacing w:after="0"/>
              <w:rPr>
                <w:sz w:val="20"/>
                <w:szCs w:val="20"/>
                <w:color w:val="auto"/>
              </w:rPr>
            </w:pPr>
            <w:r>
              <w:rPr>
                <w:rFonts w:ascii="Arial" w:cs="Arial" w:eastAsia="Arial" w:hAnsi="Arial"/>
                <w:sz w:val="18"/>
                <w:szCs w:val="18"/>
                <w:b w:val="1"/>
                <w:bCs w:val="1"/>
                <w:color w:val="auto"/>
              </w:rPr>
              <w:t>2017</w:t>
            </w:r>
          </w:p>
        </w:tc>
        <w:tc>
          <w:tcPr>
            <w:tcW w:w="6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680" w:type="dxa"/>
            <w:vAlign w:val="bottom"/>
          </w:tcPr>
          <w:p>
            <w:pPr>
              <w:jc w:val="right"/>
              <w:ind w:right="90"/>
              <w:spacing w:after="0"/>
              <w:rPr>
                <w:sz w:val="20"/>
                <w:szCs w:val="20"/>
                <w:color w:val="auto"/>
              </w:rPr>
            </w:pPr>
            <w:r>
              <w:rPr>
                <w:rFonts w:ascii="Arial" w:cs="Arial" w:eastAsia="Arial" w:hAnsi="Arial"/>
                <w:sz w:val="18"/>
                <w:szCs w:val="18"/>
                <w:b w:val="1"/>
                <w:bCs w:val="1"/>
                <w:color w:val="auto"/>
              </w:rPr>
              <w:t>Increase</w:t>
            </w:r>
          </w:p>
        </w:tc>
        <w:tc>
          <w:tcPr>
            <w:tcW w:w="1340" w:type="dxa"/>
            <w:vAlign w:val="bottom"/>
          </w:tcPr>
          <w:p>
            <w:pPr>
              <w:spacing w:after="0"/>
              <w:rPr>
                <w:sz w:val="19"/>
                <w:szCs w:val="19"/>
                <w:color w:val="auto"/>
              </w:rPr>
            </w:pPr>
          </w:p>
        </w:tc>
      </w:tr>
      <w:tr>
        <w:trPr>
          <w:trHeight w:val="21"/>
        </w:trPr>
        <w:tc>
          <w:tcPr>
            <w:tcW w:w="20" w:type="dxa"/>
            <w:vAlign w:val="bottom"/>
            <w:tcBorders>
              <w:bottom w:val="single" w:sz="8" w:color="DCE2EF"/>
            </w:tcBorders>
          </w:tcPr>
          <w:p>
            <w:pPr>
              <w:spacing w:after="0" w:line="20" w:lineRule="exact"/>
              <w:rPr>
                <w:sz w:val="1"/>
                <w:szCs w:val="1"/>
                <w:color w:val="auto"/>
              </w:rPr>
            </w:pPr>
          </w:p>
        </w:tc>
        <w:tc>
          <w:tcPr>
            <w:tcW w:w="820" w:type="dxa"/>
            <w:vAlign w:val="bottom"/>
            <w:tcBorders>
              <w:top w:val="single" w:sz="8" w:color="auto"/>
              <w:bottom w:val="single" w:sz="8" w:color="DCE2EF"/>
            </w:tcBorders>
          </w:tcPr>
          <w:p>
            <w:pPr>
              <w:spacing w:after="0" w:line="20" w:lineRule="exact"/>
              <w:rPr>
                <w:sz w:val="1"/>
                <w:szCs w:val="1"/>
                <w:color w:val="auto"/>
              </w:rPr>
            </w:pPr>
          </w:p>
        </w:tc>
        <w:tc>
          <w:tcPr>
            <w:tcW w:w="2900" w:type="dxa"/>
            <w:vAlign w:val="bottom"/>
            <w:tcBorders>
              <w:bottom w:val="single" w:sz="8" w:color="DCE2EF"/>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DCE2EF"/>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DCE2EF"/>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r>
        <w:trPr>
          <w:trHeight w:val="264"/>
        </w:trPr>
        <w:tc>
          <w:tcPr>
            <w:tcW w:w="3740" w:type="dxa"/>
            <w:vAlign w:val="bottom"/>
            <w:gridSpan w:val="3"/>
            <w:shd w:val="clear" w:color="auto" w:fill="DCE2EF"/>
          </w:tcPr>
          <w:p>
            <w:pPr>
              <w:ind w:left="20"/>
              <w:spacing w:after="0"/>
              <w:rPr>
                <w:sz w:val="20"/>
                <w:szCs w:val="20"/>
                <w:color w:val="auto"/>
              </w:rPr>
            </w:pPr>
            <w:r>
              <w:rPr>
                <w:rFonts w:ascii="Arial" w:cs="Arial" w:eastAsia="Arial" w:hAnsi="Arial"/>
                <w:sz w:val="18"/>
                <w:szCs w:val="18"/>
                <w:color w:val="auto"/>
              </w:rPr>
              <w:t>Corporate expenses</w:t>
            </w:r>
          </w:p>
        </w:tc>
        <w:tc>
          <w:tcPr>
            <w:tcW w:w="1240" w:type="dxa"/>
            <w:vAlign w:val="bottom"/>
            <w:shd w:val="clear" w:color="auto" w:fill="DCE2EF"/>
          </w:tcPr>
          <w:p>
            <w:pPr>
              <w:jc w:val="right"/>
              <w:ind w:right="1030"/>
              <w:spacing w:after="0"/>
              <w:rPr>
                <w:sz w:val="20"/>
                <w:szCs w:val="20"/>
                <w:color w:val="auto"/>
              </w:rPr>
            </w:pPr>
            <w:r>
              <w:rPr>
                <w:rFonts w:ascii="Arial" w:cs="Arial" w:eastAsia="Arial" w:hAnsi="Arial"/>
                <w:sz w:val="18"/>
                <w:szCs w:val="18"/>
                <w:color w:val="auto"/>
                <w:w w:val="99"/>
              </w:rPr>
              <w:t>$</w:t>
            </w:r>
          </w:p>
        </w:tc>
        <w:tc>
          <w:tcPr>
            <w:tcW w:w="600" w:type="dxa"/>
            <w:vAlign w:val="bottom"/>
            <w:shd w:val="clear" w:color="auto" w:fill="DCE2EF"/>
          </w:tcPr>
          <w:p>
            <w:pPr>
              <w:jc w:val="right"/>
              <w:ind w:right="30"/>
              <w:spacing w:after="0"/>
              <w:rPr>
                <w:sz w:val="20"/>
                <w:szCs w:val="20"/>
                <w:color w:val="auto"/>
              </w:rPr>
            </w:pPr>
            <w:r>
              <w:rPr>
                <w:rFonts w:ascii="Arial" w:cs="Arial" w:eastAsia="Arial" w:hAnsi="Arial"/>
                <w:sz w:val="18"/>
                <w:szCs w:val="18"/>
                <w:color w:val="auto"/>
              </w:rPr>
              <w:t>84.5</w:t>
            </w:r>
          </w:p>
        </w:tc>
        <w:tc>
          <w:tcPr>
            <w:tcW w:w="100" w:type="dxa"/>
            <w:vAlign w:val="bottom"/>
            <w:shd w:val="clear" w:color="auto" w:fill="DCE2EF"/>
          </w:tcPr>
          <w:p>
            <w:pPr>
              <w:spacing w:after="0"/>
              <w:rPr>
                <w:sz w:val="22"/>
                <w:szCs w:val="22"/>
                <w:color w:val="auto"/>
              </w:rPr>
            </w:pPr>
          </w:p>
        </w:tc>
        <w:tc>
          <w:tcPr>
            <w:tcW w:w="1240" w:type="dxa"/>
            <w:vAlign w:val="bottom"/>
            <w:shd w:val="clear" w:color="auto" w:fill="DCE2EF"/>
          </w:tcPr>
          <w:p>
            <w:pPr>
              <w:jc w:val="right"/>
              <w:ind w:right="1030"/>
              <w:spacing w:after="0"/>
              <w:rPr>
                <w:sz w:val="20"/>
                <w:szCs w:val="20"/>
                <w:color w:val="auto"/>
              </w:rPr>
            </w:pPr>
            <w:r>
              <w:rPr>
                <w:rFonts w:ascii="Arial" w:cs="Arial" w:eastAsia="Arial" w:hAnsi="Arial"/>
                <w:sz w:val="18"/>
                <w:szCs w:val="18"/>
                <w:color w:val="auto"/>
                <w:w w:val="99"/>
              </w:rPr>
              <w:t>$</w:t>
            </w:r>
          </w:p>
        </w:tc>
        <w:tc>
          <w:tcPr>
            <w:tcW w:w="600" w:type="dxa"/>
            <w:vAlign w:val="bottom"/>
            <w:shd w:val="clear" w:color="auto" w:fill="DCE2EF"/>
          </w:tcPr>
          <w:p>
            <w:pPr>
              <w:jc w:val="right"/>
              <w:ind w:right="30"/>
              <w:spacing w:after="0"/>
              <w:rPr>
                <w:sz w:val="20"/>
                <w:szCs w:val="20"/>
                <w:color w:val="auto"/>
              </w:rPr>
            </w:pPr>
            <w:r>
              <w:rPr>
                <w:rFonts w:ascii="Arial" w:cs="Arial" w:eastAsia="Arial" w:hAnsi="Arial"/>
                <w:sz w:val="18"/>
                <w:szCs w:val="18"/>
                <w:color w:val="auto"/>
              </w:rPr>
              <w:t>71.0</w:t>
            </w:r>
          </w:p>
        </w:tc>
        <w:tc>
          <w:tcPr>
            <w:tcW w:w="120" w:type="dxa"/>
            <w:vAlign w:val="bottom"/>
            <w:shd w:val="clear" w:color="auto" w:fill="DCE2EF"/>
          </w:tcPr>
          <w:p>
            <w:pPr>
              <w:spacing w:after="0"/>
              <w:rPr>
                <w:sz w:val="22"/>
                <w:szCs w:val="22"/>
                <w:color w:val="auto"/>
              </w:rPr>
            </w:pPr>
          </w:p>
        </w:tc>
        <w:tc>
          <w:tcPr>
            <w:tcW w:w="740" w:type="dxa"/>
            <w:vAlign w:val="bottom"/>
            <w:shd w:val="clear" w:color="auto" w:fill="DCE2EF"/>
          </w:tcPr>
          <w:p>
            <w:pPr>
              <w:jc w:val="right"/>
              <w:ind w:right="530"/>
              <w:spacing w:after="0"/>
              <w:rPr>
                <w:sz w:val="20"/>
                <w:szCs w:val="20"/>
                <w:color w:val="auto"/>
              </w:rPr>
            </w:pPr>
            <w:r>
              <w:rPr>
                <w:rFonts w:ascii="Arial" w:cs="Arial" w:eastAsia="Arial" w:hAnsi="Arial"/>
                <w:sz w:val="18"/>
                <w:szCs w:val="18"/>
                <w:color w:val="auto"/>
                <w:w w:val="99"/>
              </w:rPr>
              <w:t>$</w:t>
            </w:r>
          </w:p>
        </w:tc>
        <w:tc>
          <w:tcPr>
            <w:tcW w:w="1680" w:type="dxa"/>
            <w:vAlign w:val="bottom"/>
            <w:shd w:val="clear" w:color="auto" w:fill="DCE2EF"/>
          </w:tcPr>
          <w:p>
            <w:pPr>
              <w:jc w:val="right"/>
              <w:ind w:right="610"/>
              <w:spacing w:after="0"/>
              <w:rPr>
                <w:sz w:val="20"/>
                <w:szCs w:val="20"/>
                <w:color w:val="auto"/>
              </w:rPr>
            </w:pPr>
            <w:r>
              <w:rPr>
                <w:rFonts w:ascii="Arial" w:cs="Arial" w:eastAsia="Arial" w:hAnsi="Arial"/>
                <w:sz w:val="18"/>
                <w:szCs w:val="18"/>
                <w:color w:val="auto"/>
              </w:rPr>
              <w:t>13.5</w:t>
            </w:r>
          </w:p>
        </w:tc>
        <w:tc>
          <w:tcPr>
            <w:tcW w:w="1340" w:type="dxa"/>
            <w:vAlign w:val="bottom"/>
            <w:shd w:val="clear" w:color="auto" w:fill="DCE2EF"/>
          </w:tcPr>
          <w:p>
            <w:pPr>
              <w:jc w:val="right"/>
              <w:ind w:right="570"/>
              <w:spacing w:after="0"/>
              <w:rPr>
                <w:sz w:val="20"/>
                <w:szCs w:val="20"/>
                <w:color w:val="auto"/>
              </w:rPr>
            </w:pPr>
            <w:r>
              <w:rPr>
                <w:rFonts w:ascii="Arial" w:cs="Arial" w:eastAsia="Arial" w:hAnsi="Arial"/>
                <w:sz w:val="18"/>
                <w:szCs w:val="18"/>
                <w:color w:val="auto"/>
              </w:rPr>
              <w:t>19.0%</w:t>
            </w:r>
          </w:p>
        </w:tc>
      </w:tr>
    </w:tbl>
    <w:p>
      <w:pPr>
        <w:spacing w:after="0" w:line="161" w:lineRule="exact"/>
        <w:rPr>
          <w:sz w:val="20"/>
          <w:szCs w:val="20"/>
          <w:color w:val="auto"/>
        </w:rPr>
      </w:pPr>
    </w:p>
    <w:p>
      <w:pPr>
        <w:jc w:val="both"/>
        <w:ind w:right="20" w:firstLine="648"/>
        <w:spacing w:after="0" w:line="262" w:lineRule="auto"/>
        <w:rPr>
          <w:sz w:val="20"/>
          <w:szCs w:val="20"/>
          <w:color w:val="auto"/>
        </w:rPr>
      </w:pPr>
      <w:r>
        <w:rPr>
          <w:rFonts w:ascii="Arial" w:cs="Arial" w:eastAsia="Arial" w:hAnsi="Arial"/>
          <w:sz w:val="18"/>
          <w:szCs w:val="18"/>
          <w:color w:val="auto"/>
        </w:rPr>
        <w:t>Corporate expenses increased by $13.5 million, or 19.0%, during the six months ended April 30, 2018, as compared to the six months ended April 30, 2017. The increase in corporate expenses was primarily related to:</w:t>
      </w:r>
    </w:p>
    <w:p>
      <w:pPr>
        <w:spacing w:after="0" w:line="142" w:lineRule="exact"/>
        <w:rPr>
          <w:sz w:val="20"/>
          <w:szCs w:val="20"/>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$8.8 million higher restructuring and related costs as a result of the GCA acquisition;</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 $6.2 million increase in technology investments;</w:t>
      </w:r>
    </w:p>
    <w:p>
      <w:pPr>
        <w:spacing w:after="0" w:line="149" w:lineRule="exact"/>
        <w:rPr>
          <w:rFonts w:ascii="Arial" w:cs="Arial" w:eastAsia="Arial" w:hAnsi="Arial"/>
          <w:sz w:val="18"/>
          <w:szCs w:val="18"/>
          <w:color w:val="auto"/>
        </w:rPr>
      </w:pPr>
    </w:p>
    <w:p>
      <w:pPr>
        <w:ind w:left="660" w:hanging="328"/>
        <w:spacing w:after="0" w:line="287" w:lineRule="auto"/>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 xml:space="preserve">$2.9 million higher compensation and related expenses primarily related to hiring additional personnel to support our </w:t>
      </w:r>
      <w:r>
        <w:rPr>
          <w:rFonts w:ascii="Arial" w:cs="Arial" w:eastAsia="Arial" w:hAnsi="Arial"/>
          <w:sz w:val="18"/>
          <w:szCs w:val="18"/>
          <w:b w:val="1"/>
          <w:bCs w:val="1"/>
          <w:color w:val="FF9900"/>
        </w:rPr>
        <w:t>2020</w:t>
      </w:r>
      <w:r>
        <w:rPr>
          <w:rFonts w:ascii="Arial" w:cs="Arial" w:eastAsia="Arial" w:hAnsi="Arial"/>
          <w:sz w:val="18"/>
          <w:szCs w:val="18"/>
          <w:color w:val="auto"/>
        </w:rPr>
        <w:t xml:space="preserve"> </w:t>
      </w:r>
      <w:r>
        <w:rPr>
          <w:rFonts w:ascii="Arial" w:cs="Arial" w:eastAsia="Arial" w:hAnsi="Arial"/>
          <w:sz w:val="18"/>
          <w:szCs w:val="18"/>
          <w:b w:val="1"/>
          <w:bCs w:val="1"/>
          <w:color w:val="0070C0"/>
        </w:rPr>
        <w:t>Vision</w:t>
      </w:r>
      <w:r>
        <w:rPr>
          <w:rFonts w:ascii="Arial" w:cs="Arial" w:eastAsia="Arial" w:hAnsi="Arial"/>
          <w:sz w:val="18"/>
          <w:szCs w:val="18"/>
          <w:color w:val="auto"/>
        </w:rPr>
        <w:t xml:space="preserve"> initiatives, which was reduced by a reversal of certain incentive plans;</w:t>
      </w:r>
    </w:p>
    <w:p>
      <w:pPr>
        <w:spacing w:after="0" w:line="121" w:lineRule="exact"/>
        <w:rPr>
          <w:rFonts w:ascii="Arial" w:cs="Arial" w:eastAsia="Arial" w:hAnsi="Arial"/>
          <w:sz w:val="18"/>
          <w:szCs w:val="18"/>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 $1.6 million increase in legal settlement costs; and</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$1.2 million of acquisition costs related to the GCA acquisition.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This increase was partially offset by:</w:t>
      </w:r>
    </w:p>
    <w:p>
      <w:pPr>
        <w:spacing w:after="0" w:line="171" w:lineRule="exact"/>
        <w:rPr>
          <w:sz w:val="20"/>
          <w:szCs w:val="20"/>
          <w:color w:val="auto"/>
        </w:rPr>
      </w:pPr>
    </w:p>
    <w:p>
      <w:pPr>
        <w:ind w:left="660" w:hanging="328"/>
        <w:spacing w:after="0" w:line="262" w:lineRule="auto"/>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 $6.0 million lower adjustment to self-insurance reserves related to prior year claims as a result of an actuarial review completed in the three months ended January 31, 2018; and</w:t>
      </w:r>
    </w:p>
    <w:p>
      <w:pPr>
        <w:spacing w:after="0" w:line="142" w:lineRule="exact"/>
        <w:rPr>
          <w:rFonts w:ascii="Arial" w:cs="Arial" w:eastAsia="Arial" w:hAnsi="Arial"/>
          <w:sz w:val="18"/>
          <w:szCs w:val="18"/>
          <w:color w:val="auto"/>
        </w:rPr>
      </w:pPr>
    </w:p>
    <w:p>
      <w:pPr>
        <w:ind w:left="660" w:hanging="328"/>
        <w:spacing w:after="0" w:line="262" w:lineRule="auto"/>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 $2.8 million decrease in medical and dental insurance expense as a result of actuarial evaluations performed in the three months ended April 30, 2018.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20"/>
          </w:cols>
          <w:pgMar w:left="240" w:top="697" w:right="239" w:bottom="1440" w:gutter="0" w:footer="0" w:header="0"/>
        </w:sectPr>
      </w:pPr>
    </w:p>
    <w:bookmarkStart w:id="43" w:name="page44"/>
    <w:bookmarkEnd w:id="43"/>
    <w:p>
      <w:pPr>
        <w:ind w:left="40"/>
        <w:spacing w:after="0"/>
        <w:rPr>
          <w:sz w:val="20"/>
          <w:szCs w:val="20"/>
          <w:color w:val="auto"/>
        </w:rPr>
      </w:pPr>
      <w:r>
        <w:rPr>
          <w:rFonts w:ascii="Arial" w:cs="Arial" w:eastAsia="Arial" w:hAnsi="Arial"/>
          <w:sz w:val="18"/>
          <w:szCs w:val="18"/>
          <w:b w:val="1"/>
          <w:bCs w:val="1"/>
          <w:color w:val="0046AD"/>
        </w:rPr>
        <w:t>Liquidity and Capital Resources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28575</wp:posOffset>
            </wp:positionV>
            <wp:extent cx="724662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54"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color w:val="auto"/>
        </w:rPr>
        <w:t>Our primary sources of liquidity are operating cash flows and borrowing capacity under our credit facility. We assess our liquidity in terms of our ability to generate cash to fund our short- and long-term cash requirements. As such, we project our anticipated cash requirements as well as cash flows generated from operating activities to meet those needs.</w:t>
      </w:r>
    </w:p>
    <w:p>
      <w:pPr>
        <w:spacing w:after="0" w:line="202"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color w:val="auto"/>
        </w:rPr>
        <w:t>In addition to normal working capital requirements, we anticipate that our short- and long-term cash requirements will include funding legal settlements, insurance claims, dividend payments, capital expenditures, and integration costs related to the GCA acquisition. We anticipate long-term cash uses will also include strategic acquisitions and share repurchases.</w:t>
      </w:r>
    </w:p>
    <w:p>
      <w:pPr>
        <w:spacing w:after="0" w:line="202"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We believe that our operating cash flows and borrowing capacity under our credit facility are sufficient to fund our cash requirements for the next twelve months. In the event that our plans change or our cash requirements are greater than we anticipate, we may need to access the capital markets to finance future cash requirements. However, there can be no assurance that such financing will be available to us should we need it or, if available, that the terms will be satisfactory to us and not dilutive to existing shareholders.</w:t>
      </w:r>
    </w:p>
    <w:p>
      <w:pPr>
        <w:spacing w:after="0" w:line="204"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color w:val="auto"/>
        </w:rPr>
        <w:t xml:space="preserve">On a long-term basis, we will continue to rely on our credit facility for working capital and long-term funding not provided by operating cash flows. In addition, we anticipate that future cash generated from operations will be augmented by working capital improvements driven by our </w:t>
      </w:r>
      <w:r>
        <w:rPr>
          <w:rFonts w:ascii="Arial" w:cs="Arial" w:eastAsia="Arial" w:hAnsi="Arial"/>
          <w:sz w:val="18"/>
          <w:szCs w:val="18"/>
          <w:b w:val="1"/>
          <w:bCs w:val="1"/>
          <w:color w:val="FF9900"/>
        </w:rPr>
        <w:t>2020</w:t>
      </w:r>
      <w:r>
        <w:rPr>
          <w:rFonts w:ascii="Arial" w:cs="Arial" w:eastAsia="Arial" w:hAnsi="Arial"/>
          <w:sz w:val="18"/>
          <w:szCs w:val="18"/>
          <w:color w:val="auto"/>
        </w:rPr>
        <w:t xml:space="preserve"> </w:t>
      </w:r>
      <w:r>
        <w:rPr>
          <w:rFonts w:ascii="Arial" w:cs="Arial" w:eastAsia="Arial" w:hAnsi="Arial"/>
          <w:sz w:val="18"/>
          <w:szCs w:val="18"/>
          <w:b w:val="1"/>
          <w:bCs w:val="1"/>
          <w:color w:val="0070C0"/>
        </w:rPr>
        <w:t>Vision</w:t>
      </w:r>
      <w:r>
        <w:rPr>
          <w:rFonts w:ascii="Arial" w:cs="Arial" w:eastAsia="Arial" w:hAnsi="Arial"/>
          <w:sz w:val="18"/>
          <w:szCs w:val="18"/>
          <w:color w:val="auto"/>
        </w:rPr>
        <w:t>, such as the management of costs through consolidated procurement.</w:t>
      </w:r>
    </w:p>
    <w:p>
      <w:pPr>
        <w:spacing w:after="0" w:line="202"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IFM Assurance Company (“IFM”) is a wholly-owned captive insurance company that we formed in 2015. IFM is part of our enterprise-wide, multi-year insurance strategy that is intended to better position our risk and safety programs and provide us with increased flexibility in the end-to-end management of our insurance programs. IFM began providing coverage to us as of January 1, 2015. In 2018, we expect accelerated cash tax savings related to coverage provided by IFM will be between $5 million and $10 million.</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0046AD"/>
        </w:rPr>
        <w:t>Credit Facility</w:t>
      </w:r>
    </w:p>
    <w:p>
      <w:pPr>
        <w:spacing w:after="0" w:line="193"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On September 1, 2017, we refinanced and replaced our then-existing $800.0 million credit facility with a new senior, secured five-year syndicated credit facility (the “Credit Facility”), consisting of a $900.0 million revolving line of credit and an $800.0 million amortizing term loan, scheduled to mature on September 1, 2022. The line of credit reduces to $800.0 million after one year. Initial borrowings under the Credit Facility were used to finance, in part, the cash portion of the purchase price related to the GCA acquisition, to refinance certain existing indebtedness of ABM, and to pay transaction costs.</w:t>
      </w:r>
    </w:p>
    <w:p>
      <w:pPr>
        <w:spacing w:after="0" w:line="152"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Our ability to draw down available capacity under the Credit Facility is subject to, and limited by, compliance with certain financial covenants, which include a maximum leverage ratio of 4.75 to 1.0 that steps down to 3.50 to 1.0 by July 2020 and a minimum fixed charge coverage ratio of 1.50 to 1.0. Other covenants under the Credit Facility include limitations on liens, dispositions, fundamental changes, investments, and certain transactions and payments. At April 30, 2018, we were in compliance with these covenants and expect to be in compliance in the foreseeable future.</w:t>
      </w:r>
    </w:p>
    <w:p>
      <w:pPr>
        <w:spacing w:after="0" w:line="152"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During the first quarter, we made $20.0 million of principal payments under the Credit Facility. At April 30, 2018, the total outstanding amounts under the Credit Facility in the form of cash borrowings and standby letters of credit were $1.1 billion and $145.5 million, respectively. At April 30, 2018, we had up to $404.5 million of borrowing capacity under the Credit Facility, however covenant restrictions limited our actual borrowing capacity to $313.4 million.</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0046AD"/>
        </w:rPr>
        <w:t>Reinvestment of Foreign Earnings</w:t>
      </w:r>
    </w:p>
    <w:p>
      <w:pPr>
        <w:spacing w:after="0" w:line="193"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color w:val="auto"/>
        </w:rPr>
        <w:t>We plan to reinvest our foreign earnings to fund future non-U.S. growth and expansion, and we do not anticipate remitting such earnings to the United States. While U.S. federal tax expense has been recognized as a result of the Tax Act, no deferred tax liabilities with respect to state income taxes or foreign withholding taxes have been recognized.</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20"/>
          </w:cols>
          <w:pgMar w:left="240" w:top="684" w:right="239" w:bottom="1440" w:gutter="0" w:footer="0" w:header="0"/>
        </w:sectPr>
      </w:pPr>
    </w:p>
    <w:bookmarkStart w:id="44" w:name="page45"/>
    <w:bookmarkEnd w:id="44"/>
    <w:p>
      <w:pPr>
        <w:spacing w:after="0"/>
        <w:rPr>
          <w:sz w:val="20"/>
          <w:szCs w:val="20"/>
          <w:color w:val="auto"/>
        </w:rPr>
      </w:pPr>
      <w:r>
        <w:rPr>
          <w:rFonts w:ascii="Arial" w:cs="Arial" w:eastAsia="Arial" w:hAnsi="Arial"/>
          <w:sz w:val="18"/>
          <w:szCs w:val="18"/>
          <w:b w:val="1"/>
          <w:bCs w:val="1"/>
          <w:i w:val="1"/>
          <w:iCs w:val="1"/>
          <w:color w:val="0046AD"/>
        </w:rPr>
        <w:t>Share Repurchases</w:t>
      </w:r>
    </w:p>
    <w:p>
      <w:pPr>
        <w:spacing w:after="0" w:line="193"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8"/>
          <w:szCs w:val="18"/>
          <w:color w:val="auto"/>
        </w:rPr>
        <w:t>On September 2, 2015, our Board of Directors authorized a program to repurchase up to $200.0 million of our common stock. Purchases may take place on the open market or otherwise, and all or part of the repurchases may be made pursuant to Rule 10b5-1 plans or in privately negotiated transactions. The timing of repurchases is at our discretion and will depend upon several factors, including market and business conditions, future cash flows, share price, and share availability. Repurchased shares are retired and returned to an authorized but unissued status. The repurchase program may be suspended or discontinued at any time without prior notice. There were no share repurchases during the six months ended April 30, 2018. At April 30, 2018, authorization for $134.1 million of repurchases remained under our share repurchase program. Additional repurchases are not likely in the near future.</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0046AD"/>
        </w:rPr>
        <w:t>Cash Flows</w:t>
      </w:r>
    </w:p>
    <w:p>
      <w:pPr>
        <w:spacing w:after="0" w:line="193"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In addition to revenues and operating profit, our management views operating cash flows as a good indicator of financial performance, because strong operating cash flows provide opportunities for growth both organically and through acquisitions. Net cash provided by operating activities was $133.3 million during the six months ended April 30, 2018. Operating cash flows primarily depend on: revenue levels; the quality and timing of collections of accounts receivable; the timing of payments to suppliers and other vendors; the timing and amount of income tax payments; and the timing and amount of payments on insurance claims and legal settlements.</w:t>
      </w:r>
    </w:p>
    <w:p>
      <w:pPr>
        <w:spacing w:after="0" w:line="292" w:lineRule="exact"/>
        <w:rPr>
          <w:sz w:val="20"/>
          <w:szCs w:val="20"/>
          <w:color w:val="auto"/>
        </w:rPr>
      </w:pPr>
    </w:p>
    <w:p>
      <w:pPr>
        <w:ind w:left="8420"/>
        <w:spacing w:after="0"/>
        <w:rPr>
          <w:sz w:val="20"/>
          <w:szCs w:val="20"/>
          <w:color w:val="auto"/>
        </w:rPr>
      </w:pPr>
      <w:r>
        <w:rPr>
          <w:rFonts w:ascii="Arial" w:cs="Arial" w:eastAsia="Arial" w:hAnsi="Arial"/>
          <w:sz w:val="18"/>
          <w:szCs w:val="18"/>
          <w:b w:val="1"/>
          <w:bCs w:val="1"/>
          <w:color w:val="auto"/>
        </w:rPr>
        <w:t>Six Months Ended April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4910455</wp:posOffset>
            </wp:positionH>
            <wp:positionV relativeFrom="paragraph">
              <wp:posOffset>28575</wp:posOffset>
            </wp:positionV>
            <wp:extent cx="232410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2324100" cy="8890"/>
                    </a:xfrm>
                    <a:prstGeom prst="rect">
                      <a:avLst/>
                    </a:prstGeom>
                    <a:noFill/>
                  </pic:spPr>
                </pic:pic>
              </a:graphicData>
            </a:graphic>
          </wp:anchor>
        </w:drawing>
      </w:r>
    </w:p>
    <w:p>
      <w:pPr>
        <w:spacing w:after="0" w:line="57"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7740" w:type="dxa"/>
            <w:vAlign w:val="bottom"/>
            <w:gridSpan w:val="3"/>
          </w:tcPr>
          <w:p>
            <w:pPr>
              <w:ind w:left="40"/>
              <w:spacing w:after="0"/>
              <w:rPr>
                <w:sz w:val="20"/>
                <w:szCs w:val="20"/>
                <w:color w:val="auto"/>
              </w:rPr>
            </w:pPr>
            <w:r>
              <w:rPr>
                <w:rFonts w:ascii="Arial" w:cs="Arial" w:eastAsia="Arial" w:hAnsi="Arial"/>
                <w:sz w:val="14"/>
                <w:szCs w:val="14"/>
                <w:i w:val="1"/>
                <w:iCs w:val="1"/>
                <w:color w:val="auto"/>
              </w:rPr>
              <w:t>(in millions)</w:t>
            </w:r>
          </w:p>
        </w:tc>
        <w:tc>
          <w:tcPr>
            <w:tcW w:w="380" w:type="dxa"/>
            <w:vAlign w:val="bottom"/>
          </w:tcPr>
          <w:p>
            <w:pPr>
              <w:spacing w:after="0"/>
              <w:rPr>
                <w:sz w:val="18"/>
                <w:szCs w:val="18"/>
                <w:color w:val="auto"/>
              </w:rPr>
            </w:pPr>
          </w:p>
        </w:tc>
        <w:tc>
          <w:tcPr>
            <w:tcW w:w="1320" w:type="dxa"/>
            <w:vAlign w:val="bottom"/>
          </w:tcPr>
          <w:p>
            <w:pPr>
              <w:jc w:val="right"/>
              <w:ind w:right="550"/>
              <w:spacing w:after="0"/>
              <w:rPr>
                <w:sz w:val="20"/>
                <w:szCs w:val="20"/>
                <w:color w:val="auto"/>
              </w:rPr>
            </w:pPr>
            <w:r>
              <w:rPr>
                <w:rFonts w:ascii="Arial" w:cs="Arial" w:eastAsia="Arial" w:hAnsi="Arial"/>
                <w:sz w:val="18"/>
                <w:szCs w:val="18"/>
                <w:b w:val="1"/>
                <w:bCs w:val="1"/>
                <w:color w:val="auto"/>
              </w:rPr>
              <w:t>2018</w:t>
            </w: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20" w:type="dxa"/>
            <w:vAlign w:val="bottom"/>
          </w:tcPr>
          <w:p>
            <w:pPr>
              <w:jc w:val="right"/>
              <w:ind w:right="630"/>
              <w:spacing w:after="0"/>
              <w:rPr>
                <w:sz w:val="20"/>
                <w:szCs w:val="20"/>
                <w:color w:val="auto"/>
              </w:rPr>
            </w:pPr>
            <w:r>
              <w:rPr>
                <w:rFonts w:ascii="Arial" w:cs="Arial" w:eastAsia="Arial" w:hAnsi="Arial"/>
                <w:sz w:val="18"/>
                <w:szCs w:val="18"/>
                <w:b w:val="1"/>
                <w:bCs w:val="1"/>
                <w:color w:val="auto"/>
              </w:rPr>
              <w:t>2017</w:t>
            </w:r>
          </w:p>
        </w:tc>
      </w:tr>
      <w:tr>
        <w:trPr>
          <w:trHeight w:val="21"/>
        </w:trPr>
        <w:tc>
          <w:tcPr>
            <w:tcW w:w="40" w:type="dxa"/>
            <w:vAlign w:val="bottom"/>
            <w:tcBorders>
              <w:bottom w:val="single" w:sz="8" w:color="DCE2EF"/>
            </w:tcBorders>
          </w:tcPr>
          <w:p>
            <w:pPr>
              <w:spacing w:after="0" w:line="20" w:lineRule="exact"/>
              <w:rPr>
                <w:sz w:val="1"/>
                <w:szCs w:val="1"/>
                <w:color w:val="auto"/>
              </w:rPr>
            </w:pPr>
          </w:p>
        </w:tc>
        <w:tc>
          <w:tcPr>
            <w:tcW w:w="700" w:type="dxa"/>
            <w:vAlign w:val="bottom"/>
            <w:tcBorders>
              <w:top w:val="single" w:sz="8" w:color="auto"/>
              <w:bottom w:val="single" w:sz="8" w:color="DCE2EF"/>
            </w:tcBorders>
          </w:tcPr>
          <w:p>
            <w:pPr>
              <w:spacing w:after="0" w:line="20" w:lineRule="exact"/>
              <w:rPr>
                <w:sz w:val="1"/>
                <w:szCs w:val="1"/>
                <w:color w:val="auto"/>
              </w:rPr>
            </w:pPr>
          </w:p>
        </w:tc>
        <w:tc>
          <w:tcPr>
            <w:tcW w:w="7000" w:type="dxa"/>
            <w:vAlign w:val="bottom"/>
            <w:tcBorders>
              <w:bottom w:val="single" w:sz="8" w:color="DCE2E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DCE2E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r>
      <w:tr>
        <w:trPr>
          <w:trHeight w:val="230"/>
        </w:trPr>
        <w:tc>
          <w:tcPr>
            <w:tcW w:w="40" w:type="dxa"/>
            <w:vAlign w:val="bottom"/>
            <w:tcBorders>
              <w:bottom w:val="single" w:sz="8" w:color="DCE2EF"/>
            </w:tcBorders>
            <w:shd w:val="clear" w:color="auto" w:fill="DCE2EF"/>
          </w:tcPr>
          <w:p>
            <w:pPr>
              <w:spacing w:after="0"/>
              <w:rPr>
                <w:sz w:val="20"/>
                <w:szCs w:val="20"/>
                <w:color w:val="auto"/>
              </w:rPr>
            </w:pPr>
          </w:p>
        </w:tc>
        <w:tc>
          <w:tcPr>
            <w:tcW w:w="7700" w:type="dxa"/>
            <w:vAlign w:val="bottom"/>
            <w:tcBorders>
              <w:bottom w:val="single" w:sz="8" w:color="DCE2EF"/>
            </w:tcBorders>
            <w:gridSpan w:val="2"/>
            <w:shd w:val="clear" w:color="auto" w:fill="DCE2EF"/>
          </w:tcPr>
          <w:p>
            <w:pPr>
              <w:spacing w:after="0"/>
              <w:rPr>
                <w:sz w:val="20"/>
                <w:szCs w:val="20"/>
                <w:color w:val="auto"/>
              </w:rPr>
            </w:pPr>
            <w:r>
              <w:rPr>
                <w:rFonts w:ascii="Arial" w:cs="Arial" w:eastAsia="Arial" w:hAnsi="Arial"/>
                <w:sz w:val="18"/>
                <w:szCs w:val="18"/>
                <w:color w:val="auto"/>
                <w:shd w:val="clear" w:color="auto" w:fill="DCE2EF"/>
              </w:rPr>
              <w:t>Net cash provided by operating activities</w:t>
            </w:r>
          </w:p>
        </w:tc>
        <w:tc>
          <w:tcPr>
            <w:tcW w:w="380" w:type="dxa"/>
            <w:vAlign w:val="bottom"/>
            <w:tcBorders>
              <w:bottom w:val="single" w:sz="8" w:color="DCE2EF"/>
            </w:tcBorders>
            <w:shd w:val="clear" w:color="auto" w:fill="DCE2EF"/>
          </w:tcPr>
          <w:p>
            <w:pPr>
              <w:jc w:val="right"/>
              <w:ind w:right="17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DCE2EF"/>
            </w:tcBorders>
            <w:shd w:val="clear" w:color="auto" w:fill="DCE2EF"/>
          </w:tcPr>
          <w:p>
            <w:pPr>
              <w:jc w:val="right"/>
              <w:ind w:right="10"/>
              <w:spacing w:after="0"/>
              <w:rPr>
                <w:sz w:val="20"/>
                <w:szCs w:val="20"/>
                <w:color w:val="auto"/>
              </w:rPr>
            </w:pPr>
            <w:r>
              <w:rPr>
                <w:rFonts w:ascii="Arial" w:cs="Arial" w:eastAsia="Arial" w:hAnsi="Arial"/>
                <w:sz w:val="18"/>
                <w:szCs w:val="18"/>
                <w:color w:val="auto"/>
              </w:rPr>
              <w:t>133.3</w:t>
            </w:r>
          </w:p>
        </w:tc>
        <w:tc>
          <w:tcPr>
            <w:tcW w:w="120" w:type="dxa"/>
            <w:vAlign w:val="bottom"/>
            <w:tcBorders>
              <w:bottom w:val="single" w:sz="8" w:color="DCE2EF"/>
            </w:tcBorders>
            <w:shd w:val="clear" w:color="auto" w:fill="DCE2EF"/>
          </w:tcPr>
          <w:p>
            <w:pPr>
              <w:spacing w:after="0"/>
              <w:rPr>
                <w:sz w:val="20"/>
                <w:szCs w:val="20"/>
                <w:color w:val="auto"/>
              </w:rPr>
            </w:pPr>
          </w:p>
        </w:tc>
        <w:tc>
          <w:tcPr>
            <w:tcW w:w="420" w:type="dxa"/>
            <w:vAlign w:val="bottom"/>
            <w:tcBorders>
              <w:bottom w:val="single" w:sz="8" w:color="DCE2EF"/>
            </w:tcBorders>
            <w:shd w:val="clear" w:color="auto" w:fill="DCE2EF"/>
          </w:tcPr>
          <w:p>
            <w:pPr>
              <w:jc w:val="right"/>
              <w:ind w:right="210"/>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DCE2EF"/>
            </w:tcBorders>
            <w:shd w:val="clear" w:color="auto" w:fill="DCE2EF"/>
          </w:tcPr>
          <w:p>
            <w:pPr>
              <w:jc w:val="right"/>
              <w:ind w:right="30"/>
              <w:spacing w:after="0"/>
              <w:rPr>
                <w:sz w:val="20"/>
                <w:szCs w:val="20"/>
                <w:color w:val="auto"/>
              </w:rPr>
            </w:pPr>
            <w:r>
              <w:rPr>
                <w:rFonts w:ascii="Arial" w:cs="Arial" w:eastAsia="Arial" w:hAnsi="Arial"/>
                <w:sz w:val="18"/>
                <w:szCs w:val="18"/>
                <w:color w:val="auto"/>
              </w:rPr>
              <w:t>48.1</w:t>
            </w:r>
          </w:p>
        </w:tc>
      </w:tr>
      <w:tr>
        <w:trPr>
          <w:trHeight w:val="263"/>
        </w:trPr>
        <w:tc>
          <w:tcPr>
            <w:tcW w:w="7740" w:type="dxa"/>
            <w:vAlign w:val="bottom"/>
            <w:gridSpan w:val="3"/>
          </w:tcPr>
          <w:p>
            <w:pPr>
              <w:ind w:left="40"/>
              <w:spacing w:after="0"/>
              <w:rPr>
                <w:sz w:val="20"/>
                <w:szCs w:val="20"/>
                <w:color w:val="auto"/>
              </w:rPr>
            </w:pPr>
            <w:r>
              <w:rPr>
                <w:rFonts w:ascii="Arial" w:cs="Arial" w:eastAsia="Arial" w:hAnsi="Arial"/>
                <w:sz w:val="18"/>
                <w:szCs w:val="18"/>
                <w:color w:val="auto"/>
              </w:rPr>
              <w:t>Net cash used in investing activities</w:t>
            </w:r>
          </w:p>
        </w:tc>
        <w:tc>
          <w:tcPr>
            <w:tcW w:w="380" w:type="dxa"/>
            <w:vAlign w:val="bottom"/>
          </w:tcPr>
          <w:p>
            <w:pPr>
              <w:spacing w:after="0"/>
              <w:rPr>
                <w:sz w:val="22"/>
                <w:szCs w:val="22"/>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(24.4)</w:t>
            </w:r>
          </w:p>
        </w:tc>
        <w:tc>
          <w:tcPr>
            <w:tcW w:w="12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(46.0)</w:t>
            </w:r>
          </w:p>
        </w:tc>
      </w:tr>
      <w:tr>
        <w:trPr>
          <w:trHeight w:val="277"/>
        </w:trPr>
        <w:tc>
          <w:tcPr>
            <w:tcW w:w="7740" w:type="dxa"/>
            <w:vAlign w:val="bottom"/>
            <w:gridSpan w:val="3"/>
            <w:shd w:val="clear" w:color="auto" w:fill="DCE2EF"/>
          </w:tcPr>
          <w:p>
            <w:pPr>
              <w:ind w:left="40"/>
              <w:spacing w:after="0"/>
              <w:rPr>
                <w:sz w:val="20"/>
                <w:szCs w:val="20"/>
                <w:color w:val="auto"/>
              </w:rPr>
            </w:pPr>
            <w:r>
              <w:rPr>
                <w:rFonts w:ascii="Arial" w:cs="Arial" w:eastAsia="Arial" w:hAnsi="Arial"/>
                <w:sz w:val="18"/>
                <w:szCs w:val="18"/>
                <w:color w:val="auto"/>
              </w:rPr>
              <w:t>Net cash used in financing activities</w:t>
            </w:r>
          </w:p>
        </w:tc>
        <w:tc>
          <w:tcPr>
            <w:tcW w:w="380" w:type="dxa"/>
            <w:vAlign w:val="bottom"/>
            <w:shd w:val="clear" w:color="auto" w:fill="DCE2EF"/>
          </w:tcPr>
          <w:p>
            <w:pPr>
              <w:spacing w:after="0"/>
              <w:rPr>
                <w:sz w:val="24"/>
                <w:szCs w:val="24"/>
                <w:color w:val="auto"/>
              </w:rPr>
            </w:pPr>
          </w:p>
        </w:tc>
        <w:tc>
          <w:tcPr>
            <w:tcW w:w="1320" w:type="dxa"/>
            <w:vAlign w:val="bottom"/>
            <w:shd w:val="clear" w:color="auto" w:fill="DCE2EF"/>
          </w:tcPr>
          <w:p>
            <w:pPr>
              <w:jc w:val="right"/>
              <w:spacing w:after="0"/>
              <w:rPr>
                <w:sz w:val="20"/>
                <w:szCs w:val="20"/>
                <w:color w:val="auto"/>
              </w:rPr>
            </w:pPr>
            <w:r>
              <w:rPr>
                <w:rFonts w:ascii="Arial" w:cs="Arial" w:eastAsia="Arial" w:hAnsi="Arial"/>
                <w:sz w:val="18"/>
                <w:szCs w:val="18"/>
                <w:color w:val="auto"/>
              </w:rPr>
              <w:t>(102.7)</w:t>
            </w:r>
          </w:p>
        </w:tc>
        <w:tc>
          <w:tcPr>
            <w:tcW w:w="120" w:type="dxa"/>
            <w:vAlign w:val="bottom"/>
            <w:shd w:val="clear" w:color="auto" w:fill="DCE2EF"/>
          </w:tcPr>
          <w:p>
            <w:pPr>
              <w:spacing w:after="0"/>
              <w:rPr>
                <w:sz w:val="24"/>
                <w:szCs w:val="24"/>
                <w:color w:val="auto"/>
              </w:rPr>
            </w:pPr>
          </w:p>
        </w:tc>
        <w:tc>
          <w:tcPr>
            <w:tcW w:w="420" w:type="dxa"/>
            <w:vAlign w:val="bottom"/>
            <w:shd w:val="clear" w:color="auto" w:fill="DCE2EF"/>
          </w:tcPr>
          <w:p>
            <w:pPr>
              <w:spacing w:after="0"/>
              <w:rPr>
                <w:sz w:val="24"/>
                <w:szCs w:val="24"/>
                <w:color w:val="auto"/>
              </w:rPr>
            </w:pPr>
          </w:p>
        </w:tc>
        <w:tc>
          <w:tcPr>
            <w:tcW w:w="1420" w:type="dxa"/>
            <w:vAlign w:val="bottom"/>
            <w:shd w:val="clear" w:color="auto" w:fill="DCE2EF"/>
          </w:tcPr>
          <w:p>
            <w:pPr>
              <w:jc w:val="right"/>
              <w:spacing w:after="0"/>
              <w:rPr>
                <w:sz w:val="20"/>
                <w:szCs w:val="20"/>
                <w:color w:val="auto"/>
              </w:rPr>
            </w:pPr>
            <w:r>
              <w:rPr>
                <w:rFonts w:ascii="Arial" w:cs="Arial" w:eastAsia="Arial" w:hAnsi="Arial"/>
                <w:sz w:val="18"/>
                <w:szCs w:val="18"/>
                <w:color w:val="auto"/>
              </w:rPr>
              <w:t>(0.5)</w:t>
            </w:r>
          </w:p>
        </w:tc>
      </w:tr>
    </w:tbl>
    <w:p>
      <w:pPr>
        <w:spacing w:after="0" w:line="143"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Operating Activities</w:t>
      </w:r>
    </w:p>
    <w:p>
      <w:pPr>
        <w:spacing w:after="0" w:line="189"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color w:val="auto"/>
        </w:rPr>
        <w:t>Net cash provided by operating activities increased by $85.2 million during the six months ended April 30, 2018, as compared to the six months ended April 30, 2017. This increase was primarily related to the timing of client receivable collections and proceeds from the termination of our interest rate swaps. This increase was partially offset by the timing of vendor payments.</w:t>
      </w:r>
    </w:p>
    <w:p>
      <w:pPr>
        <w:spacing w:after="0" w:line="130"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Investing Activities</w:t>
      </w:r>
    </w:p>
    <w:p>
      <w:pPr>
        <w:spacing w:after="0" w:line="189"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color w:val="auto"/>
        </w:rPr>
        <w:t>Net cash used in investing activities decreased by $ 21.6 million during the six months ended April 30, 2018, as compared to the six months ended April 30, 2017. The decrease was primarily related to an $18.6 million year-over-year decrease in cash paid, net of cash acquired, for acquisitions.</w:t>
      </w:r>
    </w:p>
    <w:p>
      <w:pPr>
        <w:spacing w:after="0" w:line="130"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Financing Activities</w:t>
      </w:r>
    </w:p>
    <w:p>
      <w:pPr>
        <w:spacing w:after="0" w:line="189" w:lineRule="exact"/>
        <w:rPr>
          <w:sz w:val="20"/>
          <w:szCs w:val="20"/>
          <w:color w:val="auto"/>
        </w:rPr>
      </w:pPr>
    </w:p>
    <w:p>
      <w:pPr>
        <w:jc w:val="both"/>
        <w:ind w:firstLine="648"/>
        <w:spacing w:after="0" w:line="262" w:lineRule="auto"/>
        <w:rPr>
          <w:sz w:val="20"/>
          <w:szCs w:val="20"/>
          <w:color w:val="auto"/>
        </w:rPr>
      </w:pPr>
      <w:r>
        <w:rPr>
          <w:rFonts w:ascii="Arial" w:cs="Arial" w:eastAsia="Arial" w:hAnsi="Arial"/>
          <w:sz w:val="18"/>
          <w:szCs w:val="18"/>
          <w:color w:val="auto"/>
        </w:rPr>
        <w:t>Net cash used in financing activities increased by $102.2 million during the six months ended April 30, 2018, as compared to the six months ended April 30, 2017. This increase was primarily related to higher repayments of our borrowings of $82.1 million.</w:t>
      </w: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420"/>
          </w:cols>
          <w:pgMar w:left="240" w:top="522" w:right="239" w:bottom="1440" w:gutter="0" w:footer="0" w:header="0"/>
        </w:sectPr>
      </w:pPr>
    </w:p>
    <w:bookmarkStart w:id="45" w:name="page46"/>
    <w:bookmarkEnd w:id="45"/>
    <w:p>
      <w:pPr>
        <w:ind w:left="40"/>
        <w:spacing w:after="0"/>
        <w:rPr>
          <w:sz w:val="20"/>
          <w:szCs w:val="20"/>
          <w:color w:val="auto"/>
        </w:rPr>
      </w:pPr>
      <w:r>
        <w:rPr>
          <w:rFonts w:ascii="Arial" w:cs="Arial" w:eastAsia="Arial" w:hAnsi="Arial"/>
          <w:sz w:val="18"/>
          <w:szCs w:val="18"/>
          <w:b w:val="1"/>
          <w:bCs w:val="1"/>
          <w:color w:val="0046AD"/>
        </w:rPr>
        <w:t>Contingencies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28575</wp:posOffset>
            </wp:positionV>
            <wp:extent cx="724662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color w:val="auto"/>
        </w:rPr>
        <w:t>We are a party to a number of lawsuits, claims, and proceedings incident to the operation of our business, including those pertaining to labor and employment, contracts, personal injury, and other matters, some of which allege substantial monetary damages. Some of these actions may be brought as class actions on behalf of a class or purported class of employees.</w:t>
      </w:r>
    </w:p>
    <w:p>
      <w:pPr>
        <w:spacing w:after="0" w:line="148" w:lineRule="exact"/>
        <w:rPr>
          <w:sz w:val="20"/>
          <w:szCs w:val="20"/>
          <w:color w:val="auto"/>
        </w:rPr>
      </w:pPr>
    </w:p>
    <w:p>
      <w:pPr>
        <w:jc w:val="both"/>
        <w:ind w:firstLine="648"/>
        <w:spacing w:after="0" w:line="262" w:lineRule="auto"/>
        <w:rPr>
          <w:sz w:val="20"/>
          <w:szCs w:val="20"/>
          <w:color w:val="auto"/>
        </w:rPr>
      </w:pPr>
      <w:r>
        <w:rPr>
          <w:rFonts w:ascii="Arial" w:cs="Arial" w:eastAsia="Arial" w:hAnsi="Arial"/>
          <w:sz w:val="18"/>
          <w:szCs w:val="18"/>
          <w:color w:val="auto"/>
        </w:rPr>
        <w:t>At April 30, 2018, the total amount accrued for all probable litigation losses where a reasonable estimate of the loss could be made was $8.4 million.</w:t>
      </w:r>
    </w:p>
    <w:p>
      <w:pPr>
        <w:spacing w:after="0" w:line="142"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Litigation outcomes are difficult to predict and the estimation of probable losses requires the analysis of multiple possible outcomes that often depend on judgments about potential actions by third parties. If one or more matters are resolved in a particular period in an amount in excess of, or in a manner different than, what we anticipated, this could have a material adverse effect on our financial position, results of operations, or cash flows.</w:t>
      </w:r>
    </w:p>
    <w:p>
      <w:pPr>
        <w:spacing w:after="0" w:line="150"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We do not accrue for contingent losses that, in our judgment, are considered to be reasonably possible but not probable. The estimation of reasonably possible losses also requires the analysis of multiple possible outcomes that often depend on judgments about potential actions by third parties. Our management currently estimates the range of loss for all reasonably possible losses for which a reasonable estimate of the loss can be made is between zero and $5 million. Factors underlying this estimated range of loss may change from time to time, and actual results may vary significantly from this estimate.</w:t>
      </w:r>
    </w:p>
    <w:p>
      <w:pPr>
        <w:spacing w:after="0" w:line="152"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color w:val="auto"/>
        </w:rPr>
        <w:t>In some cases, although a loss is probable or reasonably possible, we cannot reasonably estimate the maximum potential losses for probable matters or the range of losses for reasonably possible matters. Therefore, our accrual for probable losses and our estimated range of loss for reasonably possible losses do not represent our maximum possible exposure.</w:t>
      </w:r>
    </w:p>
    <w:p>
      <w:pPr>
        <w:spacing w:after="0" w:line="14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For additional information about our contingencies, see Note 10, “Commitments and Contingencies,” in the Financial Statements.</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420"/>
          </w:cols>
          <w:pgMar w:left="240" w:top="684" w:right="239" w:bottom="1440" w:gutter="0" w:footer="0" w:header="0"/>
        </w:sectPr>
      </w:pPr>
    </w:p>
    <w:bookmarkStart w:id="46" w:name="page47"/>
    <w:bookmarkEnd w:id="46"/>
    <w:p>
      <w:pPr>
        <w:ind w:left="40"/>
        <w:spacing w:after="0"/>
        <w:rPr>
          <w:sz w:val="20"/>
          <w:szCs w:val="20"/>
          <w:color w:val="auto"/>
        </w:rPr>
      </w:pPr>
      <w:r>
        <w:rPr>
          <w:rFonts w:ascii="Arial" w:cs="Arial" w:eastAsia="Arial" w:hAnsi="Arial"/>
          <w:sz w:val="18"/>
          <w:szCs w:val="18"/>
          <w:b w:val="1"/>
          <w:bCs w:val="1"/>
          <w:color w:val="0046AD"/>
        </w:rPr>
        <w:t>Critical Accounting Policies and Estimates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28575</wp:posOffset>
            </wp:positionV>
            <wp:extent cx="724662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Our accompanying Financial Statements are prepared in accordance with United States generally accepted accounting principles (“U.S. GAAP”), which require us to make estimates in the application of our accounting policies based on the best assumptions, judgments, and opinions of our management. There have been no significant changes to our critical accounting policies and estimates. For a description of our critical accounting policies, see Item 7., “Management’s Discussion and Analysis of Financial Condition and Results of Operations,” in our Annual Report.</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0046AD"/>
        </w:rPr>
        <w:t>Recent Accounting Pronouncements</w:t>
      </w:r>
    </w:p>
    <w:p>
      <w:pPr>
        <w:sectPr>
          <w:pgSz w:w="11900" w:h="16838" w:orient="portrait"/>
          <w:cols w:equalWidth="0" w:num="1">
            <w:col w:w="11420"/>
          </w:cols>
          <w:pgMar w:left="240" w:top="684" w:right="239" w:bottom="1440" w:gutter="0" w:footer="0" w:header="0"/>
        </w:sectPr>
      </w:pPr>
    </w:p>
    <w:p>
      <w:pPr>
        <w:spacing w:after="0" w:line="335" w:lineRule="exact"/>
        <w:rPr>
          <w:sz w:val="20"/>
          <w:szCs w:val="20"/>
          <w:color w:val="auto"/>
        </w:rPr>
      </w:pPr>
    </w:p>
    <w:p>
      <w:pPr>
        <w:ind w:left="40"/>
        <w:spacing w:after="0"/>
        <w:rPr>
          <w:sz w:val="20"/>
          <w:szCs w:val="20"/>
          <w:color w:val="auto"/>
        </w:rPr>
      </w:pPr>
      <w:r>
        <w:rPr>
          <w:rFonts w:ascii="Arial" w:cs="Arial" w:eastAsia="Arial" w:hAnsi="Arial"/>
          <w:sz w:val="15"/>
          <w:szCs w:val="15"/>
          <w:b w:val="1"/>
          <w:bCs w:val="1"/>
          <w:color w:val="auto"/>
        </w:rPr>
        <w:t>Accounting Standard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24130</wp:posOffset>
            </wp:positionV>
            <wp:extent cx="144907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55" w:lineRule="exact"/>
        <w:rPr>
          <w:sz w:val="20"/>
          <w:szCs w:val="20"/>
          <w:color w:val="auto"/>
        </w:rPr>
      </w:pPr>
    </w:p>
    <w:p>
      <w:pPr>
        <w:ind w:left="40"/>
        <w:spacing w:after="0" w:line="231" w:lineRule="auto"/>
        <w:rPr>
          <w:sz w:val="20"/>
          <w:szCs w:val="20"/>
          <w:color w:val="auto"/>
        </w:rPr>
      </w:pPr>
      <w:r>
        <w:rPr>
          <w:rFonts w:ascii="Arial" w:cs="Arial" w:eastAsia="Arial" w:hAnsi="Arial"/>
          <w:sz w:val="15"/>
          <w:szCs w:val="15"/>
          <w:color w:val="auto"/>
        </w:rPr>
        <w:t xml:space="preserve">In March 2018, the Financial Accounting Standards Board (“FASB”) issued Accounting Standards Update (“ASU”) 2018-05, </w:t>
      </w:r>
      <w:r>
        <w:rPr>
          <w:rFonts w:ascii="Arial" w:cs="Arial" w:eastAsia="Arial" w:hAnsi="Arial"/>
          <w:sz w:val="15"/>
          <w:szCs w:val="15"/>
          <w:i w:val="1"/>
          <w:iCs w:val="1"/>
          <w:color w:val="auto"/>
        </w:rPr>
        <w:t>Income Taxes (Topic 740).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709930</wp:posOffset>
            </wp:positionV>
            <wp:extent cx="144907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4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72"/>
        </w:trPr>
        <w:tc>
          <w:tcPr>
            <w:tcW w:w="2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500" w:type="dxa"/>
            <w:vAlign w:val="bottom"/>
            <w:gridSpan w:val="2"/>
          </w:tcPr>
          <w:p>
            <w:pPr>
              <w:ind w:left="40"/>
              <w:spacing w:after="0"/>
              <w:rPr>
                <w:sz w:val="20"/>
                <w:szCs w:val="20"/>
                <w:color w:val="auto"/>
              </w:rPr>
            </w:pPr>
            <w:r>
              <w:rPr>
                <w:rFonts w:ascii="Arial" w:cs="Arial" w:eastAsia="Arial" w:hAnsi="Arial"/>
                <w:sz w:val="15"/>
                <w:szCs w:val="15"/>
                <w:b w:val="1"/>
                <w:bCs w:val="1"/>
                <w:color w:val="auto"/>
              </w:rPr>
              <w:t>Effective Date/Method of</w:t>
            </w:r>
          </w:p>
        </w:tc>
        <w:tc>
          <w:tcPr>
            <w:tcW w:w="3980" w:type="dxa"/>
            <w:vAlign w:val="bottom"/>
          </w:tcPr>
          <w:p>
            <w:pPr>
              <w:spacing w:after="0"/>
              <w:rPr>
                <w:sz w:val="14"/>
                <w:szCs w:val="14"/>
                <w:color w:val="auto"/>
              </w:rPr>
            </w:pPr>
          </w:p>
        </w:tc>
      </w:tr>
      <w:tr>
        <w:trPr>
          <w:trHeight w:val="206"/>
        </w:trPr>
        <w:tc>
          <w:tcPr>
            <w:tcW w:w="2400" w:type="dxa"/>
            <w:vAlign w:val="bottom"/>
            <w:tcBorders>
              <w:bottom w:val="single" w:sz="8" w:color="auto"/>
            </w:tcBorders>
          </w:tcPr>
          <w:p>
            <w:pPr>
              <w:ind w:left="20"/>
              <w:spacing w:after="0"/>
              <w:rPr>
                <w:sz w:val="20"/>
                <w:szCs w:val="20"/>
                <w:color w:val="auto"/>
              </w:rPr>
            </w:pPr>
            <w:r>
              <w:rPr>
                <w:rFonts w:ascii="Arial" w:cs="Arial" w:eastAsia="Arial" w:hAnsi="Arial"/>
                <w:sz w:val="15"/>
                <w:szCs w:val="15"/>
                <w:b w:val="1"/>
                <w:bCs w:val="1"/>
                <w:color w:val="auto"/>
              </w:rPr>
              <w:t>Description</w:t>
            </w:r>
          </w:p>
        </w:tc>
        <w:tc>
          <w:tcPr>
            <w:tcW w:w="100" w:type="dxa"/>
            <w:vAlign w:val="bottom"/>
          </w:tcPr>
          <w:p>
            <w:pPr>
              <w:spacing w:after="0"/>
              <w:rPr>
                <w:sz w:val="17"/>
                <w:szCs w:val="17"/>
                <w:color w:val="auto"/>
              </w:rPr>
            </w:pPr>
          </w:p>
        </w:tc>
        <w:tc>
          <w:tcPr>
            <w:tcW w:w="2400" w:type="dxa"/>
            <w:vAlign w:val="bottom"/>
            <w:tcBorders>
              <w:bottom w:val="single" w:sz="8" w:color="auto"/>
            </w:tcBorders>
          </w:tcPr>
          <w:p>
            <w:pPr>
              <w:ind w:left="40"/>
              <w:spacing w:after="0"/>
              <w:rPr>
                <w:sz w:val="20"/>
                <w:szCs w:val="20"/>
                <w:color w:val="auto"/>
              </w:rPr>
            </w:pPr>
            <w:r>
              <w:rPr>
                <w:rFonts w:ascii="Arial" w:cs="Arial" w:eastAsia="Arial" w:hAnsi="Arial"/>
                <w:sz w:val="15"/>
                <w:szCs w:val="15"/>
                <w:b w:val="1"/>
                <w:bCs w:val="1"/>
                <w:color w:val="auto"/>
              </w:rPr>
              <w:t>Adoption</w:t>
            </w:r>
          </w:p>
        </w:tc>
        <w:tc>
          <w:tcPr>
            <w:tcW w:w="100" w:type="dxa"/>
            <w:vAlign w:val="bottom"/>
          </w:tcPr>
          <w:p>
            <w:pPr>
              <w:spacing w:after="0"/>
              <w:rPr>
                <w:sz w:val="17"/>
                <w:szCs w:val="17"/>
                <w:color w:val="auto"/>
              </w:rPr>
            </w:pPr>
          </w:p>
        </w:tc>
        <w:tc>
          <w:tcPr>
            <w:tcW w:w="3980" w:type="dxa"/>
            <w:vAlign w:val="bottom"/>
            <w:tcBorders>
              <w:bottom w:val="single" w:sz="8" w:color="auto"/>
            </w:tcBorders>
          </w:tcPr>
          <w:p>
            <w:pPr>
              <w:ind w:left="20"/>
              <w:spacing w:after="0"/>
              <w:rPr>
                <w:sz w:val="20"/>
                <w:szCs w:val="20"/>
                <w:color w:val="auto"/>
              </w:rPr>
            </w:pPr>
            <w:r>
              <w:rPr>
                <w:rFonts w:ascii="Arial" w:cs="Arial" w:eastAsia="Arial" w:hAnsi="Arial"/>
                <w:sz w:val="15"/>
                <w:szCs w:val="15"/>
                <w:b w:val="1"/>
                <w:bCs w:val="1"/>
                <w:color w:val="auto"/>
              </w:rPr>
              <w:t>Effect on the Financial Statements</w:t>
            </w:r>
          </w:p>
        </w:tc>
      </w:tr>
      <w:tr>
        <w:trPr>
          <w:trHeight w:val="183"/>
        </w:trPr>
        <w:tc>
          <w:tcPr>
            <w:tcW w:w="2500" w:type="dxa"/>
            <w:vAlign w:val="bottom"/>
            <w:gridSpan w:val="2"/>
          </w:tcPr>
          <w:p>
            <w:pPr>
              <w:ind w:left="20"/>
              <w:spacing w:after="0"/>
              <w:rPr>
                <w:sz w:val="20"/>
                <w:szCs w:val="20"/>
                <w:color w:val="auto"/>
              </w:rPr>
            </w:pPr>
            <w:r>
              <w:rPr>
                <w:rFonts w:ascii="Arial" w:cs="Arial" w:eastAsia="Arial" w:hAnsi="Arial"/>
                <w:sz w:val="15"/>
                <w:szCs w:val="15"/>
                <w:color w:val="auto"/>
              </w:rPr>
              <w:t>This ASU incorporates the</w:t>
            </w:r>
          </w:p>
        </w:tc>
        <w:tc>
          <w:tcPr>
            <w:tcW w:w="2500" w:type="dxa"/>
            <w:vAlign w:val="bottom"/>
            <w:gridSpan w:val="2"/>
          </w:tcPr>
          <w:p>
            <w:pPr>
              <w:ind w:left="40"/>
              <w:spacing w:after="0"/>
              <w:rPr>
                <w:sz w:val="20"/>
                <w:szCs w:val="20"/>
                <w:color w:val="auto"/>
              </w:rPr>
            </w:pPr>
            <w:r>
              <w:rPr>
                <w:rFonts w:ascii="Arial" w:cs="Arial" w:eastAsia="Arial" w:hAnsi="Arial"/>
                <w:sz w:val="15"/>
                <w:szCs w:val="15"/>
                <w:color w:val="auto"/>
              </w:rPr>
              <w:t>This standard became effective</w:t>
            </w:r>
          </w:p>
        </w:tc>
        <w:tc>
          <w:tcPr>
            <w:tcW w:w="3980" w:type="dxa"/>
            <w:vAlign w:val="bottom"/>
          </w:tcPr>
          <w:p>
            <w:pPr>
              <w:ind w:left="20"/>
              <w:spacing w:after="0"/>
              <w:rPr>
                <w:sz w:val="20"/>
                <w:szCs w:val="20"/>
                <w:color w:val="auto"/>
              </w:rPr>
            </w:pPr>
            <w:r>
              <w:rPr>
                <w:rFonts w:ascii="Arial" w:cs="Arial" w:eastAsia="Arial" w:hAnsi="Arial"/>
                <w:sz w:val="15"/>
                <w:szCs w:val="15"/>
                <w:color w:val="auto"/>
              </w:rPr>
              <w:t>We applied SAB 118 to our financial statements upon its</w:t>
            </w:r>
          </w:p>
        </w:tc>
      </w:tr>
      <w:tr>
        <w:trPr>
          <w:trHeight w:val="162"/>
        </w:trPr>
        <w:tc>
          <w:tcPr>
            <w:tcW w:w="2500" w:type="dxa"/>
            <w:vAlign w:val="bottom"/>
            <w:gridSpan w:val="2"/>
          </w:tcPr>
          <w:p>
            <w:pPr>
              <w:ind w:left="20"/>
              <w:spacing w:after="0" w:line="162" w:lineRule="exact"/>
              <w:rPr>
                <w:sz w:val="20"/>
                <w:szCs w:val="20"/>
                <w:color w:val="auto"/>
              </w:rPr>
            </w:pPr>
            <w:r>
              <w:rPr>
                <w:rFonts w:ascii="Arial" w:cs="Arial" w:eastAsia="Arial" w:hAnsi="Arial"/>
                <w:sz w:val="15"/>
                <w:szCs w:val="15"/>
                <w:color w:val="auto"/>
              </w:rPr>
              <w:t>provisions of SAB 118 into the</w:t>
            </w:r>
          </w:p>
        </w:tc>
        <w:tc>
          <w:tcPr>
            <w:tcW w:w="2500" w:type="dxa"/>
            <w:vAlign w:val="bottom"/>
            <w:gridSpan w:val="2"/>
          </w:tcPr>
          <w:p>
            <w:pPr>
              <w:ind w:left="40"/>
              <w:spacing w:after="0" w:line="162" w:lineRule="exact"/>
              <w:rPr>
                <w:sz w:val="20"/>
                <w:szCs w:val="20"/>
                <w:color w:val="auto"/>
              </w:rPr>
            </w:pPr>
            <w:r>
              <w:rPr>
                <w:rFonts w:ascii="Arial" w:cs="Arial" w:eastAsia="Arial" w:hAnsi="Arial"/>
                <w:sz w:val="15"/>
                <w:szCs w:val="15"/>
                <w:color w:val="auto"/>
              </w:rPr>
              <w:t>upon issuance.</w:t>
            </w:r>
          </w:p>
        </w:tc>
        <w:tc>
          <w:tcPr>
            <w:tcW w:w="3980" w:type="dxa"/>
            <w:vAlign w:val="bottom"/>
          </w:tcPr>
          <w:p>
            <w:pPr>
              <w:ind w:left="20"/>
              <w:spacing w:after="0" w:line="162" w:lineRule="exact"/>
              <w:rPr>
                <w:sz w:val="20"/>
                <w:szCs w:val="20"/>
                <w:color w:val="auto"/>
              </w:rPr>
            </w:pPr>
            <w:r>
              <w:rPr>
                <w:rFonts w:ascii="Arial" w:cs="Arial" w:eastAsia="Arial" w:hAnsi="Arial"/>
                <w:sz w:val="15"/>
                <w:szCs w:val="15"/>
                <w:color w:val="auto"/>
              </w:rPr>
              <w:t>original issuance in December 2017, prior to the</w:t>
            </w:r>
          </w:p>
        </w:tc>
      </w:tr>
      <w:tr>
        <w:trPr>
          <w:trHeight w:val="162"/>
        </w:trPr>
        <w:tc>
          <w:tcPr>
            <w:tcW w:w="2500" w:type="dxa"/>
            <w:vAlign w:val="bottom"/>
            <w:gridSpan w:val="2"/>
          </w:tcPr>
          <w:p>
            <w:pPr>
              <w:ind w:left="20"/>
              <w:spacing w:after="0" w:line="162" w:lineRule="exact"/>
              <w:rPr>
                <w:sz w:val="20"/>
                <w:szCs w:val="20"/>
                <w:color w:val="auto"/>
              </w:rPr>
            </w:pPr>
            <w:r>
              <w:rPr>
                <w:rFonts w:ascii="Arial" w:cs="Arial" w:eastAsia="Arial" w:hAnsi="Arial"/>
                <w:sz w:val="15"/>
                <w:szCs w:val="15"/>
                <w:color w:val="auto"/>
              </w:rPr>
              <w:t>accounting standards codification.</w:t>
            </w:r>
          </w:p>
        </w:tc>
        <w:tc>
          <w:tcPr>
            <w:tcW w:w="2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980" w:type="dxa"/>
            <w:vAlign w:val="bottom"/>
          </w:tcPr>
          <w:p>
            <w:pPr>
              <w:ind w:left="20"/>
              <w:spacing w:after="0" w:line="162" w:lineRule="exact"/>
              <w:rPr>
                <w:sz w:val="20"/>
                <w:szCs w:val="20"/>
                <w:color w:val="auto"/>
              </w:rPr>
            </w:pPr>
            <w:r>
              <w:rPr>
                <w:rFonts w:ascii="Arial" w:cs="Arial" w:eastAsia="Arial" w:hAnsi="Arial"/>
                <w:sz w:val="15"/>
                <w:szCs w:val="15"/>
                <w:color w:val="auto"/>
              </w:rPr>
              <w:t>codification in ASC 740. Refer to Note 11, “Income</w:t>
            </w:r>
          </w:p>
        </w:tc>
      </w:tr>
      <w:tr>
        <w:trPr>
          <w:trHeight w:val="162"/>
        </w:trPr>
        <w:tc>
          <w:tcPr>
            <w:tcW w:w="2500" w:type="dxa"/>
            <w:vAlign w:val="bottom"/>
            <w:gridSpan w:val="2"/>
          </w:tcPr>
          <w:p>
            <w:pPr>
              <w:ind w:left="20"/>
              <w:spacing w:after="0" w:line="162" w:lineRule="exact"/>
              <w:rPr>
                <w:sz w:val="20"/>
                <w:szCs w:val="20"/>
                <w:color w:val="auto"/>
              </w:rPr>
            </w:pPr>
            <w:r>
              <w:rPr>
                <w:rFonts w:ascii="Arial" w:cs="Arial" w:eastAsia="Arial" w:hAnsi="Arial"/>
                <w:sz w:val="15"/>
                <w:szCs w:val="15"/>
                <w:color w:val="auto"/>
              </w:rPr>
              <w:t>SAB 118 provides guidance on</w:t>
            </w:r>
          </w:p>
        </w:tc>
        <w:tc>
          <w:tcPr>
            <w:tcW w:w="2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980" w:type="dxa"/>
            <w:vAlign w:val="bottom"/>
          </w:tcPr>
          <w:p>
            <w:pPr>
              <w:ind w:left="20"/>
              <w:spacing w:after="0" w:line="162" w:lineRule="exact"/>
              <w:rPr>
                <w:sz w:val="20"/>
                <w:szCs w:val="20"/>
                <w:color w:val="auto"/>
              </w:rPr>
            </w:pPr>
            <w:r>
              <w:rPr>
                <w:rFonts w:ascii="Arial" w:cs="Arial" w:eastAsia="Arial" w:hAnsi="Arial"/>
                <w:sz w:val="15"/>
                <w:szCs w:val="15"/>
                <w:color w:val="auto"/>
              </w:rPr>
              <w:t>Taxes,” in the Financial Statements for a discussion of the</w:t>
            </w:r>
          </w:p>
        </w:tc>
      </w:tr>
      <w:tr>
        <w:trPr>
          <w:trHeight w:val="162"/>
        </w:trPr>
        <w:tc>
          <w:tcPr>
            <w:tcW w:w="2500" w:type="dxa"/>
            <w:vAlign w:val="bottom"/>
            <w:gridSpan w:val="2"/>
          </w:tcPr>
          <w:p>
            <w:pPr>
              <w:ind w:left="20"/>
              <w:spacing w:after="0" w:line="162" w:lineRule="exact"/>
              <w:rPr>
                <w:sz w:val="20"/>
                <w:szCs w:val="20"/>
                <w:color w:val="auto"/>
              </w:rPr>
            </w:pPr>
            <w:r>
              <w:rPr>
                <w:rFonts w:ascii="Arial" w:cs="Arial" w:eastAsia="Arial" w:hAnsi="Arial"/>
                <w:sz w:val="15"/>
                <w:szCs w:val="15"/>
                <w:color w:val="auto"/>
              </w:rPr>
              <w:t>accounting for tax effects of the</w:t>
            </w:r>
          </w:p>
        </w:tc>
        <w:tc>
          <w:tcPr>
            <w:tcW w:w="2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980" w:type="dxa"/>
            <w:vAlign w:val="bottom"/>
          </w:tcPr>
          <w:p>
            <w:pPr>
              <w:ind w:left="20"/>
              <w:spacing w:after="0" w:line="162" w:lineRule="exact"/>
              <w:rPr>
                <w:sz w:val="20"/>
                <w:szCs w:val="20"/>
                <w:color w:val="auto"/>
              </w:rPr>
            </w:pPr>
            <w:r>
              <w:rPr>
                <w:rFonts w:ascii="Arial" w:cs="Arial" w:eastAsia="Arial" w:hAnsi="Arial"/>
                <w:sz w:val="15"/>
                <w:szCs w:val="15"/>
                <w:color w:val="auto"/>
              </w:rPr>
              <w:t>impacts of the Tax Act on our consolidated financial</w:t>
            </w:r>
          </w:p>
        </w:tc>
      </w:tr>
      <w:tr>
        <w:trPr>
          <w:trHeight w:val="162"/>
        </w:trPr>
        <w:tc>
          <w:tcPr>
            <w:tcW w:w="2500" w:type="dxa"/>
            <w:vAlign w:val="bottom"/>
            <w:gridSpan w:val="2"/>
          </w:tcPr>
          <w:p>
            <w:pPr>
              <w:ind w:left="20"/>
              <w:spacing w:after="0" w:line="162" w:lineRule="exact"/>
              <w:rPr>
                <w:sz w:val="20"/>
                <w:szCs w:val="20"/>
                <w:color w:val="auto"/>
              </w:rPr>
            </w:pPr>
            <w:r>
              <w:rPr>
                <w:rFonts w:ascii="Arial" w:cs="Arial" w:eastAsia="Arial" w:hAnsi="Arial"/>
                <w:sz w:val="15"/>
                <w:szCs w:val="15"/>
                <w:color w:val="auto"/>
              </w:rPr>
              <w:t>Tax Act and permits a</w:t>
            </w:r>
          </w:p>
        </w:tc>
        <w:tc>
          <w:tcPr>
            <w:tcW w:w="2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980" w:type="dxa"/>
            <w:vAlign w:val="bottom"/>
          </w:tcPr>
          <w:p>
            <w:pPr>
              <w:ind w:left="20"/>
              <w:spacing w:after="0" w:line="162" w:lineRule="exact"/>
              <w:rPr>
                <w:sz w:val="20"/>
                <w:szCs w:val="20"/>
                <w:color w:val="auto"/>
              </w:rPr>
            </w:pPr>
            <w:r>
              <w:rPr>
                <w:rFonts w:ascii="Arial" w:cs="Arial" w:eastAsia="Arial" w:hAnsi="Arial"/>
                <w:sz w:val="15"/>
                <w:szCs w:val="15"/>
                <w:color w:val="auto"/>
              </w:rPr>
              <w:t>statements.</w:t>
            </w:r>
          </w:p>
        </w:tc>
      </w:tr>
      <w:tr>
        <w:trPr>
          <w:trHeight w:val="162"/>
        </w:trPr>
        <w:tc>
          <w:tcPr>
            <w:tcW w:w="2500" w:type="dxa"/>
            <w:vAlign w:val="bottom"/>
            <w:gridSpan w:val="2"/>
          </w:tcPr>
          <w:p>
            <w:pPr>
              <w:ind w:left="20"/>
              <w:spacing w:after="0" w:line="162" w:lineRule="exact"/>
              <w:rPr>
                <w:sz w:val="20"/>
                <w:szCs w:val="20"/>
                <w:color w:val="auto"/>
              </w:rPr>
            </w:pPr>
            <w:r>
              <w:rPr>
                <w:rFonts w:ascii="Arial" w:cs="Arial" w:eastAsia="Arial" w:hAnsi="Arial"/>
                <w:sz w:val="15"/>
                <w:szCs w:val="15"/>
                <w:color w:val="auto"/>
              </w:rPr>
              <w:t>measurement period not to</w:t>
            </w:r>
          </w:p>
        </w:tc>
        <w:tc>
          <w:tcPr>
            <w:tcW w:w="2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980" w:type="dxa"/>
            <w:vAlign w:val="bottom"/>
          </w:tcPr>
          <w:p>
            <w:pPr>
              <w:spacing w:after="0"/>
              <w:rPr>
                <w:sz w:val="14"/>
                <w:szCs w:val="14"/>
                <w:color w:val="auto"/>
              </w:rPr>
            </w:pPr>
          </w:p>
        </w:tc>
      </w:tr>
      <w:tr>
        <w:trPr>
          <w:trHeight w:val="162"/>
        </w:trPr>
        <w:tc>
          <w:tcPr>
            <w:tcW w:w="2500" w:type="dxa"/>
            <w:vAlign w:val="bottom"/>
            <w:gridSpan w:val="2"/>
          </w:tcPr>
          <w:p>
            <w:pPr>
              <w:ind w:left="20"/>
              <w:spacing w:after="0" w:line="162" w:lineRule="exact"/>
              <w:rPr>
                <w:sz w:val="20"/>
                <w:szCs w:val="20"/>
                <w:color w:val="auto"/>
              </w:rPr>
            </w:pPr>
            <w:r>
              <w:rPr>
                <w:rFonts w:ascii="Arial" w:cs="Arial" w:eastAsia="Arial" w:hAnsi="Arial"/>
                <w:sz w:val="15"/>
                <w:szCs w:val="15"/>
                <w:color w:val="auto"/>
              </w:rPr>
              <w:t>exceed one year from the</w:t>
            </w:r>
          </w:p>
        </w:tc>
        <w:tc>
          <w:tcPr>
            <w:tcW w:w="2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980" w:type="dxa"/>
            <w:vAlign w:val="bottom"/>
          </w:tcPr>
          <w:p>
            <w:pPr>
              <w:spacing w:after="0"/>
              <w:rPr>
                <w:sz w:val="14"/>
                <w:szCs w:val="14"/>
                <w:color w:val="auto"/>
              </w:rPr>
            </w:pPr>
          </w:p>
        </w:tc>
      </w:tr>
      <w:tr>
        <w:trPr>
          <w:trHeight w:val="162"/>
        </w:trPr>
        <w:tc>
          <w:tcPr>
            <w:tcW w:w="2500" w:type="dxa"/>
            <w:vAlign w:val="bottom"/>
            <w:gridSpan w:val="2"/>
          </w:tcPr>
          <w:p>
            <w:pPr>
              <w:ind w:left="20"/>
              <w:spacing w:after="0" w:line="162" w:lineRule="exact"/>
              <w:rPr>
                <w:sz w:val="20"/>
                <w:szCs w:val="20"/>
                <w:color w:val="auto"/>
              </w:rPr>
            </w:pPr>
            <w:r>
              <w:rPr>
                <w:rFonts w:ascii="Arial" w:cs="Arial" w:eastAsia="Arial" w:hAnsi="Arial"/>
                <w:sz w:val="15"/>
                <w:szCs w:val="15"/>
                <w:color w:val="auto"/>
              </w:rPr>
              <w:t>enactment date for companies to</w:t>
            </w:r>
          </w:p>
        </w:tc>
        <w:tc>
          <w:tcPr>
            <w:tcW w:w="2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980" w:type="dxa"/>
            <w:vAlign w:val="bottom"/>
          </w:tcPr>
          <w:p>
            <w:pPr>
              <w:spacing w:after="0"/>
              <w:rPr>
                <w:sz w:val="14"/>
                <w:szCs w:val="14"/>
                <w:color w:val="auto"/>
              </w:rPr>
            </w:pPr>
          </w:p>
        </w:tc>
      </w:tr>
      <w:tr>
        <w:trPr>
          <w:trHeight w:val="162"/>
        </w:trPr>
        <w:tc>
          <w:tcPr>
            <w:tcW w:w="2500" w:type="dxa"/>
            <w:vAlign w:val="bottom"/>
            <w:gridSpan w:val="2"/>
          </w:tcPr>
          <w:p>
            <w:pPr>
              <w:ind w:left="20"/>
              <w:spacing w:after="0" w:line="162" w:lineRule="exact"/>
              <w:rPr>
                <w:sz w:val="20"/>
                <w:szCs w:val="20"/>
                <w:color w:val="auto"/>
              </w:rPr>
            </w:pPr>
            <w:r>
              <w:rPr>
                <w:rFonts w:ascii="Arial" w:cs="Arial" w:eastAsia="Arial" w:hAnsi="Arial"/>
                <w:sz w:val="15"/>
                <w:szCs w:val="15"/>
                <w:color w:val="auto"/>
              </w:rPr>
              <w:t>complete the required analyses</w:t>
            </w:r>
          </w:p>
        </w:tc>
        <w:tc>
          <w:tcPr>
            <w:tcW w:w="2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980" w:type="dxa"/>
            <w:vAlign w:val="bottom"/>
          </w:tcPr>
          <w:p>
            <w:pPr>
              <w:spacing w:after="0"/>
              <w:rPr>
                <w:sz w:val="14"/>
                <w:szCs w:val="14"/>
                <w:color w:val="auto"/>
              </w:rPr>
            </w:pPr>
          </w:p>
        </w:tc>
      </w:tr>
      <w:tr>
        <w:trPr>
          <w:trHeight w:val="184"/>
        </w:trPr>
        <w:tc>
          <w:tcPr>
            <w:tcW w:w="2500" w:type="dxa"/>
            <w:vAlign w:val="bottom"/>
            <w:gridSpan w:val="2"/>
          </w:tcPr>
          <w:p>
            <w:pPr>
              <w:ind w:left="20"/>
              <w:spacing w:after="0"/>
              <w:rPr>
                <w:sz w:val="20"/>
                <w:szCs w:val="20"/>
                <w:color w:val="auto"/>
              </w:rPr>
            </w:pPr>
            <w:r>
              <w:rPr>
                <w:rFonts w:ascii="Arial" w:cs="Arial" w:eastAsia="Arial" w:hAnsi="Arial"/>
                <w:sz w:val="15"/>
                <w:szCs w:val="15"/>
                <w:color w:val="auto"/>
              </w:rPr>
              <w:t>and accounting.</w:t>
            </w:r>
          </w:p>
        </w:tc>
        <w:tc>
          <w:tcPr>
            <w:tcW w:w="2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980" w:type="dxa"/>
            <w:vAlign w:val="bottom"/>
          </w:tcPr>
          <w:p>
            <w:pPr>
              <w:spacing w:after="0"/>
              <w:rPr>
                <w:sz w:val="16"/>
                <w:szCs w:val="1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90805</wp:posOffset>
            </wp:positionV>
            <wp:extent cx="571119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5711190" cy="8890"/>
                    </a:xfrm>
                    <a:prstGeom prst="rect">
                      <a:avLst/>
                    </a:prstGeom>
                    <a:noFill/>
                  </pic:spPr>
                </pic:pic>
              </a:graphicData>
            </a:graphic>
          </wp:anchor>
        </w:drawing>
      </w:r>
    </w:p>
    <w:p>
      <w:pPr>
        <w:spacing w:after="0" w:line="170" w:lineRule="exact"/>
        <w:rPr>
          <w:sz w:val="20"/>
          <w:szCs w:val="20"/>
          <w:color w:val="auto"/>
        </w:rPr>
      </w:pPr>
    </w:p>
    <w:p>
      <w:pPr>
        <w:sectPr>
          <w:pgSz w:w="11900" w:h="16838" w:orient="portrait"/>
          <w:cols w:equalWidth="0" w:num="2">
            <w:col w:w="2260" w:space="160"/>
            <w:col w:w="9000"/>
          </w:cols>
          <w:pgMar w:left="240" w:top="684" w:right="239" w:bottom="1440" w:gutter="0" w:footer="0" w:header="0"/>
          <w:type w:val="continuous"/>
        </w:sectPr>
      </w:pPr>
    </w:p>
    <w:p>
      <w:pPr>
        <w:spacing w:after="0" w:line="10" w:lineRule="exact"/>
        <w:rPr>
          <w:sz w:val="20"/>
          <w:szCs w:val="20"/>
          <w:color w:val="auto"/>
        </w:rPr>
      </w:pPr>
    </w:p>
    <w:p>
      <w:pPr>
        <w:ind w:left="40"/>
        <w:spacing w:after="0" w:line="229" w:lineRule="auto"/>
        <w:rPr>
          <w:sz w:val="20"/>
          <w:szCs w:val="20"/>
          <w:color w:val="auto"/>
        </w:rPr>
      </w:pPr>
      <w:r>
        <w:rPr>
          <w:rFonts w:ascii="Arial" w:cs="Arial" w:eastAsia="Arial" w:hAnsi="Arial"/>
          <w:sz w:val="15"/>
          <w:szCs w:val="15"/>
          <w:color w:val="auto"/>
        </w:rPr>
        <w:t xml:space="preserve">In March 2018, the FASB issued ASU 2018-04, </w:t>
      </w:r>
      <w:r>
        <w:rPr>
          <w:rFonts w:ascii="Arial" w:cs="Arial" w:eastAsia="Arial" w:hAnsi="Arial"/>
          <w:sz w:val="15"/>
          <w:szCs w:val="15"/>
          <w:i w:val="1"/>
          <w:iCs w:val="1"/>
          <w:color w:val="auto"/>
        </w:rPr>
        <w:t>Investments—</w:t>
      </w:r>
      <w:r>
        <w:rPr>
          <w:rFonts w:ascii="Arial" w:cs="Arial" w:eastAsia="Arial" w:hAnsi="Arial"/>
          <w:sz w:val="15"/>
          <w:szCs w:val="15"/>
          <w:color w:val="auto"/>
        </w:rPr>
        <w:t xml:space="preserve"> </w:t>
      </w:r>
      <w:r>
        <w:rPr>
          <w:rFonts w:ascii="Arial" w:cs="Arial" w:eastAsia="Arial" w:hAnsi="Arial"/>
          <w:sz w:val="15"/>
          <w:szCs w:val="15"/>
          <w:i w:val="1"/>
          <w:iCs w:val="1"/>
          <w:color w:val="auto"/>
        </w:rPr>
        <w:t>Debt Securities (Topic 320) and Regulated Operations (Topic 980): Amendments to SEC Paragraphs Pursuant to SAB No. 117 and SEC Release No. 33-9273.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915670</wp:posOffset>
            </wp:positionV>
            <wp:extent cx="144907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tabs>
          <w:tab w:leader="none" w:pos="2500" w:val="left"/>
        </w:tabs>
        <w:rPr>
          <w:sz w:val="20"/>
          <w:szCs w:val="20"/>
          <w:color w:val="auto"/>
        </w:rPr>
      </w:pPr>
      <w:r>
        <w:rPr>
          <w:rFonts w:ascii="Arial" w:cs="Arial" w:eastAsia="Arial" w:hAnsi="Arial"/>
          <w:sz w:val="15"/>
          <w:szCs w:val="15"/>
          <w:color w:val="auto"/>
        </w:rPr>
        <w:t>This ASU deletes ASC 320-10-</w:t>
      </w:r>
      <w:r>
        <w:rPr>
          <w:sz w:val="20"/>
          <w:szCs w:val="20"/>
          <w:color w:val="auto"/>
        </w:rPr>
        <w:tab/>
      </w:r>
      <w:r>
        <w:rPr>
          <w:rFonts w:ascii="Arial" w:cs="Arial" w:eastAsia="Arial" w:hAnsi="Arial"/>
          <w:sz w:val="15"/>
          <w:szCs w:val="15"/>
          <w:color w:val="auto"/>
        </w:rPr>
        <w:t>November 1, 2018</w:t>
      </w:r>
    </w:p>
    <w:p>
      <w:pPr>
        <w:spacing w:after="0" w:line="225" w:lineRule="auto"/>
        <w:rPr>
          <w:sz w:val="20"/>
          <w:szCs w:val="20"/>
          <w:color w:val="auto"/>
        </w:rPr>
      </w:pPr>
      <w:r>
        <w:rPr>
          <w:rFonts w:ascii="Arial" w:cs="Arial" w:eastAsia="Arial" w:hAnsi="Arial"/>
          <w:sz w:val="15"/>
          <w:szCs w:val="15"/>
          <w:color w:val="auto"/>
        </w:rPr>
        <w:t>S99-1, which had codified SAB</w:t>
      </w:r>
    </w:p>
    <w:p>
      <w:pPr>
        <w:spacing w:after="0" w:line="226" w:lineRule="auto"/>
        <w:rPr>
          <w:sz w:val="20"/>
          <w:szCs w:val="20"/>
          <w:color w:val="auto"/>
        </w:rPr>
      </w:pPr>
      <w:r>
        <w:rPr>
          <w:rFonts w:ascii="Arial" w:cs="Arial" w:eastAsia="Arial" w:hAnsi="Arial"/>
          <w:sz w:val="15"/>
          <w:szCs w:val="15"/>
          <w:color w:val="auto"/>
        </w:rPr>
        <w:t>Topic 5.M, and also removes</w:t>
      </w:r>
    </w:p>
    <w:p>
      <w:pPr>
        <w:spacing w:after="0" w:line="225" w:lineRule="auto"/>
        <w:rPr>
          <w:sz w:val="20"/>
          <w:szCs w:val="20"/>
          <w:color w:val="auto"/>
        </w:rPr>
      </w:pPr>
      <w:r>
        <w:rPr>
          <w:rFonts w:ascii="Arial" w:cs="Arial" w:eastAsia="Arial" w:hAnsi="Arial"/>
          <w:sz w:val="15"/>
          <w:szCs w:val="15"/>
          <w:color w:val="auto"/>
        </w:rPr>
        <w:t>special requirements in SEC</w:t>
      </w:r>
    </w:p>
    <w:p>
      <w:pPr>
        <w:spacing w:after="0" w:line="226" w:lineRule="auto"/>
        <w:rPr>
          <w:sz w:val="20"/>
          <w:szCs w:val="20"/>
          <w:color w:val="auto"/>
        </w:rPr>
      </w:pPr>
      <w:r>
        <w:rPr>
          <w:rFonts w:ascii="Arial" w:cs="Arial" w:eastAsia="Arial" w:hAnsi="Arial"/>
          <w:sz w:val="15"/>
          <w:szCs w:val="15"/>
          <w:color w:val="auto"/>
        </w:rPr>
        <w:t>Regulation S-X Rule 3A-05 for</w:t>
      </w:r>
    </w:p>
    <w:p>
      <w:pPr>
        <w:spacing w:after="0" w:line="225" w:lineRule="auto"/>
        <w:rPr>
          <w:sz w:val="20"/>
          <w:szCs w:val="20"/>
          <w:color w:val="auto"/>
        </w:rPr>
      </w:pPr>
      <w:r>
        <w:rPr>
          <w:rFonts w:ascii="Arial" w:cs="Arial" w:eastAsia="Arial" w:hAnsi="Arial"/>
          <w:sz w:val="15"/>
          <w:szCs w:val="15"/>
          <w:color w:val="auto"/>
        </w:rPr>
        <w:t>public utility holding companies. In</w:t>
      </w:r>
    </w:p>
    <w:p>
      <w:pPr>
        <w:spacing w:after="0" w:line="226" w:lineRule="auto"/>
        <w:rPr>
          <w:sz w:val="20"/>
          <w:szCs w:val="20"/>
          <w:color w:val="auto"/>
        </w:rPr>
      </w:pPr>
      <w:r>
        <w:rPr>
          <w:rFonts w:ascii="Arial" w:cs="Arial" w:eastAsia="Arial" w:hAnsi="Arial"/>
          <w:sz w:val="15"/>
          <w:szCs w:val="15"/>
          <w:color w:val="auto"/>
        </w:rPr>
        <w:t>November 2017, the SEC issued</w:t>
      </w:r>
    </w:p>
    <w:p>
      <w:pPr>
        <w:spacing w:after="0" w:line="225" w:lineRule="auto"/>
        <w:rPr>
          <w:sz w:val="20"/>
          <w:szCs w:val="20"/>
          <w:color w:val="auto"/>
        </w:rPr>
      </w:pPr>
      <w:r>
        <w:rPr>
          <w:rFonts w:ascii="Arial" w:cs="Arial" w:eastAsia="Arial" w:hAnsi="Arial"/>
          <w:sz w:val="15"/>
          <w:szCs w:val="15"/>
          <w:color w:val="auto"/>
        </w:rPr>
        <w:t>SAB 117 to bring its existing</w:t>
      </w:r>
    </w:p>
    <w:p>
      <w:pPr>
        <w:spacing w:after="0" w:line="226" w:lineRule="auto"/>
        <w:rPr>
          <w:sz w:val="20"/>
          <w:szCs w:val="20"/>
          <w:color w:val="auto"/>
        </w:rPr>
      </w:pPr>
      <w:r>
        <w:rPr>
          <w:rFonts w:ascii="Arial" w:cs="Arial" w:eastAsia="Arial" w:hAnsi="Arial"/>
          <w:sz w:val="15"/>
          <w:szCs w:val="15"/>
          <w:color w:val="auto"/>
        </w:rPr>
        <w:t>guidance into conformity with</w:t>
      </w:r>
    </w:p>
    <w:p>
      <w:pPr>
        <w:spacing w:after="0" w:line="225" w:lineRule="auto"/>
        <w:rPr>
          <w:sz w:val="20"/>
          <w:szCs w:val="20"/>
          <w:color w:val="auto"/>
        </w:rPr>
      </w:pPr>
      <w:r>
        <w:rPr>
          <w:rFonts w:ascii="Arial" w:cs="Arial" w:eastAsia="Arial" w:hAnsi="Arial"/>
          <w:sz w:val="15"/>
          <w:szCs w:val="15"/>
          <w:color w:val="auto"/>
        </w:rPr>
        <w:t xml:space="preserve">Topic 321, </w:t>
      </w:r>
      <w:r>
        <w:rPr>
          <w:rFonts w:ascii="Arial" w:cs="Arial" w:eastAsia="Arial" w:hAnsi="Arial"/>
          <w:sz w:val="15"/>
          <w:szCs w:val="15"/>
          <w:i w:val="1"/>
          <w:iCs w:val="1"/>
          <w:color w:val="auto"/>
        </w:rPr>
        <w:t>Investments—Equity</w:t>
      </w:r>
    </w:p>
    <w:p>
      <w:pPr>
        <w:spacing w:after="0" w:line="226" w:lineRule="auto"/>
        <w:rPr>
          <w:sz w:val="20"/>
          <w:szCs w:val="20"/>
          <w:color w:val="auto"/>
        </w:rPr>
      </w:pPr>
      <w:r>
        <w:rPr>
          <w:rFonts w:ascii="Arial" w:cs="Arial" w:eastAsia="Arial" w:hAnsi="Arial"/>
          <w:sz w:val="15"/>
          <w:szCs w:val="15"/>
          <w:i w:val="1"/>
          <w:iCs w:val="1"/>
          <w:color w:val="auto"/>
        </w:rPr>
        <w:t>Securities</w:t>
      </w:r>
      <w:r>
        <w:rPr>
          <w:rFonts w:ascii="Arial" w:cs="Arial" w:eastAsia="Arial" w:hAnsi="Arial"/>
          <w:sz w:val="15"/>
          <w:szCs w:val="15"/>
          <w:color w:val="auto"/>
        </w:rPr>
        <w:t>. SAB 117 states that</w:t>
      </w:r>
    </w:p>
    <w:p>
      <w:pPr>
        <w:spacing w:after="0" w:line="225" w:lineRule="auto"/>
        <w:rPr>
          <w:sz w:val="20"/>
          <w:szCs w:val="20"/>
          <w:color w:val="auto"/>
        </w:rPr>
      </w:pPr>
      <w:r>
        <w:rPr>
          <w:rFonts w:ascii="Arial" w:cs="Arial" w:eastAsia="Arial" w:hAnsi="Arial"/>
          <w:sz w:val="15"/>
          <w:szCs w:val="15"/>
          <w:color w:val="auto"/>
        </w:rPr>
        <w:t xml:space="preserve">SAB Topic 5.M, </w:t>
      </w:r>
      <w:r>
        <w:rPr>
          <w:rFonts w:ascii="Arial" w:cs="Arial" w:eastAsia="Arial" w:hAnsi="Arial"/>
          <w:sz w:val="15"/>
          <w:szCs w:val="15"/>
          <w:i w:val="1"/>
          <w:iCs w:val="1"/>
          <w:color w:val="auto"/>
        </w:rPr>
        <w:t>Other Than</w:t>
      </w:r>
    </w:p>
    <w:p>
      <w:pPr>
        <w:spacing w:after="0" w:line="226" w:lineRule="auto"/>
        <w:rPr>
          <w:sz w:val="20"/>
          <w:szCs w:val="20"/>
          <w:color w:val="auto"/>
        </w:rPr>
      </w:pPr>
      <w:r>
        <w:rPr>
          <w:rFonts w:ascii="Arial" w:cs="Arial" w:eastAsia="Arial" w:hAnsi="Arial"/>
          <w:sz w:val="15"/>
          <w:szCs w:val="15"/>
          <w:i w:val="1"/>
          <w:iCs w:val="1"/>
          <w:color w:val="auto"/>
        </w:rPr>
        <w:t>Temporary Impairment of Certain</w:t>
      </w:r>
    </w:p>
    <w:p>
      <w:pPr>
        <w:spacing w:after="0" w:line="225" w:lineRule="auto"/>
        <w:rPr>
          <w:sz w:val="20"/>
          <w:szCs w:val="20"/>
          <w:color w:val="auto"/>
        </w:rPr>
      </w:pPr>
      <w:r>
        <w:rPr>
          <w:rFonts w:ascii="Arial" w:cs="Arial" w:eastAsia="Arial" w:hAnsi="Arial"/>
          <w:sz w:val="15"/>
          <w:szCs w:val="15"/>
          <w:i w:val="1"/>
          <w:iCs w:val="1"/>
          <w:color w:val="auto"/>
        </w:rPr>
        <w:t>Investments in Equity</w:t>
      </w:r>
    </w:p>
    <w:p>
      <w:pPr>
        <w:spacing w:after="0" w:line="226" w:lineRule="auto"/>
        <w:rPr>
          <w:sz w:val="20"/>
          <w:szCs w:val="20"/>
          <w:color w:val="auto"/>
        </w:rPr>
      </w:pPr>
      <w:r>
        <w:rPr>
          <w:rFonts w:ascii="Arial" w:cs="Arial" w:eastAsia="Arial" w:hAnsi="Arial"/>
          <w:sz w:val="15"/>
          <w:szCs w:val="15"/>
          <w:i w:val="1"/>
          <w:iCs w:val="1"/>
          <w:color w:val="auto"/>
        </w:rPr>
        <w:t xml:space="preserve">Securities, </w:t>
      </w:r>
      <w:r>
        <w:rPr>
          <w:rFonts w:ascii="Arial" w:cs="Arial" w:eastAsia="Arial" w:hAnsi="Arial"/>
          <w:sz w:val="15"/>
          <w:szCs w:val="15"/>
          <w:color w:val="auto"/>
        </w:rPr>
        <w:t>is no longer applicable</w:t>
      </w:r>
    </w:p>
    <w:p>
      <w:pPr>
        <w:spacing w:after="0"/>
        <w:rPr>
          <w:sz w:val="20"/>
          <w:szCs w:val="20"/>
          <w:color w:val="auto"/>
        </w:rPr>
      </w:pPr>
      <w:r>
        <w:rPr>
          <w:rFonts w:ascii="Arial" w:cs="Arial" w:eastAsia="Arial" w:hAnsi="Arial"/>
          <w:sz w:val="15"/>
          <w:szCs w:val="15"/>
          <w:color w:val="auto"/>
        </w:rPr>
        <w:t>upon adoption of ASC 321.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98425</wp:posOffset>
            </wp:positionV>
            <wp:extent cx="311277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311277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jc w:val="both"/>
        <w:ind w:right="240"/>
        <w:spacing w:after="0" w:line="242" w:lineRule="auto"/>
        <w:rPr>
          <w:sz w:val="20"/>
          <w:szCs w:val="20"/>
          <w:color w:val="auto"/>
        </w:rPr>
      </w:pPr>
      <w:r>
        <w:rPr>
          <w:rFonts w:ascii="Arial" w:cs="Arial" w:eastAsia="Arial" w:hAnsi="Arial"/>
          <w:sz w:val="15"/>
          <w:szCs w:val="15"/>
          <w:color w:val="auto"/>
        </w:rPr>
        <w:t>We are currently evaluating the impact of implementing this guidance on our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1530985</wp:posOffset>
            </wp:positionV>
            <wp:extent cx="252984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2529840" cy="8890"/>
                    </a:xfrm>
                    <a:prstGeom prst="rect">
                      <a:avLst/>
                    </a:prstGeom>
                    <a:noFill/>
                  </pic:spPr>
                </pic:pic>
              </a:graphicData>
            </a:graphic>
          </wp:anchor>
        </w:drawing>
      </w:r>
    </w:p>
    <w:p>
      <w:pPr>
        <w:spacing w:after="0" w:line="2447" w:lineRule="exact"/>
        <w:rPr>
          <w:sz w:val="20"/>
          <w:szCs w:val="20"/>
          <w:color w:val="auto"/>
        </w:rPr>
      </w:pPr>
    </w:p>
    <w:p>
      <w:pPr>
        <w:sectPr>
          <w:pgSz w:w="11900" w:h="16838" w:orient="portrait"/>
          <w:cols w:equalWidth="0" w:num="3">
            <w:col w:w="2220" w:space="220"/>
            <w:col w:w="4280" w:space="720"/>
            <w:col w:w="3980"/>
          </w:cols>
          <w:pgMar w:left="240" w:top="684" w:right="239" w:bottom="1440" w:gutter="0" w:footer="0" w:header="0"/>
          <w:type w:val="continuous"/>
        </w:sectPr>
      </w:pPr>
    </w:p>
    <w:p>
      <w:pPr>
        <w:ind w:left="40"/>
        <w:spacing w:after="0" w:line="229" w:lineRule="auto"/>
        <w:rPr>
          <w:sz w:val="20"/>
          <w:szCs w:val="20"/>
          <w:color w:val="auto"/>
        </w:rPr>
      </w:pPr>
      <w:r>
        <w:rPr>
          <w:rFonts w:ascii="Arial" w:cs="Arial" w:eastAsia="Arial" w:hAnsi="Arial"/>
          <w:sz w:val="15"/>
          <w:szCs w:val="15"/>
          <w:color w:val="auto"/>
        </w:rPr>
        <w:t xml:space="preserve">In February 2018, the FASB issued ASU 2018-02, </w:t>
      </w:r>
      <w:r>
        <w:rPr>
          <w:rFonts w:ascii="Arial" w:cs="Arial" w:eastAsia="Arial" w:hAnsi="Arial"/>
          <w:sz w:val="15"/>
          <w:szCs w:val="15"/>
          <w:i w:val="1"/>
          <w:iCs w:val="1"/>
          <w:color w:val="auto"/>
        </w:rPr>
        <w:t>Income</w:t>
      </w:r>
      <w:r>
        <w:rPr>
          <w:rFonts w:ascii="Arial" w:cs="Arial" w:eastAsia="Arial" w:hAnsi="Arial"/>
          <w:sz w:val="15"/>
          <w:szCs w:val="15"/>
          <w:color w:val="auto"/>
        </w:rPr>
        <w:t xml:space="preserve"> </w:t>
      </w:r>
      <w:r>
        <w:rPr>
          <w:rFonts w:ascii="Arial" w:cs="Arial" w:eastAsia="Arial" w:hAnsi="Arial"/>
          <w:sz w:val="15"/>
          <w:szCs w:val="15"/>
          <w:i w:val="1"/>
          <w:iCs w:val="1"/>
          <w:color w:val="auto"/>
        </w:rPr>
        <w:t>Statement—Reporting Comprehensive Income (Topic 220): Reclassification of Certain Tax Effects from Accumulated Other Comprehensive Income.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8255</wp:posOffset>
            </wp:positionV>
            <wp:extent cx="144907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30" w:lineRule="exact"/>
        <w:rPr>
          <w:sz w:val="20"/>
          <w:szCs w:val="20"/>
          <w:color w:val="auto"/>
        </w:rPr>
      </w:pPr>
    </w:p>
    <w:p>
      <w:pPr>
        <w:ind w:left="40"/>
        <w:spacing w:after="0" w:line="230" w:lineRule="auto"/>
        <w:rPr>
          <w:sz w:val="20"/>
          <w:szCs w:val="20"/>
          <w:color w:val="auto"/>
        </w:rPr>
      </w:pPr>
      <w:r>
        <w:rPr>
          <w:rFonts w:ascii="Arial" w:cs="Arial" w:eastAsia="Arial" w:hAnsi="Arial"/>
          <w:sz w:val="15"/>
          <w:szCs w:val="15"/>
          <w:color w:val="auto"/>
        </w:rPr>
        <w:t xml:space="preserve">In August 2017, the FASB issued ASU 2017-12, </w:t>
      </w:r>
      <w:r>
        <w:rPr>
          <w:rFonts w:ascii="Arial" w:cs="Arial" w:eastAsia="Arial" w:hAnsi="Arial"/>
          <w:sz w:val="15"/>
          <w:szCs w:val="15"/>
          <w:i w:val="1"/>
          <w:iCs w:val="1"/>
          <w:color w:val="auto"/>
        </w:rPr>
        <w:t>Derivatives and Hedging (Topic 815): Targeted Improvements to Accounting for Hedging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195580</wp:posOffset>
            </wp:positionV>
            <wp:extent cx="144907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31" w:lineRule="auto"/>
        <w:rPr>
          <w:sz w:val="20"/>
          <w:szCs w:val="20"/>
          <w:color w:val="auto"/>
        </w:rPr>
      </w:pPr>
      <w:r>
        <w:rPr>
          <w:rFonts w:ascii="Arial" w:cs="Arial" w:eastAsia="Arial" w:hAnsi="Arial"/>
          <w:sz w:val="15"/>
          <w:szCs w:val="15"/>
          <w:color w:val="auto"/>
        </w:rPr>
        <w:t>This ASU permits an entity to reclassify the income tax effects of the Tax Act on items within accumulated other comprehensive income into retained earnings.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212725</wp:posOffset>
            </wp:positionV>
            <wp:extent cx="152654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1526540" cy="8890"/>
                    </a:xfrm>
                    <a:prstGeom prst="rect">
                      <a:avLst/>
                    </a:prstGeom>
                    <a:noFill/>
                  </pic:spPr>
                </pic:pic>
              </a:graphicData>
            </a:graphic>
          </wp:anchor>
        </w:drawing>
      </w:r>
    </w:p>
    <w:p>
      <w:pPr>
        <w:spacing w:after="0" w:line="352" w:lineRule="exact"/>
        <w:rPr>
          <w:sz w:val="20"/>
          <w:szCs w:val="20"/>
          <w:color w:val="auto"/>
        </w:rPr>
      </w:pPr>
    </w:p>
    <w:p>
      <w:pPr>
        <w:ind w:right="40"/>
        <w:spacing w:after="0" w:line="229" w:lineRule="auto"/>
        <w:rPr>
          <w:sz w:val="20"/>
          <w:szCs w:val="20"/>
          <w:color w:val="auto"/>
        </w:rPr>
      </w:pPr>
      <w:r>
        <w:rPr>
          <w:rFonts w:ascii="Arial" w:cs="Arial" w:eastAsia="Arial" w:hAnsi="Arial"/>
          <w:sz w:val="15"/>
          <w:szCs w:val="15"/>
          <w:color w:val="auto"/>
        </w:rPr>
        <w:t>This ASU better aligns accounting rules with a company’s risk management activities; better reflects economic results of hedging in financial statements; and simplifies hedge accounting treatment.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93980</wp:posOffset>
            </wp:positionV>
            <wp:extent cx="152654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152654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ind w:right="20"/>
        <w:spacing w:after="0" w:line="230" w:lineRule="auto"/>
        <w:rPr>
          <w:sz w:val="20"/>
          <w:szCs w:val="20"/>
          <w:color w:val="auto"/>
        </w:rPr>
      </w:pPr>
      <w:r>
        <w:rPr>
          <w:rFonts w:ascii="Arial" w:cs="Arial" w:eastAsia="Arial" w:hAnsi="Arial"/>
          <w:sz w:val="15"/>
          <w:szCs w:val="15"/>
          <w:color w:val="auto"/>
        </w:rPr>
        <w:t>This standard will be applied either in the period of adoption or retrospectively to each period in which the effect of the change in the tax laws or rates were recognized.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109855</wp:posOffset>
            </wp:positionV>
            <wp:extent cx="151765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190" w:lineRule="exact"/>
        <w:rPr>
          <w:sz w:val="20"/>
          <w:szCs w:val="20"/>
          <w:color w:val="auto"/>
        </w:rPr>
      </w:pPr>
    </w:p>
    <w:p>
      <w:pPr>
        <w:spacing w:after="0" w:line="235" w:lineRule="auto"/>
        <w:rPr>
          <w:sz w:val="20"/>
          <w:szCs w:val="20"/>
          <w:color w:val="auto"/>
        </w:rPr>
      </w:pPr>
      <w:r>
        <w:rPr>
          <w:rFonts w:ascii="Arial" w:cs="Arial" w:eastAsia="Arial" w:hAnsi="Arial"/>
          <w:sz w:val="15"/>
          <w:szCs w:val="15"/>
          <w:color w:val="auto"/>
        </w:rPr>
        <w:t>We early adopted this standard in the first quarter of 2018 using a modified retrospective approach.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503555</wp:posOffset>
            </wp:positionV>
            <wp:extent cx="151765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jc w:val="both"/>
        <w:ind w:right="240"/>
        <w:spacing w:after="0" w:line="242" w:lineRule="auto"/>
        <w:rPr>
          <w:sz w:val="20"/>
          <w:szCs w:val="20"/>
          <w:color w:val="auto"/>
        </w:rPr>
      </w:pPr>
      <w:r>
        <w:rPr>
          <w:rFonts w:ascii="Arial" w:cs="Arial" w:eastAsia="Arial" w:hAnsi="Arial"/>
          <w:sz w:val="15"/>
          <w:szCs w:val="15"/>
          <w:color w:val="auto"/>
        </w:rPr>
        <w:t>We are currently evaluating the impact of implementing this guidance on our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518795</wp:posOffset>
            </wp:positionV>
            <wp:extent cx="252984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252984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both"/>
        <w:ind w:right="300"/>
        <w:spacing w:after="0" w:line="235" w:lineRule="auto"/>
        <w:rPr>
          <w:sz w:val="20"/>
          <w:szCs w:val="20"/>
          <w:color w:val="auto"/>
        </w:rPr>
      </w:pPr>
      <w:r>
        <w:rPr>
          <w:rFonts w:ascii="Arial" w:cs="Arial" w:eastAsia="Arial" w:hAnsi="Arial"/>
          <w:sz w:val="15"/>
          <w:szCs w:val="15"/>
          <w:color w:val="auto"/>
        </w:rPr>
        <w:t>Our adoption of this guidance did not have a material impact on our current hedging arrangements or on the disclosures related to such arrangements.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503555</wp:posOffset>
            </wp:positionV>
            <wp:extent cx="252984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2529840" cy="8890"/>
                    </a:xfrm>
                    <a:prstGeom prst="rect">
                      <a:avLst/>
                    </a:prstGeom>
                    <a:noFill/>
                  </pic:spPr>
                </pic:pic>
              </a:graphicData>
            </a:graphic>
          </wp:anchor>
        </w:drawing>
      </w:r>
    </w:p>
    <w:p>
      <w:pPr>
        <w:spacing w:after="0" w:line="845" w:lineRule="exact"/>
        <w:rPr>
          <w:sz w:val="20"/>
          <w:szCs w:val="20"/>
          <w:color w:val="auto"/>
        </w:rPr>
      </w:pPr>
    </w:p>
    <w:p>
      <w:pPr>
        <w:sectPr>
          <w:pgSz w:w="11900" w:h="16838" w:orient="portrait"/>
          <w:cols w:equalWidth="0" w:num="4">
            <w:col w:w="2200" w:space="240"/>
            <w:col w:w="2340" w:space="180"/>
            <w:col w:w="2260" w:space="220"/>
            <w:col w:w="3980"/>
          </w:cols>
          <w:pgMar w:left="240" w:top="684" w:right="239" w:bottom="1440" w:gutter="0" w:footer="0" w:header="0"/>
          <w:type w:val="continuous"/>
        </w:sectPr>
      </w:pP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44</w:t>
      </w:r>
    </w:p>
    <w:p>
      <w:pPr>
        <w:sectPr>
          <w:pgSz w:w="11900" w:h="16838" w:orient="portrait"/>
          <w:cols w:equalWidth="0" w:num="1">
            <w:col w:w="11420"/>
          </w:cols>
          <w:pgMar w:left="240" w:top="684" w:right="239" w:bottom="1440" w:gutter="0" w:footer="0" w:header="0"/>
          <w:type w:val="continuous"/>
        </w:sectPr>
      </w:pPr>
    </w:p>
    <w:bookmarkStart w:id="47" w:name="page48"/>
    <w:bookmarkEnd w:id="47"/>
    <w:p>
      <w:pPr>
        <w:spacing w:after="0" w:line="162"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Accounting Standard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24130</wp:posOffset>
            </wp:positionV>
            <wp:extent cx="144907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55" w:lineRule="exact"/>
        <w:rPr>
          <w:sz w:val="20"/>
          <w:szCs w:val="20"/>
          <w:color w:val="auto"/>
        </w:rPr>
      </w:pPr>
    </w:p>
    <w:p>
      <w:pPr>
        <w:ind w:right="220"/>
        <w:spacing w:after="0" w:line="235" w:lineRule="auto"/>
        <w:rPr>
          <w:sz w:val="20"/>
          <w:szCs w:val="20"/>
          <w:color w:val="auto"/>
        </w:rPr>
      </w:pPr>
      <w:r>
        <w:rPr>
          <w:rFonts w:ascii="Arial" w:cs="Arial" w:eastAsia="Arial" w:hAnsi="Arial"/>
          <w:sz w:val="15"/>
          <w:szCs w:val="15"/>
          <w:color w:val="auto"/>
        </w:rPr>
        <w:t xml:space="preserve">In February 2016, the FASB issued ASU 2016-02, </w:t>
      </w:r>
      <w:r>
        <w:rPr>
          <w:rFonts w:ascii="Arial" w:cs="Arial" w:eastAsia="Arial" w:hAnsi="Arial"/>
          <w:sz w:val="15"/>
          <w:szCs w:val="15"/>
          <w:i w:val="1"/>
          <w:iCs w:val="1"/>
          <w:color w:val="auto"/>
        </w:rPr>
        <w:t>Leases</w:t>
      </w:r>
      <w:r>
        <w:rPr>
          <w:rFonts w:ascii="Arial" w:cs="Arial" w:eastAsia="Arial" w:hAnsi="Arial"/>
          <w:sz w:val="15"/>
          <w:szCs w:val="15"/>
          <w:color w:val="auto"/>
        </w:rPr>
        <w:t xml:space="preserve"> </w:t>
      </w:r>
      <w:r>
        <w:rPr>
          <w:rFonts w:ascii="Arial" w:cs="Arial" w:eastAsia="Arial" w:hAnsi="Arial"/>
          <w:sz w:val="15"/>
          <w:szCs w:val="15"/>
          <w:i w:val="1"/>
          <w:iCs w:val="1"/>
          <w:color w:val="auto"/>
        </w:rPr>
        <w:t>(Topic 842).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520700</wp:posOffset>
            </wp:positionV>
            <wp:extent cx="144907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spacing w:after="0" w:line="233" w:lineRule="auto"/>
        <w:rPr>
          <w:sz w:val="20"/>
          <w:szCs w:val="20"/>
          <w:color w:val="auto"/>
        </w:rPr>
      </w:pPr>
      <w:r>
        <w:rPr>
          <w:rFonts w:ascii="Arial" w:cs="Arial" w:eastAsia="Arial" w:hAnsi="Arial"/>
          <w:sz w:val="15"/>
          <w:szCs w:val="15"/>
          <w:color w:val="auto"/>
        </w:rPr>
        <w:t xml:space="preserve">In May 2014, the FASB issued ASU 2014-09, </w:t>
      </w:r>
      <w:r>
        <w:rPr>
          <w:rFonts w:ascii="Arial" w:cs="Arial" w:eastAsia="Arial" w:hAnsi="Arial"/>
          <w:sz w:val="15"/>
          <w:szCs w:val="15"/>
          <w:i w:val="1"/>
          <w:iCs w:val="1"/>
          <w:color w:val="auto"/>
        </w:rPr>
        <w:t>Revenue from</w:t>
      </w:r>
      <w:r>
        <w:rPr>
          <w:rFonts w:ascii="Arial" w:cs="Arial" w:eastAsia="Arial" w:hAnsi="Arial"/>
          <w:sz w:val="15"/>
          <w:szCs w:val="15"/>
          <w:color w:val="auto"/>
        </w:rPr>
        <w:t xml:space="preserve"> </w:t>
      </w:r>
      <w:r>
        <w:rPr>
          <w:rFonts w:ascii="Arial" w:cs="Arial" w:eastAsia="Arial" w:hAnsi="Arial"/>
          <w:sz w:val="15"/>
          <w:szCs w:val="15"/>
          <w:i w:val="1"/>
          <w:iCs w:val="1"/>
          <w:color w:val="auto"/>
        </w:rPr>
        <w:t>Contracts with Customers (Topic 606).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2063750</wp:posOffset>
            </wp:positionV>
            <wp:extent cx="144907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42"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24130</wp:posOffset>
            </wp:positionV>
            <wp:extent cx="152654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1526540" cy="8890"/>
                    </a:xfrm>
                    <a:prstGeom prst="rect">
                      <a:avLst/>
                    </a:prstGeom>
                    <a:noFill/>
                  </pic:spPr>
                </pic:pic>
              </a:graphicData>
            </a:graphic>
          </wp:anchor>
        </w:drawing>
      </w:r>
    </w:p>
    <w:p>
      <w:pPr>
        <w:spacing w:after="0" w:line="55" w:lineRule="exact"/>
        <w:rPr>
          <w:sz w:val="20"/>
          <w:szCs w:val="20"/>
          <w:color w:val="auto"/>
        </w:rPr>
      </w:pPr>
    </w:p>
    <w:p>
      <w:pPr>
        <w:spacing w:after="0" w:line="229" w:lineRule="auto"/>
        <w:rPr>
          <w:sz w:val="20"/>
          <w:szCs w:val="20"/>
          <w:color w:val="auto"/>
        </w:rPr>
      </w:pPr>
      <w:r>
        <w:rPr>
          <w:rFonts w:ascii="Arial" w:cs="Arial" w:eastAsia="Arial" w:hAnsi="Arial"/>
          <w:sz w:val="15"/>
          <w:szCs w:val="15"/>
          <w:color w:val="auto"/>
        </w:rPr>
        <w:t>This ASU improves transparency and comparability among organizations by requiring lessees to recognize lease assets and lease liabilities on the balance sheet and to disclose key information about leasing arrangements.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6350</wp:posOffset>
            </wp:positionV>
            <wp:extent cx="1526540"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1526540" cy="8890"/>
                    </a:xfrm>
                    <a:prstGeom prst="rect">
                      <a:avLst/>
                    </a:prstGeom>
                    <a:noFill/>
                  </pic:spPr>
                </pic:pic>
              </a:graphicData>
            </a:graphic>
          </wp:anchor>
        </w:drawing>
      </w:r>
    </w:p>
    <w:p>
      <w:pPr>
        <w:spacing w:after="0" w:line="27" w:lineRule="exact"/>
        <w:rPr>
          <w:sz w:val="20"/>
          <w:szCs w:val="20"/>
          <w:color w:val="auto"/>
        </w:rPr>
      </w:pPr>
    </w:p>
    <w:p>
      <w:pPr>
        <w:spacing w:after="0" w:line="228" w:lineRule="auto"/>
        <w:rPr>
          <w:sz w:val="20"/>
          <w:szCs w:val="20"/>
          <w:color w:val="auto"/>
        </w:rPr>
      </w:pPr>
      <w:r>
        <w:rPr>
          <w:rFonts w:ascii="Arial" w:cs="Arial" w:eastAsia="Arial" w:hAnsi="Arial"/>
          <w:sz w:val="15"/>
          <w:szCs w:val="15"/>
          <w:color w:val="auto"/>
        </w:rPr>
        <w:t>This ASU introduces a new principles-based framework for revenue recognition and disclosure. The core principle of the standard is when an entity transfers goods or services to customers it will recognize revenue in an amount that reflects the consideration the entity expects to be entitled to for those goods or services.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1344295</wp:posOffset>
            </wp:positionV>
            <wp:extent cx="1526540"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152654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ind w:right="520"/>
        <w:spacing w:after="0" w:line="267" w:lineRule="auto"/>
        <w:rPr>
          <w:sz w:val="20"/>
          <w:szCs w:val="20"/>
          <w:color w:val="auto"/>
        </w:rPr>
      </w:pPr>
      <w:r>
        <w:rPr>
          <w:rFonts w:ascii="Arial" w:cs="Arial" w:eastAsia="Arial" w:hAnsi="Arial"/>
          <w:sz w:val="15"/>
          <w:szCs w:val="15"/>
          <w:b w:val="1"/>
          <w:bCs w:val="1"/>
          <w:color w:val="auto"/>
        </w:rPr>
        <w:t>Effective Date/Method of Adoption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-6350</wp:posOffset>
            </wp:positionV>
            <wp:extent cx="1517650"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6" w:lineRule="exact"/>
        <w:rPr>
          <w:sz w:val="20"/>
          <w:szCs w:val="20"/>
          <w:color w:val="auto"/>
        </w:rPr>
      </w:pPr>
    </w:p>
    <w:p>
      <w:pPr>
        <w:spacing w:after="0"/>
        <w:rPr>
          <w:sz w:val="20"/>
          <w:szCs w:val="20"/>
          <w:color w:val="auto"/>
        </w:rPr>
      </w:pPr>
      <w:r>
        <w:rPr>
          <w:rFonts w:ascii="Arial" w:cs="Arial" w:eastAsia="Arial" w:hAnsi="Arial"/>
          <w:sz w:val="15"/>
          <w:szCs w:val="15"/>
          <w:color w:val="auto"/>
        </w:rPr>
        <w:t>November 1, 2019</w:t>
      </w:r>
    </w:p>
    <w:p>
      <w:pPr>
        <w:spacing w:after="0" w:line="152" w:lineRule="exact"/>
        <w:rPr>
          <w:sz w:val="20"/>
          <w:szCs w:val="20"/>
          <w:color w:val="auto"/>
        </w:rPr>
      </w:pPr>
    </w:p>
    <w:p>
      <w:pPr>
        <w:spacing w:after="0" w:line="230" w:lineRule="auto"/>
        <w:rPr>
          <w:sz w:val="20"/>
          <w:szCs w:val="20"/>
          <w:color w:val="auto"/>
        </w:rPr>
      </w:pPr>
      <w:r>
        <w:rPr>
          <w:rFonts w:ascii="Arial" w:cs="Arial" w:eastAsia="Arial" w:hAnsi="Arial"/>
          <w:sz w:val="15"/>
          <w:szCs w:val="15"/>
          <w:color w:val="auto"/>
        </w:rPr>
        <w:t>When transitioning to the new standard, we are required to recognize and measure leases at the beginning of the earliest period presented using a modified retrospective approach.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6985</wp:posOffset>
            </wp:positionV>
            <wp:extent cx="1517650"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8" w:lineRule="exact"/>
        <w:rPr>
          <w:sz w:val="20"/>
          <w:szCs w:val="20"/>
          <w:color w:val="auto"/>
        </w:rPr>
      </w:pPr>
    </w:p>
    <w:p>
      <w:pPr>
        <w:spacing w:after="0"/>
        <w:rPr>
          <w:sz w:val="20"/>
          <w:szCs w:val="20"/>
          <w:color w:val="auto"/>
        </w:rPr>
      </w:pPr>
      <w:r>
        <w:rPr>
          <w:rFonts w:ascii="Arial" w:cs="Arial" w:eastAsia="Arial" w:hAnsi="Arial"/>
          <w:sz w:val="15"/>
          <w:szCs w:val="15"/>
          <w:color w:val="auto"/>
        </w:rPr>
        <w:t>November 1, 2018</w:t>
      </w:r>
    </w:p>
    <w:p>
      <w:pPr>
        <w:spacing w:after="0" w:line="152" w:lineRule="exact"/>
        <w:rPr>
          <w:sz w:val="20"/>
          <w:szCs w:val="20"/>
          <w:color w:val="auto"/>
        </w:rPr>
      </w:pPr>
    </w:p>
    <w:p>
      <w:pPr>
        <w:ind w:right="40"/>
        <w:spacing w:after="0" w:line="229" w:lineRule="auto"/>
        <w:rPr>
          <w:sz w:val="20"/>
          <w:szCs w:val="20"/>
          <w:color w:val="auto"/>
        </w:rPr>
      </w:pPr>
      <w:r>
        <w:rPr>
          <w:rFonts w:ascii="Arial" w:cs="Arial" w:eastAsia="Arial" w:hAnsi="Arial"/>
          <w:sz w:val="15"/>
          <w:szCs w:val="15"/>
          <w:color w:val="auto"/>
        </w:rPr>
        <w:t>This standard will be applied as a full retrospective adoption to all periods presented or a modified retrospective adoption approach with a cumulative-effect adjustment to retained earnings as of the beginning of the year of adoption.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1447165</wp:posOffset>
            </wp:positionV>
            <wp:extent cx="1517650"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br w:type="column"/>
      </w:r>
    </w:p>
    <w:p>
      <w:pPr>
        <w:spacing w:after="0" w:line="142"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Effect on the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24130</wp:posOffset>
            </wp:positionV>
            <wp:extent cx="2529840"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2529840" cy="8890"/>
                    </a:xfrm>
                    <a:prstGeom prst="rect">
                      <a:avLst/>
                    </a:prstGeom>
                    <a:noFill/>
                  </pic:spPr>
                </pic:pic>
              </a:graphicData>
            </a:graphic>
          </wp:anchor>
        </w:drawing>
      </w:r>
    </w:p>
    <w:p>
      <w:pPr>
        <w:spacing w:after="0" w:line="55" w:lineRule="exact"/>
        <w:rPr>
          <w:sz w:val="20"/>
          <w:szCs w:val="20"/>
          <w:color w:val="auto"/>
        </w:rPr>
      </w:pPr>
    </w:p>
    <w:p>
      <w:pPr>
        <w:jc w:val="both"/>
        <w:ind w:right="200"/>
        <w:spacing w:after="0" w:line="242" w:lineRule="auto"/>
        <w:rPr>
          <w:sz w:val="20"/>
          <w:szCs w:val="20"/>
          <w:color w:val="auto"/>
        </w:rPr>
      </w:pPr>
      <w:r>
        <w:rPr>
          <w:rFonts w:ascii="Arial" w:cs="Arial" w:eastAsia="Arial" w:hAnsi="Arial"/>
          <w:sz w:val="15"/>
          <w:szCs w:val="15"/>
          <w:color w:val="auto"/>
        </w:rPr>
        <w:t>We are currently evaluating the impact of implementing this guidance on our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621665</wp:posOffset>
            </wp:positionV>
            <wp:extent cx="2529840"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252984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spacing w:after="0" w:line="236" w:lineRule="auto"/>
        <w:rPr>
          <w:sz w:val="20"/>
          <w:szCs w:val="20"/>
          <w:color w:val="auto"/>
        </w:rPr>
      </w:pPr>
      <w:r>
        <w:rPr>
          <w:rFonts w:ascii="Arial" w:cs="Arial" w:eastAsia="Arial" w:hAnsi="Arial"/>
          <w:sz w:val="15"/>
          <w:szCs w:val="15"/>
          <w:color w:val="auto"/>
        </w:rPr>
        <w:t>To assess the impact of this standard, we have established a cross-functional implementation team consisting of representatives from all of our operating segments. The implementation team is analyzing our contract portfolio to identify potential differences that would result from applying the requirements of this new standard. In addition, we are in the process of identifying and implementing the appropriate changes to our business processes and controls to support recognition and disclosure under this new standard. We expect the largest impact to our consolidated financial statements will result from the new qualitative and quantitative disclosures that will be required upon adoption of this new standard. Additionally, the accounting for certain direct and incremental contract costs is significantly different from our current capitalization policy; however, the impact of this difference is currently unknown. We are continuing to evaluate the impact of this ASU and an estimate of the impact to our consolidated financial statements cannot be made at this time. We expect to adopt using the modified retrospective approach, under which we will present the cumulative effect of adoption as an adjustment to the opening balance of retained earnings at the adoption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12065</wp:posOffset>
            </wp:positionV>
            <wp:extent cx="2529840"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2529840" cy="8890"/>
                    </a:xfrm>
                    <a:prstGeom prst="rect">
                      <a:avLst/>
                    </a:prstGeom>
                    <a:noFill/>
                  </pic:spPr>
                </pic:pic>
              </a:graphicData>
            </a:graphic>
          </wp:anchor>
        </w:drawing>
      </w:r>
    </w:p>
    <w:p>
      <w:pPr>
        <w:sectPr>
          <w:pgSz w:w="11900" w:h="16838" w:orient="portrait"/>
          <w:cols w:equalWidth="0" w:num="4">
            <w:col w:w="2200" w:space="200"/>
            <w:col w:w="2320" w:space="200"/>
            <w:col w:w="2300" w:space="200"/>
            <w:col w:w="3920"/>
          </w:cols>
          <w:pgMar w:left="280" w:top="685" w:right="279" w:bottom="1440" w:gutter="0" w:footer="0" w:header="0"/>
        </w:sectPr>
      </w:pPr>
    </w:p>
    <w:bookmarkStart w:id="48" w:name="page49"/>
    <w:bookmarkEnd w:id="48"/>
    <w:p>
      <w:pPr>
        <w:spacing w:after="0"/>
        <w:rPr>
          <w:sz w:val="20"/>
          <w:szCs w:val="20"/>
          <w:color w:val="auto"/>
        </w:rPr>
      </w:pPr>
      <w:r>
        <w:rPr>
          <w:rFonts w:ascii="Arial" w:cs="Arial" w:eastAsia="Arial" w:hAnsi="Arial"/>
          <w:sz w:val="18"/>
          <w:szCs w:val="18"/>
          <w:b w:val="1"/>
          <w:bCs w:val="1"/>
          <w:color w:val="0046AD"/>
        </w:rPr>
        <w:t>ITEM 3. QUANTITATIVE AND QUALITATIVE DISCLOSURES ABOUT MARKET RISK.</w:t>
      </w:r>
    </w:p>
    <w:p>
      <w:pPr>
        <w:spacing w:after="0" w:line="193"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During April 2018, we elected to terminate all of our interest rate swaps. We have subsequently entered into new forward-starting interest rate swaps that are effective November 1, 2018. Refer to Note 9, “Credit Facility,” in the unaudited consolidated financial statements and the accompanying notes. There are no other material changes related to market risk from the disclosures in our Annual Report on Form 10-K for the year ended October 31, 2017.</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color w:val="0046AD"/>
        </w:rPr>
        <w:t>ITEM 4. CONTROLS AND PROCEDURES.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0046AD"/>
        </w:rPr>
        <w:t>a. Disclosure Controls and Procedures.</w:t>
      </w:r>
    </w:p>
    <w:p>
      <w:pPr>
        <w:spacing w:after="0" w:line="193"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8"/>
          <w:szCs w:val="18"/>
          <w:color w:val="auto"/>
        </w:rPr>
        <w:t>As of the end of the period covered by this report, our Principal Executive Officer and Principal Financial Officer evaluated our disclosure controls and procedures, as such term is defined in Rules 13a-15(e) and 15d-15(e) of the Exchange Act. Based upon that evaluation, our Principal Executive Officer and Principal Financial Officer concluded that as of the end of the period covered by this report, our disclosure controls and procedures were effective to ensure that information required to be disclosed by us in reports we file or submit under the Exchange Act is (1) recorded, processed, summarized, and reported within the time periods specified in the rules and forms of the Securities and Exchange Commission, and (2) accumulated and communicated to our management, including our Principal Executive Officer and Principal Financial Officer, to allow timely decisions regarding required disclosure.</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color w:val="0046AD"/>
        </w:rPr>
        <w:t>b. Changes in Internal Control Over Financial Reporting.</w:t>
      </w:r>
    </w:p>
    <w:p>
      <w:pPr>
        <w:spacing w:after="0" w:line="193"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 xml:space="preserve">During 2017, we completed the acquisition of GCA, as described elsewhere in this report. We continue to integrate policies, processes, personnel, technology, and operations relating to this transaction and will continue to evaluate the impact of any related changes to our control over financial reporting. Additionally, we continue to migrate many of our financial reporting and other processes to our Enterprise Services Center as part of our </w:t>
      </w:r>
      <w:r>
        <w:rPr>
          <w:rFonts w:ascii="Arial" w:cs="Arial" w:eastAsia="Arial" w:hAnsi="Arial"/>
          <w:sz w:val="18"/>
          <w:szCs w:val="18"/>
          <w:b w:val="1"/>
          <w:bCs w:val="1"/>
          <w:color w:val="FF9900"/>
        </w:rPr>
        <w:t>2020</w:t>
      </w:r>
      <w:r>
        <w:rPr>
          <w:rFonts w:ascii="Arial" w:cs="Arial" w:eastAsia="Arial" w:hAnsi="Arial"/>
          <w:sz w:val="18"/>
          <w:szCs w:val="18"/>
          <w:color w:val="auto"/>
        </w:rPr>
        <w:t xml:space="preserve"> </w:t>
      </w:r>
      <w:r>
        <w:rPr>
          <w:rFonts w:ascii="Arial" w:cs="Arial" w:eastAsia="Arial" w:hAnsi="Arial"/>
          <w:sz w:val="18"/>
          <w:szCs w:val="18"/>
          <w:b w:val="1"/>
          <w:bCs w:val="1"/>
          <w:color w:val="0070C0"/>
        </w:rPr>
        <w:t>Vision</w:t>
      </w:r>
      <w:r>
        <w:rPr>
          <w:rFonts w:ascii="Arial" w:cs="Arial" w:eastAsia="Arial" w:hAnsi="Arial"/>
          <w:sz w:val="18"/>
          <w:szCs w:val="18"/>
          <w:color w:val="auto"/>
        </w:rPr>
        <w:t xml:space="preserve"> strategic transformation initiative.</w:t>
      </w:r>
    </w:p>
    <w:p>
      <w:pPr>
        <w:spacing w:after="0" w:line="150"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color w:val="auto"/>
        </w:rPr>
        <w:t>There were no other changes in our internal control over financial reporting during the second quarter of 2018 identified in connection with the evaluation required by Rule 13a-15(d) and 15d-15(d) of the Exchange Act that has materially affected, or is reasonably likely to materially affect, our internal control over financial reporting.</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0046AD"/>
        </w:rPr>
        <w:t>PART II. OTHER INFORMATION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0046AD"/>
        </w:rPr>
        <w:t>ITEM 1. LEGAL PROCEEDINGS.</w:t>
      </w:r>
    </w:p>
    <w:p>
      <w:pPr>
        <w:spacing w:after="0" w:line="247" w:lineRule="exact"/>
        <w:rPr>
          <w:sz w:val="20"/>
          <w:szCs w:val="20"/>
          <w:color w:val="auto"/>
        </w:rPr>
      </w:pPr>
    </w:p>
    <w:p>
      <w:pPr>
        <w:jc w:val="both"/>
        <w:ind w:right="20" w:firstLine="648"/>
        <w:spacing w:after="0" w:line="262" w:lineRule="auto"/>
        <w:rPr>
          <w:sz w:val="20"/>
          <w:szCs w:val="20"/>
          <w:color w:val="auto"/>
        </w:rPr>
      </w:pPr>
      <w:r>
        <w:rPr>
          <w:rFonts w:ascii="Arial" w:cs="Arial" w:eastAsia="Arial" w:hAnsi="Arial"/>
          <w:sz w:val="18"/>
          <w:szCs w:val="18"/>
          <w:color w:val="auto"/>
        </w:rPr>
        <w:t>A discussion of material developments in our litigation matters occurring in the period covered by this report is found in Note 10, “Commitments and Contingencies,” to the Financial Statements in this Form 10-Q.</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0046AD"/>
        </w:rPr>
        <w:t>ITEM 1A. RISK FACTORS.</w:t>
      </w:r>
    </w:p>
    <w:p>
      <w:pPr>
        <w:spacing w:after="0" w:line="247" w:lineRule="exact"/>
        <w:rPr>
          <w:sz w:val="20"/>
          <w:szCs w:val="20"/>
          <w:color w:val="auto"/>
        </w:rPr>
      </w:pPr>
    </w:p>
    <w:p>
      <w:pPr>
        <w:jc w:val="both"/>
        <w:ind w:right="20" w:firstLine="648"/>
        <w:spacing w:after="0" w:line="262" w:lineRule="auto"/>
        <w:rPr>
          <w:sz w:val="20"/>
          <w:szCs w:val="20"/>
          <w:color w:val="auto"/>
        </w:rPr>
      </w:pPr>
      <w:r>
        <w:rPr>
          <w:rFonts w:ascii="Arial" w:cs="Arial" w:eastAsia="Arial" w:hAnsi="Arial"/>
          <w:sz w:val="18"/>
          <w:szCs w:val="18"/>
          <w:color w:val="auto"/>
        </w:rPr>
        <w:t>There have been no material changes to the risk factors identified in our Annual Report on Form 10-K for the year ended October 31, 2017, in response to Item 1A., “Risk Factors,” of Part I of the Annual Report, except as described below.</w:t>
      </w:r>
    </w:p>
    <w:p>
      <w:pPr>
        <w:spacing w:after="0" w:line="196"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color w:val="auto"/>
        </w:rPr>
        <w:t>The Risk Factor under the caption “Our business may be materially affected by changes to fiscal and tax policies. Negative or unexpected tax consequences could adversely affect our results of operations” in our Annual Report on Form 10-K for the year ended October 31, 2017 is amended by replacing in its entirety the text below such caption with the following paragraph:</w:t>
      </w:r>
    </w:p>
    <w:p>
      <w:pPr>
        <w:spacing w:after="0" w:line="202"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18"/>
          <w:szCs w:val="18"/>
          <w:color w:val="auto"/>
        </w:rPr>
        <w:t>The Company is subject to income tax laws and regulations in the United States and certain foreign jurisdictions. Significant judgment is required in evaluating and estimating our provision and accruals for these taxes. Our income tax liabilities are dependent upon the location of earnings among different jurisdictions. Our income tax provision and income tax liabilities could be adversely affected by the jurisdictional mix of earnings, changes in valuations of deferred tax assets and liabilities, and changes in tax treaties, laws, and regulations, including changes introduced by the U.S. Tax Cuts and Jobs Act of 2017, which effected significant changes to the U.S. corporate income tax system. Our preliminary estimate of the effects of this law is subject to finalization of management’s analysis related to certain matters. Changes to our preliminary estimate of the effects of this law, which will be recorded in the period completed, could have material adverse effect on the Company’s financial condition or results of operations, as well as our effective tax rate in the period in which the adjustments are made. Furthermore, we are subject to tax</w:t>
      </w: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420"/>
          </w:cols>
          <w:pgMar w:left="240" w:top="522" w:right="239" w:bottom="1440" w:gutter="0" w:footer="0" w:header="0"/>
        </w:sectPr>
      </w:pPr>
    </w:p>
    <w:bookmarkStart w:id="49" w:name="page50"/>
    <w:bookmarkEnd w:id="49"/>
    <w:p>
      <w:pPr>
        <w:jc w:val="both"/>
        <w:spacing w:after="0" w:line="262" w:lineRule="auto"/>
        <w:rPr>
          <w:sz w:val="20"/>
          <w:szCs w:val="20"/>
          <w:color w:val="auto"/>
        </w:rPr>
      </w:pPr>
      <w:r>
        <w:rPr>
          <w:rFonts w:ascii="Arial" w:cs="Arial" w:eastAsia="Arial" w:hAnsi="Arial"/>
          <w:sz w:val="18"/>
          <w:szCs w:val="18"/>
          <w:color w:val="auto"/>
        </w:rPr>
        <w:t>audits by government authorities, primarily in the United States and the United Kingdom. If we experience unfavorable results from one or more such tax audits, there could be an adverse effect on our tax rate and therefore on our net income.</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0046AD"/>
        </w:rPr>
        <w:t>ITEM 2. UNREGISTERED SALES OF EQUITY SECURITIES AND USE OF PROCEEDS.</w:t>
      </w:r>
    </w:p>
    <w:p>
      <w:pPr>
        <w:spacing w:after="0" w:line="193"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color w:val="auto"/>
        </w:rPr>
        <w:t>On September 2, 2015, our Board of Directors authorized a program to repurchase up to $200.0 million of our common stock. During the six months ended April 30, 2018, there were no share repurchases. At April 30, 2018, authorization for $134.1 million of repurchases remained under our share repurchase program.</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0046AD"/>
        </w:rPr>
        <w:t>ITEM 3. DEFAULTS UPON SENIOR SECURITIES.</w:t>
      </w:r>
    </w:p>
    <w:p>
      <w:pPr>
        <w:spacing w:after="0" w:line="19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None.</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b w:val="1"/>
          <w:bCs w:val="1"/>
          <w:color w:val="0046AD"/>
        </w:rPr>
        <w:t>ITEM 4. MINE SAFETY DISCLOSURES.</w:t>
      </w:r>
    </w:p>
    <w:p>
      <w:pPr>
        <w:spacing w:after="0" w:line="19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b w:val="1"/>
          <w:bCs w:val="1"/>
          <w:color w:val="0046AD"/>
        </w:rPr>
        <w:t>ITEM 5. OTHER INFORMATION.</w:t>
      </w:r>
    </w:p>
    <w:p>
      <w:pPr>
        <w:spacing w:after="0" w:line="19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420"/>
          </w:cols>
          <w:pgMar w:left="240" w:top="382" w:right="239" w:bottom="1440" w:gutter="0" w:footer="0" w:header="0"/>
        </w:sectPr>
      </w:pPr>
    </w:p>
    <w:bookmarkStart w:id="50" w:name="page51"/>
    <w:bookmarkEnd w:id="50"/>
    <w:tbl>
      <w:tblPr>
        <w:tblLayout w:type="fixed"/>
        <w:tblInd w:w="0" w:type="dxa"/>
        <w:tblCellMar>
          <w:top w:w="0" w:type="dxa"/>
          <w:left w:w="0" w:type="dxa"/>
          <w:bottom w:w="0" w:type="dxa"/>
          <w:right w:w="0" w:type="dxa"/>
        </w:tblCellMar>
      </w:tblPr>
      <w:tr>
        <w:trPr>
          <w:trHeight w:val="239"/>
        </w:trPr>
        <w:tc>
          <w:tcPr>
            <w:tcW w:w="11400" w:type="dxa"/>
            <w:vAlign w:val="bottom"/>
            <w:gridSpan w:val="9"/>
          </w:tcPr>
          <w:p>
            <w:pPr>
              <w:spacing w:after="0"/>
              <w:rPr>
                <w:sz w:val="20"/>
                <w:szCs w:val="20"/>
                <w:color w:val="auto"/>
              </w:rPr>
            </w:pPr>
            <w:r>
              <w:rPr>
                <w:rFonts w:ascii="Arial" w:cs="Arial" w:eastAsia="Arial" w:hAnsi="Arial"/>
                <w:sz w:val="18"/>
                <w:szCs w:val="18"/>
                <w:b w:val="1"/>
                <w:bCs w:val="1"/>
                <w:color w:val="0046AD"/>
              </w:rPr>
              <w:t>ITEM 6. EXHIBITS.</w:t>
            </w:r>
          </w:p>
        </w:tc>
      </w:tr>
      <w:tr>
        <w:trPr>
          <w:trHeight w:val="378"/>
        </w:trPr>
        <w:tc>
          <w:tcPr>
            <w:tcW w:w="11400" w:type="dxa"/>
            <w:vAlign w:val="bottom"/>
            <w:gridSpan w:val="9"/>
          </w:tcPr>
          <w:p>
            <w:pPr>
              <w:ind w:left="660"/>
              <w:spacing w:after="0"/>
              <w:rPr>
                <w:sz w:val="20"/>
                <w:szCs w:val="20"/>
                <w:color w:val="auto"/>
              </w:rPr>
            </w:pPr>
            <w:r>
              <w:rPr>
                <w:rFonts w:ascii="Arial" w:cs="Arial" w:eastAsia="Arial" w:hAnsi="Arial"/>
                <w:sz w:val="18"/>
                <w:szCs w:val="18"/>
                <w:color w:val="auto"/>
              </w:rPr>
              <w:t>(a) Exhibits</w:t>
            </w:r>
          </w:p>
        </w:tc>
      </w:tr>
      <w:tr>
        <w:trPr>
          <w:trHeight w:val="378"/>
        </w:trPr>
        <w:tc>
          <w:tcPr>
            <w:tcW w:w="1500" w:type="dxa"/>
            <w:vAlign w:val="bottom"/>
            <w:gridSpan w:val="2"/>
          </w:tcPr>
          <w:p>
            <w:pPr>
              <w:ind w:left="220"/>
              <w:spacing w:after="0"/>
              <w:rPr>
                <w:sz w:val="20"/>
                <w:szCs w:val="20"/>
                <w:color w:val="auto"/>
              </w:rPr>
            </w:pPr>
            <w:r>
              <w:rPr>
                <w:rFonts w:ascii="Arial" w:cs="Arial" w:eastAsia="Arial" w:hAnsi="Arial"/>
                <w:sz w:val="18"/>
                <w:szCs w:val="18"/>
                <w:b w:val="1"/>
                <w:bCs w:val="1"/>
                <w:color w:val="auto"/>
              </w:rPr>
              <w:t>Exhibit No.</w:t>
            </w:r>
          </w:p>
        </w:tc>
        <w:tc>
          <w:tcPr>
            <w:tcW w:w="20" w:type="dxa"/>
            <w:vAlign w:val="bottom"/>
          </w:tcPr>
          <w:p>
            <w:pPr>
              <w:spacing w:after="0"/>
              <w:rPr>
                <w:sz w:val="24"/>
                <w:szCs w:val="24"/>
                <w:color w:val="auto"/>
              </w:rPr>
            </w:pPr>
          </w:p>
        </w:tc>
        <w:tc>
          <w:tcPr>
            <w:tcW w:w="3540" w:type="dxa"/>
            <w:vAlign w:val="bottom"/>
          </w:tcPr>
          <w:p>
            <w:pPr>
              <w:spacing w:after="0"/>
              <w:rPr>
                <w:sz w:val="24"/>
                <w:szCs w:val="24"/>
                <w:color w:val="auto"/>
              </w:rPr>
            </w:pPr>
          </w:p>
        </w:tc>
        <w:tc>
          <w:tcPr>
            <w:tcW w:w="6340" w:type="dxa"/>
            <w:vAlign w:val="bottom"/>
            <w:gridSpan w:val="5"/>
          </w:tcPr>
          <w:p>
            <w:pPr>
              <w:ind w:left="580"/>
              <w:spacing w:after="0"/>
              <w:rPr>
                <w:sz w:val="20"/>
                <w:szCs w:val="20"/>
                <w:color w:val="auto"/>
              </w:rPr>
            </w:pPr>
            <w:r>
              <w:rPr>
                <w:rFonts w:ascii="Arial" w:cs="Arial" w:eastAsia="Arial" w:hAnsi="Arial"/>
                <w:sz w:val="18"/>
                <w:szCs w:val="18"/>
                <w:b w:val="1"/>
                <w:bCs w:val="1"/>
                <w:color w:val="auto"/>
              </w:rPr>
              <w:t>Exhibit Description</w:t>
            </w:r>
          </w:p>
        </w:tc>
      </w:tr>
      <w:tr>
        <w:trPr>
          <w:trHeight w:val="27"/>
        </w:trPr>
        <w:tc>
          <w:tcPr>
            <w:tcW w:w="1380" w:type="dxa"/>
            <w:vAlign w:val="bottom"/>
            <w:tcBorders>
              <w:bottom w:val="single" w:sz="8" w:color="auto"/>
            </w:tcBorders>
          </w:tcPr>
          <w:p>
            <w:pPr>
              <w:spacing w:after="0"/>
              <w:rPr>
                <w:sz w:val="2"/>
                <w:szCs w:val="2"/>
                <w:color w:val="auto"/>
              </w:rPr>
            </w:pPr>
          </w:p>
        </w:tc>
        <w:tc>
          <w:tcPr>
            <w:tcW w:w="120" w:type="dxa"/>
            <w:vAlign w:val="bottom"/>
            <w:tcBorders>
              <w:bottom w:val="single" w:sz="8" w:color="DCE2E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540" w:type="dxa"/>
            <w:vAlign w:val="bottom"/>
            <w:tcBorders>
              <w:bottom w:val="single" w:sz="8" w:color="auto"/>
            </w:tcBorders>
          </w:tcPr>
          <w:p>
            <w:pPr>
              <w:spacing w:after="0"/>
              <w:rPr>
                <w:sz w:val="2"/>
                <w:szCs w:val="2"/>
                <w:color w:val="auto"/>
              </w:rPr>
            </w:pPr>
          </w:p>
        </w:tc>
        <w:tc>
          <w:tcPr>
            <w:tcW w:w="44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r>
      <w:tr>
        <w:trPr>
          <w:trHeight w:val="196"/>
        </w:trPr>
        <w:tc>
          <w:tcPr>
            <w:tcW w:w="1380" w:type="dxa"/>
            <w:vAlign w:val="bottom"/>
            <w:shd w:val="clear" w:color="auto" w:fill="DCE2EF"/>
          </w:tcPr>
          <w:p>
            <w:pPr>
              <w:ind w:left="40"/>
              <w:spacing w:after="0" w:line="196" w:lineRule="exact"/>
              <w:rPr>
                <w:sz w:val="20"/>
                <w:szCs w:val="20"/>
                <w:color w:val="auto"/>
              </w:rPr>
            </w:pPr>
            <w:r>
              <w:rPr>
                <w:rFonts w:ascii="Arial" w:cs="Arial" w:eastAsia="Arial" w:hAnsi="Arial"/>
                <w:sz w:val="18"/>
                <w:szCs w:val="18"/>
                <w:color w:val="auto"/>
              </w:rPr>
              <w:t>10.1*</w:t>
            </w:r>
          </w:p>
        </w:tc>
        <w:tc>
          <w:tcPr>
            <w:tcW w:w="120" w:type="dxa"/>
            <w:vAlign w:val="bottom"/>
            <w:shd w:val="clear" w:color="auto" w:fill="DCE2EF"/>
          </w:tcPr>
          <w:p>
            <w:pPr>
              <w:spacing w:after="0"/>
              <w:rPr>
                <w:sz w:val="17"/>
                <w:szCs w:val="17"/>
                <w:color w:val="auto"/>
              </w:rPr>
            </w:pPr>
          </w:p>
        </w:tc>
        <w:tc>
          <w:tcPr>
            <w:tcW w:w="20" w:type="dxa"/>
            <w:vAlign w:val="bottom"/>
            <w:shd w:val="clear" w:color="auto" w:fill="DCE2EF"/>
          </w:tcPr>
          <w:p>
            <w:pPr>
              <w:spacing w:after="0"/>
              <w:rPr>
                <w:sz w:val="17"/>
                <w:szCs w:val="17"/>
                <w:color w:val="auto"/>
              </w:rPr>
            </w:pPr>
          </w:p>
        </w:tc>
        <w:tc>
          <w:tcPr>
            <w:tcW w:w="9880" w:type="dxa"/>
            <w:vAlign w:val="bottom"/>
            <w:gridSpan w:val="6"/>
            <w:shd w:val="clear" w:color="auto" w:fill="DCE2EF"/>
          </w:tcPr>
          <w:p>
            <w:pPr>
              <w:spacing w:after="0" w:line="196" w:lineRule="exact"/>
              <w:rPr>
                <w:rFonts w:ascii="Arial" w:cs="Arial" w:eastAsia="Arial" w:hAnsi="Arial"/>
                <w:sz w:val="18"/>
                <w:szCs w:val="18"/>
                <w:color w:val="0000FF"/>
              </w:rPr>
            </w:pPr>
            <w:hyperlink r:id="rId67">
              <w:r>
                <w:rPr>
                  <w:rFonts w:ascii="Arial" w:cs="Arial" w:eastAsia="Arial" w:hAnsi="Arial"/>
                  <w:sz w:val="18"/>
                  <w:szCs w:val="18"/>
                  <w:color w:val="0000FF"/>
                </w:rPr>
                <w:t>Amended and Restated 2006 Equity Incentive Plan (incorporated by reference to Exhibit 10.1 to the Company’s Current</w:t>
              </w:r>
            </w:hyperlink>
          </w:p>
        </w:tc>
      </w:tr>
      <w:tr>
        <w:trPr>
          <w:trHeight w:val="217"/>
        </w:trPr>
        <w:tc>
          <w:tcPr>
            <w:tcW w:w="1380" w:type="dxa"/>
            <w:vAlign w:val="bottom"/>
            <w:tcBorders>
              <w:top w:val="single" w:sz="8" w:color="DCE2EF"/>
              <w:bottom w:val="single" w:sz="8" w:color="DCE2EF"/>
            </w:tcBorders>
            <w:shd w:val="clear" w:color="auto" w:fill="DCE2EF"/>
          </w:tcPr>
          <w:p>
            <w:pPr>
              <w:spacing w:after="0"/>
              <w:rPr>
                <w:sz w:val="18"/>
                <w:szCs w:val="18"/>
                <w:color w:val="auto"/>
              </w:rPr>
            </w:pPr>
          </w:p>
        </w:tc>
        <w:tc>
          <w:tcPr>
            <w:tcW w:w="120" w:type="dxa"/>
            <w:vAlign w:val="bottom"/>
            <w:tcBorders>
              <w:top w:val="single" w:sz="8" w:color="DCE2EF"/>
              <w:bottom w:val="single" w:sz="8" w:color="DCE2EF"/>
            </w:tcBorders>
            <w:shd w:val="clear" w:color="auto" w:fill="DCE2EF"/>
          </w:tcPr>
          <w:p>
            <w:pPr>
              <w:spacing w:after="0"/>
              <w:rPr>
                <w:sz w:val="18"/>
                <w:szCs w:val="18"/>
                <w:color w:val="auto"/>
              </w:rPr>
            </w:pPr>
          </w:p>
        </w:tc>
        <w:tc>
          <w:tcPr>
            <w:tcW w:w="20" w:type="dxa"/>
            <w:vAlign w:val="bottom"/>
            <w:tcBorders>
              <w:top w:val="single" w:sz="8" w:color="DCE2EF"/>
              <w:bottom w:val="single" w:sz="8" w:color="DCE2EF"/>
            </w:tcBorders>
            <w:shd w:val="clear" w:color="auto" w:fill="DCE2EF"/>
          </w:tcPr>
          <w:p>
            <w:pPr>
              <w:spacing w:after="0"/>
              <w:rPr>
                <w:sz w:val="18"/>
                <w:szCs w:val="18"/>
                <w:color w:val="auto"/>
              </w:rPr>
            </w:pPr>
          </w:p>
        </w:tc>
        <w:tc>
          <w:tcPr>
            <w:tcW w:w="3540" w:type="dxa"/>
            <w:vAlign w:val="bottom"/>
            <w:tcBorders>
              <w:top w:val="single" w:sz="8" w:color="0000FF"/>
              <w:bottom w:val="single" w:sz="8" w:color="0000FF"/>
            </w:tcBorders>
            <w:shd w:val="clear" w:color="auto" w:fill="DCE2EF"/>
          </w:tcPr>
          <w:p>
            <w:pPr>
              <w:spacing w:after="0" w:line="182" w:lineRule="exact"/>
              <w:rPr>
                <w:rFonts w:ascii="Arial" w:cs="Arial" w:eastAsia="Arial" w:hAnsi="Arial"/>
                <w:sz w:val="18"/>
                <w:szCs w:val="18"/>
                <w:color w:val="0000FF"/>
                <w:w w:val="99"/>
              </w:rPr>
            </w:pPr>
            <w:hyperlink r:id="rId67">
              <w:r>
                <w:rPr>
                  <w:rFonts w:ascii="Arial" w:cs="Arial" w:eastAsia="Arial" w:hAnsi="Arial"/>
                  <w:sz w:val="18"/>
                  <w:szCs w:val="18"/>
                  <w:color w:val="0000FF"/>
                  <w:w w:val="99"/>
                </w:rPr>
                <w:t>Report on Form 8-K, filed on March 8, 2018)</w:t>
              </w:r>
            </w:hyperlink>
          </w:p>
        </w:tc>
        <w:tc>
          <w:tcPr>
            <w:tcW w:w="6300" w:type="dxa"/>
            <w:vAlign w:val="bottom"/>
            <w:tcBorders>
              <w:top w:val="single" w:sz="8" w:color="0000FF"/>
              <w:bottom w:val="single" w:sz="8" w:color="DCE2EF"/>
            </w:tcBorders>
            <w:gridSpan w:val="4"/>
            <w:shd w:val="clear" w:color="auto" w:fill="DCE2EF"/>
          </w:tcPr>
          <w:p>
            <w:pPr>
              <w:spacing w:after="0"/>
              <w:rPr>
                <w:sz w:val="18"/>
                <w:szCs w:val="18"/>
                <w:color w:val="auto"/>
              </w:rPr>
            </w:pPr>
          </w:p>
        </w:tc>
        <w:tc>
          <w:tcPr>
            <w:tcW w:w="40" w:type="dxa"/>
            <w:vAlign w:val="bottom"/>
            <w:tcBorders>
              <w:top w:val="single" w:sz="8" w:color="DCE2EF"/>
              <w:bottom w:val="single" w:sz="8" w:color="DCE2EF"/>
            </w:tcBorders>
            <w:shd w:val="clear" w:color="auto" w:fill="DCE2EF"/>
          </w:tcPr>
          <w:p>
            <w:pPr>
              <w:spacing w:after="0"/>
              <w:rPr>
                <w:sz w:val="18"/>
                <w:szCs w:val="18"/>
                <w:color w:val="auto"/>
              </w:rPr>
            </w:pPr>
          </w:p>
        </w:tc>
      </w:tr>
      <w:tr>
        <w:trPr>
          <w:trHeight w:val="203"/>
        </w:trPr>
        <w:tc>
          <w:tcPr>
            <w:tcW w:w="1500" w:type="dxa"/>
            <w:vAlign w:val="bottom"/>
            <w:gridSpan w:val="2"/>
          </w:tcPr>
          <w:p>
            <w:pPr>
              <w:ind w:left="40"/>
              <w:spacing w:after="0" w:line="202" w:lineRule="exact"/>
              <w:rPr>
                <w:sz w:val="20"/>
                <w:szCs w:val="20"/>
                <w:color w:val="auto"/>
              </w:rPr>
            </w:pPr>
            <w:r>
              <w:rPr>
                <w:rFonts w:ascii="Arial" w:cs="Arial" w:eastAsia="Arial" w:hAnsi="Arial"/>
                <w:sz w:val="18"/>
                <w:szCs w:val="18"/>
                <w:color w:val="auto"/>
              </w:rPr>
              <w:t>31.1‡</w:t>
            </w:r>
          </w:p>
        </w:tc>
        <w:tc>
          <w:tcPr>
            <w:tcW w:w="20" w:type="dxa"/>
            <w:vAlign w:val="bottom"/>
          </w:tcPr>
          <w:p>
            <w:pPr>
              <w:spacing w:after="0"/>
              <w:rPr>
                <w:sz w:val="17"/>
                <w:szCs w:val="17"/>
                <w:color w:val="auto"/>
              </w:rPr>
            </w:pPr>
          </w:p>
        </w:tc>
        <w:tc>
          <w:tcPr>
            <w:tcW w:w="9880" w:type="dxa"/>
            <w:vAlign w:val="bottom"/>
            <w:gridSpan w:val="6"/>
          </w:tcPr>
          <w:p>
            <w:pPr>
              <w:spacing w:after="0" w:line="202" w:lineRule="exact"/>
              <w:rPr>
                <w:rFonts w:ascii="Arial" w:cs="Arial" w:eastAsia="Arial" w:hAnsi="Arial"/>
                <w:sz w:val="18"/>
                <w:szCs w:val="18"/>
                <w:color w:val="0000FF"/>
              </w:rPr>
            </w:pPr>
            <w:hyperlink w:anchor="page53">
              <w:r>
                <w:rPr>
                  <w:rFonts w:ascii="Arial" w:cs="Arial" w:eastAsia="Arial" w:hAnsi="Arial"/>
                  <w:sz w:val="18"/>
                  <w:szCs w:val="18"/>
                  <w:color w:val="0000FF"/>
                </w:rPr>
                <w:t>Certification of Principal Executive Officer pursuant to Section 302 of the Sarbanes-Oxley Act of 2002</w:t>
              </w:r>
            </w:hyperlink>
          </w:p>
        </w:tc>
      </w:tr>
      <w:tr>
        <w:trPr>
          <w:trHeight w:val="48"/>
        </w:trPr>
        <w:tc>
          <w:tcPr>
            <w:tcW w:w="1380" w:type="dxa"/>
            <w:vAlign w:val="bottom"/>
          </w:tcPr>
          <w:p>
            <w:pPr>
              <w:spacing w:after="0"/>
              <w:rPr>
                <w:sz w:val="4"/>
                <w:szCs w:val="4"/>
                <w:color w:val="auto"/>
              </w:rPr>
            </w:pPr>
          </w:p>
        </w:tc>
        <w:tc>
          <w:tcPr>
            <w:tcW w:w="120" w:type="dxa"/>
            <w:vAlign w:val="bottom"/>
          </w:tcPr>
          <w:p>
            <w:pPr>
              <w:spacing w:after="0"/>
              <w:rPr>
                <w:sz w:val="4"/>
                <w:szCs w:val="4"/>
                <w:color w:val="auto"/>
              </w:rPr>
            </w:pPr>
          </w:p>
        </w:tc>
        <w:tc>
          <w:tcPr>
            <w:tcW w:w="20" w:type="dxa"/>
            <w:vAlign w:val="bottom"/>
          </w:tcPr>
          <w:p>
            <w:pPr>
              <w:spacing w:after="0"/>
              <w:rPr>
                <w:sz w:val="4"/>
                <w:szCs w:val="4"/>
                <w:color w:val="auto"/>
              </w:rPr>
            </w:pPr>
          </w:p>
        </w:tc>
        <w:tc>
          <w:tcPr>
            <w:tcW w:w="3540" w:type="dxa"/>
            <w:vAlign w:val="bottom"/>
            <w:tcBorders>
              <w:top w:val="single" w:sz="8" w:color="0000FF"/>
            </w:tcBorders>
          </w:tcPr>
          <w:p>
            <w:pPr>
              <w:spacing w:after="0"/>
              <w:rPr>
                <w:sz w:val="4"/>
                <w:szCs w:val="4"/>
                <w:color w:val="auto"/>
              </w:rPr>
            </w:pPr>
          </w:p>
        </w:tc>
        <w:tc>
          <w:tcPr>
            <w:tcW w:w="4460" w:type="dxa"/>
            <w:vAlign w:val="bottom"/>
            <w:tcBorders>
              <w:top w:val="single" w:sz="8" w:color="0000FF"/>
            </w:tcBorders>
          </w:tcPr>
          <w:p>
            <w:pPr>
              <w:spacing w:after="0"/>
              <w:rPr>
                <w:sz w:val="4"/>
                <w:szCs w:val="4"/>
                <w:color w:val="auto"/>
              </w:rPr>
            </w:pPr>
          </w:p>
        </w:tc>
        <w:tc>
          <w:tcPr>
            <w:tcW w:w="60" w:type="dxa"/>
            <w:vAlign w:val="bottom"/>
            <w:tcBorders>
              <w:top w:val="single" w:sz="8" w:color="0000FF"/>
            </w:tcBorders>
          </w:tcPr>
          <w:p>
            <w:pPr>
              <w:spacing w:after="0"/>
              <w:rPr>
                <w:sz w:val="4"/>
                <w:szCs w:val="4"/>
                <w:color w:val="auto"/>
              </w:rPr>
            </w:pPr>
          </w:p>
        </w:tc>
        <w:tc>
          <w:tcPr>
            <w:tcW w:w="1520" w:type="dxa"/>
            <w:vAlign w:val="bottom"/>
          </w:tcPr>
          <w:p>
            <w:pPr>
              <w:spacing w:after="0"/>
              <w:rPr>
                <w:sz w:val="4"/>
                <w:szCs w:val="4"/>
                <w:color w:val="auto"/>
              </w:rPr>
            </w:pPr>
          </w:p>
        </w:tc>
        <w:tc>
          <w:tcPr>
            <w:tcW w:w="260" w:type="dxa"/>
            <w:vAlign w:val="bottom"/>
          </w:tcPr>
          <w:p>
            <w:pPr>
              <w:spacing w:after="0"/>
              <w:rPr>
                <w:sz w:val="4"/>
                <w:szCs w:val="4"/>
                <w:color w:val="auto"/>
              </w:rPr>
            </w:pPr>
          </w:p>
        </w:tc>
        <w:tc>
          <w:tcPr>
            <w:tcW w:w="40" w:type="dxa"/>
            <w:vAlign w:val="bottom"/>
          </w:tcPr>
          <w:p>
            <w:pPr>
              <w:spacing w:after="0"/>
              <w:rPr>
                <w:sz w:val="4"/>
                <w:szCs w:val="4"/>
                <w:color w:val="auto"/>
              </w:rPr>
            </w:pPr>
          </w:p>
        </w:tc>
      </w:tr>
      <w:tr>
        <w:trPr>
          <w:trHeight w:val="250"/>
        </w:trPr>
        <w:tc>
          <w:tcPr>
            <w:tcW w:w="1500" w:type="dxa"/>
            <w:vAlign w:val="bottom"/>
            <w:tcBorders>
              <w:bottom w:val="single" w:sz="8" w:color="DCE2EF"/>
            </w:tcBorders>
            <w:gridSpan w:val="2"/>
            <w:shd w:val="clear" w:color="auto" w:fill="DCE2EF"/>
          </w:tcPr>
          <w:p>
            <w:pPr>
              <w:ind w:left="40"/>
              <w:spacing w:after="0" w:line="202" w:lineRule="exact"/>
              <w:rPr>
                <w:sz w:val="20"/>
                <w:szCs w:val="20"/>
                <w:color w:val="auto"/>
              </w:rPr>
            </w:pPr>
            <w:r>
              <w:rPr>
                <w:rFonts w:ascii="Arial" w:cs="Arial" w:eastAsia="Arial" w:hAnsi="Arial"/>
                <w:sz w:val="18"/>
                <w:szCs w:val="18"/>
                <w:color w:val="auto"/>
              </w:rPr>
              <w:t>31.2‡</w:t>
            </w:r>
          </w:p>
        </w:tc>
        <w:tc>
          <w:tcPr>
            <w:tcW w:w="20" w:type="dxa"/>
            <w:vAlign w:val="bottom"/>
            <w:tcBorders>
              <w:bottom w:val="single" w:sz="8" w:color="DCE2EF"/>
            </w:tcBorders>
            <w:shd w:val="clear" w:color="auto" w:fill="DCE2EF"/>
          </w:tcPr>
          <w:p>
            <w:pPr>
              <w:spacing w:after="0"/>
              <w:rPr>
                <w:sz w:val="21"/>
                <w:szCs w:val="21"/>
                <w:color w:val="auto"/>
              </w:rPr>
            </w:pPr>
          </w:p>
        </w:tc>
        <w:tc>
          <w:tcPr>
            <w:tcW w:w="8000" w:type="dxa"/>
            <w:vAlign w:val="bottom"/>
            <w:tcBorders>
              <w:bottom w:val="single" w:sz="8" w:color="0000FF"/>
            </w:tcBorders>
            <w:gridSpan w:val="2"/>
            <w:shd w:val="clear" w:color="auto" w:fill="DCE2EF"/>
          </w:tcPr>
          <w:p>
            <w:pPr>
              <w:spacing w:after="0" w:line="202" w:lineRule="exact"/>
              <w:rPr>
                <w:rFonts w:ascii="Arial" w:cs="Arial" w:eastAsia="Arial" w:hAnsi="Arial"/>
                <w:sz w:val="18"/>
                <w:szCs w:val="18"/>
                <w:color w:val="0000FF"/>
                <w:w w:val="99"/>
              </w:rPr>
            </w:pPr>
            <w:hyperlink w:anchor="page54">
              <w:r>
                <w:rPr>
                  <w:rFonts w:ascii="Arial" w:cs="Arial" w:eastAsia="Arial" w:hAnsi="Arial"/>
                  <w:sz w:val="18"/>
                  <w:szCs w:val="18"/>
                  <w:color w:val="0000FF"/>
                  <w:w w:val="99"/>
                </w:rPr>
                <w:t>Certification of Principal Financial Officer pursuant to Section 302 of the Sarbanes-Oxley Act of 2002</w:t>
              </w:r>
            </w:hyperlink>
          </w:p>
        </w:tc>
        <w:tc>
          <w:tcPr>
            <w:tcW w:w="1880" w:type="dxa"/>
            <w:vAlign w:val="bottom"/>
            <w:tcBorders>
              <w:bottom w:val="single" w:sz="8" w:color="DCE2EF"/>
            </w:tcBorders>
            <w:gridSpan w:val="4"/>
            <w:shd w:val="clear" w:color="auto" w:fill="DCE2EF"/>
          </w:tcPr>
          <w:p>
            <w:pPr>
              <w:spacing w:after="0"/>
              <w:rPr>
                <w:sz w:val="21"/>
                <w:szCs w:val="21"/>
                <w:color w:val="auto"/>
              </w:rPr>
            </w:pPr>
          </w:p>
        </w:tc>
      </w:tr>
      <w:tr>
        <w:trPr>
          <w:trHeight w:val="203"/>
        </w:trPr>
        <w:tc>
          <w:tcPr>
            <w:tcW w:w="1500" w:type="dxa"/>
            <w:vAlign w:val="bottom"/>
            <w:gridSpan w:val="2"/>
          </w:tcPr>
          <w:p>
            <w:pPr>
              <w:ind w:left="40"/>
              <w:spacing w:after="0" w:line="202" w:lineRule="exact"/>
              <w:rPr>
                <w:sz w:val="20"/>
                <w:szCs w:val="20"/>
                <w:color w:val="auto"/>
              </w:rPr>
            </w:pPr>
            <w:r>
              <w:rPr>
                <w:rFonts w:ascii="Arial" w:cs="Arial" w:eastAsia="Arial" w:hAnsi="Arial"/>
                <w:sz w:val="18"/>
                <w:szCs w:val="18"/>
                <w:color w:val="auto"/>
              </w:rPr>
              <w:t>32†</w:t>
            </w:r>
          </w:p>
        </w:tc>
        <w:tc>
          <w:tcPr>
            <w:tcW w:w="20" w:type="dxa"/>
            <w:vAlign w:val="bottom"/>
          </w:tcPr>
          <w:p>
            <w:pPr>
              <w:spacing w:after="0"/>
              <w:rPr>
                <w:sz w:val="17"/>
                <w:szCs w:val="17"/>
                <w:color w:val="auto"/>
              </w:rPr>
            </w:pPr>
          </w:p>
        </w:tc>
        <w:tc>
          <w:tcPr>
            <w:tcW w:w="9880" w:type="dxa"/>
            <w:vAlign w:val="bottom"/>
            <w:gridSpan w:val="6"/>
          </w:tcPr>
          <w:p>
            <w:pPr>
              <w:spacing w:after="0" w:line="202" w:lineRule="exact"/>
              <w:rPr>
                <w:rFonts w:ascii="Arial" w:cs="Arial" w:eastAsia="Arial" w:hAnsi="Arial"/>
                <w:sz w:val="18"/>
                <w:szCs w:val="18"/>
                <w:color w:val="0000FF"/>
              </w:rPr>
            </w:pPr>
            <w:hyperlink w:anchor="page55">
              <w:r>
                <w:rPr>
                  <w:rFonts w:ascii="Arial" w:cs="Arial" w:eastAsia="Arial" w:hAnsi="Arial"/>
                  <w:sz w:val="18"/>
                  <w:szCs w:val="18"/>
                  <w:color w:val="0000FF"/>
                </w:rPr>
                <w:t>Certification pursuant to 18 U.S.C. Section 1350, as adopted pursuant to Section 906 of the Sarbanes-Oxley Act of 2002</w:t>
              </w:r>
            </w:hyperlink>
          </w:p>
        </w:tc>
      </w:tr>
      <w:tr>
        <w:trPr>
          <w:trHeight w:val="48"/>
        </w:trPr>
        <w:tc>
          <w:tcPr>
            <w:tcW w:w="1380" w:type="dxa"/>
            <w:vAlign w:val="bottom"/>
          </w:tcPr>
          <w:p>
            <w:pPr>
              <w:spacing w:after="0"/>
              <w:rPr>
                <w:sz w:val="4"/>
                <w:szCs w:val="4"/>
                <w:color w:val="auto"/>
              </w:rPr>
            </w:pPr>
          </w:p>
        </w:tc>
        <w:tc>
          <w:tcPr>
            <w:tcW w:w="120" w:type="dxa"/>
            <w:vAlign w:val="bottom"/>
          </w:tcPr>
          <w:p>
            <w:pPr>
              <w:spacing w:after="0"/>
              <w:rPr>
                <w:sz w:val="4"/>
                <w:szCs w:val="4"/>
                <w:color w:val="auto"/>
              </w:rPr>
            </w:pPr>
          </w:p>
        </w:tc>
        <w:tc>
          <w:tcPr>
            <w:tcW w:w="20" w:type="dxa"/>
            <w:vAlign w:val="bottom"/>
          </w:tcPr>
          <w:p>
            <w:pPr>
              <w:spacing w:after="0"/>
              <w:rPr>
                <w:sz w:val="4"/>
                <w:szCs w:val="4"/>
                <w:color w:val="auto"/>
              </w:rPr>
            </w:pPr>
          </w:p>
        </w:tc>
        <w:tc>
          <w:tcPr>
            <w:tcW w:w="3540" w:type="dxa"/>
            <w:vAlign w:val="bottom"/>
            <w:tcBorders>
              <w:top w:val="single" w:sz="8" w:color="0000FF"/>
            </w:tcBorders>
          </w:tcPr>
          <w:p>
            <w:pPr>
              <w:spacing w:after="0"/>
              <w:rPr>
                <w:sz w:val="4"/>
                <w:szCs w:val="4"/>
                <w:color w:val="auto"/>
              </w:rPr>
            </w:pPr>
          </w:p>
        </w:tc>
        <w:tc>
          <w:tcPr>
            <w:tcW w:w="4460" w:type="dxa"/>
            <w:vAlign w:val="bottom"/>
            <w:tcBorders>
              <w:top w:val="single" w:sz="8" w:color="0000FF"/>
            </w:tcBorders>
          </w:tcPr>
          <w:p>
            <w:pPr>
              <w:spacing w:after="0"/>
              <w:rPr>
                <w:sz w:val="4"/>
                <w:szCs w:val="4"/>
                <w:color w:val="auto"/>
              </w:rPr>
            </w:pPr>
          </w:p>
        </w:tc>
        <w:tc>
          <w:tcPr>
            <w:tcW w:w="60" w:type="dxa"/>
            <w:vAlign w:val="bottom"/>
            <w:tcBorders>
              <w:top w:val="single" w:sz="8" w:color="0000FF"/>
            </w:tcBorders>
          </w:tcPr>
          <w:p>
            <w:pPr>
              <w:spacing w:after="0"/>
              <w:rPr>
                <w:sz w:val="4"/>
                <w:szCs w:val="4"/>
                <w:color w:val="auto"/>
              </w:rPr>
            </w:pPr>
          </w:p>
        </w:tc>
        <w:tc>
          <w:tcPr>
            <w:tcW w:w="1520" w:type="dxa"/>
            <w:vAlign w:val="bottom"/>
            <w:tcBorders>
              <w:top w:val="single" w:sz="8" w:color="0000FF"/>
            </w:tcBorders>
          </w:tcPr>
          <w:p>
            <w:pPr>
              <w:spacing w:after="0"/>
              <w:rPr>
                <w:sz w:val="4"/>
                <w:szCs w:val="4"/>
                <w:color w:val="auto"/>
              </w:rPr>
            </w:pPr>
          </w:p>
        </w:tc>
        <w:tc>
          <w:tcPr>
            <w:tcW w:w="260" w:type="dxa"/>
            <w:vAlign w:val="bottom"/>
          </w:tcPr>
          <w:p>
            <w:pPr>
              <w:spacing w:after="0"/>
              <w:rPr>
                <w:sz w:val="4"/>
                <w:szCs w:val="4"/>
                <w:color w:val="auto"/>
              </w:rPr>
            </w:pPr>
          </w:p>
        </w:tc>
        <w:tc>
          <w:tcPr>
            <w:tcW w:w="40" w:type="dxa"/>
            <w:vAlign w:val="bottom"/>
          </w:tcPr>
          <w:p>
            <w:pPr>
              <w:spacing w:after="0"/>
              <w:rPr>
                <w:sz w:val="4"/>
                <w:szCs w:val="4"/>
                <w:color w:val="auto"/>
              </w:rPr>
            </w:pPr>
          </w:p>
        </w:tc>
      </w:tr>
      <w:tr>
        <w:trPr>
          <w:trHeight w:val="250"/>
        </w:trPr>
        <w:tc>
          <w:tcPr>
            <w:tcW w:w="1500" w:type="dxa"/>
            <w:vAlign w:val="bottom"/>
            <w:tcBorders>
              <w:bottom w:val="single" w:sz="8" w:color="DCE2EF"/>
            </w:tcBorders>
            <w:gridSpan w:val="2"/>
            <w:shd w:val="clear" w:color="auto" w:fill="DCE2EF"/>
          </w:tcPr>
          <w:p>
            <w:pPr>
              <w:ind w:left="40"/>
              <w:spacing w:after="0"/>
              <w:rPr>
                <w:sz w:val="20"/>
                <w:szCs w:val="20"/>
                <w:color w:val="auto"/>
              </w:rPr>
            </w:pPr>
            <w:r>
              <w:rPr>
                <w:rFonts w:ascii="Arial" w:cs="Arial" w:eastAsia="Arial" w:hAnsi="Arial"/>
                <w:sz w:val="18"/>
                <w:szCs w:val="18"/>
                <w:color w:val="auto"/>
              </w:rPr>
              <w:t>101.INS</w:t>
            </w:r>
          </w:p>
        </w:tc>
        <w:tc>
          <w:tcPr>
            <w:tcW w:w="20" w:type="dxa"/>
            <w:vAlign w:val="bottom"/>
            <w:tcBorders>
              <w:bottom w:val="single" w:sz="8" w:color="DCE2EF"/>
            </w:tcBorders>
            <w:shd w:val="clear" w:color="auto" w:fill="DCE2EF"/>
          </w:tcPr>
          <w:p>
            <w:pPr>
              <w:spacing w:after="0"/>
              <w:rPr>
                <w:sz w:val="21"/>
                <w:szCs w:val="21"/>
                <w:color w:val="auto"/>
              </w:rPr>
            </w:pPr>
          </w:p>
        </w:tc>
        <w:tc>
          <w:tcPr>
            <w:tcW w:w="9880" w:type="dxa"/>
            <w:vAlign w:val="bottom"/>
            <w:tcBorders>
              <w:bottom w:val="single" w:sz="8" w:color="DCE2EF"/>
            </w:tcBorders>
            <w:gridSpan w:val="6"/>
            <w:shd w:val="clear" w:color="auto" w:fill="DCE2EF"/>
          </w:tcPr>
          <w:p>
            <w:pPr>
              <w:spacing w:after="0"/>
              <w:rPr>
                <w:sz w:val="20"/>
                <w:szCs w:val="20"/>
                <w:color w:val="auto"/>
              </w:rPr>
            </w:pPr>
            <w:r>
              <w:rPr>
                <w:rFonts w:ascii="Arial" w:cs="Arial" w:eastAsia="Arial" w:hAnsi="Arial"/>
                <w:sz w:val="18"/>
                <w:szCs w:val="18"/>
                <w:color w:val="auto"/>
              </w:rPr>
              <w:t>XBRL Report Instance Document</w:t>
            </w:r>
          </w:p>
        </w:tc>
      </w:tr>
      <w:tr>
        <w:trPr>
          <w:trHeight w:val="243"/>
        </w:trPr>
        <w:tc>
          <w:tcPr>
            <w:tcW w:w="1500" w:type="dxa"/>
            <w:vAlign w:val="bottom"/>
            <w:gridSpan w:val="2"/>
          </w:tcPr>
          <w:p>
            <w:pPr>
              <w:ind w:left="40"/>
              <w:spacing w:after="0"/>
              <w:rPr>
                <w:sz w:val="20"/>
                <w:szCs w:val="20"/>
                <w:color w:val="auto"/>
              </w:rPr>
            </w:pPr>
            <w:r>
              <w:rPr>
                <w:rFonts w:ascii="Arial" w:cs="Arial" w:eastAsia="Arial" w:hAnsi="Arial"/>
                <w:sz w:val="18"/>
                <w:szCs w:val="18"/>
                <w:color w:val="auto"/>
              </w:rPr>
              <w:t>101.SCH</w:t>
            </w:r>
          </w:p>
        </w:tc>
        <w:tc>
          <w:tcPr>
            <w:tcW w:w="20" w:type="dxa"/>
            <w:vAlign w:val="bottom"/>
          </w:tcPr>
          <w:p>
            <w:pPr>
              <w:spacing w:after="0"/>
              <w:rPr>
                <w:sz w:val="21"/>
                <w:szCs w:val="21"/>
                <w:color w:val="auto"/>
              </w:rPr>
            </w:pPr>
          </w:p>
        </w:tc>
        <w:tc>
          <w:tcPr>
            <w:tcW w:w="9880" w:type="dxa"/>
            <w:vAlign w:val="bottom"/>
            <w:gridSpan w:val="6"/>
          </w:tcPr>
          <w:p>
            <w:pPr>
              <w:spacing w:after="0"/>
              <w:rPr>
                <w:sz w:val="20"/>
                <w:szCs w:val="20"/>
                <w:color w:val="auto"/>
              </w:rPr>
            </w:pPr>
            <w:r>
              <w:rPr>
                <w:rFonts w:ascii="Arial" w:cs="Arial" w:eastAsia="Arial" w:hAnsi="Arial"/>
                <w:sz w:val="18"/>
                <w:szCs w:val="18"/>
                <w:color w:val="auto"/>
              </w:rPr>
              <w:t>XBRL Taxonomy Extension Schema Document</w:t>
            </w:r>
          </w:p>
        </w:tc>
      </w:tr>
      <w:tr>
        <w:trPr>
          <w:trHeight w:val="27"/>
        </w:trPr>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3540" w:type="dxa"/>
            <w:vAlign w:val="bottom"/>
          </w:tcPr>
          <w:p>
            <w:pPr>
              <w:spacing w:after="0"/>
              <w:rPr>
                <w:sz w:val="2"/>
                <w:szCs w:val="2"/>
                <w:color w:val="auto"/>
              </w:rPr>
            </w:pPr>
          </w:p>
        </w:tc>
        <w:tc>
          <w:tcPr>
            <w:tcW w:w="4460" w:type="dxa"/>
            <w:vAlign w:val="bottom"/>
          </w:tcPr>
          <w:p>
            <w:pPr>
              <w:spacing w:after="0"/>
              <w:rPr>
                <w:sz w:val="2"/>
                <w:szCs w:val="2"/>
                <w:color w:val="auto"/>
              </w:rPr>
            </w:pPr>
          </w:p>
        </w:tc>
        <w:tc>
          <w:tcPr>
            <w:tcW w:w="60" w:type="dxa"/>
            <w:vAlign w:val="bottom"/>
          </w:tcPr>
          <w:p>
            <w:pPr>
              <w:spacing w:after="0"/>
              <w:rPr>
                <w:sz w:val="2"/>
                <w:szCs w:val="2"/>
                <w:color w:val="auto"/>
              </w:rPr>
            </w:pPr>
          </w:p>
        </w:tc>
        <w:tc>
          <w:tcPr>
            <w:tcW w:w="1520" w:type="dxa"/>
            <w:vAlign w:val="bottom"/>
          </w:tcPr>
          <w:p>
            <w:pPr>
              <w:spacing w:after="0"/>
              <w:rPr>
                <w:sz w:val="2"/>
                <w:szCs w:val="2"/>
                <w:color w:val="auto"/>
              </w:rPr>
            </w:pPr>
          </w:p>
        </w:tc>
        <w:tc>
          <w:tcPr>
            <w:tcW w:w="260" w:type="dxa"/>
            <w:vAlign w:val="bottom"/>
          </w:tcPr>
          <w:p>
            <w:pPr>
              <w:spacing w:after="0"/>
              <w:rPr>
                <w:sz w:val="2"/>
                <w:szCs w:val="2"/>
                <w:color w:val="auto"/>
              </w:rPr>
            </w:pPr>
          </w:p>
        </w:tc>
        <w:tc>
          <w:tcPr>
            <w:tcW w:w="40" w:type="dxa"/>
            <w:vAlign w:val="bottom"/>
          </w:tcPr>
          <w:p>
            <w:pPr>
              <w:spacing w:after="0"/>
              <w:rPr>
                <w:sz w:val="2"/>
                <w:szCs w:val="2"/>
                <w:color w:val="auto"/>
              </w:rPr>
            </w:pPr>
          </w:p>
        </w:tc>
      </w:tr>
      <w:tr>
        <w:trPr>
          <w:trHeight w:val="250"/>
        </w:trPr>
        <w:tc>
          <w:tcPr>
            <w:tcW w:w="1500" w:type="dxa"/>
            <w:vAlign w:val="bottom"/>
            <w:tcBorders>
              <w:bottom w:val="single" w:sz="8" w:color="DCE2EF"/>
            </w:tcBorders>
            <w:gridSpan w:val="2"/>
            <w:shd w:val="clear" w:color="auto" w:fill="DCE2EF"/>
          </w:tcPr>
          <w:p>
            <w:pPr>
              <w:ind w:left="40"/>
              <w:spacing w:after="0"/>
              <w:rPr>
                <w:sz w:val="20"/>
                <w:szCs w:val="20"/>
                <w:color w:val="auto"/>
              </w:rPr>
            </w:pPr>
            <w:r>
              <w:rPr>
                <w:rFonts w:ascii="Arial" w:cs="Arial" w:eastAsia="Arial" w:hAnsi="Arial"/>
                <w:sz w:val="18"/>
                <w:szCs w:val="18"/>
                <w:color w:val="auto"/>
              </w:rPr>
              <w:t>101.CAL</w:t>
            </w:r>
          </w:p>
        </w:tc>
        <w:tc>
          <w:tcPr>
            <w:tcW w:w="20" w:type="dxa"/>
            <w:vAlign w:val="bottom"/>
            <w:tcBorders>
              <w:bottom w:val="single" w:sz="8" w:color="DCE2EF"/>
            </w:tcBorders>
            <w:shd w:val="clear" w:color="auto" w:fill="DCE2EF"/>
          </w:tcPr>
          <w:p>
            <w:pPr>
              <w:spacing w:after="0"/>
              <w:rPr>
                <w:sz w:val="21"/>
                <w:szCs w:val="21"/>
                <w:color w:val="auto"/>
              </w:rPr>
            </w:pPr>
          </w:p>
        </w:tc>
        <w:tc>
          <w:tcPr>
            <w:tcW w:w="9880" w:type="dxa"/>
            <w:vAlign w:val="bottom"/>
            <w:tcBorders>
              <w:bottom w:val="single" w:sz="8" w:color="DCE2EF"/>
            </w:tcBorders>
            <w:gridSpan w:val="6"/>
            <w:shd w:val="clear" w:color="auto" w:fill="DCE2EF"/>
          </w:tcPr>
          <w:p>
            <w:pPr>
              <w:spacing w:after="0"/>
              <w:rPr>
                <w:sz w:val="20"/>
                <w:szCs w:val="20"/>
                <w:color w:val="auto"/>
              </w:rPr>
            </w:pPr>
            <w:r>
              <w:rPr>
                <w:rFonts w:ascii="Arial" w:cs="Arial" w:eastAsia="Arial" w:hAnsi="Arial"/>
                <w:sz w:val="18"/>
                <w:szCs w:val="18"/>
                <w:color w:val="auto"/>
              </w:rPr>
              <w:t>XBRL Taxonomy Calculation Linkbase Document</w:t>
            </w:r>
          </w:p>
        </w:tc>
      </w:tr>
      <w:tr>
        <w:trPr>
          <w:trHeight w:val="243"/>
        </w:trPr>
        <w:tc>
          <w:tcPr>
            <w:tcW w:w="1500" w:type="dxa"/>
            <w:vAlign w:val="bottom"/>
            <w:gridSpan w:val="2"/>
          </w:tcPr>
          <w:p>
            <w:pPr>
              <w:ind w:left="40"/>
              <w:spacing w:after="0"/>
              <w:rPr>
                <w:sz w:val="20"/>
                <w:szCs w:val="20"/>
                <w:color w:val="auto"/>
              </w:rPr>
            </w:pPr>
            <w:r>
              <w:rPr>
                <w:rFonts w:ascii="Arial" w:cs="Arial" w:eastAsia="Arial" w:hAnsi="Arial"/>
                <w:sz w:val="18"/>
                <w:szCs w:val="18"/>
                <w:color w:val="auto"/>
              </w:rPr>
              <w:t>101.DEF</w:t>
            </w:r>
          </w:p>
        </w:tc>
        <w:tc>
          <w:tcPr>
            <w:tcW w:w="20" w:type="dxa"/>
            <w:vAlign w:val="bottom"/>
          </w:tcPr>
          <w:p>
            <w:pPr>
              <w:spacing w:after="0"/>
              <w:rPr>
                <w:sz w:val="21"/>
                <w:szCs w:val="21"/>
                <w:color w:val="auto"/>
              </w:rPr>
            </w:pPr>
          </w:p>
        </w:tc>
        <w:tc>
          <w:tcPr>
            <w:tcW w:w="9880" w:type="dxa"/>
            <w:vAlign w:val="bottom"/>
            <w:gridSpan w:val="6"/>
          </w:tcPr>
          <w:p>
            <w:pPr>
              <w:spacing w:after="0"/>
              <w:rPr>
                <w:sz w:val="20"/>
                <w:szCs w:val="20"/>
                <w:color w:val="auto"/>
              </w:rPr>
            </w:pPr>
            <w:r>
              <w:rPr>
                <w:rFonts w:ascii="Arial" w:cs="Arial" w:eastAsia="Arial" w:hAnsi="Arial"/>
                <w:sz w:val="18"/>
                <w:szCs w:val="18"/>
                <w:color w:val="auto"/>
              </w:rPr>
              <w:t>XBRL Taxonomy Extension Definition Linkbase Document</w:t>
            </w:r>
          </w:p>
        </w:tc>
      </w:tr>
      <w:tr>
        <w:trPr>
          <w:trHeight w:val="27"/>
        </w:trPr>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3540" w:type="dxa"/>
            <w:vAlign w:val="bottom"/>
          </w:tcPr>
          <w:p>
            <w:pPr>
              <w:spacing w:after="0"/>
              <w:rPr>
                <w:sz w:val="2"/>
                <w:szCs w:val="2"/>
                <w:color w:val="auto"/>
              </w:rPr>
            </w:pPr>
          </w:p>
        </w:tc>
        <w:tc>
          <w:tcPr>
            <w:tcW w:w="4460" w:type="dxa"/>
            <w:vAlign w:val="bottom"/>
          </w:tcPr>
          <w:p>
            <w:pPr>
              <w:spacing w:after="0"/>
              <w:rPr>
                <w:sz w:val="2"/>
                <w:szCs w:val="2"/>
                <w:color w:val="auto"/>
              </w:rPr>
            </w:pPr>
          </w:p>
        </w:tc>
        <w:tc>
          <w:tcPr>
            <w:tcW w:w="60" w:type="dxa"/>
            <w:vAlign w:val="bottom"/>
          </w:tcPr>
          <w:p>
            <w:pPr>
              <w:spacing w:after="0"/>
              <w:rPr>
                <w:sz w:val="2"/>
                <w:szCs w:val="2"/>
                <w:color w:val="auto"/>
              </w:rPr>
            </w:pPr>
          </w:p>
        </w:tc>
        <w:tc>
          <w:tcPr>
            <w:tcW w:w="1520" w:type="dxa"/>
            <w:vAlign w:val="bottom"/>
          </w:tcPr>
          <w:p>
            <w:pPr>
              <w:spacing w:after="0"/>
              <w:rPr>
                <w:sz w:val="2"/>
                <w:szCs w:val="2"/>
                <w:color w:val="auto"/>
              </w:rPr>
            </w:pPr>
          </w:p>
        </w:tc>
        <w:tc>
          <w:tcPr>
            <w:tcW w:w="260" w:type="dxa"/>
            <w:vAlign w:val="bottom"/>
          </w:tcPr>
          <w:p>
            <w:pPr>
              <w:spacing w:after="0"/>
              <w:rPr>
                <w:sz w:val="2"/>
                <w:szCs w:val="2"/>
                <w:color w:val="auto"/>
              </w:rPr>
            </w:pPr>
          </w:p>
        </w:tc>
        <w:tc>
          <w:tcPr>
            <w:tcW w:w="40" w:type="dxa"/>
            <w:vAlign w:val="bottom"/>
          </w:tcPr>
          <w:p>
            <w:pPr>
              <w:spacing w:after="0"/>
              <w:rPr>
                <w:sz w:val="2"/>
                <w:szCs w:val="2"/>
                <w:color w:val="auto"/>
              </w:rPr>
            </w:pPr>
          </w:p>
        </w:tc>
      </w:tr>
      <w:tr>
        <w:trPr>
          <w:trHeight w:val="250"/>
        </w:trPr>
        <w:tc>
          <w:tcPr>
            <w:tcW w:w="1500" w:type="dxa"/>
            <w:vAlign w:val="bottom"/>
            <w:tcBorders>
              <w:bottom w:val="single" w:sz="8" w:color="DCE2EF"/>
            </w:tcBorders>
            <w:gridSpan w:val="2"/>
            <w:shd w:val="clear" w:color="auto" w:fill="DCE2EF"/>
          </w:tcPr>
          <w:p>
            <w:pPr>
              <w:ind w:left="40"/>
              <w:spacing w:after="0"/>
              <w:rPr>
                <w:sz w:val="20"/>
                <w:szCs w:val="20"/>
                <w:color w:val="auto"/>
              </w:rPr>
            </w:pPr>
            <w:r>
              <w:rPr>
                <w:rFonts w:ascii="Arial" w:cs="Arial" w:eastAsia="Arial" w:hAnsi="Arial"/>
                <w:sz w:val="18"/>
                <w:szCs w:val="18"/>
                <w:color w:val="auto"/>
              </w:rPr>
              <w:t>101.LAB</w:t>
            </w:r>
          </w:p>
        </w:tc>
        <w:tc>
          <w:tcPr>
            <w:tcW w:w="20" w:type="dxa"/>
            <w:vAlign w:val="bottom"/>
            <w:tcBorders>
              <w:bottom w:val="single" w:sz="8" w:color="DCE2EF"/>
            </w:tcBorders>
            <w:shd w:val="clear" w:color="auto" w:fill="DCE2EF"/>
          </w:tcPr>
          <w:p>
            <w:pPr>
              <w:spacing w:after="0"/>
              <w:rPr>
                <w:sz w:val="21"/>
                <w:szCs w:val="21"/>
                <w:color w:val="auto"/>
              </w:rPr>
            </w:pPr>
          </w:p>
        </w:tc>
        <w:tc>
          <w:tcPr>
            <w:tcW w:w="9880" w:type="dxa"/>
            <w:vAlign w:val="bottom"/>
            <w:tcBorders>
              <w:bottom w:val="single" w:sz="8" w:color="DCE2EF"/>
            </w:tcBorders>
            <w:gridSpan w:val="6"/>
            <w:shd w:val="clear" w:color="auto" w:fill="DCE2EF"/>
          </w:tcPr>
          <w:p>
            <w:pPr>
              <w:spacing w:after="0"/>
              <w:rPr>
                <w:sz w:val="20"/>
                <w:szCs w:val="20"/>
                <w:color w:val="auto"/>
              </w:rPr>
            </w:pPr>
            <w:r>
              <w:rPr>
                <w:rFonts w:ascii="Arial" w:cs="Arial" w:eastAsia="Arial" w:hAnsi="Arial"/>
                <w:sz w:val="18"/>
                <w:szCs w:val="18"/>
                <w:color w:val="auto"/>
              </w:rPr>
              <w:t>XBRL Taxonomy Label Linkbase Document</w:t>
            </w:r>
          </w:p>
        </w:tc>
      </w:tr>
      <w:tr>
        <w:trPr>
          <w:trHeight w:val="243"/>
        </w:trPr>
        <w:tc>
          <w:tcPr>
            <w:tcW w:w="1500" w:type="dxa"/>
            <w:vAlign w:val="bottom"/>
            <w:gridSpan w:val="2"/>
          </w:tcPr>
          <w:p>
            <w:pPr>
              <w:ind w:left="40"/>
              <w:spacing w:after="0"/>
              <w:rPr>
                <w:sz w:val="20"/>
                <w:szCs w:val="20"/>
                <w:color w:val="auto"/>
              </w:rPr>
            </w:pPr>
            <w:r>
              <w:rPr>
                <w:rFonts w:ascii="Arial" w:cs="Arial" w:eastAsia="Arial" w:hAnsi="Arial"/>
                <w:sz w:val="18"/>
                <w:szCs w:val="18"/>
                <w:color w:val="auto"/>
              </w:rPr>
              <w:t>101.PRE</w:t>
            </w:r>
          </w:p>
        </w:tc>
        <w:tc>
          <w:tcPr>
            <w:tcW w:w="20" w:type="dxa"/>
            <w:vAlign w:val="bottom"/>
          </w:tcPr>
          <w:p>
            <w:pPr>
              <w:spacing w:after="0"/>
              <w:rPr>
                <w:sz w:val="21"/>
                <w:szCs w:val="21"/>
                <w:color w:val="auto"/>
              </w:rPr>
            </w:pPr>
          </w:p>
        </w:tc>
        <w:tc>
          <w:tcPr>
            <w:tcW w:w="9880" w:type="dxa"/>
            <w:vAlign w:val="bottom"/>
            <w:gridSpan w:val="6"/>
          </w:tcPr>
          <w:p>
            <w:pPr>
              <w:spacing w:after="0"/>
              <w:rPr>
                <w:sz w:val="20"/>
                <w:szCs w:val="20"/>
                <w:color w:val="auto"/>
              </w:rPr>
            </w:pPr>
            <w:r>
              <w:rPr>
                <w:rFonts w:ascii="Arial" w:cs="Arial" w:eastAsia="Arial" w:hAnsi="Arial"/>
                <w:sz w:val="18"/>
                <w:szCs w:val="18"/>
                <w:color w:val="auto"/>
              </w:rPr>
              <w:t>XBRL Presentation Linkbase Document</w:t>
            </w:r>
          </w:p>
        </w:tc>
      </w:tr>
    </w:tbl>
    <w:p>
      <w:pPr>
        <w:spacing w:after="0" w:line="188" w:lineRule="exact"/>
        <w:rPr>
          <w:sz w:val="20"/>
          <w:szCs w:val="20"/>
          <w:color w:val="auto"/>
        </w:rPr>
      </w:pPr>
    </w:p>
    <w:p>
      <w:pPr>
        <w:ind w:left="740" w:hanging="698"/>
        <w:spacing w:after="0"/>
        <w:tabs>
          <w:tab w:leader="none" w:pos="7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Indicates management contract or compensatory plan, contract, or arrangement.</w:t>
      </w:r>
    </w:p>
    <w:p>
      <w:pPr>
        <w:spacing w:after="0" w:line="171" w:lineRule="exact"/>
        <w:rPr>
          <w:rFonts w:ascii="Arial" w:cs="Arial" w:eastAsia="Arial" w:hAnsi="Arial"/>
          <w:sz w:val="18"/>
          <w:szCs w:val="18"/>
          <w:color w:val="auto"/>
        </w:rPr>
      </w:pPr>
    </w:p>
    <w:p>
      <w:pPr>
        <w:ind w:left="40"/>
        <w:spacing w:after="0"/>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7"/>
          <w:szCs w:val="17"/>
          <w:color w:val="auto"/>
        </w:rPr>
        <w:t>Indicates filed herewith</w:t>
      </w:r>
    </w:p>
    <w:p>
      <w:pPr>
        <w:spacing w:after="0" w:line="171" w:lineRule="exact"/>
        <w:rPr>
          <w:rFonts w:ascii="Arial" w:cs="Arial" w:eastAsia="Arial" w:hAnsi="Arial"/>
          <w:sz w:val="18"/>
          <w:szCs w:val="18"/>
          <w:color w:val="auto"/>
        </w:rPr>
      </w:pPr>
    </w:p>
    <w:p>
      <w:pPr>
        <w:ind w:left="40"/>
        <w:spacing w:after="0"/>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7"/>
          <w:szCs w:val="17"/>
          <w:color w:val="auto"/>
        </w:rPr>
        <w:t>Indicates furnished herewith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400"/>
          </w:cols>
          <w:pgMar w:left="240" w:top="522" w:right="259" w:bottom="1440" w:gutter="0" w:footer="0" w:header="0"/>
        </w:sectPr>
      </w:pPr>
    </w:p>
    <w:bookmarkStart w:id="51" w:name="page52"/>
    <w:bookmarkEnd w:id="51"/>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193" w:lineRule="exact"/>
        <w:rPr>
          <w:sz w:val="20"/>
          <w:szCs w:val="20"/>
          <w:color w:val="auto"/>
        </w:rPr>
      </w:pPr>
    </w:p>
    <w:p>
      <w:pPr>
        <w:spacing w:after="0" w:line="262"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291" w:lineRule="exact"/>
        <w:rPr>
          <w:sz w:val="20"/>
          <w:szCs w:val="20"/>
          <w:color w:val="auto"/>
        </w:rPr>
      </w:pPr>
    </w:p>
    <w:p>
      <w:pPr>
        <w:ind w:left="6540"/>
        <w:spacing w:after="0"/>
        <w:rPr>
          <w:sz w:val="20"/>
          <w:szCs w:val="20"/>
          <w:color w:val="auto"/>
        </w:rPr>
      </w:pPr>
      <w:r>
        <w:rPr>
          <w:rFonts w:ascii="Arial" w:cs="Arial" w:eastAsia="Arial" w:hAnsi="Arial"/>
          <w:sz w:val="18"/>
          <w:szCs w:val="18"/>
          <w:color w:val="auto"/>
        </w:rPr>
        <w:t>ABM Industries Incorporated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ind w:left="40"/>
        <w:spacing w:after="0"/>
        <w:tabs>
          <w:tab w:leader="none" w:pos="6520" w:val="left"/>
        </w:tabs>
        <w:rPr>
          <w:sz w:val="20"/>
          <w:szCs w:val="20"/>
          <w:color w:val="auto"/>
        </w:rPr>
      </w:pPr>
      <w:r>
        <w:rPr>
          <w:rFonts w:ascii="Arial" w:cs="Arial" w:eastAsia="Arial" w:hAnsi="Arial"/>
          <w:sz w:val="18"/>
          <w:szCs w:val="18"/>
          <w:u w:val="single" w:color="auto"/>
          <w:color w:val="auto"/>
        </w:rPr>
        <w:t>June 7, 2018</w:t>
      </w:r>
      <w:r>
        <w:rPr>
          <w:sz w:val="20"/>
          <w:szCs w:val="20"/>
          <w:color w:val="auto"/>
        </w:rPr>
        <w:tab/>
      </w:r>
      <w:r>
        <w:rPr>
          <w:rFonts w:ascii="Arial" w:cs="Arial" w:eastAsia="Arial" w:hAnsi="Arial"/>
          <w:sz w:val="18"/>
          <w:szCs w:val="18"/>
          <w:u w:val="single" w:color="auto"/>
          <w:color w:val="auto"/>
        </w:rPr>
        <w:t>/s/ D. Anthony Scaglione</w:t>
      </w:r>
    </w:p>
    <w:p>
      <w:pPr>
        <w:spacing w:after="0" w:line="45" w:lineRule="exact"/>
        <w:rPr>
          <w:sz w:val="20"/>
          <w:szCs w:val="20"/>
          <w:color w:val="auto"/>
        </w:rPr>
      </w:pPr>
    </w:p>
    <w:p>
      <w:pPr>
        <w:ind w:left="6540"/>
        <w:spacing w:after="0"/>
        <w:rPr>
          <w:sz w:val="20"/>
          <w:szCs w:val="20"/>
          <w:color w:val="auto"/>
        </w:rPr>
      </w:pPr>
      <w:r>
        <w:rPr>
          <w:rFonts w:ascii="Arial" w:cs="Arial" w:eastAsia="Arial" w:hAnsi="Arial"/>
          <w:sz w:val="18"/>
          <w:szCs w:val="18"/>
          <w:color w:val="auto"/>
        </w:rPr>
        <w:t>D. Anthony Scaglione</w:t>
      </w:r>
    </w:p>
    <w:p>
      <w:pPr>
        <w:ind w:left="6540"/>
        <w:spacing w:after="0" w:line="234" w:lineRule="auto"/>
        <w:rPr>
          <w:sz w:val="20"/>
          <w:szCs w:val="20"/>
          <w:color w:val="auto"/>
        </w:rPr>
      </w:pPr>
      <w:r>
        <w:rPr>
          <w:rFonts w:ascii="Arial" w:cs="Arial" w:eastAsia="Arial" w:hAnsi="Arial"/>
          <w:sz w:val="18"/>
          <w:szCs w:val="18"/>
          <w:color w:val="auto"/>
        </w:rPr>
        <w:t>Executive Vice President and Chief Financial Officer</w:t>
      </w:r>
    </w:p>
    <w:p>
      <w:pPr>
        <w:spacing w:after="0" w:line="1" w:lineRule="exact"/>
        <w:rPr>
          <w:sz w:val="20"/>
          <w:szCs w:val="20"/>
          <w:color w:val="auto"/>
        </w:rPr>
      </w:pPr>
    </w:p>
    <w:p>
      <w:pPr>
        <w:ind w:left="6540"/>
        <w:spacing w:after="0"/>
        <w:rPr>
          <w:sz w:val="20"/>
          <w:szCs w:val="20"/>
          <w:color w:val="auto"/>
        </w:rPr>
      </w:pPr>
      <w:r>
        <w:rPr>
          <w:rFonts w:ascii="Arial" w:cs="Arial" w:eastAsia="Arial" w:hAnsi="Arial"/>
          <w:sz w:val="18"/>
          <w:szCs w:val="18"/>
          <w:color w:val="auto"/>
        </w:rPr>
        <w:t>(Duly Authorized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ind w:left="40"/>
        <w:spacing w:after="0"/>
        <w:tabs>
          <w:tab w:leader="none" w:pos="6520" w:val="left"/>
        </w:tabs>
        <w:rPr>
          <w:sz w:val="20"/>
          <w:szCs w:val="20"/>
          <w:color w:val="auto"/>
        </w:rPr>
      </w:pPr>
      <w:r>
        <w:rPr>
          <w:rFonts w:ascii="Arial" w:cs="Arial" w:eastAsia="Arial" w:hAnsi="Arial"/>
          <w:sz w:val="18"/>
          <w:szCs w:val="18"/>
          <w:u w:val="single" w:color="auto"/>
          <w:color w:val="auto"/>
        </w:rPr>
        <w:t>June 7, 2018</w:t>
      </w:r>
      <w:r>
        <w:rPr>
          <w:sz w:val="20"/>
          <w:szCs w:val="20"/>
          <w:color w:val="auto"/>
        </w:rPr>
        <w:tab/>
      </w:r>
      <w:r>
        <w:rPr>
          <w:rFonts w:ascii="Arial" w:cs="Arial" w:eastAsia="Arial" w:hAnsi="Arial"/>
          <w:sz w:val="18"/>
          <w:szCs w:val="18"/>
          <w:u w:val="single" w:color="auto"/>
          <w:color w:val="auto"/>
        </w:rPr>
        <w:t>/s/ Dean A. Chin</w:t>
      </w:r>
    </w:p>
    <w:p>
      <w:pPr>
        <w:spacing w:after="0" w:line="45" w:lineRule="exact"/>
        <w:rPr>
          <w:sz w:val="20"/>
          <w:szCs w:val="20"/>
          <w:color w:val="auto"/>
        </w:rPr>
      </w:pPr>
    </w:p>
    <w:p>
      <w:pPr>
        <w:ind w:left="6540"/>
        <w:spacing w:after="0"/>
        <w:rPr>
          <w:sz w:val="20"/>
          <w:szCs w:val="20"/>
          <w:color w:val="auto"/>
        </w:rPr>
      </w:pPr>
      <w:r>
        <w:rPr>
          <w:rFonts w:ascii="Arial" w:cs="Arial" w:eastAsia="Arial" w:hAnsi="Arial"/>
          <w:sz w:val="18"/>
          <w:szCs w:val="18"/>
          <w:color w:val="auto"/>
        </w:rPr>
        <w:t>Dean A. Chin</w:t>
      </w:r>
    </w:p>
    <w:p>
      <w:pPr>
        <w:ind w:left="6540"/>
        <w:spacing w:after="0" w:line="234" w:lineRule="auto"/>
        <w:rPr>
          <w:sz w:val="20"/>
          <w:szCs w:val="20"/>
          <w:color w:val="auto"/>
        </w:rPr>
      </w:pPr>
      <w:r>
        <w:rPr>
          <w:rFonts w:ascii="Arial" w:cs="Arial" w:eastAsia="Arial" w:hAnsi="Arial"/>
          <w:sz w:val="18"/>
          <w:szCs w:val="18"/>
          <w:color w:val="auto"/>
        </w:rPr>
        <w:t>Senior Vice President, Chief Accounting Officer,</w:t>
      </w:r>
    </w:p>
    <w:p>
      <w:pPr>
        <w:ind w:left="6540"/>
        <w:spacing w:after="0" w:line="235" w:lineRule="auto"/>
        <w:rPr>
          <w:sz w:val="20"/>
          <w:szCs w:val="20"/>
          <w:color w:val="auto"/>
        </w:rPr>
      </w:pPr>
      <w:r>
        <w:rPr>
          <w:rFonts w:ascii="Arial" w:cs="Arial" w:eastAsia="Arial" w:hAnsi="Arial"/>
          <w:sz w:val="18"/>
          <w:szCs w:val="18"/>
          <w:color w:val="auto"/>
        </w:rPr>
        <w:t>and Corporate Controller</w:t>
      </w:r>
    </w:p>
    <w:p>
      <w:pPr>
        <w:spacing w:after="0" w:line="1" w:lineRule="exact"/>
        <w:rPr>
          <w:sz w:val="20"/>
          <w:szCs w:val="20"/>
          <w:color w:val="auto"/>
        </w:rPr>
      </w:pPr>
    </w:p>
    <w:p>
      <w:pPr>
        <w:ind w:left="6540"/>
        <w:spacing w:after="0"/>
        <w:rPr>
          <w:sz w:val="20"/>
          <w:szCs w:val="20"/>
          <w:color w:val="auto"/>
        </w:rPr>
      </w:pPr>
      <w:r>
        <w:rPr>
          <w:rFonts w:ascii="Arial" w:cs="Arial" w:eastAsia="Arial" w:hAnsi="Arial"/>
          <w:sz w:val="18"/>
          <w:szCs w:val="18"/>
          <w:color w:val="auto"/>
        </w:rPr>
        <w:t>(Principal Accounting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400"/>
          </w:cols>
          <w:pgMar w:left="240" w:top="522" w:right="259" w:bottom="1440" w:gutter="0" w:footer="0" w:header="0"/>
        </w:sectPr>
      </w:pPr>
    </w:p>
    <w:bookmarkStart w:id="52" w:name="page53"/>
    <w:bookmarkEnd w:id="52"/>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EXECUTIVE OFFICER</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SECURITIES EXCHANGE ACT OF 1934</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RULE 13a-14(a) OR 15d-14(a)</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 Scott Salmirs, certify that:</w:t>
      </w:r>
    </w:p>
    <w:p>
      <w:pPr>
        <w:spacing w:after="0" w:line="225" w:lineRule="exact"/>
        <w:rPr>
          <w:sz w:val="20"/>
          <w:szCs w:val="20"/>
          <w:color w:val="auto"/>
        </w:rPr>
      </w:pPr>
    </w:p>
    <w:p>
      <w:pPr>
        <w:ind w:left="340" w:hanging="332"/>
        <w:spacing w:after="0"/>
        <w:tabs>
          <w:tab w:leader="none" w:pos="3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ABM Industries Incorporated;</w:t>
      </w:r>
    </w:p>
    <w:p>
      <w:pPr>
        <w:spacing w:after="0" w:line="225" w:lineRule="exact"/>
        <w:rPr>
          <w:rFonts w:ascii="Arial" w:cs="Arial" w:eastAsia="Arial" w:hAnsi="Arial"/>
          <w:sz w:val="18"/>
          <w:szCs w:val="18"/>
          <w:color w:val="auto"/>
        </w:rPr>
      </w:pPr>
    </w:p>
    <w:p>
      <w:pPr>
        <w:jc w:val="both"/>
        <w:ind w:left="340" w:hanging="332"/>
        <w:spacing w:after="0" w:line="256" w:lineRule="auto"/>
        <w:tabs>
          <w:tab w:leader="none" w:pos="3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01" w:lineRule="exact"/>
        <w:rPr>
          <w:rFonts w:ascii="Arial" w:cs="Arial" w:eastAsia="Arial" w:hAnsi="Arial"/>
          <w:sz w:val="18"/>
          <w:szCs w:val="18"/>
          <w:color w:val="auto"/>
        </w:rPr>
      </w:pPr>
    </w:p>
    <w:p>
      <w:pPr>
        <w:ind w:left="340" w:hanging="332"/>
        <w:spacing w:after="0" w:line="262" w:lineRule="auto"/>
        <w:tabs>
          <w:tab w:leader="none" w:pos="3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96" w:lineRule="exact"/>
        <w:rPr>
          <w:rFonts w:ascii="Arial" w:cs="Arial" w:eastAsia="Arial" w:hAnsi="Arial"/>
          <w:sz w:val="18"/>
          <w:szCs w:val="18"/>
          <w:color w:val="auto"/>
        </w:rPr>
      </w:pPr>
    </w:p>
    <w:p>
      <w:pPr>
        <w:jc w:val="both"/>
        <w:ind w:left="340" w:hanging="332"/>
        <w:spacing w:after="0" w:line="250" w:lineRule="auto"/>
        <w:tabs>
          <w:tab w:leader="none" w:pos="3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w:t>
      </w:r>
    </w:p>
    <w:p>
      <w:pPr>
        <w:ind w:left="340"/>
        <w:spacing w:after="0"/>
        <w:rPr>
          <w:rFonts w:ascii="Arial" w:cs="Arial" w:eastAsia="Arial" w:hAnsi="Arial"/>
          <w:sz w:val="18"/>
          <w:szCs w:val="18"/>
          <w:color w:val="auto"/>
        </w:rPr>
      </w:pPr>
      <w:r>
        <w:rPr>
          <w:rFonts w:ascii="Arial" w:cs="Arial" w:eastAsia="Arial" w:hAnsi="Arial"/>
          <w:sz w:val="18"/>
          <w:szCs w:val="18"/>
          <w:color w:val="auto"/>
        </w:rPr>
        <w:t>13a-15(f) and 15d-15(f)) for the registrant and have:</w:t>
      </w:r>
    </w:p>
    <w:p>
      <w:pPr>
        <w:spacing w:after="0" w:line="225" w:lineRule="exact"/>
        <w:rPr>
          <w:rFonts w:ascii="Arial" w:cs="Arial" w:eastAsia="Arial" w:hAnsi="Arial"/>
          <w:sz w:val="18"/>
          <w:szCs w:val="18"/>
          <w:color w:val="auto"/>
        </w:rPr>
      </w:pPr>
    </w:p>
    <w:p>
      <w:pPr>
        <w:jc w:val="both"/>
        <w:ind w:left="660" w:hanging="328"/>
        <w:spacing w:after="0" w:line="256" w:lineRule="auto"/>
        <w:tabs>
          <w:tab w:leader="none" w:pos="660" w:val="left"/>
        </w:tabs>
        <w:numPr>
          <w:ilvl w:val="1"/>
          <w:numId w:val="2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01" w:lineRule="exact"/>
        <w:rPr>
          <w:rFonts w:ascii="Arial" w:cs="Arial" w:eastAsia="Arial" w:hAnsi="Arial"/>
          <w:sz w:val="18"/>
          <w:szCs w:val="18"/>
          <w:color w:val="auto"/>
        </w:rPr>
      </w:pPr>
    </w:p>
    <w:p>
      <w:pPr>
        <w:jc w:val="both"/>
        <w:ind w:left="660" w:hanging="328"/>
        <w:spacing w:after="0" w:line="256" w:lineRule="auto"/>
        <w:tabs>
          <w:tab w:leader="none" w:pos="660" w:val="left"/>
        </w:tabs>
        <w:numPr>
          <w:ilvl w:val="1"/>
          <w:numId w:val="25"/>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01" w:lineRule="exact"/>
        <w:rPr>
          <w:rFonts w:ascii="Arial" w:cs="Arial" w:eastAsia="Arial" w:hAnsi="Arial"/>
          <w:sz w:val="18"/>
          <w:szCs w:val="18"/>
          <w:color w:val="auto"/>
        </w:rPr>
      </w:pPr>
    </w:p>
    <w:p>
      <w:pPr>
        <w:jc w:val="both"/>
        <w:ind w:left="660" w:hanging="328"/>
        <w:spacing w:after="0" w:line="256" w:lineRule="auto"/>
        <w:tabs>
          <w:tab w:leader="none" w:pos="660" w:val="left"/>
        </w:tabs>
        <w:numPr>
          <w:ilvl w:val="1"/>
          <w:numId w:val="25"/>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01" w:lineRule="exact"/>
        <w:rPr>
          <w:rFonts w:ascii="Arial" w:cs="Arial" w:eastAsia="Arial" w:hAnsi="Arial"/>
          <w:sz w:val="18"/>
          <w:szCs w:val="18"/>
          <w:color w:val="auto"/>
        </w:rPr>
      </w:pPr>
    </w:p>
    <w:p>
      <w:pPr>
        <w:jc w:val="both"/>
        <w:ind w:left="660" w:hanging="328"/>
        <w:spacing w:after="0" w:line="256" w:lineRule="auto"/>
        <w:tabs>
          <w:tab w:leader="none" w:pos="660" w:val="left"/>
        </w:tabs>
        <w:numPr>
          <w:ilvl w:val="1"/>
          <w:numId w:val="25"/>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01" w:lineRule="exact"/>
        <w:rPr>
          <w:rFonts w:ascii="Arial" w:cs="Arial" w:eastAsia="Arial" w:hAnsi="Arial"/>
          <w:sz w:val="18"/>
          <w:szCs w:val="18"/>
          <w:color w:val="auto"/>
        </w:rPr>
      </w:pPr>
    </w:p>
    <w:p>
      <w:pPr>
        <w:jc w:val="both"/>
        <w:ind w:left="340" w:hanging="332"/>
        <w:spacing w:after="0" w:line="256" w:lineRule="auto"/>
        <w:tabs>
          <w:tab w:leader="none" w:pos="3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201" w:lineRule="exact"/>
        <w:rPr>
          <w:rFonts w:ascii="Arial" w:cs="Arial" w:eastAsia="Arial" w:hAnsi="Arial"/>
          <w:sz w:val="18"/>
          <w:szCs w:val="18"/>
          <w:color w:val="auto"/>
        </w:rPr>
      </w:pPr>
    </w:p>
    <w:p>
      <w:pPr>
        <w:ind w:left="660" w:hanging="328"/>
        <w:spacing w:after="0" w:line="262" w:lineRule="auto"/>
        <w:tabs>
          <w:tab w:leader="none" w:pos="660" w:val="left"/>
        </w:tabs>
        <w:numPr>
          <w:ilvl w:val="1"/>
          <w:numId w:val="25"/>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96" w:lineRule="exact"/>
        <w:rPr>
          <w:rFonts w:ascii="Arial" w:cs="Arial" w:eastAsia="Arial" w:hAnsi="Arial"/>
          <w:sz w:val="18"/>
          <w:szCs w:val="18"/>
          <w:color w:val="auto"/>
        </w:rPr>
      </w:pPr>
    </w:p>
    <w:p>
      <w:pPr>
        <w:ind w:left="660" w:hanging="328"/>
        <w:spacing w:after="0" w:line="262" w:lineRule="auto"/>
        <w:tabs>
          <w:tab w:leader="none" w:pos="660" w:val="left"/>
        </w:tabs>
        <w:numPr>
          <w:ilvl w:val="1"/>
          <w:numId w:val="2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388" w:lineRule="exact"/>
        <w:rPr>
          <w:sz w:val="20"/>
          <w:szCs w:val="20"/>
          <w:color w:val="auto"/>
        </w:rPr>
      </w:pPr>
    </w:p>
    <w:p>
      <w:pPr>
        <w:ind w:left="1540"/>
        <w:spacing w:after="0"/>
        <w:tabs>
          <w:tab w:leader="none" w:pos="6800" w:val="left"/>
        </w:tabs>
        <w:rPr>
          <w:sz w:val="20"/>
          <w:szCs w:val="20"/>
          <w:color w:val="auto"/>
        </w:rPr>
      </w:pPr>
      <w:r>
        <w:rPr>
          <w:rFonts w:ascii="Arial" w:cs="Arial" w:eastAsia="Arial" w:hAnsi="Arial"/>
          <w:sz w:val="18"/>
          <w:szCs w:val="18"/>
          <w:color w:val="auto"/>
        </w:rPr>
        <w:t>June 7, 2018</w:t>
      </w:r>
      <w:r>
        <w:rPr>
          <w:sz w:val="20"/>
          <w:szCs w:val="20"/>
          <w:color w:val="auto"/>
        </w:rPr>
        <w:tab/>
      </w:r>
      <w:r>
        <w:rPr>
          <w:rFonts w:ascii="Arial" w:cs="Arial" w:eastAsia="Arial" w:hAnsi="Arial"/>
          <w:sz w:val="17"/>
          <w:szCs w:val="17"/>
          <w:u w:val="single" w:color="auto"/>
          <w:color w:val="auto"/>
        </w:rPr>
        <w:t>/s/ Scott Salmirs</w:t>
      </w:r>
    </w:p>
    <w:p>
      <w:pPr>
        <w:spacing w:after="0" w:line="45" w:lineRule="exact"/>
        <w:rPr>
          <w:sz w:val="20"/>
          <w:szCs w:val="20"/>
          <w:color w:val="auto"/>
        </w:rPr>
      </w:pPr>
    </w:p>
    <w:p>
      <w:pPr>
        <w:ind w:left="6820"/>
        <w:spacing w:after="0"/>
        <w:rPr>
          <w:sz w:val="20"/>
          <w:szCs w:val="20"/>
          <w:color w:val="auto"/>
        </w:rPr>
      </w:pPr>
      <w:r>
        <w:rPr>
          <w:rFonts w:ascii="Arial" w:cs="Arial" w:eastAsia="Arial" w:hAnsi="Arial"/>
          <w:sz w:val="18"/>
          <w:szCs w:val="18"/>
          <w:color w:val="auto"/>
        </w:rPr>
        <w:t>Scott Salmirs</w:t>
      </w:r>
    </w:p>
    <w:p>
      <w:pPr>
        <w:ind w:left="6820"/>
        <w:spacing w:after="0" w:line="234" w:lineRule="auto"/>
        <w:rPr>
          <w:sz w:val="20"/>
          <w:szCs w:val="20"/>
          <w:color w:val="auto"/>
        </w:rPr>
      </w:pPr>
      <w:r>
        <w:rPr>
          <w:rFonts w:ascii="Arial" w:cs="Arial" w:eastAsia="Arial" w:hAnsi="Arial"/>
          <w:sz w:val="18"/>
          <w:szCs w:val="18"/>
          <w:color w:val="auto"/>
        </w:rPr>
        <w:t>Chief Executive Officer</w:t>
      </w:r>
    </w:p>
    <w:p>
      <w:pPr>
        <w:spacing w:after="0" w:line="1" w:lineRule="exact"/>
        <w:rPr>
          <w:sz w:val="20"/>
          <w:szCs w:val="20"/>
          <w:color w:val="auto"/>
        </w:rPr>
      </w:pPr>
    </w:p>
    <w:p>
      <w:pPr>
        <w:ind w:left="6820"/>
        <w:spacing w:after="0"/>
        <w:rPr>
          <w:sz w:val="20"/>
          <w:szCs w:val="20"/>
          <w:color w:val="auto"/>
        </w:rPr>
      </w:pPr>
      <w:r>
        <w:rPr>
          <w:rFonts w:ascii="Arial" w:cs="Arial" w:eastAsia="Arial" w:hAnsi="Arial"/>
          <w:sz w:val="18"/>
          <w:szCs w:val="18"/>
          <w:color w:val="auto"/>
        </w:rPr>
        <w:t>(Principal Executive Officer)</w:t>
      </w:r>
    </w:p>
    <w:p>
      <w:pPr>
        <w:sectPr>
          <w:pgSz w:w="11900" w:h="16838" w:orient="portrait"/>
          <w:cols w:equalWidth="0" w:num="1">
            <w:col w:w="11420"/>
          </w:cols>
          <w:pgMar w:left="240" w:top="576" w:right="239" w:bottom="1440" w:gutter="0" w:footer="0" w:header="0"/>
        </w:sectPr>
      </w:pPr>
    </w:p>
    <w:bookmarkStart w:id="53" w:name="page54"/>
    <w:bookmarkEnd w:id="53"/>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FINANCIAL OFFICER</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SECURITIES EXCHANGE ACT OF 1934</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RULE 13a-14(a) OR 15d-14(a)</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 D. Anthony Scaglione, certify that:</w:t>
      </w:r>
    </w:p>
    <w:p>
      <w:pPr>
        <w:spacing w:after="0" w:line="225" w:lineRule="exact"/>
        <w:rPr>
          <w:sz w:val="20"/>
          <w:szCs w:val="20"/>
          <w:color w:val="auto"/>
        </w:rPr>
      </w:pPr>
    </w:p>
    <w:p>
      <w:pPr>
        <w:ind w:left="340" w:hanging="332"/>
        <w:spacing w:after="0"/>
        <w:tabs>
          <w:tab w:leader="none" w:pos="3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ABM Industries Incorporated;</w:t>
      </w:r>
    </w:p>
    <w:p>
      <w:pPr>
        <w:spacing w:after="0" w:line="225" w:lineRule="exact"/>
        <w:rPr>
          <w:rFonts w:ascii="Arial" w:cs="Arial" w:eastAsia="Arial" w:hAnsi="Arial"/>
          <w:sz w:val="18"/>
          <w:szCs w:val="18"/>
          <w:color w:val="auto"/>
        </w:rPr>
      </w:pPr>
    </w:p>
    <w:p>
      <w:pPr>
        <w:jc w:val="both"/>
        <w:ind w:left="340" w:hanging="332"/>
        <w:spacing w:after="0" w:line="256" w:lineRule="auto"/>
        <w:tabs>
          <w:tab w:leader="none" w:pos="3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01" w:lineRule="exact"/>
        <w:rPr>
          <w:rFonts w:ascii="Arial" w:cs="Arial" w:eastAsia="Arial" w:hAnsi="Arial"/>
          <w:sz w:val="18"/>
          <w:szCs w:val="18"/>
          <w:color w:val="auto"/>
        </w:rPr>
      </w:pPr>
    </w:p>
    <w:p>
      <w:pPr>
        <w:ind w:left="340" w:hanging="332"/>
        <w:spacing w:after="0" w:line="262" w:lineRule="auto"/>
        <w:tabs>
          <w:tab w:leader="none" w:pos="3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96" w:lineRule="exact"/>
        <w:rPr>
          <w:rFonts w:ascii="Arial" w:cs="Arial" w:eastAsia="Arial" w:hAnsi="Arial"/>
          <w:sz w:val="18"/>
          <w:szCs w:val="18"/>
          <w:color w:val="auto"/>
        </w:rPr>
      </w:pPr>
    </w:p>
    <w:p>
      <w:pPr>
        <w:jc w:val="both"/>
        <w:ind w:left="340" w:hanging="332"/>
        <w:spacing w:after="0" w:line="250" w:lineRule="auto"/>
        <w:tabs>
          <w:tab w:leader="none" w:pos="3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w:t>
      </w:r>
    </w:p>
    <w:p>
      <w:pPr>
        <w:ind w:left="340"/>
        <w:spacing w:after="0"/>
        <w:rPr>
          <w:rFonts w:ascii="Arial" w:cs="Arial" w:eastAsia="Arial" w:hAnsi="Arial"/>
          <w:sz w:val="18"/>
          <w:szCs w:val="18"/>
          <w:color w:val="auto"/>
        </w:rPr>
      </w:pPr>
      <w:r>
        <w:rPr>
          <w:rFonts w:ascii="Arial" w:cs="Arial" w:eastAsia="Arial" w:hAnsi="Arial"/>
          <w:sz w:val="18"/>
          <w:szCs w:val="18"/>
          <w:color w:val="auto"/>
        </w:rPr>
        <w:t>13a-15(f) and 15d-15(f)) for the registrant and have:</w:t>
      </w:r>
    </w:p>
    <w:p>
      <w:pPr>
        <w:spacing w:after="0" w:line="225" w:lineRule="exact"/>
        <w:rPr>
          <w:rFonts w:ascii="Arial" w:cs="Arial" w:eastAsia="Arial" w:hAnsi="Arial"/>
          <w:sz w:val="18"/>
          <w:szCs w:val="18"/>
          <w:color w:val="auto"/>
        </w:rPr>
      </w:pPr>
    </w:p>
    <w:p>
      <w:pPr>
        <w:jc w:val="both"/>
        <w:ind w:left="660" w:hanging="328"/>
        <w:spacing w:after="0" w:line="256" w:lineRule="auto"/>
        <w:tabs>
          <w:tab w:leader="none" w:pos="660" w:val="left"/>
        </w:tabs>
        <w:numPr>
          <w:ilvl w:val="1"/>
          <w:numId w:val="2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01" w:lineRule="exact"/>
        <w:rPr>
          <w:rFonts w:ascii="Arial" w:cs="Arial" w:eastAsia="Arial" w:hAnsi="Arial"/>
          <w:sz w:val="18"/>
          <w:szCs w:val="18"/>
          <w:color w:val="auto"/>
        </w:rPr>
      </w:pPr>
    </w:p>
    <w:p>
      <w:pPr>
        <w:jc w:val="both"/>
        <w:ind w:left="660" w:hanging="328"/>
        <w:spacing w:after="0" w:line="256" w:lineRule="auto"/>
        <w:tabs>
          <w:tab w:leader="none" w:pos="660" w:val="left"/>
        </w:tabs>
        <w:numPr>
          <w:ilvl w:val="1"/>
          <w:numId w:val="26"/>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01" w:lineRule="exact"/>
        <w:rPr>
          <w:rFonts w:ascii="Arial" w:cs="Arial" w:eastAsia="Arial" w:hAnsi="Arial"/>
          <w:sz w:val="18"/>
          <w:szCs w:val="18"/>
          <w:color w:val="auto"/>
        </w:rPr>
      </w:pPr>
    </w:p>
    <w:p>
      <w:pPr>
        <w:jc w:val="both"/>
        <w:ind w:left="660" w:hanging="328"/>
        <w:spacing w:after="0" w:line="256" w:lineRule="auto"/>
        <w:tabs>
          <w:tab w:leader="none" w:pos="660" w:val="left"/>
        </w:tabs>
        <w:numPr>
          <w:ilvl w:val="1"/>
          <w:numId w:val="26"/>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01" w:lineRule="exact"/>
        <w:rPr>
          <w:rFonts w:ascii="Arial" w:cs="Arial" w:eastAsia="Arial" w:hAnsi="Arial"/>
          <w:sz w:val="18"/>
          <w:szCs w:val="18"/>
          <w:color w:val="auto"/>
        </w:rPr>
      </w:pPr>
    </w:p>
    <w:p>
      <w:pPr>
        <w:jc w:val="both"/>
        <w:ind w:left="660" w:hanging="328"/>
        <w:spacing w:after="0" w:line="256" w:lineRule="auto"/>
        <w:tabs>
          <w:tab w:leader="none" w:pos="660" w:val="left"/>
        </w:tabs>
        <w:numPr>
          <w:ilvl w:val="1"/>
          <w:numId w:val="26"/>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01" w:lineRule="exact"/>
        <w:rPr>
          <w:rFonts w:ascii="Arial" w:cs="Arial" w:eastAsia="Arial" w:hAnsi="Arial"/>
          <w:sz w:val="18"/>
          <w:szCs w:val="18"/>
          <w:color w:val="auto"/>
        </w:rPr>
      </w:pPr>
    </w:p>
    <w:p>
      <w:pPr>
        <w:jc w:val="both"/>
        <w:ind w:left="340" w:hanging="332"/>
        <w:spacing w:after="0" w:line="256" w:lineRule="auto"/>
        <w:tabs>
          <w:tab w:leader="none" w:pos="3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201" w:lineRule="exact"/>
        <w:rPr>
          <w:rFonts w:ascii="Arial" w:cs="Arial" w:eastAsia="Arial" w:hAnsi="Arial"/>
          <w:sz w:val="18"/>
          <w:szCs w:val="18"/>
          <w:color w:val="auto"/>
        </w:rPr>
      </w:pPr>
    </w:p>
    <w:p>
      <w:pPr>
        <w:ind w:left="660" w:hanging="328"/>
        <w:spacing w:after="0" w:line="262" w:lineRule="auto"/>
        <w:tabs>
          <w:tab w:leader="none" w:pos="660" w:val="left"/>
        </w:tabs>
        <w:numPr>
          <w:ilvl w:val="1"/>
          <w:numId w:val="26"/>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96" w:lineRule="exact"/>
        <w:rPr>
          <w:rFonts w:ascii="Arial" w:cs="Arial" w:eastAsia="Arial" w:hAnsi="Arial"/>
          <w:sz w:val="18"/>
          <w:szCs w:val="18"/>
          <w:color w:val="auto"/>
        </w:rPr>
      </w:pPr>
    </w:p>
    <w:p>
      <w:pPr>
        <w:ind w:left="660" w:hanging="328"/>
        <w:spacing w:after="0" w:line="262" w:lineRule="auto"/>
        <w:tabs>
          <w:tab w:leader="none" w:pos="660" w:val="left"/>
        </w:tabs>
        <w:numPr>
          <w:ilvl w:val="1"/>
          <w:numId w:val="2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72" w:lineRule="exact"/>
        <w:rPr>
          <w:sz w:val="20"/>
          <w:szCs w:val="20"/>
          <w:color w:val="auto"/>
        </w:rPr>
      </w:pPr>
    </w:p>
    <w:p>
      <w:pPr>
        <w:ind w:left="1000"/>
        <w:spacing w:after="0"/>
        <w:tabs>
          <w:tab w:leader="none" w:pos="6520" w:val="left"/>
        </w:tabs>
        <w:rPr>
          <w:sz w:val="20"/>
          <w:szCs w:val="20"/>
          <w:color w:val="auto"/>
        </w:rPr>
      </w:pPr>
      <w:r>
        <w:rPr>
          <w:rFonts w:ascii="Arial" w:cs="Arial" w:eastAsia="Arial" w:hAnsi="Arial"/>
          <w:sz w:val="18"/>
          <w:szCs w:val="18"/>
          <w:color w:val="auto"/>
        </w:rPr>
        <w:t>June 7, 2018</w:t>
      </w:r>
      <w:r>
        <w:rPr>
          <w:sz w:val="20"/>
          <w:szCs w:val="20"/>
          <w:color w:val="auto"/>
        </w:rPr>
        <w:tab/>
      </w:r>
      <w:r>
        <w:rPr>
          <w:rFonts w:ascii="Arial" w:cs="Arial" w:eastAsia="Arial" w:hAnsi="Arial"/>
          <w:sz w:val="18"/>
          <w:szCs w:val="18"/>
          <w:u w:val="single" w:color="auto"/>
          <w:color w:val="auto"/>
        </w:rPr>
        <w:t>/s/ D. Anthony Scaglione</w:t>
      </w:r>
    </w:p>
    <w:p>
      <w:pPr>
        <w:spacing w:after="0" w:line="45" w:lineRule="exact"/>
        <w:rPr>
          <w:sz w:val="20"/>
          <w:szCs w:val="20"/>
          <w:color w:val="auto"/>
        </w:rPr>
      </w:pPr>
    </w:p>
    <w:p>
      <w:pPr>
        <w:ind w:left="6540"/>
        <w:spacing w:after="0"/>
        <w:rPr>
          <w:sz w:val="20"/>
          <w:szCs w:val="20"/>
          <w:color w:val="auto"/>
        </w:rPr>
      </w:pPr>
      <w:r>
        <w:rPr>
          <w:rFonts w:ascii="Arial" w:cs="Arial" w:eastAsia="Arial" w:hAnsi="Arial"/>
          <w:sz w:val="18"/>
          <w:szCs w:val="18"/>
          <w:color w:val="auto"/>
        </w:rPr>
        <w:t>D. Anthony Scaglione</w:t>
      </w:r>
    </w:p>
    <w:p>
      <w:pPr>
        <w:ind w:left="6540"/>
        <w:spacing w:after="0" w:line="234" w:lineRule="auto"/>
        <w:rPr>
          <w:sz w:val="20"/>
          <w:szCs w:val="20"/>
          <w:color w:val="auto"/>
        </w:rPr>
      </w:pPr>
      <w:r>
        <w:rPr>
          <w:rFonts w:ascii="Arial" w:cs="Arial" w:eastAsia="Arial" w:hAnsi="Arial"/>
          <w:sz w:val="18"/>
          <w:szCs w:val="18"/>
          <w:color w:val="auto"/>
        </w:rPr>
        <w:t>Chief Financial Officer</w:t>
      </w:r>
    </w:p>
    <w:p>
      <w:pPr>
        <w:spacing w:after="0" w:line="1" w:lineRule="exact"/>
        <w:rPr>
          <w:sz w:val="20"/>
          <w:szCs w:val="20"/>
          <w:color w:val="auto"/>
        </w:rPr>
      </w:pPr>
    </w:p>
    <w:p>
      <w:pPr>
        <w:ind w:left="6540"/>
        <w:spacing w:after="0"/>
        <w:rPr>
          <w:sz w:val="20"/>
          <w:szCs w:val="20"/>
          <w:color w:val="auto"/>
        </w:rPr>
      </w:pPr>
      <w:r>
        <w:rPr>
          <w:rFonts w:ascii="Arial" w:cs="Arial" w:eastAsia="Arial" w:hAnsi="Arial"/>
          <w:sz w:val="18"/>
          <w:szCs w:val="18"/>
          <w:color w:val="auto"/>
        </w:rPr>
        <w:t>(Principal Financial Officer)</w:t>
      </w:r>
    </w:p>
    <w:p>
      <w:pPr>
        <w:sectPr>
          <w:pgSz w:w="11900" w:h="16838" w:orient="portrait"/>
          <w:cols w:equalWidth="0" w:num="1">
            <w:col w:w="11420"/>
          </w:cols>
          <w:pgMar w:left="240" w:top="576" w:right="239" w:bottom="1440" w:gutter="0" w:footer="0" w:header="0"/>
        </w:sectPr>
      </w:pPr>
    </w:p>
    <w:bookmarkStart w:id="54" w:name="page55"/>
    <w:bookmarkEnd w:id="54"/>
    <w:p>
      <w:pPr>
        <w:jc w:val="right"/>
        <w:spacing w:after="0"/>
        <w:rPr>
          <w:sz w:val="20"/>
          <w:szCs w:val="20"/>
          <w:color w:val="auto"/>
        </w:rPr>
      </w:pPr>
      <w:r>
        <w:rPr>
          <w:rFonts w:ascii="Arial" w:cs="Arial" w:eastAsia="Arial" w:hAnsi="Arial"/>
          <w:sz w:val="18"/>
          <w:szCs w:val="18"/>
          <w:b w:val="1"/>
          <w:bCs w:val="1"/>
          <w:color w:val="auto"/>
        </w:rPr>
        <w:t>EXHIBIT 32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 PURSUANT TO SECURITIES EXCHANGE ACT OF 1934</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RULE 13a-14(b) OR 15d-14(b) AND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25"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In connection with the Quarterly Report of ABM Industries Incorporated (the “Company”) for the quarter ended April 30, 2018, as filed with the Securities and Exchange Commission on the date hereof (the “Report”), Scott Salmirs, Chief Executive Officer of the Company, and D. Anthony Scaglione, Chief Financial Officer of the Company, each certifies for the purpose of complying with Rule 13a-14(b) or Rule 15d-14(b) of the Securities Exchange Act of 1934, as amended (the “Exchange Act”), and Section 1350 of Chapter 63 of Title 18 of the United States Code, that:</w:t>
      </w:r>
    </w:p>
    <w:p>
      <w:pPr>
        <w:spacing w:after="0" w:line="152" w:lineRule="exact"/>
        <w:rPr>
          <w:sz w:val="20"/>
          <w:szCs w:val="20"/>
          <w:color w:val="auto"/>
        </w:rPr>
      </w:pPr>
    </w:p>
    <w:p>
      <w:pPr>
        <w:ind w:left="1300" w:hanging="644"/>
        <w:spacing w:after="0"/>
        <w:tabs>
          <w:tab w:leader="none" w:pos="13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Exchange Act; and</w:t>
      </w:r>
    </w:p>
    <w:p>
      <w:pPr>
        <w:spacing w:after="0" w:line="171" w:lineRule="exact"/>
        <w:rPr>
          <w:rFonts w:ascii="Arial" w:cs="Arial" w:eastAsia="Arial" w:hAnsi="Arial"/>
          <w:sz w:val="18"/>
          <w:szCs w:val="18"/>
          <w:color w:val="auto"/>
        </w:rPr>
      </w:pPr>
    </w:p>
    <w:p>
      <w:pPr>
        <w:ind w:left="1300" w:hanging="644"/>
        <w:spacing w:after="0" w:line="262" w:lineRule="auto"/>
        <w:tabs>
          <w:tab w:leader="none" w:pos="13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ind w:left="1000"/>
        <w:spacing w:after="0"/>
        <w:tabs>
          <w:tab w:leader="none" w:pos="6520" w:val="left"/>
        </w:tabs>
        <w:rPr>
          <w:sz w:val="20"/>
          <w:szCs w:val="20"/>
          <w:color w:val="auto"/>
        </w:rPr>
      </w:pPr>
      <w:r>
        <w:rPr>
          <w:rFonts w:ascii="Arial" w:cs="Arial" w:eastAsia="Arial" w:hAnsi="Arial"/>
          <w:sz w:val="18"/>
          <w:szCs w:val="18"/>
          <w:color w:val="auto"/>
        </w:rPr>
        <w:t>June 7, 2018</w:t>
      </w:r>
      <w:r>
        <w:rPr>
          <w:sz w:val="20"/>
          <w:szCs w:val="20"/>
          <w:color w:val="auto"/>
        </w:rPr>
        <w:tab/>
      </w:r>
      <w:r>
        <w:rPr>
          <w:rFonts w:ascii="Arial" w:cs="Arial" w:eastAsia="Arial" w:hAnsi="Arial"/>
          <w:sz w:val="17"/>
          <w:szCs w:val="17"/>
          <w:u w:val="single" w:color="auto"/>
          <w:color w:val="auto"/>
        </w:rPr>
        <w:t>/s/ Scott Salmirs</w:t>
      </w:r>
    </w:p>
    <w:p>
      <w:pPr>
        <w:spacing w:after="0" w:line="45" w:lineRule="exact"/>
        <w:rPr>
          <w:sz w:val="20"/>
          <w:szCs w:val="20"/>
          <w:color w:val="auto"/>
        </w:rPr>
      </w:pPr>
    </w:p>
    <w:p>
      <w:pPr>
        <w:ind w:left="6540"/>
        <w:spacing w:after="0"/>
        <w:rPr>
          <w:sz w:val="20"/>
          <w:szCs w:val="20"/>
          <w:color w:val="auto"/>
        </w:rPr>
      </w:pPr>
      <w:r>
        <w:rPr>
          <w:rFonts w:ascii="Arial" w:cs="Arial" w:eastAsia="Arial" w:hAnsi="Arial"/>
          <w:sz w:val="18"/>
          <w:szCs w:val="18"/>
          <w:color w:val="auto"/>
        </w:rPr>
        <w:t>Scott Salmirs</w:t>
      </w:r>
    </w:p>
    <w:p>
      <w:pPr>
        <w:ind w:left="6540"/>
        <w:spacing w:after="0" w:line="234" w:lineRule="auto"/>
        <w:rPr>
          <w:sz w:val="20"/>
          <w:szCs w:val="20"/>
          <w:color w:val="auto"/>
        </w:rPr>
      </w:pPr>
      <w:r>
        <w:rPr>
          <w:rFonts w:ascii="Arial" w:cs="Arial" w:eastAsia="Arial" w:hAnsi="Arial"/>
          <w:sz w:val="18"/>
          <w:szCs w:val="18"/>
          <w:color w:val="auto"/>
        </w:rPr>
        <w:t>Chief Executive Officer</w:t>
      </w:r>
    </w:p>
    <w:p>
      <w:pPr>
        <w:spacing w:after="0" w:line="1" w:lineRule="exact"/>
        <w:rPr>
          <w:sz w:val="20"/>
          <w:szCs w:val="20"/>
          <w:color w:val="auto"/>
        </w:rPr>
      </w:pPr>
    </w:p>
    <w:p>
      <w:pPr>
        <w:ind w:left="6540"/>
        <w:spacing w:after="0"/>
        <w:rPr>
          <w:sz w:val="20"/>
          <w:szCs w:val="20"/>
          <w:color w:val="auto"/>
        </w:rPr>
      </w:pPr>
      <w:r>
        <w:rPr>
          <w:rFonts w:ascii="Arial" w:cs="Arial" w:eastAsia="Arial" w:hAnsi="Arial"/>
          <w:sz w:val="18"/>
          <w:szCs w:val="18"/>
          <w:color w:val="auto"/>
        </w:rPr>
        <w:t>(Principal Executive Officer)</w:t>
      </w:r>
    </w:p>
    <w:p>
      <w:pPr>
        <w:spacing w:after="0" w:line="200" w:lineRule="exact"/>
        <w:rPr>
          <w:sz w:val="20"/>
          <w:szCs w:val="20"/>
          <w:color w:val="auto"/>
        </w:rPr>
      </w:pPr>
    </w:p>
    <w:p>
      <w:pPr>
        <w:spacing w:after="0" w:line="214" w:lineRule="exact"/>
        <w:rPr>
          <w:sz w:val="20"/>
          <w:szCs w:val="20"/>
          <w:color w:val="auto"/>
        </w:rPr>
      </w:pPr>
    </w:p>
    <w:p>
      <w:pPr>
        <w:ind w:left="1000"/>
        <w:spacing w:after="0"/>
        <w:tabs>
          <w:tab w:leader="none" w:pos="6520" w:val="left"/>
        </w:tabs>
        <w:rPr>
          <w:sz w:val="20"/>
          <w:szCs w:val="20"/>
          <w:color w:val="auto"/>
        </w:rPr>
      </w:pPr>
      <w:r>
        <w:rPr>
          <w:rFonts w:ascii="Arial" w:cs="Arial" w:eastAsia="Arial" w:hAnsi="Arial"/>
          <w:sz w:val="18"/>
          <w:szCs w:val="18"/>
          <w:color w:val="auto"/>
        </w:rPr>
        <w:t>June 7, 2018</w:t>
      </w:r>
      <w:r>
        <w:rPr>
          <w:sz w:val="20"/>
          <w:szCs w:val="20"/>
          <w:color w:val="auto"/>
        </w:rPr>
        <w:tab/>
      </w:r>
      <w:r>
        <w:rPr>
          <w:rFonts w:ascii="Arial" w:cs="Arial" w:eastAsia="Arial" w:hAnsi="Arial"/>
          <w:sz w:val="18"/>
          <w:szCs w:val="18"/>
          <w:u w:val="single" w:color="auto"/>
          <w:color w:val="auto"/>
        </w:rPr>
        <w:t>/s/ D. Anthony Scaglione</w:t>
      </w:r>
    </w:p>
    <w:p>
      <w:pPr>
        <w:spacing w:after="0" w:line="45" w:lineRule="exact"/>
        <w:rPr>
          <w:sz w:val="20"/>
          <w:szCs w:val="20"/>
          <w:color w:val="auto"/>
        </w:rPr>
      </w:pPr>
    </w:p>
    <w:p>
      <w:pPr>
        <w:ind w:left="6540"/>
        <w:spacing w:after="0"/>
        <w:rPr>
          <w:sz w:val="20"/>
          <w:szCs w:val="20"/>
          <w:color w:val="auto"/>
        </w:rPr>
      </w:pPr>
      <w:r>
        <w:rPr>
          <w:rFonts w:ascii="Arial" w:cs="Arial" w:eastAsia="Arial" w:hAnsi="Arial"/>
          <w:sz w:val="18"/>
          <w:szCs w:val="18"/>
          <w:color w:val="auto"/>
        </w:rPr>
        <w:t>D. Anthony Scaglione</w:t>
      </w:r>
    </w:p>
    <w:p>
      <w:pPr>
        <w:ind w:left="6540"/>
        <w:spacing w:after="0" w:line="234" w:lineRule="auto"/>
        <w:rPr>
          <w:sz w:val="20"/>
          <w:szCs w:val="20"/>
          <w:color w:val="auto"/>
        </w:rPr>
      </w:pPr>
      <w:r>
        <w:rPr>
          <w:rFonts w:ascii="Arial" w:cs="Arial" w:eastAsia="Arial" w:hAnsi="Arial"/>
          <w:sz w:val="18"/>
          <w:szCs w:val="18"/>
          <w:color w:val="auto"/>
        </w:rPr>
        <w:t>Chief Financial Officer</w:t>
      </w:r>
    </w:p>
    <w:p>
      <w:pPr>
        <w:spacing w:after="0" w:line="1" w:lineRule="exact"/>
        <w:rPr>
          <w:sz w:val="20"/>
          <w:szCs w:val="20"/>
          <w:color w:val="auto"/>
        </w:rPr>
      </w:pPr>
    </w:p>
    <w:p>
      <w:pPr>
        <w:ind w:left="6540"/>
        <w:spacing w:after="0"/>
        <w:rPr>
          <w:sz w:val="20"/>
          <w:szCs w:val="20"/>
          <w:color w:val="auto"/>
        </w:rPr>
      </w:pPr>
      <w:r>
        <w:rPr>
          <w:rFonts w:ascii="Arial" w:cs="Arial" w:eastAsia="Arial" w:hAnsi="Arial"/>
          <w:sz w:val="18"/>
          <w:szCs w:val="18"/>
          <w:color w:val="auto"/>
        </w:rPr>
        <w:t>(Principal Financial Officer)</w:t>
      </w:r>
    </w:p>
    <w:sectPr>
      <w:pgSz w:w="11900" w:h="16838" w:orient="portrait"/>
      <w:cols w:equalWidth="0" w:num="1">
        <w:col w:w="11420"/>
      </w:cols>
      <w:pgMar w:left="240" w:top="576"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DED7263"/>
    <w:multiLevelType w:val="hybridMultilevel"/>
    <w:lvl w:ilvl="0">
      <w:lvlJc w:val="left"/>
      <w:lvlText w:val="☑"/>
      <w:numFmt w:val="bullet"/>
      <w:start w:val="1"/>
    </w:lvl>
  </w:abstractNum>
  <w:abstractNum w:abstractNumId="1">
    <w:nsid w:val="7FDCC233"/>
    <w:multiLevelType w:val="hybridMultilevel"/>
    <w:lvl w:ilvl="0">
      <w:lvlJc w:val="left"/>
      <w:lvlText w:val="☐"/>
      <w:numFmt w:val="bullet"/>
      <w:start w:val="1"/>
    </w:lvl>
  </w:abstractNum>
  <w:abstractNum w:abstractNumId="2">
    <w:nsid w:val="1BEFD79F"/>
    <w:multiLevelType w:val="hybridMultilevel"/>
    <w:lvl w:ilvl="0">
      <w:lvlJc w:val="left"/>
      <w:lvlText w:val="•"/>
      <w:numFmt w:val="bullet"/>
      <w:start w:val="1"/>
    </w:lvl>
  </w:abstractNum>
  <w:abstractNum w:abstractNumId="3">
    <w:nsid w:val="41A7C4C9"/>
    <w:multiLevelType w:val="hybridMultilevel"/>
    <w:lvl w:ilvl="0">
      <w:lvlJc w:val="left"/>
      <w:lvlText w:val="•"/>
      <w:numFmt w:val="bullet"/>
      <w:start w:val="1"/>
    </w:lvl>
  </w:abstractNum>
  <w:abstractNum w:abstractNumId="4">
    <w:nsid w:val="6B68079A"/>
    <w:multiLevelType w:val="hybridMultilevel"/>
    <w:lvl w:ilvl="0">
      <w:lvlJc w:val="left"/>
      <w:lvlText w:val="(%1)"/>
      <w:numFmt w:val="decimal"/>
      <w:start w:val="1"/>
    </w:lvl>
  </w:abstractNum>
  <w:abstractNum w:abstractNumId="5">
    <w:nsid w:val="4E6AFB66"/>
    <w:multiLevelType w:val="hybridMultilevel"/>
    <w:lvl w:ilvl="0">
      <w:lvlJc w:val="left"/>
      <w:lvlText w:val="(%1)"/>
      <w:numFmt w:val="decimal"/>
      <w:start w:val="1"/>
    </w:lvl>
  </w:abstractNum>
  <w:abstractNum w:abstractNumId="6">
    <w:nsid w:val="25E45D32"/>
    <w:multiLevelType w:val="hybridMultilevel"/>
    <w:lvl w:ilvl="0">
      <w:lvlJc w:val="left"/>
      <w:lvlText w:val="(%1)"/>
      <w:numFmt w:val="decimal"/>
      <w:start w:val="1"/>
    </w:lvl>
  </w:abstractNum>
  <w:abstractNum w:abstractNumId="7">
    <w:nsid w:val="519B500D"/>
    <w:multiLevelType w:val="hybridMultilevel"/>
    <w:lvl w:ilvl="0">
      <w:lvlJc w:val="left"/>
      <w:lvlText w:val="(%1)"/>
      <w:numFmt w:val="decimal"/>
      <w:start w:val="1"/>
    </w:lvl>
  </w:abstractNum>
  <w:abstractNum w:abstractNumId="8">
    <w:nsid w:val="431BD7B7"/>
    <w:multiLevelType w:val="hybridMultilevel"/>
    <w:lvl w:ilvl="0">
      <w:lvlJc w:val="left"/>
      <w:lvlText w:val="(%1)"/>
      <w:numFmt w:val="decimal"/>
      <w:start w:val="1"/>
    </w:lvl>
  </w:abstractNum>
  <w:abstractNum w:abstractNumId="9">
    <w:nsid w:val="3F2DBA31"/>
    <w:multiLevelType w:val="hybridMultilevel"/>
    <w:lvl w:ilvl="0">
      <w:lvlJc w:val="left"/>
      <w:lvlText w:val="•"/>
      <w:numFmt w:val="bullet"/>
      <w:start w:val="1"/>
    </w:lvl>
  </w:abstractNum>
  <w:abstractNum w:abstractNumId="10">
    <w:nsid w:val="7C83E458"/>
    <w:multiLevelType w:val="hybridMultilevel"/>
    <w:lvl w:ilvl="0">
      <w:lvlJc w:val="left"/>
      <w:lvlText w:val="•"/>
      <w:numFmt w:val="bullet"/>
      <w:start w:val="1"/>
    </w:lvl>
  </w:abstractNum>
  <w:abstractNum w:abstractNumId="11">
    <w:nsid w:val="257130A3"/>
    <w:multiLevelType w:val="hybridMultilevel"/>
    <w:lvl w:ilvl="0">
      <w:lvlJc w:val="left"/>
      <w:lvlText w:val="•"/>
      <w:numFmt w:val="bullet"/>
      <w:start w:val="1"/>
    </w:lvl>
  </w:abstractNum>
  <w:abstractNum w:abstractNumId="12">
    <w:nsid w:val="62BBD95A"/>
    <w:multiLevelType w:val="hybridMultilevel"/>
    <w:lvl w:ilvl="0">
      <w:lvlJc w:val="left"/>
      <w:lvlText w:val="(%1)"/>
      <w:numFmt w:val="decimal"/>
      <w:start w:val="1"/>
    </w:lvl>
  </w:abstractNum>
  <w:abstractNum w:abstractNumId="13">
    <w:nsid w:val="436C6125"/>
    <w:multiLevelType w:val="hybridMultilevel"/>
    <w:lvl w:ilvl="0">
      <w:lvlJc w:val="left"/>
      <w:lvlText w:val="(%1)"/>
      <w:numFmt w:val="decimal"/>
      <w:start w:val="1"/>
    </w:lvl>
  </w:abstractNum>
  <w:abstractNum w:abstractNumId="14">
    <w:nsid w:val="628C895D"/>
    <w:multiLevelType w:val="hybridMultilevel"/>
    <w:lvl w:ilvl="0">
      <w:lvlJc w:val="left"/>
      <w:lvlText w:val="(%1)"/>
      <w:numFmt w:val="decimal"/>
      <w:start w:val="1"/>
    </w:lvl>
  </w:abstractNum>
  <w:abstractNum w:abstractNumId="15">
    <w:nsid w:val="333AB105"/>
    <w:multiLevelType w:val="hybridMultilevel"/>
    <w:lvl w:ilvl="0">
      <w:lvlJc w:val="left"/>
      <w:lvlText w:val="•"/>
      <w:numFmt w:val="bullet"/>
      <w:start w:val="1"/>
    </w:lvl>
  </w:abstractNum>
  <w:abstractNum w:abstractNumId="16">
    <w:nsid w:val="721DA317"/>
    <w:multiLevelType w:val="hybridMultilevel"/>
    <w:lvl w:ilvl="0">
      <w:lvlJc w:val="left"/>
      <w:lvlText w:val="•"/>
      <w:numFmt w:val="bullet"/>
      <w:start w:val="1"/>
    </w:lvl>
  </w:abstractNum>
  <w:abstractNum w:abstractNumId="17">
    <w:nsid w:val="2443A858"/>
    <w:multiLevelType w:val="hybridMultilevel"/>
    <w:lvl w:ilvl="0">
      <w:lvlJc w:val="left"/>
      <w:lvlText w:val="•"/>
      <w:numFmt w:val="bullet"/>
      <w:start w:val="1"/>
    </w:lvl>
  </w:abstractNum>
  <w:abstractNum w:abstractNumId="18">
    <w:nsid w:val="2D1D5AE9"/>
    <w:multiLevelType w:val="hybridMultilevel"/>
    <w:lvl w:ilvl="0">
      <w:lvlJc w:val="left"/>
      <w:lvlText w:val="(%1)"/>
      <w:numFmt w:val="decimal"/>
      <w:start w:val="1"/>
    </w:lvl>
  </w:abstractNum>
  <w:abstractNum w:abstractNumId="19">
    <w:nsid w:val="6763845E"/>
    <w:multiLevelType w:val="hybridMultilevel"/>
    <w:lvl w:ilvl="0">
      <w:lvlJc w:val="left"/>
      <w:lvlText w:val="(%1)"/>
      <w:numFmt w:val="decimal"/>
      <w:start w:val="1"/>
    </w:lvl>
  </w:abstractNum>
  <w:abstractNum w:abstractNumId="20">
    <w:nsid w:val="75A2A8D4"/>
    <w:multiLevelType w:val="hybridMultilevel"/>
    <w:lvl w:ilvl="0">
      <w:lvlJc w:val="left"/>
      <w:lvlText w:val="(%1)"/>
      <w:numFmt w:val="decimal"/>
      <w:start w:val="1"/>
    </w:lvl>
  </w:abstractNum>
  <w:abstractNum w:abstractNumId="21">
    <w:nsid w:val="8EDBDAB"/>
    <w:multiLevelType w:val="hybridMultilevel"/>
    <w:lvl w:ilvl="0">
      <w:lvlJc w:val="left"/>
      <w:lvlText w:val="•"/>
      <w:numFmt w:val="bullet"/>
      <w:start w:val="1"/>
    </w:lvl>
  </w:abstractNum>
  <w:abstractNum w:abstractNumId="22">
    <w:nsid w:val="79838CB2"/>
    <w:multiLevelType w:val="hybridMultilevel"/>
    <w:lvl w:ilvl="0">
      <w:lvlJc w:val="left"/>
      <w:lvlText w:val="•"/>
      <w:numFmt w:val="bullet"/>
      <w:start w:val="1"/>
    </w:lvl>
  </w:abstractNum>
  <w:abstractNum w:abstractNumId="23">
    <w:nsid w:val="4353D0CD"/>
    <w:multiLevelType w:val="hybridMultilevel"/>
    <w:lvl w:ilvl="0">
      <w:lvlJc w:val="left"/>
      <w:lvlText w:val="*"/>
      <w:numFmt w:val="bullet"/>
      <w:start w:val="1"/>
    </w:lvl>
  </w:abstractNum>
  <w:abstractNum w:abstractNumId="24">
    <w:nsid w:val="B03E0C6"/>
    <w:multiLevelType w:val="hybridMultilevel"/>
    <w:lvl w:ilvl="0">
      <w:lvlJc w:val="left"/>
      <w:lvlText w:val="%1."/>
      <w:numFmt w:val="decimal"/>
      <w:start w:val="1"/>
    </w:lvl>
    <w:lvl w:ilvl="1">
      <w:lvlJc w:val="left"/>
      <w:lvlText w:val="%2)"/>
      <w:numFmt w:val="lowerLetter"/>
      <w:start w:val="1"/>
    </w:lvl>
  </w:abstractNum>
  <w:abstractNum w:abstractNumId="25">
    <w:nsid w:val="189A769B"/>
    <w:multiLevelType w:val="hybridMultilevel"/>
    <w:lvl w:ilvl="0">
      <w:lvlJc w:val="left"/>
      <w:lvlText w:val="%1."/>
      <w:numFmt w:val="decimal"/>
      <w:start w:val="1"/>
    </w:lvl>
    <w:lvl w:ilvl="1">
      <w:lvlJc w:val="left"/>
      <w:lvlText w:val="%2)"/>
      <w:numFmt w:val="lowerLetter"/>
      <w:start w:val="1"/>
    </w:lvl>
  </w:abstractNum>
  <w:abstractNum w:abstractNumId="26">
    <w:nsid w:val="54E49EB4"/>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jpeg"/><Relationship Id="rId12" Type="http://schemas.openxmlformats.org/officeDocument/2006/relationships/image" Target="media/image5.jpe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jpe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hyperlink" Target="http://www.sec.gov/Archives/edgar/data/771497/000114420418013607/tv488007_ex10-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2019-12-28T21:30:02Z</dcterms:created>
  <dcterms:modified xsi:type="dcterms:W3CDTF">2019-12-28T21:30:02Z</dcterms:modified>
</cp:coreProperties>
</file>