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December 18, 2024, ABM Industries Incorporated (the “Company”) issued a press release announcing financial results related to the fourth quarter and fiscal year ended October 31, 2024. A copy of the press release is being furnished as Exhibit 99.1 to this Form 8-K, which is incorporated into this item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80" w:hanging="458"/>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ABM Industries Incorporated, dated December 18, 2024, announcing financial results related to the fourth quarter and fiscal year ended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-161925</wp:posOffset>
            </wp:positionV>
            <wp:extent cx="6818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86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-24765</wp:posOffset>
            </wp:positionV>
            <wp:extent cx="1351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Andrea R. Newborn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234440"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254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0046AD"/>
        </w:rPr>
        <w:t>ABM REPORTS FOURTH QUARTER AND FULL FISCAL 2024 RESULTS AND PROVIDES FISCAL 2025 OUTLOOK</w:t>
      </w:r>
    </w:p>
    <w:p>
      <w:pPr>
        <w:spacing w:after="0" w:line="13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Revenue of $2.2 billion in the fourth quarter, including 3.2% organic growth</w:t>
      </w:r>
    </w:p>
    <w:p>
      <w:pPr>
        <w:spacing w:after="0" w:line="16" w:lineRule="exact"/>
        <w:rPr>
          <w:rFonts w:ascii="Times New Roman" w:cs="Times New Roman" w:eastAsia="Times New Roman" w:hAnsi="Times New Roman"/>
          <w:sz w:val="20"/>
          <w:szCs w:val="20"/>
          <w:i w:val="1"/>
          <w:iCs w:val="1"/>
          <w:color w:val="auto"/>
        </w:rPr>
      </w:pPr>
    </w:p>
    <w:p>
      <w:pPr>
        <w:ind w:left="760" w:right="68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Net loss of $11.7 million and GAAP loss per share of $0.19 in the fourth quarter, largely reflecting a $59.7 million adjustment to the RavenVolt acquisition cash earn-out</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of $128.0 million in the fourth quarter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EPS of $0.90 in the fourth quarter</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Repurchased $32.0 million of common stock in the fourth quarter and $55.8 million for full fiscal 2024</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Raises quarterly dividend 18%, as previously announced</w:t>
      </w:r>
    </w:p>
    <w:p>
      <w:pPr>
        <w:spacing w:after="0" w:line="12" w:lineRule="exact"/>
        <w:rPr>
          <w:rFonts w:ascii="Times New Roman" w:cs="Times New Roman" w:eastAsia="Times New Roman" w:hAnsi="Times New Roman"/>
          <w:sz w:val="20"/>
          <w:szCs w:val="20"/>
          <w:i w:val="1"/>
          <w:iCs w:val="1"/>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Fiscal 2025 adjusted earnings per share expected to be in range of $3.60 to $3.80 </w:t>
      </w:r>
      <w:r>
        <w:rPr>
          <w:rFonts w:ascii="Arial" w:cs="Arial" w:eastAsia="Arial" w:hAnsi="Arial"/>
          <w:sz w:val="26"/>
          <w:szCs w:val="26"/>
          <w:i w:val="1"/>
          <w:iCs w:val="1"/>
          <w:color w:val="auto"/>
          <w:vertAlign w:val="superscript"/>
        </w:rPr>
        <w:t>(1)</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NEW YORK, NY - December 18, 2024 - ABM (NYSE: ABM), a leading provider of facility solutions, today announced financial results for the fourth quarter and full year ended October 31, 2024.</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“ABM finished the year well, with double-digit revenue growth in Technical Solutions and Aviation, and our performance also reflected the continued resilience of our Business &amp; Industry segment. These fourth quarter results were highlighted by 3.2% organic revenue growth and adjusted EPS of $0.90 cents, both of which were a little higher than expected," said Scott Salmirs, President and Chief Executive Officer. "We proactively repurchased stock in the fourth quarter, more than doubling the spend for the year. In addition, we received Board approval to raise our quarterly dividend by 18%, further underscoring our confidence in ABM’s long-term growth trajectory and strategic vision.”</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fourth quarter results capped a great year for ABM, highlighted by strong execution on our Elevate initiatives, balanced capital deployment, and most importantly, consistent and resilient results in the face of volatile commercial real estate markets and persistent labor inflation," continued Mr. Salmirs. "The significant growth of our microgrid service line and the market gains we made in Aviation were critical to overcoming challenges in other parts of the business. These results support our diversification strategy. Beyond these commercial results, we saw tangible benefits, especially in the back-half of the year, from the initial deployment of our workforce productivity tool, and expect to reap more as we roll out the technology more broadly."</w:t>
      </w:r>
    </w:p>
    <w:p>
      <w:pPr>
        <w:spacing w:after="0" w:line="20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"I am pleased with ABM's positioning for fiscal 2025. We are emerging a stronger company after navigating through several industry-related challenges over the last couple of years. While it is still early and the macro environment is unclear following the recent election, recent data points suggest our key commercial real estate markets are nearing an inflection to growth. Additionally, other parts of our business are continuing to experience generally healthy market conditions. Given this positive backdrop, we expect revenue, margin and earnings growth in 2025, including adjusted EPS of $3.60 to $3.80 </w:t>
      </w:r>
      <w:r>
        <w:rPr>
          <w:rFonts w:ascii="Arial" w:cs="Arial" w:eastAsia="Arial" w:hAnsi="Arial"/>
          <w:sz w:val="24"/>
          <w:szCs w:val="24"/>
          <w:color w:val="auto"/>
          <w:vertAlign w:val="superscript"/>
        </w:rPr>
        <w:t>(1)</w:t>
      </w:r>
      <w:r>
        <w:rPr>
          <w:rFonts w:ascii="Arial" w:cs="Arial" w:eastAsia="Arial" w:hAnsi="Arial"/>
          <w:sz w:val="20"/>
          <w:szCs w:val="20"/>
          <w:color w:val="auto"/>
        </w:rPr>
        <w:t xml:space="preserve"> and with adjusted EBITDA margin in the range of 6.3% to 6.5% </w:t>
      </w:r>
      <w:r>
        <w:rPr>
          <w:rFonts w:ascii="Arial" w:cs="Arial" w:eastAsia="Arial" w:hAnsi="Arial"/>
          <w:sz w:val="24"/>
          <w:szCs w:val="24"/>
          <w:color w:val="auto"/>
          <w:vertAlign w:val="superscript"/>
        </w:rPr>
        <w:t>(1)</w:t>
      </w:r>
      <w:r>
        <w:rPr>
          <w:rFonts w:ascii="Arial" w:cs="Arial" w:eastAsia="Arial" w:hAnsi="Arial"/>
          <w:sz w:val="20"/>
          <w:szCs w:val="20"/>
          <w:color w:val="auto"/>
        </w:rPr>
        <w:t>."</w:t>
      </w:r>
    </w:p>
    <w:p>
      <w:pPr>
        <w:spacing w:after="0" w:line="114" w:lineRule="exact"/>
        <w:rPr>
          <w:sz w:val="20"/>
          <w:szCs w:val="20"/>
          <w:color w:val="auto"/>
        </w:rPr>
      </w:pPr>
    </w:p>
    <w:p>
      <w:pPr>
        <w:jc w:val="both"/>
        <w:ind w:firstLine="8"/>
        <w:spacing w:after="0" w:line="263"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and adjusted EBITDA margin on a forward-looking basis, a reconciliation of the differences between these non-GAAP expectations and the corresponding GAAP measures generally is not available without unreasonable effort. See “Outlook” and “Use of Non-GAAP Financial Information” below for additional information.</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0046AD"/>
        </w:rPr>
        <w:t>Fourth Quarter Fiscal 2024 Results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Company reported revenue of $2.2 billion, up 4.0% over the prior year period, including organic growth of 3.2% and the remainder from acquisitions. Revenue growth was led by Technical Solutions (“ATS”) and Aviation, which grew 35% and 11%, respectively. ATS’ robust growth was largely driven by the significant year-over-year increase in our microgrid service line and a recent acquisition, while Aviation’s growth was reflective of continuing solid market demand and recent wins. Business &amp; Industry’s (“B&amp;I”) and Manufacturing &amp; Distribution's ("M&amp;D") revenue declined less than 1% each, as ongoing softness in the broader commercial real estate market was largely mitigated by B&amp;I's diversification and focus on Class A properties. M&amp;D continues to be impacted by the expected rebalancing of certain work by a large client. Education was essentially flat in the quarter.</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posted a net loss of $11.7 million, or a $0.19 loss per share, compared to net income of $62.8 million, or $0.96 per share last year. The decline was primarily attributable to a $59.7 million adjustment to contingent consideration related to the Ravenvolt acquisition, the negative impact of prior year self-insurance adjustments, lower segment operating earnings, and higher corporate investments, partially offset by lower income taxes. The adjustment to contingent consideration was driven by Ravenvolt’s very strong 2024 performance and outlook, and reflects the current estimate of cash payouts under the original earn-out provision of the Ravenvolt acquisition agreement.</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Adjusted net income was $57.5 million, or $ 0.90 per diluted share, compared to $66.2 million, or $1.01 per diluted share, in the prior year period, representing decreases of 13% and 11%, respectively. These decreases are due to higher corporate investments and lower segment operating earnings. Segment operating earnings included a $10 million year over year impact from in-year insurance reserve adjustments, partially offset by lower acquisition-related amortization costs. Adjusted EBITDA decreased 11% to $128.0 million and adjusted EBITDA margin was 6.1%. Adjusted results exclude items impacting comparability and a description of items impacting comparability can be found in the "Reconciliation of Non-GAAP Financial Measures" table.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Net cash provided by operating activities was $30.3 million, and free cash flow was $15.5 million, versus $139.1 million and $121.2 in the prior year, respectively. These results were largely due to increased working capital to support the Company's strong growth in the final month of the fiscal year, especially at ATS. A reconciliation of free cash flow to net cash provided by operating activities can be found in the “Reconciliation of Non-GAAP Financial Measures” table.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Full Year Fiscal 2024 Results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fiscal 2024, the Company reported revenue of $ 8.4 billion, an increase of 3.2% over the prior year, comprised of 2.9% organic growth and 0.3% from acquisitions. Organic growth largely reflected double-digit growth in Technical Solutions and Aviation, as well as low-single-digit growth in Education and Manufacturing &amp; Distribution. B&amp;I's revenue declined less than a percent as its broad diversification helped to mitigate the impact of a soft commercial real estate market.</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income was $81.4 million, or $1.28 per diluted share, as compared to $251.3 million, or $3.79 per diluted share in the prior year. This decrease was primarily attributable to a $141.3 year-over-year adjustment to the fair value of contingent consideration, the absence of a $24.0 million Employee Retention Credit received in the prior year, and the negative impact of prior year self-insurance adjustments. These items were partially offset by lower income taxes and reduced Elevate transformation costs.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both"/>
        <w:spacing w:after="0" w:line="233" w:lineRule="auto"/>
        <w:rPr>
          <w:sz w:val="20"/>
          <w:szCs w:val="20"/>
          <w:color w:val="auto"/>
        </w:rPr>
      </w:pPr>
      <w:r>
        <w:rPr>
          <w:rFonts w:ascii="Arial" w:cs="Arial" w:eastAsia="Arial" w:hAnsi="Arial"/>
          <w:sz w:val="20"/>
          <w:szCs w:val="20"/>
          <w:color w:val="auto"/>
        </w:rPr>
        <w:t>Adjusted net income was $227.3 million, or $3.57 per diluted share, compared to $231.9 million, or $3.50 per diluted share, for fiscal 2023. The decline in adjusted net income primarily reflected higher corporate investments, as planned, partially offset by an increase in segment operating earnings largely due to lower acquisition-related amortization costs. Adjusted EBITDA for fiscal 2024 was $498.1 million compared to $529.1 million in fiscal 2023. Adjusted EBITDA margin was 6.2% versus 6.8% last year. Adjusted results exclude items impacting comparability. A description of items impacting comparability can be found in the "Reconciliation of Non-GAAP Financial Measures" table.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cash from operating activities was $226.7 million, and free cash flow was $167.3 million, down 6.8% and 12.3%, from the prior year period, respectively. A reconciliation of free cash flow to net cash provided by operating activities can be found in the “Reconciliation of Non-GAAP Financial Measures” table.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&amp; Share Repurchases</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quarter with total indebtedness of $1,412.6 million, including $57.9 million in standby letters of credit, resulting in a total leverage ratio as defined by the Company's credit facility, of 2.6x. The Company had available liquidity of $488.2 million, inclusive of cash and cash equivalents of $64.6 million.</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During the fourth quarter, the Company repurchased 0.6 million shares of common stock at an average share price of $52.42, for a total cost of $32.0 million. For the full fiscal year, the Company repurchased 1.2 million shares at an average cost of $47.86, for a total cost of $55.8 million. At year-end, the Company had $154 million remaining availability under its share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color w:val="auto"/>
        </w:rPr>
        <w:t>As previously announced, ABM's Board of Directors approved a quarterly cash dividend of $ 0.265 per common share, representing a 17.8% increase over the prior quarterly cash dividend of $0.225 per common share. The increased dividend is payable on February 3, 2025, to shareholders of record on January 2, 2025. This will be the Company’s 235</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consecutive quarterly cash dividend and represents the 57</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consecutive year of ABM raising its annual dividend.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fiscal 2025, ABM expects adjusted EPS of $3.60 to $3.80. Adjusted EBITDA margin is anticipated to be in the range of 6.3% to 6.5%. Interest expense is expected to be in the range of $76 million to $80 million and the tax rate, excluding discrete items and non-taxable items, is anticipated to be 29% to 30%.</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measures for Adjusted EPS and adjusted EBITDA margin in 2025 without unreasonable effort due to the uncertainty of timing of any gains or losses related to, but not limited to, items such as changes in the fair value of contingent consideration, prior-year self-insurance adjustments, acquisition and integration related costs, as well as legal costs and other settlements. Although we have attempted to estimate the amount of gains and losses of such items for the purpose of explaining the probable significance of these components, this calculation involves a number of unknown variables, resulting in a GAAP range that we believe is too large and variable to be meaningful.</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Wednesday, December 18, 2024, at 8:30 AM (ET). The live conference call can be accessed via audio webcast at the “Investors” section of the Company's website, located at </w:t>
      </w:r>
      <w:r>
        <w:rPr>
          <w:rFonts w:ascii="Arial" w:cs="Arial" w:eastAsia="Arial" w:hAnsi="Arial"/>
          <w:sz w:val="20"/>
          <w:szCs w:val="20"/>
          <w:u w:val="single" w:color="auto"/>
          <w:color w:val="auto"/>
        </w:rPr>
        <w:t>www.abm.com</w:t>
      </w:r>
      <w:r>
        <w:rPr>
          <w:rFonts w:ascii="Arial" w:cs="Arial" w:eastAsia="Arial" w:hAnsi="Arial"/>
          <w:sz w:val="20"/>
          <w:szCs w:val="20"/>
          <w:color w:val="auto"/>
        </w:rPr>
        <w:t>, or by dialing (877) 451-6152 (domestic) or (201) 389-0879 (international) approximately 15 minutes prior to the scheduled time.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two hours after the webcast through January 1, 2025, and can be accessed by dialing</w:t>
      </w:r>
    </w:p>
    <w:p>
      <w:pPr>
        <w:ind w:left="540" w:hanging="532"/>
        <w:spacing w:after="0" w:line="22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512-2921 and then entering ID #13749974.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ABM (NYSE: ABM) is one of the world’s largest providers of integrated facility solutions. A driving force for a cleaner, healthier, and more sustainable world, ABM provides essential services and forward-looking solutions that improve the spaces and places that matter most. From curbside to rooftop, ABM provides comprehensive facility services that include janitorial, engineering, parking, electrical &amp; lighting, energy solutions, HVAC &amp; mechanical, landscape &amp; turf, and mission critical solutions. ABM delivers these custom facility solutions to properties across a wide range of industries – from commercial office buildings to universities, airports, hospitals, data centers, manufacturing plants and distribution centers, entertainment venues and more.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Founded in 1909, ABM today has annualized revenue exceeding $8 billion and more than 100,000 team members in 350+</w:t>
      </w:r>
    </w:p>
    <w:p>
      <w:pPr>
        <w:spacing w:after="0" w:line="230" w:lineRule="auto"/>
        <w:rPr>
          <w:sz w:val="20"/>
          <w:szCs w:val="20"/>
          <w:color w:val="auto"/>
        </w:rPr>
      </w:pPr>
      <w:r>
        <w:rPr>
          <w:rFonts w:ascii="Arial" w:cs="Arial" w:eastAsia="Arial" w:hAnsi="Arial"/>
          <w:sz w:val="20"/>
          <w:szCs w:val="20"/>
          <w:color w:val="auto"/>
        </w:rPr>
        <w:t>offices  throughout  the  United  States,  United  Kingdom  and  other  international  locations.  For  more  information,  visit</w:t>
      </w:r>
    </w:p>
    <w:p>
      <w:pPr>
        <w:spacing w:after="0"/>
        <w:rPr>
          <w:sz w:val="20"/>
          <w:szCs w:val="20"/>
          <w:color w:val="auto"/>
        </w:rPr>
      </w:pPr>
      <w:r>
        <w:rPr>
          <w:rFonts w:ascii="Arial" w:cs="Arial" w:eastAsia="Arial" w:hAnsi="Arial"/>
          <w:sz w:val="22"/>
          <w:szCs w:val="22"/>
          <w:color w:val="auto"/>
        </w:rPr>
        <w:t>www.abm.com</w:t>
      </w:r>
      <w:r>
        <w:rPr>
          <w:rFonts w:ascii="Arial" w:cs="Arial" w:eastAsia="Arial" w:hAnsi="Arial"/>
          <w:sz w:val="19"/>
          <w:szCs w:val="19"/>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7" w:name="page8"/>
    <w:bookmarkEnd w:id="7"/>
    <w:p>
      <w:pPr>
        <w:jc w:val="both"/>
        <w:spacing w:after="0" w:line="226" w:lineRule="auto"/>
        <w:rPr>
          <w:sz w:val="20"/>
          <w:szCs w:val="20"/>
          <w:color w:val="auto"/>
        </w:rPr>
      </w:pPr>
      <w:r>
        <w:rPr>
          <w:rFonts w:ascii="Arial" w:cs="Arial" w:eastAsia="Arial" w:hAnsi="Arial"/>
          <w:sz w:val="20"/>
          <w:szCs w:val="20"/>
          <w:i w:val="1"/>
          <w:iCs w:val="1"/>
          <w:color w:val="auto"/>
        </w:rPr>
        <w:t>financial condition; decreases in commercial office space utilization due to hybrid work models and increases in office vacancy rates could adversely affect our financial conditions;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3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fourth quarter and full fiscal years 2024 and 2023.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fourth quarter and full fiscal years 2024 and 2023. Adjusted EBITDA is among the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31" w:lineRule="auto"/>
        <w:rPr>
          <w:sz w:val="20"/>
          <w:szCs w:val="20"/>
          <w:color w:val="auto"/>
        </w:rPr>
      </w:pPr>
      <w:r>
        <w:rPr>
          <w:rFonts w:ascii="Arial" w:cs="Arial" w:eastAsia="Arial" w:hAnsi="Arial"/>
          <w:sz w:val="20"/>
          <w:szCs w:val="20"/>
          <w:i w:val="1"/>
          <w:iCs w:val="1"/>
          <w:color w:val="auto"/>
        </w:rPr>
        <w:t>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5240" w:hanging="527"/>
        <w:spacing w:after="0"/>
        <w:tabs>
          <w:tab w:leader="none" w:pos="5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297-9721</w:t>
      </w:r>
    </w:p>
    <w:p>
      <w:pPr>
        <w:spacing w:after="0" w:line="80" w:lineRule="exact"/>
        <w:rPr>
          <w:rFonts w:ascii="Arial" w:cs="Arial" w:eastAsia="Arial" w:hAnsi="Arial"/>
          <w:sz w:val="20"/>
          <w:szCs w:val="20"/>
          <w:color w:val="auto"/>
        </w:rPr>
      </w:pPr>
    </w:p>
    <w:p>
      <w:pPr>
        <w:ind w:left="472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0046AD"/>
        </w:rPr>
        <w:t>Financial Schedules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CONSOLIDATED INCOME (LOSS) STATEMENT INFORMATION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 /</w:t>
            </w:r>
          </w:p>
        </w:tc>
      </w:tr>
      <w:tr>
        <w:trPr>
          <w:trHeight w:val="203"/>
        </w:trPr>
        <w:tc>
          <w:tcPr>
            <w:tcW w:w="632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(Decrease)</w:t>
            </w:r>
          </w:p>
        </w:tc>
      </w:tr>
      <w:tr>
        <w:trPr>
          <w:trHeight w:val="20"/>
        </w:trPr>
        <w:tc>
          <w:tcPr>
            <w:tcW w:w="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100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2,177.3</w:t>
            </w:r>
          </w:p>
        </w:tc>
        <w:tc>
          <w:tcPr>
            <w:tcW w:w="114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2,092.9</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4.0%</w:t>
            </w:r>
          </w:p>
        </w:tc>
      </w:tr>
      <w:tr>
        <w:trPr>
          <w:trHeight w:val="276"/>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1,905.2</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1,806.9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91"/>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239.0</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161.3</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48.2%</w:t>
            </w:r>
          </w:p>
        </w:tc>
      </w:tr>
      <w:tr>
        <w:trPr>
          <w:trHeight w:val="277"/>
        </w:trPr>
        <w:tc>
          <w:tcPr>
            <w:tcW w:w="632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Borders>
              <w:bottom w:val="single" w:sz="8" w:color="DCE2E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5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(23.8)%</w:t>
            </w:r>
          </w:p>
        </w:tc>
      </w:tr>
      <w:tr>
        <w:trPr>
          <w:trHeight w:val="266"/>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1000" w:type="dxa"/>
            <w:vAlign w:val="bottom"/>
            <w:tcBorders>
              <w:bottom w:val="single" w:sz="8" w:color="auto"/>
            </w:tcBorders>
            <w:shd w:val="clear" w:color="auto" w:fill="DCE2EF"/>
          </w:tcPr>
          <w:p>
            <w:pPr>
              <w:spacing w:after="0"/>
              <w:rPr>
                <w:sz w:val="23"/>
                <w:szCs w:val="23"/>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Borders>
              <w:bottom w:val="single" w:sz="8" w:color="DCE2EF"/>
            </w:tcBorders>
            <w:shd w:val="clear" w:color="auto" w:fill="DCE2EF"/>
          </w:tcPr>
          <w:p>
            <w:pPr>
              <w:spacing w:after="0"/>
              <w:rPr>
                <w:sz w:val="23"/>
                <w:szCs w:val="23"/>
                <w:color w:val="auto"/>
              </w:rPr>
            </w:pPr>
          </w:p>
        </w:tc>
        <w:tc>
          <w:tcPr>
            <w:tcW w:w="920" w:type="dxa"/>
            <w:vAlign w:val="bottom"/>
            <w:tcBorders>
              <w:bottom w:val="single" w:sz="8" w:color="auto"/>
            </w:tcBorders>
            <w:shd w:val="clear" w:color="auto" w:fill="DCE2EF"/>
          </w:tcPr>
          <w:p>
            <w:pPr>
              <w:spacing w:after="0"/>
              <w:rPr>
                <w:sz w:val="23"/>
                <w:szCs w:val="23"/>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106.4</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(81.9)%</w:t>
            </w:r>
          </w:p>
        </w:tc>
      </w:tr>
      <w:tr>
        <w:trPr>
          <w:trHeight w:val="238"/>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99.3%</w:t>
            </w:r>
          </w:p>
        </w:tc>
      </w:tr>
      <w:tr>
        <w:trPr>
          <w:trHeight w:val="29"/>
        </w:trPr>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3"/>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Borders>
              <w:bottom w:val="single" w:sz="8" w:color="DCE2EF"/>
            </w:tcBorders>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(20.5)</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(6.7)%</w:t>
            </w:r>
          </w:p>
        </w:tc>
      </w:tr>
      <w:tr>
        <w:trPr>
          <w:trHeight w:val="236"/>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(Loss) Income before income taxes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9"/>
        </w:trPr>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(24.0)</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54.5%</w:t>
            </w:r>
          </w:p>
        </w:tc>
      </w:tr>
      <w:tr>
        <w:trPr>
          <w:trHeight w:val="270"/>
        </w:trPr>
        <w:tc>
          <w:tcPr>
            <w:tcW w:w="632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(loss) income</w:t>
            </w:r>
          </w:p>
        </w:tc>
        <w:tc>
          <w:tcPr>
            <w:tcW w:w="10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(118.7)%</w:t>
            </w:r>
          </w:p>
        </w:tc>
      </w:tr>
      <w:tr>
        <w:trPr>
          <w:trHeight w:val="21"/>
        </w:trPr>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(loss) income per common share</w:t>
            </w:r>
          </w:p>
        </w:tc>
        <w:tc>
          <w:tcPr>
            <w:tcW w:w="100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r>
      <w:tr>
        <w:trPr>
          <w:trHeight w:val="276"/>
        </w:trPr>
        <w:tc>
          <w:tcPr>
            <w:tcW w:w="60" w:type="dxa"/>
            <w:vAlign w:val="bottom"/>
          </w:tcPr>
          <w:p>
            <w:pPr>
              <w:spacing w:after="0"/>
              <w:rPr>
                <w:sz w:val="23"/>
                <w:szCs w:val="23"/>
                <w:color w:val="auto"/>
              </w:rPr>
            </w:pPr>
          </w:p>
        </w:tc>
        <w:tc>
          <w:tcPr>
            <w:tcW w:w="626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(0.19)</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(119.6)%</w:t>
            </w:r>
          </w:p>
        </w:tc>
      </w:tr>
      <w:tr>
        <w:trPr>
          <w:trHeight w:val="291"/>
        </w:trPr>
        <w:tc>
          <w:tcPr>
            <w:tcW w:w="60" w:type="dxa"/>
            <w:vAlign w:val="bottom"/>
            <w:shd w:val="clear" w:color="auto" w:fill="DCE2EF"/>
          </w:tcPr>
          <w:p>
            <w:pPr>
              <w:spacing w:after="0"/>
              <w:rPr>
                <w:sz w:val="24"/>
                <w:szCs w:val="24"/>
                <w:color w:val="auto"/>
              </w:rPr>
            </w:pPr>
          </w:p>
        </w:tc>
        <w:tc>
          <w:tcPr>
            <w:tcW w:w="62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(0.19)</w:t>
            </w:r>
          </w:p>
        </w:tc>
        <w:tc>
          <w:tcPr>
            <w:tcW w:w="114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0.96</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(119.8)%</w:t>
            </w:r>
          </w:p>
        </w:tc>
      </w:tr>
      <w:tr>
        <w:trPr>
          <w:trHeight w:val="415"/>
        </w:trPr>
        <w:tc>
          <w:tcPr>
            <w:tcW w:w="632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7"/>
        </w:trPr>
        <w:tc>
          <w:tcPr>
            <w:tcW w:w="60" w:type="dxa"/>
            <w:vAlign w:val="bottom"/>
            <w:shd w:val="clear" w:color="auto" w:fill="DCE2EF"/>
          </w:tcPr>
          <w:p>
            <w:pPr>
              <w:spacing w:after="0"/>
              <w:rPr>
                <w:sz w:val="24"/>
                <w:szCs w:val="24"/>
                <w:color w:val="auto"/>
              </w:rPr>
            </w:pPr>
          </w:p>
        </w:tc>
        <w:tc>
          <w:tcPr>
            <w:tcW w:w="62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63.0</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64.8</w:t>
            </w:r>
          </w:p>
        </w:tc>
        <w:tc>
          <w:tcPr>
            <w:tcW w:w="2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r>
      <w:tr>
        <w:trPr>
          <w:trHeight w:val="283"/>
        </w:trPr>
        <w:tc>
          <w:tcPr>
            <w:tcW w:w="6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65.3</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3"/>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0.225</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0.220</w:t>
            </w:r>
          </w:p>
        </w:tc>
        <w:tc>
          <w:tcPr>
            <w:tcW w:w="2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-2454910</wp:posOffset>
            </wp:positionV>
            <wp:extent cx="171450" cy="213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2139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-2454910</wp:posOffset>
            </wp:positionV>
            <wp:extent cx="162560" cy="213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2139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-1905000</wp:posOffset>
            </wp:positionV>
            <wp:extent cx="14605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-1905000</wp:posOffset>
            </wp:positionV>
            <wp:extent cx="1371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Not meaningful (due to variance greater than or equal to +/-100%)</w:t>
      </w:r>
    </w:p>
    <w:p>
      <w:pPr>
        <w:spacing w:after="0" w:line="95" w:lineRule="exact"/>
        <w:rPr>
          <w:sz w:val="20"/>
          <w:szCs w:val="20"/>
          <w:color w:val="auto"/>
        </w:rPr>
      </w:pPr>
    </w:p>
    <w:p>
      <w:pPr>
        <w:ind w:left="60" w:right="60" w:hanging="4"/>
        <w:spacing w:after="0" w:line="222" w:lineRule="auto"/>
        <w:tabs>
          <w:tab w:leader="none" w:pos="22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dilutive impact of the Company’s PSUs, RSUs and stock options has been excluded from the calculation of diluted earnings (loss) per share for the three months ended October 31, 2024 because their inclusion would have an antidilutive effect on the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10" w:name="page11"/>
    <w:bookmarkEnd w:id="10"/>
    <w:p>
      <w:pPr>
        <w:ind w:right="4680"/>
        <w:spacing w:after="0" w:line="36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8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Years Ended October 31,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 /</w:t>
            </w:r>
          </w:p>
        </w:tc>
      </w:tr>
      <w:tr>
        <w:trPr>
          <w:trHeight w:val="203"/>
        </w:trPr>
        <w:tc>
          <w:tcPr>
            <w:tcW w:w="678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2024</w:t>
            </w:r>
          </w:p>
        </w:tc>
        <w:tc>
          <w:tcPr>
            <w:tcW w:w="15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(Decrease)</w:t>
            </w:r>
          </w:p>
        </w:tc>
      </w:tr>
      <w:tr>
        <w:trPr>
          <w:trHeight w:val="21"/>
        </w:trPr>
        <w:tc>
          <w:tcPr>
            <w:tcW w:w="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3"/>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720" w:type="dxa"/>
            <w:vAlign w:val="bottom"/>
            <w:tcBorders>
              <w:bottom w:val="single" w:sz="8" w:color="DCE2EF"/>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8,359.4</w:t>
            </w:r>
          </w:p>
        </w:tc>
        <w:tc>
          <w:tcPr>
            <w:tcW w:w="960" w:type="dxa"/>
            <w:vAlign w:val="bottom"/>
            <w:tcBorders>
              <w:bottom w:val="single" w:sz="8" w:color="DCE2EF"/>
            </w:tcBorders>
            <w:gridSpan w:val="2"/>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8,096.4</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3.2%</w:t>
            </w:r>
          </w:p>
        </w:tc>
      </w:tr>
      <w:tr>
        <w:trPr>
          <w:trHeight w:val="276"/>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7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7,325.9</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7,037.6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91"/>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7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765.3</w:t>
            </w:r>
          </w:p>
        </w:tc>
        <w:tc>
          <w:tcPr>
            <w:tcW w:w="24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572.8</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33.6%</w:t>
            </w:r>
          </w:p>
        </w:tc>
      </w:tr>
      <w:tr>
        <w:trPr>
          <w:trHeight w:val="277"/>
        </w:trPr>
        <w:tc>
          <w:tcPr>
            <w:tcW w:w="678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5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(26.6)%</w:t>
            </w:r>
          </w:p>
        </w:tc>
      </w:tr>
      <w:tr>
        <w:trPr>
          <w:trHeight w:val="266"/>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720" w:type="dxa"/>
            <w:vAlign w:val="bottom"/>
            <w:tcBorders>
              <w:bottom w:val="single" w:sz="8" w:color="auto"/>
            </w:tcBorders>
            <w:shd w:val="clear" w:color="auto" w:fill="DCE2EF"/>
          </w:tcPr>
          <w:p>
            <w:pPr>
              <w:spacing w:after="0"/>
              <w:rPr>
                <w:sz w:val="23"/>
                <w:szCs w:val="23"/>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212.0</w:t>
            </w:r>
          </w:p>
        </w:tc>
        <w:tc>
          <w:tcPr>
            <w:tcW w:w="240" w:type="dxa"/>
            <w:vAlign w:val="bottom"/>
            <w:tcBorders>
              <w:bottom w:val="single" w:sz="8" w:color="DCE2EF"/>
            </w:tcBorders>
            <w:shd w:val="clear" w:color="auto" w:fill="DCE2EF"/>
          </w:tcPr>
          <w:p>
            <w:pPr>
              <w:spacing w:after="0"/>
              <w:rPr>
                <w:sz w:val="23"/>
                <w:szCs w:val="23"/>
                <w:color w:val="auto"/>
              </w:rPr>
            </w:pPr>
          </w:p>
        </w:tc>
        <w:tc>
          <w:tcPr>
            <w:tcW w:w="720" w:type="dxa"/>
            <w:vAlign w:val="bottom"/>
            <w:tcBorders>
              <w:bottom w:val="single" w:sz="8" w:color="auto"/>
            </w:tcBorders>
            <w:shd w:val="clear" w:color="auto" w:fill="DCE2EF"/>
          </w:tcPr>
          <w:p>
            <w:pPr>
              <w:spacing w:after="0"/>
              <w:rPr>
                <w:sz w:val="23"/>
                <w:szCs w:val="23"/>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409.5</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(48.2)%</w:t>
            </w:r>
          </w:p>
        </w:tc>
      </w:tr>
      <w:tr>
        <w:trPr>
          <w:trHeight w:val="238"/>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69.4%</w:t>
            </w:r>
          </w:p>
        </w:tc>
      </w:tr>
      <w:tr>
        <w:trPr>
          <w:trHeight w:val="29"/>
        </w:trPr>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3"/>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7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(85.0)</w:t>
            </w:r>
          </w:p>
        </w:tc>
        <w:tc>
          <w:tcPr>
            <w:tcW w:w="240" w:type="dxa"/>
            <w:vAlign w:val="bottom"/>
            <w:tcBorders>
              <w:bottom w:val="single" w:sz="8" w:color="DCE2EF"/>
            </w:tcBorders>
            <w:shd w:val="clear" w:color="auto" w:fill="DCE2EF"/>
          </w:tcPr>
          <w:p>
            <w:pPr>
              <w:spacing w:after="0"/>
              <w:rPr>
                <w:sz w:val="24"/>
                <w:szCs w:val="24"/>
                <w:color w:val="auto"/>
              </w:rPr>
            </w:pPr>
          </w:p>
        </w:tc>
        <w:tc>
          <w:tcPr>
            <w:tcW w:w="7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(82.3)</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(3.3)%</w:t>
            </w:r>
          </w:p>
        </w:tc>
      </w:tr>
      <w:tr>
        <w:trPr>
          <w:trHeight w:val="235"/>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331.1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(59.7)%</w:t>
            </w:r>
          </w:p>
        </w:tc>
      </w:tr>
      <w:tr>
        <w:trPr>
          <w:trHeight w:val="29"/>
        </w:trPr>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7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(52.2)</w:t>
            </w:r>
          </w:p>
        </w:tc>
        <w:tc>
          <w:tcPr>
            <w:tcW w:w="240" w:type="dxa"/>
            <w:vAlign w:val="bottom"/>
            <w:shd w:val="clear" w:color="auto" w:fill="DCE2EF"/>
          </w:tcPr>
          <w:p>
            <w:pPr>
              <w:spacing w:after="0"/>
              <w:rPr>
                <w:sz w:val="24"/>
                <w:szCs w:val="24"/>
                <w:color w:val="auto"/>
              </w:rPr>
            </w:pPr>
          </w:p>
        </w:tc>
        <w:tc>
          <w:tcPr>
            <w:tcW w:w="7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(79.7)</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34.5%</w:t>
            </w:r>
          </w:p>
        </w:tc>
      </w:tr>
      <w:tr>
        <w:trPr>
          <w:trHeight w:val="270"/>
        </w:trPr>
        <w:tc>
          <w:tcPr>
            <w:tcW w:w="678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4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(67.6)%</w:t>
            </w:r>
          </w:p>
        </w:tc>
      </w:tr>
      <w:tr>
        <w:trPr>
          <w:trHeight w:val="21"/>
        </w:trPr>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72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r>
      <w:tr>
        <w:trPr>
          <w:trHeight w:val="276"/>
        </w:trPr>
        <w:tc>
          <w:tcPr>
            <w:tcW w:w="60" w:type="dxa"/>
            <w:vAlign w:val="bottom"/>
          </w:tcPr>
          <w:p>
            <w:pPr>
              <w:spacing w:after="0"/>
              <w:rPr>
                <w:sz w:val="23"/>
                <w:szCs w:val="23"/>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720" w:type="dxa"/>
            <w:vAlign w:val="bottom"/>
          </w:tcPr>
          <w:p>
            <w:pPr>
              <w:jc w:val="center"/>
              <w:ind w:left="5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(66.1)%</w:t>
            </w:r>
          </w:p>
        </w:tc>
      </w:tr>
      <w:tr>
        <w:trPr>
          <w:trHeight w:val="291"/>
        </w:trPr>
        <w:tc>
          <w:tcPr>
            <w:tcW w:w="60" w:type="dxa"/>
            <w:vAlign w:val="bottom"/>
            <w:shd w:val="clear" w:color="auto" w:fill="DCE2EF"/>
          </w:tcPr>
          <w:p>
            <w:pPr>
              <w:spacing w:after="0"/>
              <w:rPr>
                <w:sz w:val="24"/>
                <w:szCs w:val="24"/>
                <w:color w:val="auto"/>
              </w:rPr>
            </w:pPr>
          </w:p>
        </w:tc>
        <w:tc>
          <w:tcPr>
            <w:tcW w:w="6720" w:type="dxa"/>
            <w:vAlign w:val="bottom"/>
            <w:gridSpan w:val="2"/>
            <w:shd w:val="clear" w:color="auto" w:fill="DCE2EF"/>
          </w:tcPr>
          <w:p>
            <w:pPr>
              <w:ind w:left="220"/>
              <w:spacing w:after="0"/>
              <w:rPr>
                <w:sz w:val="20"/>
                <w:szCs w:val="20"/>
                <w:color w:val="auto"/>
              </w:rPr>
            </w:pPr>
            <w:r>
              <w:rPr>
                <w:rFonts w:ascii="Arial" w:cs="Arial" w:eastAsia="Arial" w:hAnsi="Arial"/>
                <w:sz w:val="16"/>
                <w:szCs w:val="16"/>
                <w:color w:val="auto"/>
              </w:rPr>
              <w:t>Diluted</w:t>
            </w:r>
          </w:p>
        </w:tc>
        <w:tc>
          <w:tcPr>
            <w:tcW w:w="720" w:type="dxa"/>
            <w:vAlign w:val="bottom"/>
            <w:shd w:val="clear" w:color="auto" w:fill="DCE2EF"/>
          </w:tcPr>
          <w:p>
            <w:pPr>
              <w:jc w:val="center"/>
              <w:ind w:left="5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1.28</w:t>
            </w:r>
          </w:p>
        </w:tc>
        <w:tc>
          <w:tcPr>
            <w:tcW w:w="9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3.79</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(66.2)%</w:t>
            </w:r>
          </w:p>
        </w:tc>
      </w:tr>
      <w:tr>
        <w:trPr>
          <w:trHeight w:val="415"/>
        </w:trPr>
        <w:tc>
          <w:tcPr>
            <w:tcW w:w="678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7"/>
        </w:trPr>
        <w:tc>
          <w:tcPr>
            <w:tcW w:w="60" w:type="dxa"/>
            <w:vAlign w:val="bottom"/>
            <w:shd w:val="clear" w:color="auto" w:fill="DCE2EF"/>
          </w:tcPr>
          <w:p>
            <w:pPr>
              <w:spacing w:after="0"/>
              <w:rPr>
                <w:sz w:val="24"/>
                <w:szCs w:val="24"/>
                <w:color w:val="auto"/>
              </w:rPr>
            </w:pPr>
          </w:p>
        </w:tc>
        <w:tc>
          <w:tcPr>
            <w:tcW w:w="6720" w:type="dxa"/>
            <w:vAlign w:val="bottom"/>
            <w:gridSpan w:val="2"/>
            <w:shd w:val="clear" w:color="auto" w:fill="DCE2EF"/>
          </w:tcPr>
          <w:p>
            <w:pPr>
              <w:ind w:left="220"/>
              <w:spacing w:after="0"/>
              <w:rPr>
                <w:sz w:val="20"/>
                <w:szCs w:val="20"/>
                <w:color w:val="auto"/>
              </w:rPr>
            </w:pPr>
            <w:r>
              <w:rPr>
                <w:rFonts w:ascii="Arial" w:cs="Arial" w:eastAsia="Arial" w:hAnsi="Arial"/>
                <w:sz w:val="16"/>
                <w:szCs w:val="16"/>
                <w:color w:val="auto"/>
              </w:rPr>
              <w:t>Basic</w:t>
            </w:r>
          </w:p>
        </w:tc>
        <w:tc>
          <w:tcPr>
            <w:tcW w:w="7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63.2</w:t>
            </w:r>
          </w:p>
        </w:tc>
        <w:tc>
          <w:tcPr>
            <w:tcW w:w="24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66.0</w:t>
            </w:r>
          </w:p>
        </w:tc>
        <w:tc>
          <w:tcPr>
            <w:tcW w:w="2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r>
      <w:tr>
        <w:trPr>
          <w:trHeight w:val="276"/>
        </w:trPr>
        <w:tc>
          <w:tcPr>
            <w:tcW w:w="60" w:type="dxa"/>
            <w:vAlign w:val="bottom"/>
          </w:tcPr>
          <w:p>
            <w:pPr>
              <w:spacing w:after="0"/>
              <w:rPr>
                <w:sz w:val="23"/>
                <w:szCs w:val="23"/>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7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63.6</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66.3</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91"/>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7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0.900</w:t>
            </w:r>
          </w:p>
        </w:tc>
        <w:tc>
          <w:tcPr>
            <w:tcW w:w="96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0.880</w:t>
            </w:r>
          </w:p>
        </w:tc>
        <w:tc>
          <w:tcPr>
            <w:tcW w:w="2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-2262505</wp:posOffset>
            </wp:positionV>
            <wp:extent cx="146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-2455545</wp:posOffset>
            </wp:positionV>
            <wp:extent cx="162560" cy="213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2139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-1905000</wp:posOffset>
            </wp:positionV>
            <wp:extent cx="14605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-1905000</wp:posOffset>
            </wp:positionV>
            <wp:extent cx="13716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43"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share-based compensations awards, net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640" w:hanging="370"/>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30.3</w:t>
      </w:r>
    </w:p>
    <w:p>
      <w:pPr>
        <w:spacing w:after="0" w:line="13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(14.8)</w:t>
      </w:r>
    </w:p>
    <w:p>
      <w:pPr>
        <w:spacing w:after="0" w:line="99"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0.9</w:t>
      </w:r>
    </w:p>
    <w:p>
      <w:pPr>
        <w:spacing w:after="0" w:line="152" w:lineRule="exact"/>
        <w:rPr>
          <w:sz w:val="20"/>
          <w:szCs w:val="20"/>
          <w:color w:val="auto"/>
        </w:rPr>
      </w:pPr>
    </w:p>
    <w:p>
      <w:pPr>
        <w:ind w:left="520" w:hanging="35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38100</wp:posOffset>
            </wp:positionV>
            <wp:extent cx="985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63500</wp:posOffset>
            </wp:positionV>
            <wp:extent cx="9855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88"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0.9</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(32.3)</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422.0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(425.1)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86" w:lineRule="exact"/>
        <w:rPr>
          <w:sz w:val="20"/>
          <w:szCs w:val="20"/>
          <w:color w:val="auto"/>
        </w:rPr>
      </w:pPr>
    </w:p>
    <w:p>
      <w:pPr>
        <w:ind w:left="520" w:hanging="35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(38.5)</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-160020</wp:posOffset>
            </wp:positionV>
            <wp:extent cx="9855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-133985</wp:posOffset>
            </wp:positionV>
            <wp:extent cx="9855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13" w:lineRule="exact"/>
        <w:rPr>
          <w:sz w:val="20"/>
          <w:szCs w:val="20"/>
          <w:color w:val="auto"/>
        </w:rPr>
      </w:pPr>
    </w:p>
    <w:p>
      <w:pPr>
        <w:ind w:left="540" w:hanging="35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139.1</w:t>
      </w:r>
    </w:p>
    <w:p>
      <w:pPr>
        <w:spacing w:after="0" w:line="13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(17.9)</w:t>
      </w:r>
    </w:p>
    <w:p>
      <w:pPr>
        <w:spacing w:after="0" w:line="99"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0.8</w:t>
      </w:r>
    </w:p>
    <w:p>
      <w:pPr>
        <w:spacing w:after="0" w:line="152" w:lineRule="exact"/>
        <w:rPr>
          <w:sz w:val="20"/>
          <w:szCs w:val="20"/>
          <w:color w:val="auto"/>
        </w:rPr>
      </w:pPr>
    </w:p>
    <w:p>
      <w:pPr>
        <w:ind w:left="520" w:hanging="356"/>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38100</wp:posOffset>
            </wp:positionV>
            <wp:extent cx="9861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63500</wp:posOffset>
            </wp:positionV>
            <wp:extent cx="986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384.5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(397.6)</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(9.8)</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(0.7)</w:t>
      </w:r>
    </w:p>
    <w:p>
      <w:pPr>
        <w:spacing w:after="0" w:line="86" w:lineRule="exact"/>
        <w:rPr>
          <w:sz w:val="20"/>
          <w:szCs w:val="20"/>
          <w:color w:val="auto"/>
        </w:rPr>
      </w:pPr>
    </w:p>
    <w:p>
      <w:pPr>
        <w:ind w:left="440" w:hanging="366"/>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(147.9)</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-160020</wp:posOffset>
            </wp:positionV>
            <wp:extent cx="9861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-133985</wp:posOffset>
            </wp:positionV>
            <wp:extent cx="986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3">
            <w:col w:w="7780" w:space="720"/>
            <w:col w:w="1060" w:space="720"/>
            <w:col w:w="940"/>
          </w:cols>
          <w:pgMar w:left="320" w:top="1101" w:right="359" w:bottom="1440" w:gutter="0" w:footer="0" w:header="0"/>
          <w:type w:val="continuous"/>
        </w:sectPr>
      </w:pPr>
    </w:p>
    <w:p>
      <w:pPr>
        <w:ind w:left="8620"/>
        <w:spacing w:after="0"/>
        <w:rPr>
          <w:sz w:val="20"/>
          <w:szCs w:val="20"/>
          <w:color w:val="auto"/>
        </w:rPr>
      </w:pPr>
      <w:r>
        <w:rPr>
          <w:rFonts w:ascii="Arial" w:cs="Arial" w:eastAsia="Arial" w:hAnsi="Arial"/>
          <w:sz w:val="16"/>
          <w:szCs w:val="16"/>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type w:val="continuous"/>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r>
        <w:rPr>
          <w:rFonts w:ascii="Arial" w:cs="Arial" w:eastAsia="Arial" w:hAnsi="Arial"/>
          <w:sz w:val="21"/>
          <w:szCs w:val="21"/>
          <w:b w:val="1"/>
          <w:bCs w:val="1"/>
          <w:color w:val="auto"/>
          <w:vertAlign w:val="superscript"/>
        </w:rPr>
        <w:t>(a)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business, net of cash acquired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171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717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compensations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Financing of energy savings performance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540" w:hanging="360"/>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226.7</w:t>
      </w:r>
    </w:p>
    <w:p>
      <w:pPr>
        <w:spacing w:after="0" w:line="12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(59.4)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(114.3)</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1.8</w:t>
      </w:r>
    </w:p>
    <w:p>
      <w:pPr>
        <w:spacing w:after="0" w:line="86" w:lineRule="exact"/>
        <w:rPr>
          <w:sz w:val="20"/>
          <w:szCs w:val="20"/>
          <w:color w:val="auto"/>
        </w:rPr>
      </w:pPr>
    </w:p>
    <w:p>
      <w:pPr>
        <w:ind w:left="440" w:hanging="368"/>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(171.9)</w:t>
      </w:r>
    </w:p>
    <w:p>
      <w:pPr>
        <w:spacing w:after="0" w:line="17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(56.1)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(56.5)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1,334.0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(1,312.5)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40.7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(4.2)</w:t>
      </w:r>
    </w:p>
    <w:p>
      <w:pPr>
        <w:spacing w:after="0" w:line="86" w:lineRule="exact"/>
        <w:rPr>
          <w:sz w:val="20"/>
          <w:szCs w:val="20"/>
          <w:color w:val="auto"/>
        </w:rPr>
      </w:pPr>
    </w:p>
    <w:p>
      <w:pPr>
        <w:ind w:left="520" w:hanging="358"/>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(61.5)</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-160020</wp:posOffset>
            </wp:positionV>
            <wp:extent cx="9855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-133985</wp:posOffset>
            </wp:positionV>
            <wp:extent cx="9855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13" w:lineRule="exact"/>
        <w:rPr>
          <w:sz w:val="20"/>
          <w:szCs w:val="20"/>
          <w:color w:val="auto"/>
        </w:rPr>
      </w:pPr>
    </w:p>
    <w:p>
      <w:pPr>
        <w:ind w:left="540" w:hanging="35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243.3</w:t>
      </w:r>
    </w:p>
    <w:p>
      <w:pPr>
        <w:spacing w:after="0" w:line="124"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(52.6)</w:t>
      </w:r>
    </w:p>
    <w:p>
      <w:pPr>
        <w:spacing w:after="0" w:line="99"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w:t>
      </w:r>
    </w:p>
    <w:p>
      <w:pPr>
        <w:spacing w:after="0" w:line="86" w:lineRule="exact"/>
        <w:rPr>
          <w:sz w:val="20"/>
          <w:szCs w:val="20"/>
          <w:color w:val="auto"/>
        </w:rPr>
      </w:pPr>
    </w:p>
    <w:p>
      <w:pPr>
        <w:ind w:left="520" w:hanging="356"/>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(62.1)</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1,178.5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(1,136.0)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(20.3)</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86" w:lineRule="exact"/>
        <w:rPr>
          <w:sz w:val="20"/>
          <w:szCs w:val="20"/>
          <w:color w:val="auto"/>
        </w:rPr>
      </w:pPr>
    </w:p>
    <w:p>
      <w:pPr>
        <w:ind w:left="440" w:hanging="366"/>
        <w:spacing w:after="0"/>
        <w:tabs>
          <w:tab w:leader="none" w:pos="4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(186.3)</w:t>
      </w:r>
    </w:p>
    <w:p>
      <w:pPr>
        <w:spacing w:after="0" w:line="151"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-160020</wp:posOffset>
            </wp:positionV>
            <wp:extent cx="986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-133985</wp:posOffset>
            </wp:positionV>
            <wp:extent cx="9861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3">
            <w:col w:w="7780" w:space="720"/>
            <w:col w:w="1060" w:space="720"/>
            <w:col w:w="940"/>
          </w:cols>
          <w:pgMar w:left="320" w:top="1101" w:right="359" w:bottom="1440" w:gutter="0" w:footer="0" w:header="0"/>
          <w:type w:val="continuous"/>
        </w:sectPr>
      </w:pPr>
    </w:p>
    <w:p>
      <w:pPr>
        <w:ind w:firstLine="8"/>
        <w:spacing w:after="0" w:line="225" w:lineRule="auto"/>
        <w:tabs>
          <w:tab w:leader="none" w:pos="148"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The year ended October 31, 2023, includes $24.0 million in Employee Retention Credit (ERC) refunds received from the Internal Revenue Service and a $66 million payment for deferred payroll taxes under the Coronavirus Aid Relief and Economic Security Act (“CARES Act”)</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October 31,</w:t>
            </w: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Trade accounts receivable, net of allowances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1,384.1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1,365.0</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Costs incurred in excess of amounts billed</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Prepaid expenses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color w:val="auto"/>
              </w:rPr>
              <w:t>Other current assets</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22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70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Other investments</w:t>
            </w:r>
          </w:p>
        </w:tc>
        <w:tc>
          <w:tcPr>
            <w:tcW w:w="98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net of accumulated depreciation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150.7</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91"/>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Right-of-use assets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 of accumulated amortization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282.4</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91"/>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Goodwill</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283"/>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assets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31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233"/>
        </w:trPr>
        <w:tc>
          <w:tcPr>
            <w:tcW w:w="7740" w:type="dxa"/>
            <w:vAlign w:val="bottom"/>
            <w:tcBorders>
              <w:top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DCE2E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Current portion of debt, net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Trade accounts payable</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295.6</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Accrued taxes—other than income</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Insurance claims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Current portion of lease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Other accrued liabilities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7700" w:type="dxa"/>
            <w:vAlign w:val="bottom"/>
            <w:tcBorders>
              <w:bottom w:val="single" w:sz="8" w:color="DCE2EF"/>
            </w:tcBorders>
            <w:gridSpan w:val="2"/>
            <w:shd w:val="clear" w:color="auto" w:fill="DCE2EF"/>
          </w:tcPr>
          <w:p>
            <w:pPr>
              <w:ind w:left="50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shd w:val="clear" w:color="auto" w:fill="DCE2EF"/>
          </w:tcPr>
          <w:p>
            <w:pPr>
              <w:spacing w:after="0"/>
              <w:rPr>
                <w:sz w:val="22"/>
                <w:szCs w:val="22"/>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22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spacing w:after="0"/>
              <w:rPr>
                <w:sz w:val="22"/>
                <w:szCs w:val="22"/>
                <w:color w:val="auto"/>
              </w:rPr>
            </w:pPr>
          </w:p>
        </w:tc>
        <w:tc>
          <w:tcPr>
            <w:tcW w:w="52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248"/>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1,302.2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1,279.8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Long-term lease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79"/>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Deferred income tax liability, net</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88"/>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Noncurrent insurance claims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421.8</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280"/>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liabilities</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86.8</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87"/>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Noncurrent income taxes payable</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Total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3,315.2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3,133.8</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1,781.9</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1,799.9</w:t>
            </w:r>
          </w:p>
        </w:tc>
        <w:tc>
          <w:tcPr>
            <w:tcW w:w="0" w:type="dxa"/>
            <w:vAlign w:val="bottom"/>
          </w:tcPr>
          <w:p>
            <w:pPr>
              <w:spacing w:after="0"/>
              <w:rPr>
                <w:sz w:val="1"/>
                <w:szCs w:val="1"/>
                <w:color w:val="auto"/>
              </w:rPr>
            </w:pPr>
          </w:p>
        </w:tc>
      </w:tr>
      <w:tr>
        <w:trPr>
          <w:trHeight w:val="235"/>
        </w:trPr>
        <w:tc>
          <w:tcPr>
            <w:tcW w:w="7740" w:type="dxa"/>
            <w:vAlign w:val="bottom"/>
            <w:gridSpan w:val="3"/>
            <w:vMerge w:val="restart"/>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5,097.2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29"/>
        </w:trPr>
        <w:tc>
          <w:tcPr>
            <w:tcW w:w="7740" w:type="dxa"/>
            <w:vAlign w:val="bottom"/>
            <w:gridSpan w:val="3"/>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-4005580</wp:posOffset>
            </wp:positionV>
            <wp:extent cx="14605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-3822700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-3796665</wp:posOffset>
            </wp:positionV>
            <wp:extent cx="146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-1836420</wp:posOffset>
            </wp:positionV>
            <wp:extent cx="14605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-1656715</wp:posOffset>
            </wp:positionV>
            <wp:extent cx="14605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-576580</wp:posOffset>
            </wp:positionV>
            <wp:extent cx="14605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-216535</wp:posOffset>
            </wp:positionV>
            <wp:extent cx="14605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13" w:name="page14"/>
    <w:bookmarkEnd w:id="13"/>
    <w:p>
      <w:pPr>
        <w:ind w:right="4940"/>
        <w:spacing w:after="0" w:line="27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Increase/(Decreas</w:t>
            </w:r>
          </w:p>
        </w:tc>
        <w:tc>
          <w:tcPr>
            <w:tcW w:w="0" w:type="dxa"/>
            <w:vAlign w:val="bottom"/>
          </w:tcPr>
          <w:p>
            <w:pPr>
              <w:spacing w:after="0"/>
              <w:rPr>
                <w:sz w:val="1"/>
                <w:szCs w:val="1"/>
                <w:color w:val="auto"/>
              </w:rPr>
            </w:pPr>
          </w:p>
        </w:tc>
      </w:tr>
      <w:tr>
        <w:trPr>
          <w:trHeight w:val="190"/>
        </w:trPr>
        <w:tc>
          <w:tcPr>
            <w:tcW w:w="6260" w:type="dxa"/>
            <w:vAlign w:val="bottom"/>
            <w:gridSpan w:val="3"/>
          </w:tcPr>
          <w:p>
            <w:pPr>
              <w:ind w:left="60"/>
              <w:spacing w:after="0"/>
              <w:rPr>
                <w:sz w:val="20"/>
                <w:szCs w:val="20"/>
                <w:color w:val="auto"/>
              </w:rPr>
            </w:pP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c>
          <w:tcPr>
            <w:tcW w:w="152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1,025.7</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1,033.0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387.7</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391.2</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276.5</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230.0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229.8</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17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10"/>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2,177.3</w:t>
            </w:r>
          </w:p>
        </w:tc>
        <w:tc>
          <w:tcPr>
            <w:tcW w:w="116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2,092.9</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6"/>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52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72.0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84.6</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18.6</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16.4</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24.4</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83"/>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2"/>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4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5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CE2EF"/>
          </w:tcPr>
          <w:p>
            <w:pPr>
              <w:spacing w:after="0"/>
              <w:rPr>
                <w:sz w:val="20"/>
                <w:szCs w:val="20"/>
                <w:color w:val="auto"/>
              </w:rPr>
            </w:pPr>
          </w:p>
        </w:tc>
        <w:tc>
          <w:tcPr>
            <w:tcW w:w="6200" w:type="dxa"/>
            <w:vAlign w:val="bottom"/>
            <w:gridSpan w:val="2"/>
            <w:shd w:val="clear" w:color="auto" w:fill="DCE2EF"/>
          </w:tcPr>
          <w:p>
            <w:pPr>
              <w:ind w:left="10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0"/>
                <w:szCs w:val="20"/>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DCE2EF"/>
          </w:tcPr>
          <w:p>
            <w:pPr>
              <w:spacing w:after="0"/>
              <w:rPr>
                <w:sz w:val="20"/>
                <w:szCs w:val="20"/>
                <w:color w:val="auto"/>
              </w:rPr>
            </w:pPr>
          </w:p>
        </w:tc>
        <w:tc>
          <w:tcPr>
            <w:tcW w:w="94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4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w:t>
            </w:r>
          </w:p>
        </w:tc>
        <w:tc>
          <w:tcPr>
            <w:tcW w:w="9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color w:val="auto"/>
              </w:rPr>
              <w:t>buildings, included in Technical Solutions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106.4</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(20.5)</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(Loss) income before income taxes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(24.0)</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7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Net (loss) income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-4245610</wp:posOffset>
            </wp:positionV>
            <wp:extent cx="13716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-4245610</wp:posOffset>
            </wp:positionV>
            <wp:extent cx="13716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-2982595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-2956560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-2982595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-2956560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-3162300</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-1116330</wp:posOffset>
            </wp:positionV>
            <wp:extent cx="13716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-1116330</wp:posOffset>
            </wp:positionV>
            <wp:extent cx="13716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-576580</wp:posOffset>
            </wp:positionV>
            <wp:extent cx="13716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-576580</wp:posOffset>
            </wp:positionV>
            <wp:extent cx="13716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56" w:lineRule="exact"/>
        <w:rPr>
          <w:sz w:val="20"/>
          <w:szCs w:val="20"/>
          <w:color w:val="auto"/>
        </w:rPr>
      </w:pPr>
    </w:p>
    <w:p>
      <w:pPr>
        <w:ind w:left="60" w:right="1100" w:hanging="4"/>
        <w:spacing w:after="0" w:line="384" w:lineRule="auto"/>
        <w:tabs>
          <w:tab w:leader="none" w:pos="205" w:val="left"/>
        </w:tabs>
        <w:numPr>
          <w:ilvl w:val="0"/>
          <w:numId w:val="20"/>
        </w:numPr>
        <w:rPr>
          <w:rFonts w:ascii="Arial" w:cs="Arial" w:eastAsia="Arial" w:hAnsi="Arial"/>
          <w:sz w:val="18"/>
          <w:szCs w:val="18"/>
          <w:color w:val="auto"/>
          <w:vertAlign w:val="superscript"/>
        </w:rPr>
      </w:pPr>
      <w:r>
        <w:rPr>
          <w:rFonts w:ascii="Arial" w:cs="Arial" w:eastAsia="Arial" w:hAnsi="Arial"/>
          <w:sz w:val="13"/>
          <w:szCs w:val="13"/>
          <w:color w:val="auto"/>
        </w:rPr>
        <w:t>The three months ended October 31, 2024, includes a $59.7 million fair value adjustment to increase the contingent consideration related to the RavenVolt Acquisition. * Not meaningful (due to variance greater than or equal to +/-100%)</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4" w:name="page15"/>
    <w:bookmarkEnd w:id="14"/>
    <w:p>
      <w:pPr>
        <w:ind w:right="4940"/>
        <w:spacing w:after="0" w:line="27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Years Ended October 31,</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Increase/(Decreas</w:t>
            </w:r>
          </w:p>
        </w:tc>
        <w:tc>
          <w:tcPr>
            <w:tcW w:w="0" w:type="dxa"/>
            <w:vAlign w:val="bottom"/>
          </w:tcPr>
          <w:p>
            <w:pPr>
              <w:spacing w:after="0"/>
              <w:rPr>
                <w:sz w:val="1"/>
                <w:szCs w:val="1"/>
                <w:color w:val="auto"/>
              </w:rPr>
            </w:pPr>
          </w:p>
        </w:tc>
      </w:tr>
      <w:tr>
        <w:trPr>
          <w:trHeight w:val="20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c>
          <w:tcPr>
            <w:tcW w:w="152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4,059.1</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4,089.4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1,554.3</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1,526.7</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1,032.6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925.7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45"/>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904.0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880.4</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809.3</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w:t>
            </w:r>
          </w:p>
        </w:tc>
        <w:tc>
          <w:tcPr>
            <w:tcW w:w="17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1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8,359.4</w:t>
            </w:r>
          </w:p>
        </w:tc>
        <w:tc>
          <w:tcPr>
            <w:tcW w:w="116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8,096.4</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6"/>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52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307.0</w:t>
            </w:r>
          </w:p>
        </w:tc>
        <w:tc>
          <w:tcPr>
            <w:tcW w:w="116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315.6</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166.3</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45"/>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59.1</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60.0</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69.4</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53.2</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83"/>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42"/>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4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5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CE2EF"/>
          </w:tcPr>
          <w:p>
            <w:pPr>
              <w:spacing w:after="0"/>
              <w:rPr>
                <w:sz w:val="20"/>
                <w:szCs w:val="20"/>
                <w:color w:val="auto"/>
              </w:rPr>
            </w:pPr>
          </w:p>
        </w:tc>
        <w:tc>
          <w:tcPr>
            <w:tcW w:w="6200" w:type="dxa"/>
            <w:vAlign w:val="bottom"/>
            <w:gridSpan w:val="2"/>
            <w:shd w:val="clear" w:color="auto" w:fill="DCE2EF"/>
          </w:tcPr>
          <w:p>
            <w:pPr>
              <w:ind w:left="10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0"/>
                <w:szCs w:val="20"/>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DCE2EF"/>
          </w:tcPr>
          <w:p>
            <w:pPr>
              <w:spacing w:after="0"/>
              <w:rPr>
                <w:sz w:val="20"/>
                <w:szCs w:val="20"/>
                <w:color w:val="auto"/>
              </w:rPr>
            </w:pPr>
          </w:p>
        </w:tc>
        <w:tc>
          <w:tcPr>
            <w:tcW w:w="94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4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w:t>
            </w:r>
          </w:p>
        </w:tc>
        <w:tc>
          <w:tcPr>
            <w:tcW w:w="9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color w:val="auto"/>
              </w:rPr>
              <w:t>buildings, included in Technical Solutions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212.0</w:t>
            </w: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409.5</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(82.3)</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5"/>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331.1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(52.2)</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(79.7)</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70"/>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81.4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251.3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-4382770</wp:posOffset>
            </wp:positionV>
            <wp:extent cx="13716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-4382770</wp:posOffset>
            </wp:positionV>
            <wp:extent cx="13716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-3051175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-3025140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-3230880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-3051175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-3025140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-3230880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-1116330</wp:posOffset>
            </wp:positionV>
            <wp:extent cx="13716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-1116330</wp:posOffset>
            </wp:positionV>
            <wp:extent cx="96012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6012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-576580</wp:posOffset>
            </wp:positionV>
            <wp:extent cx="13716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-576580</wp:posOffset>
            </wp:positionV>
            <wp:extent cx="13716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Not meaningful (due to variance greater than or equal to +/-100%)</w:t>
      </w:r>
    </w:p>
    <w:p>
      <w:pPr>
        <w:spacing w:after="0" w:line="93" w:lineRule="exact"/>
        <w:rPr>
          <w:sz w:val="20"/>
          <w:szCs w:val="20"/>
          <w:color w:val="auto"/>
        </w:rPr>
      </w:pPr>
    </w:p>
    <w:p>
      <w:pPr>
        <w:jc w:val="both"/>
        <w:ind w:left="120" w:right="120" w:hanging="3"/>
        <w:spacing w:after="0" w:line="224" w:lineRule="auto"/>
        <w:tabs>
          <w:tab w:leader="none" w:pos="283" w:val="left"/>
        </w:tabs>
        <w:numPr>
          <w:ilvl w:val="0"/>
          <w:numId w:val="21"/>
        </w:numPr>
        <w:rPr>
          <w:rFonts w:ascii="Arial" w:cs="Arial" w:eastAsia="Arial" w:hAnsi="Arial"/>
          <w:sz w:val="18"/>
          <w:szCs w:val="18"/>
          <w:color w:val="auto"/>
          <w:vertAlign w:val="superscript"/>
        </w:rPr>
      </w:pPr>
      <w:r>
        <w:rPr>
          <w:rFonts w:ascii="Arial" w:cs="Arial" w:eastAsia="Arial" w:hAnsi="Arial"/>
          <w:sz w:val="13"/>
          <w:szCs w:val="13"/>
          <w:color w:val="auto"/>
        </w:rPr>
        <w:t>The year ended October 31, 2024, includes a $95.7 million fair value adjustment to increase the contingent consideration related to the RavenVolt Acquisition. The year ended October 31, 2023, includes a $(45.6) million fair value adjustment to decrease the contingent consideration and $24.0 million Employee Retention Credit (ERC) refunds received from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5" w:name="page16"/>
    <w:bookmarkEnd w:id="15"/>
    <w:p>
      <w:pPr>
        <w:ind w:right="4300"/>
        <w:spacing w:after="0" w:line="279"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tbl>
      <w:tblPr>
        <w:tblLayout w:type="fixed"/>
        <w:tblInd w:w="0" w:type="dxa"/>
        <w:tblCellMar>
          <w:top w:w="0" w:type="dxa"/>
          <w:left w:w="0" w:type="dxa"/>
          <w:bottom w:w="0" w:type="dxa"/>
          <w:right w:w="0" w:type="dxa"/>
        </w:tblCellMar>
      </w:tblPr>
      <w:tr>
        <w:trPr>
          <w:trHeight w:val="163"/>
        </w:trPr>
        <w:tc>
          <w:tcPr>
            <w:tcW w:w="6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except per share amounts)</w:t>
            </w:r>
          </w:p>
        </w:tc>
        <w:tc>
          <w:tcPr>
            <w:tcW w:w="24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Three Months Ended October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ind w:left="580"/>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60" w:type="dxa"/>
            <w:vAlign w:val="bottom"/>
          </w:tcPr>
          <w:p>
            <w:pPr>
              <w:jc w:val="center"/>
              <w:ind w:left="349"/>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8"/>
                <w:szCs w:val="18"/>
                <w:color w:val="auto"/>
              </w:rPr>
            </w:pPr>
          </w:p>
        </w:tc>
      </w:tr>
      <w:tr>
        <w:trPr>
          <w:trHeight w:val="237"/>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(loss) Income to Adjusted Net Income</w:t>
            </w:r>
          </w:p>
        </w:tc>
        <w:tc>
          <w:tcPr>
            <w:tcW w:w="860" w:type="dxa"/>
            <w:vAlign w:val="bottom"/>
            <w:tcBorders>
              <w:top w:val="single" w:sz="8" w:color="auto"/>
              <w:bottom w:val="single" w:sz="8" w:color="DCE2EF"/>
            </w:tcBorders>
            <w:shd w:val="clear" w:color="auto" w:fill="DCE2EF"/>
          </w:tcPr>
          <w:p>
            <w:pPr>
              <w:spacing w:after="0"/>
              <w:rPr>
                <w:sz w:val="20"/>
                <w:szCs w:val="20"/>
                <w:color w:val="auto"/>
              </w:rPr>
            </w:pPr>
          </w:p>
        </w:tc>
        <w:tc>
          <w:tcPr>
            <w:tcW w:w="440" w:type="dxa"/>
            <w:vAlign w:val="bottom"/>
            <w:tcBorders>
              <w:top w:val="single" w:sz="8" w:color="auto"/>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top w:val="single" w:sz="8" w:color="auto"/>
              <w:bottom w:val="single" w:sz="8" w:color="DCE2EF"/>
            </w:tcBorders>
            <w:shd w:val="clear" w:color="auto" w:fill="DCE2EF"/>
          </w:tcPr>
          <w:p>
            <w:pPr>
              <w:spacing w:after="0"/>
              <w:rPr>
                <w:sz w:val="20"/>
                <w:szCs w:val="20"/>
                <w:color w:val="auto"/>
              </w:rPr>
            </w:pPr>
          </w:p>
        </w:tc>
        <w:tc>
          <w:tcPr>
            <w:tcW w:w="380" w:type="dxa"/>
            <w:vAlign w:val="bottom"/>
            <w:tcBorders>
              <w:top w:val="single" w:sz="8" w:color="auto"/>
              <w:bottom w:val="single" w:sz="8" w:color="DCE2EF"/>
              <w:right w:val="single" w:sz="8" w:color="DCE2EF"/>
            </w:tcBorders>
            <w:shd w:val="clear" w:color="auto" w:fill="DCE2EF"/>
          </w:tcPr>
          <w:p>
            <w:pPr>
              <w:spacing w:after="0"/>
              <w:rPr>
                <w:sz w:val="20"/>
                <w:szCs w:val="20"/>
                <w:color w:val="auto"/>
              </w:rPr>
            </w:pP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top w:val="single" w:sz="8" w:color="auto"/>
              <w:bottom w:val="single" w:sz="8" w:color="DCE2EF"/>
            </w:tcBorders>
            <w:shd w:val="clear" w:color="auto" w:fill="DCE2EF"/>
          </w:tcPr>
          <w:p>
            <w:pPr>
              <w:spacing w:after="0"/>
              <w:rPr>
                <w:sz w:val="20"/>
                <w:szCs w:val="20"/>
                <w:color w:val="auto"/>
              </w:rPr>
            </w:pPr>
          </w:p>
        </w:tc>
        <w:tc>
          <w:tcPr>
            <w:tcW w:w="460" w:type="dxa"/>
            <w:vAlign w:val="bottom"/>
            <w:tcBorders>
              <w:top w:val="single" w:sz="8" w:color="auto"/>
              <w:bottom w:val="single" w:sz="8" w:color="DCE2EF"/>
              <w:right w:val="single" w:sz="8" w:color="DCE2EF"/>
            </w:tcBorders>
            <w:shd w:val="clear" w:color="auto" w:fill="DCE2EF"/>
          </w:tcPr>
          <w:p>
            <w:pPr>
              <w:spacing w:after="0"/>
              <w:rPr>
                <w:sz w:val="20"/>
                <w:szCs w:val="20"/>
                <w:color w:val="auto"/>
              </w:rPr>
            </w:pP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top w:val="single" w:sz="8" w:color="auto"/>
              <w:bottom w:val="single" w:sz="8" w:color="DCE2EF"/>
            </w:tcBorders>
            <w:shd w:val="clear" w:color="auto" w:fill="DCE2EF"/>
          </w:tcPr>
          <w:p>
            <w:pPr>
              <w:spacing w:after="0"/>
              <w:rPr>
                <w:sz w:val="20"/>
                <w:szCs w:val="20"/>
                <w:color w:val="auto"/>
              </w:rPr>
            </w:pPr>
          </w:p>
        </w:tc>
        <w:tc>
          <w:tcPr>
            <w:tcW w:w="440" w:type="dxa"/>
            <w:vAlign w:val="bottom"/>
            <w:tcBorders>
              <w:top w:val="single" w:sz="8" w:color="auto"/>
              <w:bottom w:val="single" w:sz="8" w:color="DCE2EF"/>
            </w:tcBorders>
            <w:shd w:val="clear" w:color="auto" w:fill="DCE2EF"/>
          </w:tcPr>
          <w:p>
            <w:pPr>
              <w:spacing w:after="0"/>
              <w:rPr>
                <w:sz w:val="20"/>
                <w:szCs w:val="20"/>
                <w:color w:val="auto"/>
              </w:rPr>
            </w:pPr>
          </w:p>
        </w:tc>
      </w:tr>
      <w:tr>
        <w:trPr>
          <w:trHeight w:val="252"/>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Net (loss) income</w:t>
            </w:r>
          </w:p>
        </w:tc>
        <w:tc>
          <w:tcPr>
            <w:tcW w:w="860" w:type="dxa"/>
            <w:vAlign w:val="bottom"/>
          </w:tcPr>
          <w:p>
            <w:pPr>
              <w:jc w:val="center"/>
              <w:ind w:left="349"/>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(11.7)</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62.8</w:t>
            </w:r>
          </w:p>
        </w:tc>
        <w:tc>
          <w:tcPr>
            <w:tcW w:w="22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81.4</w:t>
            </w:r>
          </w:p>
        </w:tc>
        <w:tc>
          <w:tcPr>
            <w:tcW w:w="220" w:type="dxa"/>
            <w:vAlign w:val="bottom"/>
          </w:tcPr>
          <w:p>
            <w:pPr>
              <w:spacing w:after="0"/>
              <w:rPr>
                <w:sz w:val="21"/>
                <w:szCs w:val="21"/>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251.3</w:t>
            </w:r>
          </w:p>
        </w:tc>
      </w:tr>
      <w:tr>
        <w:trPr>
          <w:trHeight w:val="261"/>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Items impacting comparability</w:t>
            </w:r>
            <w:r>
              <w:rPr>
                <w:rFonts w:ascii="Arial" w:cs="Arial" w:eastAsia="Arial" w:hAnsi="Arial"/>
                <w:sz w:val="19"/>
                <w:szCs w:val="19"/>
                <w:color w:val="auto"/>
                <w:vertAlign w:val="superscript"/>
              </w:rPr>
              <w:t>(a)</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spacing w:after="0"/>
              <w:rPr>
                <w:sz w:val="22"/>
                <w:szCs w:val="22"/>
                <w:color w:val="auto"/>
              </w:rPr>
            </w:pP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spacing w:after="0"/>
              <w:rPr>
                <w:sz w:val="22"/>
                <w:szCs w:val="22"/>
                <w:color w:val="auto"/>
              </w:rPr>
            </w:pP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Prior year self-insurance adjustment</w:t>
            </w:r>
            <w:r>
              <w:rPr>
                <w:rFonts w:ascii="Arial" w:cs="Arial" w:eastAsia="Arial" w:hAnsi="Arial"/>
                <w:sz w:val="19"/>
                <w:szCs w:val="19"/>
                <w:color w:val="auto"/>
                <w:vertAlign w:val="superscript"/>
              </w:rPr>
              <w:t>(b)</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20.3</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Legal costs and other settlements</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56"/>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Acquisition and integration related costs</w:t>
            </w:r>
            <w:r>
              <w:rPr>
                <w:rFonts w:ascii="Arial" w:cs="Arial" w:eastAsia="Arial" w:hAnsi="Arial"/>
                <w:sz w:val="19"/>
                <w:szCs w:val="19"/>
                <w:color w:val="auto"/>
                <w:vertAlign w:val="superscript"/>
              </w:rPr>
              <w:t>(c)</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Transformation initiative costs</w:t>
            </w:r>
            <w:r>
              <w:rPr>
                <w:rFonts w:ascii="Arial" w:cs="Arial" w:eastAsia="Arial" w:hAnsi="Arial"/>
                <w:sz w:val="19"/>
                <w:szCs w:val="19"/>
                <w:color w:val="auto"/>
                <w:vertAlign w:val="superscript"/>
              </w:rPr>
              <w:t>(d)</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37.9</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56.5</w:t>
            </w: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Change in fair value of contingent consideration</w:t>
            </w:r>
            <w:r>
              <w:rPr>
                <w:rFonts w:ascii="Arial" w:cs="Arial" w:eastAsia="Arial" w:hAnsi="Arial"/>
                <w:sz w:val="19"/>
                <w:szCs w:val="19"/>
                <w:color w:val="auto"/>
                <w:vertAlign w:val="superscript"/>
              </w:rPr>
              <w:t>(e)</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59.7</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95.7</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Employee Retention Credit</w:t>
            </w:r>
            <w:r>
              <w:rPr>
                <w:rFonts w:ascii="Arial" w:cs="Arial" w:eastAsia="Arial" w:hAnsi="Arial"/>
                <w:sz w:val="19"/>
                <w:szCs w:val="19"/>
                <w:color w:val="auto"/>
                <w:vertAlign w:val="superscript"/>
              </w:rPr>
              <w:t>(f)</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680" w:type="dxa"/>
            <w:vAlign w:val="bottom"/>
            <w:tcBorders>
              <w:right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(24.0)</w:t>
            </w: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Union Benefits</w:t>
            </w:r>
            <w:r>
              <w:rPr>
                <w:rFonts w:ascii="Arial" w:cs="Arial" w:eastAsia="Arial" w:hAnsi="Arial"/>
                <w:sz w:val="19"/>
                <w:szCs w:val="19"/>
                <w:color w:val="auto"/>
                <w:vertAlign w:val="superscript"/>
              </w:rPr>
              <w:t>(g)</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56"/>
        </w:trPr>
        <w:tc>
          <w:tcPr>
            <w:tcW w:w="60" w:type="dxa"/>
            <w:vAlign w:val="bottom"/>
            <w:tcBorders>
              <w:bottom w:val="single" w:sz="8" w:color="DCE2EF"/>
            </w:tcBorders>
            <w:shd w:val="clear" w:color="auto" w:fill="DCE2EF"/>
          </w:tcPr>
          <w:p>
            <w:pPr>
              <w:spacing w:after="0"/>
              <w:rPr>
                <w:sz w:val="22"/>
                <w:szCs w:val="22"/>
                <w:color w:val="auto"/>
              </w:rPr>
            </w:pPr>
          </w:p>
        </w:tc>
        <w:tc>
          <w:tcPr>
            <w:tcW w:w="5300" w:type="dxa"/>
            <w:vAlign w:val="bottom"/>
            <w:tcBorders>
              <w:bottom w:val="single" w:sz="8" w:color="DCE2EF"/>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(h)</w:t>
            </w:r>
          </w:p>
        </w:tc>
        <w:tc>
          <w:tcPr>
            <w:tcW w:w="86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auto"/>
            </w:tcBorders>
            <w:shd w:val="clear" w:color="auto" w:fill="DCE2EF"/>
          </w:tcPr>
          <w:p>
            <w:pPr>
              <w:spacing w:after="0"/>
              <w:rPr>
                <w:sz w:val="22"/>
                <w:szCs w:val="22"/>
                <w:color w:val="auto"/>
              </w:rPr>
            </w:pPr>
          </w:p>
        </w:tc>
        <w:tc>
          <w:tcPr>
            <w:tcW w:w="380" w:type="dxa"/>
            <w:vAlign w:val="bottom"/>
            <w:tcBorders>
              <w:bottom w:val="single" w:sz="8" w:color="auto"/>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4.8</w:t>
            </w:r>
          </w:p>
        </w:tc>
      </w:tr>
      <w:tr>
        <w:trPr>
          <w:trHeight w:val="215"/>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Total items impacting comparability</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7"/>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Income tax benefit</w:t>
            </w:r>
            <w:r>
              <w:rPr>
                <w:rFonts w:ascii="Arial" w:cs="Arial" w:eastAsia="Arial" w:hAnsi="Arial"/>
                <w:sz w:val="19"/>
                <w:szCs w:val="19"/>
                <w:color w:val="auto"/>
                <w:vertAlign w:val="superscript"/>
              </w:rPr>
              <w:t>(i) (j)</w:t>
            </w:r>
          </w:p>
        </w:tc>
        <w:tc>
          <w:tcPr>
            <w:tcW w:w="86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auto"/>
            </w:tcBorders>
            <w:shd w:val="clear" w:color="auto" w:fill="DCE2EF"/>
          </w:tcPr>
          <w:p>
            <w:pPr>
              <w:spacing w:after="0"/>
              <w:rPr>
                <w:sz w:val="22"/>
                <w:szCs w:val="22"/>
                <w:color w:val="auto"/>
              </w:rPr>
            </w:pPr>
          </w:p>
        </w:tc>
        <w:tc>
          <w:tcPr>
            <w:tcW w:w="380" w:type="dxa"/>
            <w:vAlign w:val="bottom"/>
            <w:tcBorders>
              <w:bottom w:val="single" w:sz="8" w:color="auto"/>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(14.6)</w:t>
            </w:r>
          </w:p>
        </w:tc>
      </w:tr>
      <w:tr>
        <w:trPr>
          <w:trHeight w:val="215"/>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Items impacting comparability, net of taxes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69.3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145.9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2"/>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Adjusted net income</w:t>
            </w:r>
          </w:p>
        </w:tc>
        <w:tc>
          <w:tcPr>
            <w:tcW w:w="860" w:type="dxa"/>
            <w:vAlign w:val="bottom"/>
            <w:tcBorders>
              <w:bottom w:val="single" w:sz="8" w:color="DCE2EF"/>
            </w:tcBorders>
            <w:shd w:val="clear" w:color="auto" w:fill="DCE2EF"/>
          </w:tcPr>
          <w:p>
            <w:pPr>
              <w:jc w:val="right"/>
              <w:ind w:right="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57.5</w:t>
            </w:r>
          </w:p>
        </w:tc>
        <w:tc>
          <w:tcPr>
            <w:tcW w:w="1180" w:type="dxa"/>
            <w:vAlign w:val="bottom"/>
            <w:tcBorders>
              <w:bottom w:val="single" w:sz="8" w:color="DCE2EF"/>
            </w:tcBorders>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66.2</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227.3</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231.9</w:t>
            </w:r>
          </w:p>
        </w:tc>
      </w:tr>
      <w:tr>
        <w:trPr>
          <w:trHeight w:val="20"/>
        </w:trPr>
        <w:tc>
          <w:tcPr>
            <w:tcW w:w="60" w:type="dxa"/>
            <w:vAlign w:val="bottom"/>
            <w:tcBorders>
              <w:top w:val="single" w:sz="8" w:color="DCE2EF"/>
            </w:tcBorders>
            <w:shd w:val="clear" w:color="auto" w:fill="DCE2EF"/>
          </w:tcPr>
          <w:p>
            <w:pPr>
              <w:spacing w:after="0" w:line="20" w:lineRule="exact"/>
              <w:rPr>
                <w:sz w:val="1"/>
                <w:szCs w:val="1"/>
                <w:color w:val="auto"/>
              </w:rPr>
            </w:pPr>
          </w:p>
        </w:tc>
        <w:tc>
          <w:tcPr>
            <w:tcW w:w="2240" w:type="dxa"/>
            <w:vAlign w:val="bottom"/>
            <w:tcBorders>
              <w:top w:val="single" w:sz="8" w:color="DCE2EF"/>
            </w:tcBorders>
            <w:shd w:val="clear" w:color="auto" w:fill="DCE2EF"/>
          </w:tcPr>
          <w:p>
            <w:pPr>
              <w:spacing w:after="0" w:line="20" w:lineRule="exact"/>
              <w:rPr>
                <w:sz w:val="1"/>
                <w:szCs w:val="1"/>
                <w:color w:val="auto"/>
              </w:rPr>
            </w:pPr>
          </w:p>
        </w:tc>
        <w:tc>
          <w:tcPr>
            <w:tcW w:w="3060" w:type="dxa"/>
            <w:vAlign w:val="bottom"/>
            <w:tcBorders>
              <w:top w:val="single" w:sz="8" w:color="DCE2EF"/>
              <w:right w:val="single" w:sz="8" w:color="auto"/>
            </w:tcBorders>
            <w:shd w:val="clear" w:color="auto" w:fill="DCE2E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DCE2EF"/>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auto"/>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DCE2EF"/>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auto"/>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r>
        <w:trPr>
          <w:trHeight w:val="329"/>
        </w:trPr>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3"/>
                <w:szCs w:val="13"/>
                <w:b w:val="1"/>
                <w:bCs w:val="1"/>
                <w:color w:val="auto"/>
              </w:rPr>
              <w:t>Three Months Ended October 31,</w:t>
            </w:r>
          </w:p>
        </w:tc>
        <w:tc>
          <w:tcPr>
            <w:tcW w:w="220" w:type="dxa"/>
            <w:vAlign w:val="bottom"/>
          </w:tcPr>
          <w:p>
            <w:pPr>
              <w:spacing w:after="0"/>
              <w:rPr>
                <w:sz w:val="24"/>
                <w:szCs w:val="24"/>
                <w:color w:val="auto"/>
              </w:rPr>
            </w:pPr>
          </w:p>
        </w:tc>
        <w:tc>
          <w:tcPr>
            <w:tcW w:w="236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Borders>
              <w:bottom w:val="single" w:sz="8" w:color="auto"/>
            </w:tcBorders>
          </w:tcPr>
          <w:p>
            <w:pPr>
              <w:spacing w:after="0"/>
              <w:rPr>
                <w:sz w:val="24"/>
                <w:szCs w:val="24"/>
                <w:color w:val="auto"/>
              </w:rPr>
            </w:pPr>
          </w:p>
        </w:tc>
      </w:tr>
      <w:tr>
        <w:trPr>
          <w:trHeight w:val="232"/>
        </w:trPr>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60" w:type="dxa"/>
            <w:vAlign w:val="bottom"/>
          </w:tcPr>
          <w:p>
            <w:pPr>
              <w:jc w:val="center"/>
              <w:ind w:left="389"/>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20"/>
                <w:szCs w:val="20"/>
                <w:color w:val="auto"/>
              </w:rPr>
            </w:pPr>
          </w:p>
        </w:tc>
      </w:tr>
      <w:tr>
        <w:trPr>
          <w:trHeight w:val="243"/>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(loss) Income to Adjusted EBITDA</w:t>
            </w:r>
          </w:p>
        </w:tc>
        <w:tc>
          <w:tcPr>
            <w:tcW w:w="860" w:type="dxa"/>
            <w:vAlign w:val="bottom"/>
            <w:tcBorders>
              <w:top w:val="single" w:sz="8" w:color="auto"/>
            </w:tcBorders>
            <w:shd w:val="clear" w:color="auto" w:fill="DCE2EF"/>
          </w:tcPr>
          <w:p>
            <w:pPr>
              <w:spacing w:after="0"/>
              <w:rPr>
                <w:sz w:val="21"/>
                <w:szCs w:val="21"/>
                <w:color w:val="auto"/>
              </w:rPr>
            </w:pPr>
          </w:p>
        </w:tc>
        <w:tc>
          <w:tcPr>
            <w:tcW w:w="44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940" w:type="dxa"/>
            <w:vAlign w:val="bottom"/>
            <w:tcBorders>
              <w:top w:val="single" w:sz="8" w:color="auto"/>
            </w:tcBorders>
            <w:shd w:val="clear" w:color="auto" w:fill="DCE2EF"/>
          </w:tcPr>
          <w:p>
            <w:pPr>
              <w:spacing w:after="0"/>
              <w:rPr>
                <w:sz w:val="21"/>
                <w:szCs w:val="21"/>
                <w:color w:val="auto"/>
              </w:rPr>
            </w:pPr>
          </w:p>
        </w:tc>
        <w:tc>
          <w:tcPr>
            <w:tcW w:w="380" w:type="dxa"/>
            <w:vAlign w:val="bottom"/>
            <w:tcBorders>
              <w:top w:val="single" w:sz="8" w:color="auto"/>
              <w:right w:val="single" w:sz="8" w:color="DCE2EF"/>
            </w:tcBorders>
            <w:shd w:val="clear" w:color="auto" w:fill="DCE2EF"/>
          </w:tcPr>
          <w:p>
            <w:pPr>
              <w:spacing w:after="0"/>
              <w:rPr>
                <w:sz w:val="21"/>
                <w:szCs w:val="21"/>
                <w:color w:val="auto"/>
              </w:rPr>
            </w:pPr>
          </w:p>
        </w:tc>
        <w:tc>
          <w:tcPr>
            <w:tcW w:w="220" w:type="dxa"/>
            <w:vAlign w:val="bottom"/>
            <w:tcBorders>
              <w:right w:val="single" w:sz="8" w:color="DCE2EF"/>
            </w:tcBorders>
            <w:shd w:val="clear" w:color="auto" w:fill="DCE2EF"/>
          </w:tcPr>
          <w:p>
            <w:pPr>
              <w:spacing w:after="0"/>
              <w:rPr>
                <w:sz w:val="21"/>
                <w:szCs w:val="21"/>
                <w:color w:val="auto"/>
              </w:rPr>
            </w:pPr>
          </w:p>
        </w:tc>
        <w:tc>
          <w:tcPr>
            <w:tcW w:w="840" w:type="dxa"/>
            <w:vAlign w:val="bottom"/>
            <w:tcBorders>
              <w:top w:val="single" w:sz="8" w:color="auto"/>
            </w:tcBorders>
            <w:shd w:val="clear" w:color="auto" w:fill="DCE2EF"/>
          </w:tcPr>
          <w:p>
            <w:pPr>
              <w:spacing w:after="0"/>
              <w:rPr>
                <w:sz w:val="21"/>
                <w:szCs w:val="21"/>
                <w:color w:val="auto"/>
              </w:rPr>
            </w:pPr>
          </w:p>
        </w:tc>
        <w:tc>
          <w:tcPr>
            <w:tcW w:w="460" w:type="dxa"/>
            <w:vAlign w:val="bottom"/>
            <w:tcBorders>
              <w:top w:val="single" w:sz="8" w:color="auto"/>
              <w:right w:val="single" w:sz="8" w:color="DCE2EF"/>
            </w:tcBorders>
            <w:shd w:val="clear" w:color="auto" w:fill="DCE2EF"/>
          </w:tcPr>
          <w:p>
            <w:pPr>
              <w:spacing w:after="0"/>
              <w:rPr>
                <w:sz w:val="21"/>
                <w:szCs w:val="21"/>
                <w:color w:val="auto"/>
              </w:rPr>
            </w:pPr>
          </w:p>
        </w:tc>
        <w:tc>
          <w:tcPr>
            <w:tcW w:w="220" w:type="dxa"/>
            <w:vAlign w:val="bottom"/>
            <w:tcBorders>
              <w:right w:val="single" w:sz="8" w:color="DCE2EF"/>
            </w:tcBorders>
            <w:shd w:val="clear" w:color="auto" w:fill="DCE2EF"/>
          </w:tcPr>
          <w:p>
            <w:pPr>
              <w:spacing w:after="0"/>
              <w:rPr>
                <w:sz w:val="21"/>
                <w:szCs w:val="21"/>
                <w:color w:val="auto"/>
              </w:rPr>
            </w:pPr>
          </w:p>
        </w:tc>
        <w:tc>
          <w:tcPr>
            <w:tcW w:w="840" w:type="dxa"/>
            <w:vAlign w:val="bottom"/>
            <w:tcBorders>
              <w:top w:val="single" w:sz="8" w:color="auto"/>
            </w:tcBorders>
            <w:shd w:val="clear" w:color="auto" w:fill="DCE2EF"/>
          </w:tcPr>
          <w:p>
            <w:pPr>
              <w:spacing w:after="0"/>
              <w:rPr>
                <w:sz w:val="21"/>
                <w:szCs w:val="21"/>
                <w:color w:val="auto"/>
              </w:rPr>
            </w:pPr>
          </w:p>
        </w:tc>
        <w:tc>
          <w:tcPr>
            <w:tcW w:w="440" w:type="dxa"/>
            <w:vAlign w:val="bottom"/>
            <w:tcBorders>
              <w:top w:val="single" w:sz="8" w:color="auto"/>
            </w:tcBorders>
            <w:shd w:val="clear" w:color="auto" w:fill="DCE2EF"/>
          </w:tcPr>
          <w:p>
            <w:pPr>
              <w:spacing w:after="0"/>
              <w:rPr>
                <w:sz w:val="21"/>
                <w:szCs w:val="21"/>
                <w:color w:val="auto"/>
              </w:rPr>
            </w:pPr>
          </w:p>
        </w:tc>
      </w:tr>
      <w:tr>
        <w:trPr>
          <w:trHeight w:val="255"/>
        </w:trPr>
        <w:tc>
          <w:tcPr>
            <w:tcW w:w="536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(loss) income</w:t>
            </w:r>
          </w:p>
        </w:tc>
        <w:tc>
          <w:tcPr>
            <w:tcW w:w="860" w:type="dxa"/>
            <w:vAlign w:val="bottom"/>
          </w:tcPr>
          <w:p>
            <w:pPr>
              <w:jc w:val="center"/>
              <w:ind w:left="349"/>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(11.7)</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62.8</w:t>
            </w:r>
          </w:p>
        </w:tc>
        <w:tc>
          <w:tcPr>
            <w:tcW w:w="220" w:type="dxa"/>
            <w:vAlign w:val="bottom"/>
          </w:tcPr>
          <w:p>
            <w:pPr>
              <w:spacing w:after="0"/>
              <w:rPr>
                <w:sz w:val="22"/>
                <w:szCs w:val="22"/>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81.4</w:t>
            </w:r>
          </w:p>
        </w:tc>
        <w:tc>
          <w:tcPr>
            <w:tcW w:w="220" w:type="dxa"/>
            <w:vAlign w:val="bottom"/>
          </w:tcPr>
          <w:p>
            <w:pPr>
              <w:spacing w:after="0"/>
              <w:rPr>
                <w:sz w:val="22"/>
                <w:szCs w:val="22"/>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251.3</w:t>
            </w:r>
          </w:p>
        </w:tc>
      </w:tr>
      <w:tr>
        <w:trPr>
          <w:trHeight w:val="258"/>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Items impacting comparability</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80.0</w:t>
            </w: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7.5</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172.9</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w:t>
            </w:r>
          </w:p>
        </w:tc>
      </w:tr>
      <w:tr>
        <w:trPr>
          <w:trHeight w:val="252"/>
        </w:trPr>
        <w:tc>
          <w:tcPr>
            <w:tcW w:w="60" w:type="dxa"/>
            <w:vAlign w:val="bottom"/>
          </w:tcPr>
          <w:p>
            <w:pPr>
              <w:spacing w:after="0"/>
              <w:rPr>
                <w:sz w:val="21"/>
                <w:szCs w:val="21"/>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Income tax provision</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24.0</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261"/>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21.8</w:t>
            </w:r>
          </w:p>
        </w:tc>
        <w:tc>
          <w:tcPr>
            <w:tcW w:w="24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38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20.5</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85.0</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82.3</w:t>
            </w:r>
          </w:p>
        </w:tc>
      </w:tr>
      <w:tr>
        <w:trPr>
          <w:trHeight w:val="253"/>
        </w:trPr>
        <w:tc>
          <w:tcPr>
            <w:tcW w:w="60" w:type="dxa"/>
            <w:vAlign w:val="bottom"/>
          </w:tcPr>
          <w:p>
            <w:pPr>
              <w:spacing w:after="0"/>
              <w:rPr>
                <w:sz w:val="21"/>
                <w:szCs w:val="21"/>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Depreciation and amortization</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w:t>
            </w:r>
          </w:p>
        </w:tc>
      </w:tr>
      <w:tr>
        <w:trPr>
          <w:trHeight w:val="266"/>
        </w:trPr>
        <w:tc>
          <w:tcPr>
            <w:tcW w:w="60" w:type="dxa"/>
            <w:vAlign w:val="bottom"/>
            <w:tcBorders>
              <w:bottom w:val="single" w:sz="8" w:color="DCE2EF"/>
            </w:tcBorders>
            <w:shd w:val="clear" w:color="auto" w:fill="DCE2EF"/>
          </w:tcPr>
          <w:p>
            <w:pPr>
              <w:spacing w:after="0"/>
              <w:rPr>
                <w:sz w:val="22"/>
                <w:szCs w:val="22"/>
                <w:color w:val="auto"/>
              </w:rPr>
            </w:pPr>
          </w:p>
        </w:tc>
        <w:tc>
          <w:tcPr>
            <w:tcW w:w="5300" w:type="dxa"/>
            <w:vAlign w:val="bottom"/>
            <w:tcBorders>
              <w:bottom w:val="single" w:sz="8" w:color="DCE2EF"/>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Adjusted EBITDA</w:t>
            </w:r>
          </w:p>
        </w:tc>
        <w:tc>
          <w:tcPr>
            <w:tcW w:w="860" w:type="dxa"/>
            <w:vAlign w:val="bottom"/>
            <w:tcBorders>
              <w:bottom w:val="single" w:sz="8" w:color="DCE2EF"/>
            </w:tcBorders>
            <w:shd w:val="clear" w:color="auto" w:fill="DCE2EF"/>
          </w:tcPr>
          <w:p>
            <w:pPr>
              <w:jc w:val="center"/>
              <w:ind w:left="3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128.0</w:t>
            </w:r>
          </w:p>
        </w:tc>
        <w:tc>
          <w:tcPr>
            <w:tcW w:w="1180" w:type="dxa"/>
            <w:vAlign w:val="bottom"/>
            <w:tcBorders>
              <w:bottom w:val="single" w:sz="8" w:color="DCE2EF"/>
            </w:tcBorders>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w w:val="96"/>
              </w:rPr>
              <w:t>144.2</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right"/>
              <w:ind w:right="8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498.1</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529.1</w:t>
            </w:r>
          </w:p>
        </w:tc>
      </w:tr>
      <w:tr>
        <w:trPr>
          <w:trHeight w:val="20"/>
        </w:trPr>
        <w:tc>
          <w:tcPr>
            <w:tcW w:w="60" w:type="dxa"/>
            <w:vAlign w:val="bottom"/>
            <w:tcBorders>
              <w:top w:val="single" w:sz="8" w:color="DCE2EF"/>
            </w:tcBorders>
            <w:shd w:val="clear" w:color="auto" w:fill="DCE2EF"/>
          </w:tcPr>
          <w:p>
            <w:pPr>
              <w:spacing w:after="0" w:line="20" w:lineRule="exact"/>
              <w:rPr>
                <w:sz w:val="1"/>
                <w:szCs w:val="1"/>
                <w:color w:val="auto"/>
              </w:rPr>
            </w:pPr>
          </w:p>
        </w:tc>
        <w:tc>
          <w:tcPr>
            <w:tcW w:w="2240" w:type="dxa"/>
            <w:vAlign w:val="bottom"/>
            <w:tcBorders>
              <w:top w:val="single" w:sz="8" w:color="DCE2EF"/>
            </w:tcBorders>
            <w:shd w:val="clear" w:color="auto" w:fill="DCE2EF"/>
          </w:tcPr>
          <w:p>
            <w:pPr>
              <w:spacing w:after="0" w:line="20" w:lineRule="exact"/>
              <w:rPr>
                <w:sz w:val="1"/>
                <w:szCs w:val="1"/>
                <w:color w:val="auto"/>
              </w:rPr>
            </w:pPr>
          </w:p>
        </w:tc>
        <w:tc>
          <w:tcPr>
            <w:tcW w:w="30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-4039870</wp:posOffset>
            </wp:positionV>
            <wp:extent cx="14605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-4039870</wp:posOffset>
            </wp:positionV>
            <wp:extent cx="13716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-4039870</wp:posOffset>
            </wp:positionV>
            <wp:extent cx="13716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-2239645</wp:posOffset>
            </wp:positionV>
            <wp:extent cx="14605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-2239645</wp:posOffset>
            </wp:positionV>
            <wp:extent cx="13716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-2239645</wp:posOffset>
            </wp:positionV>
            <wp:extent cx="13716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-1913890</wp:posOffset>
            </wp:positionV>
            <wp:extent cx="14605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-1913890</wp:posOffset>
            </wp:positionV>
            <wp:extent cx="13716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-1913890</wp:posOffset>
            </wp:positionV>
            <wp:extent cx="13716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-1750695</wp:posOffset>
            </wp:positionV>
            <wp:extent cx="14605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-1750695</wp:posOffset>
            </wp:positionV>
            <wp:extent cx="13716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-1750695</wp:posOffset>
            </wp:positionV>
            <wp:extent cx="13716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-1585595</wp:posOffset>
            </wp:positionV>
            <wp:extent cx="146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-1559560</wp:posOffset>
            </wp:positionV>
            <wp:extent cx="146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-1585595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-1559560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-1585595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-1559560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-1176655</wp:posOffset>
            </wp:positionV>
            <wp:extent cx="14605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-1176655</wp:posOffset>
            </wp:positionV>
            <wp:extent cx="13716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-1176655</wp:posOffset>
            </wp:positionV>
            <wp:extent cx="13716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-199390</wp:posOffset>
            </wp:positionV>
            <wp:extent cx="14605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-199390</wp:posOffset>
            </wp:positionV>
            <wp:extent cx="13716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-199390</wp:posOffset>
            </wp:positionV>
            <wp:extent cx="13716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-33655</wp:posOffset>
            </wp:positionV>
            <wp:extent cx="1460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460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-33655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Net (loss) income margin as a % of revenues</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34"/>
        </w:trPr>
        <w:tc>
          <w:tcPr>
            <w:tcW w:w="5400" w:type="dxa"/>
            <w:vAlign w:val="bottom"/>
          </w:tcPr>
          <w:p>
            <w:pPr>
              <w:spacing w:after="0"/>
              <w:rPr>
                <w:sz w:val="24"/>
                <w:szCs w:val="24"/>
                <w:color w:val="auto"/>
              </w:rPr>
            </w:pPr>
          </w:p>
        </w:tc>
        <w:tc>
          <w:tcPr>
            <w:tcW w:w="282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3"/>
                <w:szCs w:val="13"/>
                <w:b w:val="1"/>
                <w:bCs w:val="1"/>
                <w:color w:val="auto"/>
              </w:rPr>
              <w:t>Years Ended October 31,</w:t>
            </w:r>
          </w:p>
        </w:tc>
      </w:tr>
      <w:tr>
        <w:trPr>
          <w:trHeight w:val="313"/>
        </w:trPr>
        <w:tc>
          <w:tcPr>
            <w:tcW w:w="5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2023</w:t>
            </w:r>
          </w:p>
        </w:tc>
      </w:tr>
      <w:tr>
        <w:trPr>
          <w:trHeight w:val="237"/>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48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46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46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r>
      <w:tr>
        <w:trPr>
          <w:trHeight w:val="253"/>
        </w:trPr>
        <w:tc>
          <w:tcPr>
            <w:tcW w:w="5400" w:type="dxa"/>
            <w:vAlign w:val="bottom"/>
          </w:tcPr>
          <w:p>
            <w:pPr>
              <w:ind w:left="60"/>
              <w:spacing w:after="0"/>
              <w:rPr>
                <w:sz w:val="20"/>
                <w:szCs w:val="20"/>
                <w:color w:val="auto"/>
              </w:rPr>
            </w:pPr>
            <w:r>
              <w:rPr>
                <w:rFonts w:ascii="Arial" w:cs="Arial" w:eastAsia="Arial" w:hAnsi="Arial"/>
                <w:sz w:val="15"/>
                <w:szCs w:val="15"/>
                <w:color w:val="auto"/>
              </w:rPr>
              <w:t>Revenues</w:t>
            </w: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$2,177.3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$2,092.9</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$8,359.4</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$8,096.4</w:t>
            </w:r>
          </w:p>
        </w:tc>
      </w:tr>
      <w:tr>
        <w:trPr>
          <w:trHeight w:val="256"/>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Management reimbursement</w:t>
            </w:r>
          </w:p>
        </w:tc>
        <w:tc>
          <w:tcPr>
            <w:tcW w:w="480" w:type="dxa"/>
            <w:vAlign w:val="bottom"/>
            <w:tcBorders>
              <w:bottom w:val="single" w:sz="8" w:color="auto"/>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(81.6)</w:t>
            </w:r>
          </w:p>
        </w:tc>
        <w:tc>
          <w:tcPr>
            <w:tcW w:w="24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(78.5)</w:t>
            </w:r>
          </w:p>
        </w:tc>
        <w:tc>
          <w:tcPr>
            <w:tcW w:w="24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(318.2)</w:t>
            </w:r>
          </w:p>
        </w:tc>
        <w:tc>
          <w:tcPr>
            <w:tcW w:w="220" w:type="dxa"/>
            <w:vAlign w:val="bottom"/>
            <w:tcBorders>
              <w:bottom w:val="single" w:sz="8" w:color="DCE2EF"/>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(302.3)</w:t>
            </w:r>
          </w:p>
        </w:tc>
      </w:tr>
      <w:tr>
        <w:trPr>
          <w:trHeight w:val="233"/>
        </w:trPr>
        <w:tc>
          <w:tcPr>
            <w:tcW w:w="5400" w:type="dxa"/>
            <w:vAlign w:val="bottom"/>
          </w:tcPr>
          <w:p>
            <w:pPr>
              <w:ind w:left="60"/>
              <w:spacing w:after="0"/>
              <w:rPr>
                <w:sz w:val="20"/>
                <w:szCs w:val="20"/>
                <w:color w:val="auto"/>
              </w:rPr>
            </w:pPr>
            <w:r>
              <w:rPr>
                <w:rFonts w:ascii="Arial" w:cs="Arial" w:eastAsia="Arial" w:hAnsi="Arial"/>
                <w:sz w:val="15"/>
                <w:szCs w:val="15"/>
                <w:color w:val="auto"/>
              </w:rPr>
              <w:t>Revenues excluding management reimbursement</w:t>
            </w:r>
          </w:p>
        </w:tc>
        <w:tc>
          <w:tcPr>
            <w:tcW w:w="480" w:type="dxa"/>
            <w:vAlign w:val="bottom"/>
          </w:tcPr>
          <w:p>
            <w:pPr>
              <w:ind w:left="3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2,095.8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2,014.4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8,041.2</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7,794.0</w:t>
            </w:r>
          </w:p>
        </w:tc>
      </w:tr>
      <w:tr>
        <w:trPr>
          <w:trHeight w:val="243"/>
        </w:trPr>
        <w:tc>
          <w:tcPr>
            <w:tcW w:w="5400" w:type="dxa"/>
            <w:vAlign w:val="bottom"/>
            <w:shd w:val="clear" w:color="auto" w:fill="DCE2EF"/>
          </w:tcPr>
          <w:p>
            <w:pPr>
              <w:spacing w:after="0"/>
              <w:rPr>
                <w:sz w:val="21"/>
                <w:szCs w:val="21"/>
                <w:color w:val="auto"/>
              </w:rPr>
            </w:pPr>
          </w:p>
        </w:tc>
        <w:tc>
          <w:tcPr>
            <w:tcW w:w="480" w:type="dxa"/>
            <w:vAlign w:val="bottom"/>
            <w:tcBorders>
              <w:top w:val="single" w:sz="8" w:color="auto"/>
            </w:tcBorders>
            <w:shd w:val="clear" w:color="auto" w:fill="DCE2EF"/>
          </w:tcPr>
          <w:p>
            <w:pPr>
              <w:spacing w:after="0"/>
              <w:rPr>
                <w:sz w:val="21"/>
                <w:szCs w:val="21"/>
                <w:color w:val="auto"/>
              </w:rPr>
            </w:pPr>
          </w:p>
        </w:tc>
        <w:tc>
          <w:tcPr>
            <w:tcW w:w="82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460" w:type="dxa"/>
            <w:vAlign w:val="bottom"/>
            <w:tcBorders>
              <w:top w:val="single" w:sz="8" w:color="auto"/>
            </w:tcBorders>
            <w:shd w:val="clear" w:color="auto" w:fill="DCE2EF"/>
          </w:tcPr>
          <w:p>
            <w:pPr>
              <w:spacing w:after="0"/>
              <w:rPr>
                <w:sz w:val="21"/>
                <w:szCs w:val="21"/>
                <w:color w:val="auto"/>
              </w:rPr>
            </w:pPr>
          </w:p>
        </w:tc>
        <w:tc>
          <w:tcPr>
            <w:tcW w:w="82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460" w:type="dxa"/>
            <w:vAlign w:val="bottom"/>
            <w:tcBorders>
              <w:top w:val="single" w:sz="8" w:color="auto"/>
            </w:tcBorders>
            <w:shd w:val="clear" w:color="auto" w:fill="DCE2EF"/>
          </w:tcPr>
          <w:p>
            <w:pPr>
              <w:spacing w:after="0"/>
              <w:rPr>
                <w:sz w:val="21"/>
                <w:szCs w:val="21"/>
                <w:color w:val="auto"/>
              </w:rPr>
            </w:pPr>
          </w:p>
        </w:tc>
        <w:tc>
          <w:tcPr>
            <w:tcW w:w="820" w:type="dxa"/>
            <w:vAlign w:val="bottom"/>
            <w:tcBorders>
              <w:top w:val="single" w:sz="8" w:color="auto"/>
            </w:tcBorders>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440" w:type="dxa"/>
            <w:vAlign w:val="bottom"/>
            <w:tcBorders>
              <w:top w:val="single" w:sz="8" w:color="auto"/>
            </w:tcBorders>
            <w:shd w:val="clear" w:color="auto" w:fill="DCE2EF"/>
          </w:tcPr>
          <w:p>
            <w:pPr>
              <w:spacing w:after="0"/>
              <w:rPr>
                <w:sz w:val="21"/>
                <w:szCs w:val="21"/>
                <w:color w:val="auto"/>
              </w:rPr>
            </w:pPr>
          </w:p>
        </w:tc>
        <w:tc>
          <w:tcPr>
            <w:tcW w:w="840" w:type="dxa"/>
            <w:vAlign w:val="bottom"/>
            <w:tcBorders>
              <w:top w:val="single" w:sz="8" w:color="auto"/>
            </w:tcBorders>
            <w:shd w:val="clear" w:color="auto" w:fill="DCE2EF"/>
          </w:tcPr>
          <w:p>
            <w:pPr>
              <w:spacing w:after="0"/>
              <w:rPr>
                <w:sz w:val="21"/>
                <w:szCs w:val="21"/>
                <w:color w:val="auto"/>
              </w:rPr>
            </w:pPr>
          </w:p>
        </w:tc>
      </w:tr>
      <w:tr>
        <w:trPr>
          <w:trHeight w:val="210"/>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 management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4"/>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reimbursement</w:t>
            </w: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-1120140</wp:posOffset>
            </wp:positionV>
            <wp:extent cx="14605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-1120140</wp:posOffset>
            </wp:positionV>
            <wp:extent cx="14605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-1120140</wp:posOffset>
            </wp:positionV>
            <wp:extent cx="13716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-622935</wp:posOffset>
            </wp:positionV>
            <wp:extent cx="14605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-622935</wp:posOffset>
            </wp:positionV>
            <wp:extent cx="14605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-622935</wp:posOffset>
            </wp:positionV>
            <wp:extent cx="13716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-459740</wp:posOffset>
            </wp:positionV>
            <wp:extent cx="14605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-459740</wp:posOffset>
            </wp:positionV>
            <wp:extent cx="14605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-459740</wp:posOffset>
            </wp:positionV>
            <wp:extent cx="13716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16"/>
                <w:szCs w:val="16"/>
                <w:color w:val="auto"/>
              </w:rPr>
            </w:pPr>
          </w:p>
        </w:tc>
      </w:tr>
      <w:tr>
        <w:trPr>
          <w:trHeight w:val="232"/>
        </w:trPr>
        <w:tc>
          <w:tcPr>
            <w:tcW w:w="5400" w:type="dxa"/>
            <w:vAlign w:val="bottom"/>
          </w:tcPr>
          <w:p>
            <w:pPr>
              <w:spacing w:after="0"/>
              <w:rPr>
                <w:sz w:val="20"/>
                <w:szCs w:val="20"/>
                <w:color w:val="auto"/>
              </w:rPr>
            </w:pPr>
          </w:p>
        </w:tc>
        <w:tc>
          <w:tcPr>
            <w:tcW w:w="840" w:type="dxa"/>
            <w:vAlign w:val="bottom"/>
          </w:tcPr>
          <w:p>
            <w:pPr>
              <w:jc w:val="center"/>
              <w:ind w:left="389"/>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0"/>
                <w:szCs w:val="20"/>
                <w:color w:val="auto"/>
              </w:rPr>
            </w:pPr>
          </w:p>
        </w:tc>
      </w:tr>
      <w:tr>
        <w:trPr>
          <w:trHeight w:val="193"/>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(loss) Income per Diluted Share to Adjusted Net</w:t>
            </w:r>
          </w:p>
        </w:tc>
        <w:tc>
          <w:tcPr>
            <w:tcW w:w="84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tcBorders>
              <w:top w:val="single" w:sz="8" w:color="auto"/>
            </w:tcBorders>
            <w:shd w:val="clear" w:color="auto" w:fill="DCE2EF"/>
          </w:tcPr>
          <w:p>
            <w:pPr>
              <w:spacing w:after="0"/>
              <w:rPr>
                <w:sz w:val="16"/>
                <w:szCs w:val="16"/>
                <w:color w:val="auto"/>
              </w:rPr>
            </w:pPr>
          </w:p>
        </w:tc>
        <w:tc>
          <w:tcPr>
            <w:tcW w:w="440" w:type="dxa"/>
            <w:vAlign w:val="bottom"/>
            <w:tcBorders>
              <w:top w:val="single" w:sz="8" w:color="auto"/>
            </w:tcBorders>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2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r>
      <w:tr>
        <w:trPr>
          <w:trHeight w:val="196"/>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Income per Diluted Share</w:t>
            </w:r>
          </w:p>
        </w:tc>
        <w:tc>
          <w:tcPr>
            <w:tcW w:w="84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r>
      <w:tr>
        <w:trPr>
          <w:trHeight w:val="178"/>
        </w:trPr>
        <w:tc>
          <w:tcPr>
            <w:tcW w:w="540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c>
          <w:tcPr>
            <w:tcW w:w="460" w:type="dxa"/>
            <w:vAlign w:val="bottom"/>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c>
          <w:tcPr>
            <w:tcW w:w="440" w:type="dxa"/>
            <w:vAlign w:val="bottom"/>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20" w:type="dxa"/>
            <w:vAlign w:val="bottom"/>
            <w:shd w:val="clear" w:color="auto" w:fill="DCE2EF"/>
          </w:tcPr>
          <w:p>
            <w:pPr>
              <w:spacing w:after="0"/>
              <w:rPr>
                <w:sz w:val="15"/>
                <w:szCs w:val="15"/>
                <w:color w:val="auto"/>
              </w:rPr>
            </w:pPr>
          </w:p>
        </w:tc>
        <w:tc>
          <w:tcPr>
            <w:tcW w:w="46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820" w:type="dxa"/>
            <w:vAlign w:val="bottom"/>
            <w:shd w:val="clear" w:color="auto" w:fill="DCE2EF"/>
          </w:tcPr>
          <w:p>
            <w:pPr>
              <w:spacing w:after="0"/>
              <w:rPr>
                <w:sz w:val="15"/>
                <w:szCs w:val="15"/>
                <w:color w:val="auto"/>
              </w:rPr>
            </w:pPr>
          </w:p>
        </w:tc>
        <w:tc>
          <w:tcPr>
            <w:tcW w:w="460" w:type="dxa"/>
            <w:vAlign w:val="bottom"/>
            <w:shd w:val="clear" w:color="auto" w:fill="DCE2EF"/>
          </w:tcPr>
          <w:p>
            <w:pPr>
              <w:spacing w:after="0"/>
              <w:rPr>
                <w:sz w:val="15"/>
                <w:szCs w:val="15"/>
                <w:color w:val="auto"/>
              </w:rPr>
            </w:pPr>
          </w:p>
        </w:tc>
      </w:tr>
      <w:tr>
        <w:trPr>
          <w:trHeight w:val="253"/>
        </w:trPr>
        <w:tc>
          <w:tcPr>
            <w:tcW w:w="5400" w:type="dxa"/>
            <w:vAlign w:val="bottom"/>
          </w:tcPr>
          <w:p>
            <w:pPr>
              <w:ind w:left="60"/>
              <w:spacing w:after="0"/>
              <w:rPr>
                <w:sz w:val="20"/>
                <w:szCs w:val="20"/>
                <w:color w:val="auto"/>
              </w:rPr>
            </w:pPr>
            <w:r>
              <w:rPr>
                <w:rFonts w:ascii="Arial" w:cs="Arial" w:eastAsia="Arial" w:hAnsi="Arial"/>
                <w:sz w:val="14"/>
                <w:szCs w:val="14"/>
                <w:color w:val="auto"/>
              </w:rPr>
              <w:t>Net (loss) income per diluted share</w:t>
            </w:r>
          </w:p>
        </w:tc>
        <w:tc>
          <w:tcPr>
            <w:tcW w:w="840" w:type="dxa"/>
            <w:vAlign w:val="bottom"/>
          </w:tcPr>
          <w:p>
            <w:pPr>
              <w:jc w:val="center"/>
              <w:ind w:left="36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(0.19)</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0.96</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1.28</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53"/>
        </w:trPr>
        <w:tc>
          <w:tcPr>
            <w:tcW w:w="5400" w:type="dxa"/>
            <w:vAlign w:val="bottom"/>
            <w:shd w:val="clear" w:color="auto" w:fill="DCE2EF"/>
          </w:tcPr>
          <w:p>
            <w:pPr>
              <w:ind w:left="120"/>
              <w:spacing w:after="0"/>
              <w:rPr>
                <w:sz w:val="20"/>
                <w:szCs w:val="20"/>
                <w:color w:val="auto"/>
              </w:rPr>
            </w:pPr>
            <w:r>
              <w:rPr>
                <w:rFonts w:ascii="Arial" w:cs="Arial" w:eastAsia="Arial" w:hAnsi="Arial"/>
                <w:sz w:val="14"/>
                <w:szCs w:val="14"/>
                <w:color w:val="auto"/>
              </w:rPr>
              <w:t>Items impacting comparability, net of taxes</w:t>
            </w:r>
          </w:p>
        </w:tc>
        <w:tc>
          <w:tcPr>
            <w:tcW w:w="84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4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8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r>
      <w:tr>
        <w:trPr>
          <w:trHeight w:val="233"/>
        </w:trPr>
        <w:tc>
          <w:tcPr>
            <w:tcW w:w="540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2.29</w:t>
            </w:r>
          </w:p>
        </w:tc>
        <w:tc>
          <w:tcPr>
            <w:tcW w:w="22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(0.29)</w:t>
            </w:r>
          </w:p>
        </w:tc>
      </w:tr>
      <w:tr>
        <w:trPr>
          <w:trHeight w:val="219"/>
        </w:trPr>
        <w:tc>
          <w:tcPr>
            <w:tcW w:w="5400" w:type="dxa"/>
            <w:vAlign w:val="bottom"/>
          </w:tcPr>
          <w:p>
            <w:pPr>
              <w:ind w:left="60"/>
              <w:spacing w:after="0"/>
              <w:rPr>
                <w:sz w:val="20"/>
                <w:szCs w:val="20"/>
                <w:color w:val="auto"/>
              </w:rPr>
            </w:pPr>
            <w:r>
              <w:rPr>
                <w:rFonts w:ascii="Arial" w:cs="Arial" w:eastAsia="Arial" w:hAnsi="Arial"/>
                <w:sz w:val="14"/>
                <w:szCs w:val="14"/>
                <w:color w:val="auto"/>
              </w:rPr>
              <w:t>Adjusted Net Income per diluted 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0.90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3.57</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1"/>
        </w:trPr>
        <w:tc>
          <w:tcPr>
            <w:tcW w:w="54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51"/>
        </w:trPr>
        <w:tc>
          <w:tcPr>
            <w:tcW w:w="540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24"/>
                <w:szCs w:val="24"/>
                <w:color w:val="auto"/>
              </w:rPr>
            </w:pPr>
          </w:p>
        </w:tc>
      </w:tr>
      <w:tr>
        <w:trPr>
          <w:trHeight w:val="232"/>
        </w:trPr>
        <w:tc>
          <w:tcPr>
            <w:tcW w:w="5400" w:type="dxa"/>
            <w:vAlign w:val="bottom"/>
          </w:tcPr>
          <w:p>
            <w:pPr>
              <w:spacing w:after="0"/>
              <w:rPr>
                <w:sz w:val="20"/>
                <w:szCs w:val="20"/>
                <w:color w:val="auto"/>
              </w:rPr>
            </w:pPr>
          </w:p>
        </w:tc>
        <w:tc>
          <w:tcPr>
            <w:tcW w:w="840" w:type="dxa"/>
            <w:vAlign w:val="bottom"/>
          </w:tcPr>
          <w:p>
            <w:pPr>
              <w:jc w:val="center"/>
              <w:ind w:left="389"/>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0"/>
                <w:szCs w:val="20"/>
                <w:color w:val="auto"/>
              </w:rPr>
            </w:pPr>
          </w:p>
        </w:tc>
      </w:tr>
      <w:tr>
        <w:trPr>
          <w:trHeight w:val="183"/>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Operating Activities to Free</w:t>
            </w:r>
          </w:p>
        </w:tc>
        <w:tc>
          <w:tcPr>
            <w:tcW w:w="84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40" w:type="dxa"/>
            <w:vAlign w:val="bottom"/>
            <w:tcBorders>
              <w:top w:val="single" w:sz="8" w:color="auto"/>
            </w:tcBorders>
            <w:shd w:val="clear" w:color="auto" w:fill="DCE2EF"/>
          </w:tcPr>
          <w:p>
            <w:pPr>
              <w:spacing w:after="0"/>
              <w:rPr>
                <w:sz w:val="15"/>
                <w:szCs w:val="15"/>
                <w:color w:val="auto"/>
              </w:rPr>
            </w:pPr>
          </w:p>
        </w:tc>
        <w:tc>
          <w:tcPr>
            <w:tcW w:w="440" w:type="dxa"/>
            <w:vAlign w:val="bottom"/>
            <w:tcBorders>
              <w:top w:val="single" w:sz="8" w:color="auto"/>
            </w:tcBorders>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2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82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r>
      <w:tr>
        <w:trPr>
          <w:trHeight w:val="222"/>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Cash Flow</w:t>
            </w:r>
          </w:p>
        </w:tc>
        <w:tc>
          <w:tcPr>
            <w:tcW w:w="84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r>
      <w:tr>
        <w:trPr>
          <w:trHeight w:val="257"/>
        </w:trPr>
        <w:tc>
          <w:tcPr>
            <w:tcW w:w="5400" w:type="dxa"/>
            <w:vAlign w:val="bottom"/>
          </w:tcPr>
          <w:p>
            <w:pPr>
              <w:ind w:left="60"/>
              <w:spacing w:after="0"/>
              <w:rPr>
                <w:sz w:val="20"/>
                <w:szCs w:val="20"/>
                <w:color w:val="auto"/>
              </w:rPr>
            </w:pPr>
            <w:r>
              <w:rPr>
                <w:rFonts w:ascii="Arial" w:cs="Arial" w:eastAsia="Arial" w:hAnsi="Arial"/>
                <w:sz w:val="15"/>
                <w:szCs w:val="15"/>
                <w:color w:val="auto"/>
              </w:rPr>
              <w:t>Net cash provided by operating activities</w:t>
            </w:r>
            <w:r>
              <w:rPr>
                <w:rFonts w:ascii="Arial" w:cs="Arial" w:eastAsia="Arial" w:hAnsi="Arial"/>
                <w:sz w:val="20"/>
                <w:szCs w:val="20"/>
                <w:color w:val="auto"/>
                <w:vertAlign w:val="superscript"/>
              </w:rPr>
              <w:t>(k)</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30.3</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139.1</w:t>
            </w:r>
          </w:p>
        </w:tc>
        <w:tc>
          <w:tcPr>
            <w:tcW w:w="106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226.7</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243.3</w:t>
            </w:r>
          </w:p>
        </w:tc>
      </w:tr>
      <w:tr>
        <w:trPr>
          <w:trHeight w:val="257"/>
        </w:trPr>
        <w:tc>
          <w:tcPr>
            <w:tcW w:w="5400" w:type="dxa"/>
            <w:vAlign w:val="bottom"/>
            <w:tcBorders>
              <w:bottom w:val="single" w:sz="8" w:color="DCE2EF"/>
            </w:tcBorders>
            <w:shd w:val="clear" w:color="auto" w:fill="DCE2EF"/>
          </w:tcPr>
          <w:p>
            <w:pPr>
              <w:ind w:left="120"/>
              <w:spacing w:after="0"/>
              <w:rPr>
                <w:sz w:val="20"/>
                <w:szCs w:val="20"/>
                <w:color w:val="auto"/>
              </w:rPr>
            </w:pPr>
            <w:r>
              <w:rPr>
                <w:rFonts w:ascii="Arial" w:cs="Arial" w:eastAsia="Arial" w:hAnsi="Arial"/>
                <w:sz w:val="15"/>
                <w:szCs w:val="15"/>
                <w:color w:val="auto"/>
              </w:rPr>
              <w:t>Additions to property, plant and equipment</w:t>
            </w:r>
          </w:p>
        </w:tc>
        <w:tc>
          <w:tcPr>
            <w:tcW w:w="84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(14.8)</w:t>
            </w:r>
          </w:p>
        </w:tc>
        <w:tc>
          <w:tcPr>
            <w:tcW w:w="24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(17.9)</w:t>
            </w:r>
          </w:p>
        </w:tc>
        <w:tc>
          <w:tcPr>
            <w:tcW w:w="2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(59.4)</w:t>
            </w:r>
          </w:p>
        </w:tc>
        <w:tc>
          <w:tcPr>
            <w:tcW w:w="22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w:t>
            </w:r>
          </w:p>
        </w:tc>
      </w:tr>
      <w:tr>
        <w:trPr>
          <w:trHeight w:val="230"/>
        </w:trPr>
        <w:tc>
          <w:tcPr>
            <w:tcW w:w="540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15.5</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121.2</w:t>
            </w:r>
          </w:p>
        </w:tc>
        <w:tc>
          <w:tcPr>
            <w:tcW w:w="106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167.3</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190.7</w:t>
            </w:r>
          </w:p>
        </w:tc>
      </w:tr>
      <w:tr>
        <w:trPr>
          <w:trHeight w:val="27"/>
        </w:trPr>
        <w:tc>
          <w:tcPr>
            <w:tcW w:w="54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-2256790</wp:posOffset>
            </wp:positionV>
            <wp:extent cx="14605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-2256790</wp:posOffset>
            </wp:positionV>
            <wp:extent cx="14605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-2256790</wp:posOffset>
            </wp:positionV>
            <wp:extent cx="13716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-1416685</wp:posOffset>
            </wp:positionV>
            <wp:extent cx="14605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-1416685</wp:posOffset>
            </wp:positionV>
            <wp:extent cx="14605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-1416685</wp:posOffset>
            </wp:positionV>
            <wp:extent cx="13716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-790575</wp:posOffset>
            </wp:positionV>
            <wp:extent cx="14605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-790575</wp:posOffset>
            </wp:positionV>
            <wp:extent cx="14605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-790575</wp:posOffset>
            </wp:positionV>
            <wp:extent cx="13716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-199390</wp:posOffset>
            </wp:positionV>
            <wp:extent cx="14605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-199390</wp:posOffset>
            </wp:positionV>
            <wp:extent cx="14605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-199390</wp:posOffset>
            </wp:positionV>
            <wp:extent cx="13716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46" w:lineRule="exact"/>
        <w:rPr>
          <w:sz w:val="20"/>
          <w:szCs w:val="20"/>
          <w:color w:val="auto"/>
        </w:rPr>
      </w:pPr>
    </w:p>
    <w:p>
      <w:pPr>
        <w:ind w:firstLine="8"/>
        <w:spacing w:after="0"/>
        <w:tabs>
          <w:tab w:leader="none" w:pos="127" w:val="left"/>
        </w:tabs>
        <w:numPr>
          <w:ilvl w:val="0"/>
          <w:numId w:val="22"/>
        </w:numPr>
        <w:rPr>
          <w:rFonts w:ascii="Arial" w:cs="Arial" w:eastAsia="Arial" w:hAnsi="Arial"/>
          <w:sz w:val="14"/>
          <w:szCs w:val="14"/>
          <w:color w:val="auto"/>
          <w:vertAlign w:val="superscript"/>
        </w:rPr>
      </w:pPr>
      <w:r>
        <w:rPr>
          <w:rFonts w:ascii="Arial" w:cs="Arial" w:eastAsia="Arial" w:hAnsi="Arial"/>
          <w:sz w:val="10"/>
          <w:szCs w:val="10"/>
          <w:color w:val="auto"/>
        </w:rPr>
        <w:t>The Company adjusts net income to exclude the impact of certain items that are unusual, non-recurring, or otherwise do not reflect management's views of the underlying operational results and trends of the Company.</w:t>
      </w:r>
    </w:p>
    <w:p>
      <w:pPr>
        <w:spacing w:after="0" w:line="257" w:lineRule="exact"/>
        <w:rPr>
          <w:rFonts w:ascii="Arial" w:cs="Arial" w:eastAsia="Arial" w:hAnsi="Arial"/>
          <w:sz w:val="14"/>
          <w:szCs w:val="14"/>
          <w:color w:val="auto"/>
          <w:vertAlign w:val="superscript"/>
        </w:rPr>
      </w:pPr>
    </w:p>
    <w:p>
      <w:pPr>
        <w:jc w:val="both"/>
        <w:ind w:firstLine="43"/>
        <w:spacing w:after="0" w:line="313" w:lineRule="auto"/>
        <w:tabs>
          <w:tab w:leader="none" w:pos="161" w:val="left"/>
        </w:tabs>
        <w:numPr>
          <w:ilvl w:val="1"/>
          <w:numId w:val="22"/>
        </w:numPr>
        <w:rPr>
          <w:rFonts w:ascii="Arial" w:cs="Arial" w:eastAsia="Arial" w:hAnsi="Arial"/>
          <w:sz w:val="14"/>
          <w:szCs w:val="14"/>
          <w:color w:val="auto"/>
          <w:vertAlign w:val="superscript"/>
        </w:rPr>
      </w:pPr>
      <w:r>
        <w:rPr>
          <w:rFonts w:ascii="Arial" w:cs="Arial" w:eastAsia="Arial" w:hAnsi="Arial"/>
          <w:sz w:val="10"/>
          <w:szCs w:val="10"/>
          <w:color w:val="auto"/>
        </w:rPr>
        <w:t>Represents the net adjustments to our self-insurance reserve for general liability, workers’ compensation, automobile and medical and dental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months and the year ended October 31, 2024, our self-insurance general liability, workers’ compensation and automobile insurance claims related to prior period accident years was increased by $2.4 million and by $20.3 million, respectively. For the three months and the year ended October 31, 2023, our self-insurance general liability, workers’ compensation, automobile and medical and dental insurance claims related to prior period accident years was decreased by $9.5 million and by $11.3 million, respectively.</w:t>
      </w:r>
    </w:p>
    <w:p>
      <w:pPr>
        <w:spacing w:after="0" w:line="239"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Represents acquisition and integration related costs primarily associated with Able acquisition.</w:t>
      </w:r>
    </w:p>
    <w:p>
      <w:pPr>
        <w:spacing w:after="0" w:line="122" w:lineRule="exact"/>
        <w:rPr>
          <w:rFonts w:ascii="Arial" w:cs="Arial" w:eastAsia="Arial" w:hAnsi="Arial"/>
          <w:sz w:val="14"/>
          <w:szCs w:val="14"/>
          <w:color w:val="auto"/>
          <w:vertAlign w:val="superscript"/>
        </w:rPr>
      </w:pPr>
    </w:p>
    <w:p>
      <w:pPr>
        <w:jc w:val="both"/>
        <w:ind w:firstLine="8"/>
        <w:spacing w:after="0" w:line="458" w:lineRule="auto"/>
        <w:tabs>
          <w:tab w:leader="none" w:pos="127"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Represents discrete transformational costs that primarily consists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8" w:lineRule="exact"/>
        <w:rPr>
          <w:rFonts w:ascii="Arial" w:cs="Arial" w:eastAsia="Arial" w:hAnsi="Arial"/>
          <w:sz w:val="14"/>
          <w:szCs w:val="14"/>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Represents an adjustment to the estimate of the fair value of the contingent consideration associated with the RavenVolt acquisition.</w:t>
      </w:r>
    </w:p>
    <w:p>
      <w:pPr>
        <w:spacing w:after="0" w:line="88" w:lineRule="exact"/>
        <w:rPr>
          <w:rFonts w:ascii="Arial" w:cs="Arial" w:eastAsia="Arial" w:hAnsi="Arial"/>
          <w:sz w:val="16"/>
          <w:szCs w:val="16"/>
          <w:color w:val="auto"/>
          <w:vertAlign w:val="superscript"/>
        </w:rPr>
      </w:pPr>
    </w:p>
    <w:p>
      <w:pPr>
        <w:ind w:left="120" w:hanging="112"/>
        <w:spacing w:after="0"/>
        <w:tabs>
          <w:tab w:leader="none" w:pos="12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Represents Employee Retention Credit (ERC) refunds received from the Internal Revenue Service.</w:t>
      </w:r>
    </w:p>
    <w:p>
      <w:pPr>
        <w:spacing w:after="0" w:line="117" w:lineRule="exact"/>
        <w:rPr>
          <w:rFonts w:ascii="Arial" w:cs="Arial" w:eastAsia="Arial" w:hAnsi="Arial"/>
          <w:sz w:val="17"/>
          <w:szCs w:val="17"/>
          <w:color w:val="auto"/>
          <w:vertAlign w:val="superscript"/>
        </w:rPr>
      </w:pPr>
    </w:p>
    <w:p>
      <w:pPr>
        <w:ind w:right="60" w:firstLine="8"/>
        <w:spacing w:after="0" w:line="458" w:lineRule="auto"/>
        <w:tabs>
          <w:tab w:leader="none" w:pos="127"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Includes a $4.4 million accrual related to certain prior years' union benefits' audit. Also includes a $3.9 million accrual reversal for an abated withdrawal liability, which was initially accrued in FY 2019. The accrual was related to a lost client account where ABM employees assigned to the account participated in a defined-benefit multiemployer pension fund where contributions to the pension fund by ABM were limited to that single client account.</w:t>
      </w:r>
    </w:p>
    <w:p>
      <w:pPr>
        <w:spacing w:after="0" w:line="26" w:lineRule="exact"/>
        <w:rPr>
          <w:rFonts w:ascii="Arial" w:cs="Arial" w:eastAsia="Arial" w:hAnsi="Arial"/>
          <w:sz w:val="14"/>
          <w:szCs w:val="14"/>
          <w:color w:val="auto"/>
          <w:vertAlign w:val="superscript"/>
        </w:rPr>
      </w:pPr>
    </w:p>
    <w:p>
      <w:pPr>
        <w:ind w:right="220" w:firstLine="8"/>
        <w:spacing w:after="0" w:line="292" w:lineRule="auto"/>
        <w:tabs>
          <w:tab w:leader="none" w:pos="127"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The year ended October 31, 2024 includes severance costs related to the permanent elimination of the role of Executive Vice President, Chief Strategy &amp; Transformation Officer. The three months and the year ended October 31, 2023 include severance and related costs associated with the Company's reorganization that impacted approximately 150 people.</w:t>
      </w:r>
    </w:p>
    <w:p>
      <w:pPr>
        <w:spacing w:after="0" w:line="82" w:lineRule="exact"/>
        <w:rPr>
          <w:rFonts w:ascii="Arial" w:cs="Arial" w:eastAsia="Arial" w:hAnsi="Arial"/>
          <w:sz w:val="14"/>
          <w:szCs w:val="14"/>
          <w:color w:val="auto"/>
          <w:vertAlign w:val="superscript"/>
        </w:rPr>
      </w:pPr>
    </w:p>
    <w:p>
      <w:pPr>
        <w:ind w:right="260" w:firstLine="8"/>
        <w:spacing w:after="0" w:line="243" w:lineRule="auto"/>
        <w:tabs>
          <w:tab w:leader="none" w:pos="98"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The Company's tax impact is calculated using the federal and state statutory rate of 28.11% for FY 2024 and FY 2023. For purposes of calculating the tax impact, the change in the fair value of the contingent consideration related to RavenVolt acquisition is deemed to be a non-taxable item.</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We calculate tax from the underlying whole-dollar amounts, as a result, certain amounts may not recalculate based on reported numbers due to rounding.</w:t>
      </w:r>
    </w:p>
    <w:p>
      <w:pPr>
        <w:spacing w:after="0" w:line="128" w:lineRule="exact"/>
        <w:rPr>
          <w:sz w:val="20"/>
          <w:szCs w:val="20"/>
          <w:color w:val="auto"/>
        </w:rPr>
      </w:pPr>
    </w:p>
    <w:p>
      <w:pPr>
        <w:ind w:left="100" w:hanging="92"/>
        <w:spacing w:after="0"/>
        <w:tabs>
          <w:tab w:leader="none" w:pos="10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The Company’s tax impact also includes the following discrete items:</w:t>
      </w:r>
    </w:p>
    <w:p>
      <w:pPr>
        <w:spacing w:after="0" w:line="74" w:lineRule="exact"/>
        <w:rPr>
          <w:rFonts w:ascii="Arial" w:cs="Arial" w:eastAsia="Arial" w:hAnsi="Arial"/>
          <w:sz w:val="15"/>
          <w:szCs w:val="15"/>
          <w:color w:val="auto"/>
          <w:vertAlign w:val="superscript"/>
        </w:rPr>
      </w:pPr>
    </w:p>
    <w:p>
      <w:pPr>
        <w:ind w:left="760" w:hanging="378"/>
        <w:spacing w:after="0"/>
        <w:tabs>
          <w:tab w:leader="none" w:pos="760" w:val="left"/>
        </w:tabs>
        <w:numPr>
          <w:ilvl w:val="1"/>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For the three months ended October 31, 2024</w:t>
      </w:r>
    </w:p>
    <w:p>
      <w:pPr>
        <w:ind w:left="1500" w:hanging="369"/>
        <w:spacing w:after="0" w:line="216" w:lineRule="auto"/>
        <w:tabs>
          <w:tab w:leader="none" w:pos="1500" w:val="left"/>
        </w:tabs>
        <w:numPr>
          <w:ilvl w:val="2"/>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$4.9 million prior year tax benefit related to our Puerto Rico operations</w:t>
      </w:r>
    </w:p>
    <w:p>
      <w:pPr>
        <w:ind w:left="760" w:hanging="378"/>
        <w:spacing w:after="0" w:line="216" w:lineRule="auto"/>
        <w:tabs>
          <w:tab w:leader="none" w:pos="760" w:val="left"/>
        </w:tabs>
        <w:numPr>
          <w:ilvl w:val="1"/>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For the year ended October 31, 2024</w:t>
      </w:r>
    </w:p>
    <w:p>
      <w:pPr>
        <w:ind w:left="1500" w:hanging="369"/>
        <w:spacing w:after="0" w:line="216" w:lineRule="auto"/>
        <w:tabs>
          <w:tab w:leader="none" w:pos="1500" w:val="left"/>
        </w:tabs>
        <w:numPr>
          <w:ilvl w:val="2"/>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$4.9 million prior year tax benefit related to our Puerto Rico operations</w:t>
      </w:r>
    </w:p>
    <w:p>
      <w:pPr>
        <w:ind w:left="1500" w:hanging="369"/>
        <w:spacing w:after="0" w:line="216" w:lineRule="auto"/>
        <w:tabs>
          <w:tab w:leader="none" w:pos="1500" w:val="left"/>
        </w:tabs>
        <w:numPr>
          <w:ilvl w:val="2"/>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$0.4 million benefit for uncertain tax positions with expiring statues</w:t>
      </w:r>
    </w:p>
    <w:p>
      <w:pPr>
        <w:ind w:left="760" w:hanging="378"/>
        <w:spacing w:after="0" w:line="216" w:lineRule="auto"/>
        <w:tabs>
          <w:tab w:leader="none" w:pos="760" w:val="left"/>
        </w:tabs>
        <w:numPr>
          <w:ilvl w:val="1"/>
          <w:numId w:val="24"/>
        </w:numPr>
        <w:rPr>
          <w:rFonts w:ascii="Times New Roman" w:cs="Times New Roman" w:eastAsia="Times New Roman" w:hAnsi="Times New Roman"/>
          <w:sz w:val="12"/>
          <w:szCs w:val="12"/>
          <w:color w:val="auto"/>
        </w:rPr>
      </w:pPr>
      <w:r>
        <w:rPr>
          <w:rFonts w:ascii="Arial" w:cs="Arial" w:eastAsia="Arial" w:hAnsi="Arial"/>
          <w:sz w:val="13"/>
          <w:szCs w:val="13"/>
          <w:color w:val="auto"/>
        </w:rPr>
        <w:t>For the three months ended October 31, 2023</w:t>
      </w:r>
    </w:p>
    <w:p>
      <w:pPr>
        <w:ind w:left="1500" w:hanging="369"/>
        <w:spacing w:after="0" w:line="217" w:lineRule="auto"/>
        <w:tabs>
          <w:tab w:leader="none" w:pos="1500" w:val="left"/>
        </w:tabs>
        <w:numPr>
          <w:ilvl w:val="2"/>
          <w:numId w:val="25"/>
        </w:numPr>
        <w:rPr>
          <w:rFonts w:ascii="Times New Roman" w:cs="Times New Roman" w:eastAsia="Times New Roman" w:hAnsi="Times New Roman"/>
          <w:sz w:val="12"/>
          <w:szCs w:val="12"/>
          <w:color w:val="auto"/>
        </w:rPr>
      </w:pPr>
      <w:r>
        <w:rPr>
          <w:rFonts w:ascii="Arial" w:cs="Arial" w:eastAsia="Arial" w:hAnsi="Arial"/>
          <w:sz w:val="13"/>
          <w:szCs w:val="13"/>
          <w:color w:val="auto"/>
        </w:rPr>
        <w:t>a tax benefit of $1.8 million related to expiring statue of limitations</w:t>
      </w:r>
    </w:p>
    <w:p>
      <w:pPr>
        <w:ind w:left="1500" w:hanging="369"/>
        <w:spacing w:after="0" w:line="216" w:lineRule="auto"/>
        <w:tabs>
          <w:tab w:leader="none" w:pos="1500" w:val="left"/>
        </w:tabs>
        <w:numPr>
          <w:ilvl w:val="2"/>
          <w:numId w:val="25"/>
        </w:numPr>
        <w:rPr>
          <w:rFonts w:ascii="Times New Roman" w:cs="Times New Roman" w:eastAsia="Times New Roman" w:hAnsi="Times New Roman"/>
          <w:sz w:val="12"/>
          <w:szCs w:val="12"/>
          <w:color w:val="auto"/>
        </w:rPr>
      </w:pPr>
      <w:r>
        <w:rPr>
          <w:rFonts w:ascii="Arial" w:cs="Arial" w:eastAsia="Arial" w:hAnsi="Arial"/>
          <w:sz w:val="13"/>
          <w:szCs w:val="13"/>
          <w:color w:val="auto"/>
        </w:rPr>
        <w:t>$0.4 million charge related to ERC refunds received from IRS</w:t>
      </w:r>
    </w:p>
    <w:p>
      <w:pPr>
        <w:ind w:left="760" w:hanging="378"/>
        <w:spacing w:after="0" w:line="216" w:lineRule="auto"/>
        <w:tabs>
          <w:tab w:leader="none" w:pos="760" w:val="left"/>
        </w:tabs>
        <w:numPr>
          <w:ilvl w:val="1"/>
          <w:numId w:val="25"/>
        </w:numPr>
        <w:rPr>
          <w:rFonts w:ascii="Times New Roman" w:cs="Times New Roman" w:eastAsia="Times New Roman" w:hAnsi="Times New Roman"/>
          <w:sz w:val="12"/>
          <w:szCs w:val="12"/>
          <w:color w:val="auto"/>
        </w:rPr>
      </w:pPr>
      <w:r>
        <w:rPr>
          <w:rFonts w:ascii="Arial" w:cs="Arial" w:eastAsia="Arial" w:hAnsi="Arial"/>
          <w:sz w:val="13"/>
          <w:szCs w:val="13"/>
          <w:color w:val="auto"/>
        </w:rPr>
        <w:t>For the year ended October 31, 2023</w:t>
      </w:r>
    </w:p>
    <w:p>
      <w:pPr>
        <w:ind w:left="1500" w:hanging="369"/>
        <w:spacing w:after="0" w:line="216" w:lineRule="auto"/>
        <w:tabs>
          <w:tab w:leader="none" w:pos="1500" w:val="left"/>
        </w:tabs>
        <w:numPr>
          <w:ilvl w:val="2"/>
          <w:numId w:val="25"/>
        </w:numPr>
        <w:rPr>
          <w:rFonts w:ascii="Times New Roman" w:cs="Times New Roman" w:eastAsia="Times New Roman" w:hAnsi="Times New Roman"/>
          <w:sz w:val="12"/>
          <w:szCs w:val="12"/>
          <w:color w:val="auto"/>
        </w:rPr>
      </w:pPr>
      <w:r>
        <w:rPr>
          <w:rFonts w:ascii="Arial" w:cs="Arial" w:eastAsia="Arial" w:hAnsi="Arial"/>
          <w:sz w:val="13"/>
          <w:szCs w:val="13"/>
          <w:color w:val="auto"/>
        </w:rPr>
        <w:t>a tax benefit of $1.8 million related to expiring statue of limitations</w:t>
      </w:r>
    </w:p>
    <w:p>
      <w:pPr>
        <w:ind w:left="1500" w:hanging="369"/>
        <w:spacing w:after="0"/>
        <w:tabs>
          <w:tab w:leader="none" w:pos="1500" w:val="left"/>
        </w:tabs>
        <w:numPr>
          <w:ilvl w:val="2"/>
          <w:numId w:val="25"/>
        </w:numPr>
        <w:rPr>
          <w:rFonts w:ascii="Times New Roman" w:cs="Times New Roman" w:eastAsia="Times New Roman" w:hAnsi="Times New Roman"/>
          <w:sz w:val="12"/>
          <w:szCs w:val="12"/>
          <w:color w:val="auto"/>
        </w:rPr>
      </w:pPr>
      <w:r>
        <w:rPr>
          <w:rFonts w:ascii="Arial" w:cs="Arial" w:eastAsia="Arial" w:hAnsi="Arial"/>
          <w:sz w:val="13"/>
          <w:szCs w:val="13"/>
          <w:color w:val="auto"/>
        </w:rPr>
        <w:t>$5.4 million charge related to ERC refunds received from IRS</w:t>
      </w:r>
    </w:p>
    <w:p>
      <w:pPr>
        <w:spacing w:after="0" w:line="122" w:lineRule="exact"/>
        <w:rPr>
          <w:rFonts w:ascii="Times New Roman" w:cs="Times New Roman" w:eastAsia="Times New Roman" w:hAnsi="Times New Roman"/>
          <w:sz w:val="12"/>
          <w:szCs w:val="12"/>
          <w:color w:val="auto"/>
        </w:rPr>
      </w:pPr>
    </w:p>
    <w:p>
      <w:pPr>
        <w:ind w:firstLine="8"/>
        <w:spacing w:after="0" w:line="243" w:lineRule="auto"/>
        <w:tabs>
          <w:tab w:leader="none" w:pos="130" w:val="left"/>
        </w:tabs>
        <w:numPr>
          <w:ilvl w:val="0"/>
          <w:numId w:val="25"/>
        </w:numPr>
        <w:rPr>
          <w:rFonts w:ascii="Times New Roman" w:cs="Times New Roman" w:eastAsia="Times New Roman" w:hAnsi="Times New Roman"/>
          <w:sz w:val="15"/>
          <w:szCs w:val="15"/>
          <w:color w:val="auto"/>
          <w:vertAlign w:val="superscript"/>
        </w:rPr>
      </w:pPr>
      <w:r>
        <w:rPr>
          <w:rFonts w:ascii="Arial" w:cs="Arial" w:eastAsia="Arial" w:hAnsi="Arial"/>
          <w:sz w:val="11"/>
          <w:szCs w:val="11"/>
          <w:color w:val="auto"/>
        </w:rPr>
        <w:t>The year ended October 31, 2023, includes $24.0 million in Employee Retention Credit (ERC) refunds received from the Internal Revenue Service and a $66 million payment for deferred payroll taxes under the Coronavirus Aid Relief and Economic Security Act (“CARES Act”)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844"/>
    </w:lvl>
  </w:abstractNum>
  <w:abstractNum w:abstractNumId="4">
    <w:nsid w:val="1BEFD79F"/>
    <w:multiLevelType w:val="hybridMultilevel"/>
    <w:lvl w:ilvl="0">
      <w:lvlJc w:val="left"/>
      <w:lvlText w:val="(%1)"/>
      <w:numFmt w:val="decimal"/>
      <w:start w:val="21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lvl w:ilvl="1">
      <w:lvlJc w:val="left"/>
      <w:lvlText w:val="(%2)"/>
      <w:numFmt w:val="lowerLetter"/>
      <w:start w:val="2"/>
    </w:lvl>
  </w:abstractNum>
  <w:abstractNum w:abstractNumId="22">
    <w:nsid w:val="75A2A8D4"/>
    <w:multiLevelType w:val="hybridMultilevel"/>
    <w:lvl w:ilvl="0">
      <w:lvlJc w:val="left"/>
      <w:lvlText w:val="(%1)"/>
      <w:numFmt w:val="lowerLetter"/>
      <w:start w:val="3"/>
    </w:lvl>
  </w:abstractNum>
  <w:abstractNum w:abstractNumId="23">
    <w:nsid w:val="8EDBDAB"/>
    <w:multiLevelType w:val="hybridMultilevel"/>
    <w:lvl w:ilvl="0">
      <w:lvlJc w:val="left"/>
      <w:lvlText w:val="(%1)"/>
      <w:numFmt w:val="lowerLetter"/>
      <w:start w:val="10"/>
    </w:lvl>
    <w:lvl w:ilvl="1">
      <w:lvlJc w:val="left"/>
      <w:lvlText w:val="•"/>
      <w:numFmt w:val="bullet"/>
      <w:start w:val="1"/>
    </w:lvl>
    <w:lvl w:ilvl="2">
      <w:lvlJc w:val="left"/>
      <w:lvlText w:val="◦"/>
      <w:numFmt w:val="bullet"/>
      <w:start w:val="1"/>
    </w:lvl>
  </w:abstractNum>
  <w:abstractNum w:abstractNumId="24">
    <w:nsid w:val="79838CB2"/>
    <w:multiLevelType w:val="hybridMultilevel"/>
    <w:lvl w:ilvl="0">
      <w:lvlJc w:val="left"/>
      <w:lvlText w:val="(%1)"/>
      <w:numFmt w:val="lowerLetter"/>
      <w:start w:val="10"/>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2024-12-18T06:13:57Z</dcterms:created>
  <dcterms:modified xsi:type="dcterms:W3CDTF">2024-12-18T06:13:57Z</dcterms:modified>
</cp:coreProperties>
</file>