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8"/>
          <w:szCs w:val="18"/>
          <w:color w:val="auto"/>
        </w:rPr>
        <w:t>__________________________</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July 31, 2019</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11"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276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Delaware</w:t>
            </w:r>
          </w:p>
        </w:tc>
        <w:tc>
          <w:tcPr>
            <w:tcW w:w="7380" w:type="dxa"/>
            <w:vAlign w:val="bottom"/>
            <w:gridSpan w:val="3"/>
          </w:tcPr>
          <w:p>
            <w:pPr>
              <w:jc w:val="center"/>
              <w:ind w:left="5890"/>
              <w:spacing w:after="0"/>
              <w:rPr>
                <w:sz w:val="20"/>
                <w:szCs w:val="20"/>
                <w:color w:val="auto"/>
              </w:rPr>
            </w:pPr>
            <w:r>
              <w:rPr>
                <w:rFonts w:ascii="Arial" w:cs="Arial" w:eastAsia="Arial" w:hAnsi="Arial"/>
                <w:sz w:val="18"/>
                <w:szCs w:val="18"/>
                <w:b w:val="1"/>
                <w:bCs w:val="1"/>
                <w:color w:val="auto"/>
                <w:w w:val="99"/>
              </w:rPr>
              <w:t>94-1369354</w:t>
            </w:r>
          </w:p>
        </w:tc>
      </w:tr>
      <w:tr>
        <w:trPr>
          <w:trHeight w:val="391"/>
        </w:trPr>
        <w:tc>
          <w:tcPr>
            <w:tcW w:w="2760" w:type="dxa"/>
            <w:vAlign w:val="bottom"/>
          </w:tcPr>
          <w:p>
            <w:pPr>
              <w:jc w:val="center"/>
              <w:ind w:right="330"/>
              <w:spacing w:after="0"/>
              <w:rPr>
                <w:sz w:val="20"/>
                <w:szCs w:val="20"/>
                <w:color w:val="auto"/>
              </w:rPr>
            </w:pPr>
            <w:r>
              <w:rPr>
                <w:rFonts w:ascii="Arial" w:cs="Arial" w:eastAsia="Arial" w:hAnsi="Arial"/>
                <w:sz w:val="18"/>
                <w:szCs w:val="18"/>
                <w:color w:val="auto"/>
              </w:rPr>
              <w:t>(State or other jurisdiction of</w:t>
            </w:r>
          </w:p>
        </w:tc>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(I.R.S. Employer</w:t>
            </w:r>
          </w:p>
        </w:tc>
      </w:tr>
      <w:tr>
        <w:trPr>
          <w:trHeight w:val="217"/>
        </w:trPr>
        <w:tc>
          <w:tcPr>
            <w:tcW w:w="2760" w:type="dxa"/>
            <w:vAlign w:val="bottom"/>
          </w:tcPr>
          <w:p>
            <w:pPr>
              <w:jc w:val="center"/>
              <w:ind w:right="330"/>
              <w:spacing w:after="0"/>
              <w:rPr>
                <w:sz w:val="20"/>
                <w:szCs w:val="20"/>
                <w:color w:val="auto"/>
              </w:rPr>
            </w:pPr>
            <w:r>
              <w:rPr>
                <w:rFonts w:ascii="Arial" w:cs="Arial" w:eastAsia="Arial" w:hAnsi="Arial"/>
                <w:sz w:val="18"/>
                <w:szCs w:val="18"/>
                <w:color w:val="auto"/>
                <w:w w:val="99"/>
              </w:rPr>
              <w:t>incorporation or organization)</w:t>
            </w:r>
          </w:p>
        </w:tc>
        <w:tc>
          <w:tcPr>
            <w:tcW w:w="1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Identification No.)</w:t>
            </w:r>
          </w:p>
        </w:tc>
      </w:tr>
      <w:tr>
        <w:trPr>
          <w:trHeight w:val="527"/>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__________________________</w:t>
            </w:r>
          </w:p>
        </w:tc>
      </w:tr>
      <w:tr>
        <w:trPr>
          <w:trHeight w:val="301"/>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r>
      <w:tr>
        <w:trPr>
          <w:trHeight w:val="239"/>
        </w:trPr>
        <w:tc>
          <w:tcPr>
            <w:tcW w:w="2760" w:type="dxa"/>
            <w:vAlign w:val="bottom"/>
          </w:tcPr>
          <w:p>
            <w:pPr>
              <w:spacing w:after="0"/>
              <w:rPr>
                <w:sz w:val="20"/>
                <w:szCs w:val="20"/>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8"/>
              </w:rPr>
              <w:t>New York, New York 10006</w:t>
            </w:r>
          </w:p>
        </w:tc>
      </w:tr>
      <w:tr>
        <w:trPr>
          <w:trHeight w:val="324"/>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(Address of principal executive offices)</w:t>
            </w:r>
          </w:p>
        </w:tc>
      </w:tr>
      <w:tr>
        <w:trPr>
          <w:trHeight w:val="392"/>
        </w:trPr>
        <w:tc>
          <w:tcPr>
            <w:tcW w:w="2760" w:type="dxa"/>
            <w:vAlign w:val="bottom"/>
          </w:tcPr>
          <w:p>
            <w:pPr>
              <w:spacing w:after="0"/>
              <w:rPr>
                <w:sz w:val="24"/>
                <w:szCs w:val="24"/>
                <w:color w:val="auto"/>
              </w:rPr>
            </w:pPr>
          </w:p>
        </w:tc>
        <w:tc>
          <w:tcPr>
            <w:tcW w:w="3120" w:type="dxa"/>
            <w:vAlign w:val="bottom"/>
            <w:gridSpan w:val="2"/>
          </w:tcPr>
          <w:p>
            <w:pPr>
              <w:jc w:val="center"/>
              <w:ind w:left="1810"/>
              <w:spacing w:after="0"/>
              <w:rPr>
                <w:sz w:val="20"/>
                <w:szCs w:val="20"/>
                <w:color w:val="auto"/>
              </w:rPr>
            </w:pPr>
            <w:r>
              <w:rPr>
                <w:rFonts w:ascii="Arial" w:cs="Arial" w:eastAsia="Arial" w:hAnsi="Arial"/>
                <w:sz w:val="18"/>
                <w:szCs w:val="18"/>
                <w:b w:val="1"/>
                <w:bCs w:val="1"/>
                <w:u w:val="single" w:color="auto"/>
                <w:color w:val="auto"/>
                <w:w w:val="99"/>
              </w:rPr>
              <w:t>(212)</w:t>
            </w:r>
            <w:r>
              <w:rPr>
                <w:rFonts w:ascii="Arial" w:cs="Arial" w:eastAsia="Arial" w:hAnsi="Arial"/>
                <w:sz w:val="18"/>
                <w:szCs w:val="18"/>
                <w:b w:val="1"/>
                <w:bCs w:val="1"/>
                <w:color w:val="auto"/>
                <w:w w:val="99"/>
              </w:rPr>
              <w:t xml:space="preserve"> 297-0200</w:t>
            </w:r>
          </w:p>
        </w:tc>
        <w:tc>
          <w:tcPr>
            <w:tcW w:w="4260" w:type="dxa"/>
            <w:vAlign w:val="bottom"/>
          </w:tcPr>
          <w:p>
            <w:pPr>
              <w:spacing w:after="0"/>
              <w:rPr>
                <w:sz w:val="24"/>
                <w:szCs w:val="24"/>
                <w:color w:val="auto"/>
              </w:rPr>
            </w:pPr>
          </w:p>
        </w:tc>
      </w:tr>
      <w:tr>
        <w:trPr>
          <w:trHeight w:val="20"/>
        </w:trPr>
        <w:tc>
          <w:tcPr>
            <w:tcW w:w="2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399"/>
        </w:trPr>
        <w:tc>
          <w:tcPr>
            <w:tcW w:w="2760" w:type="dxa"/>
            <w:vAlign w:val="bottom"/>
          </w:tcPr>
          <w:p>
            <w:pPr>
              <w:spacing w:after="0"/>
              <w:rPr>
                <w:sz w:val="24"/>
                <w:szCs w:val="24"/>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432"/>
        </w:trPr>
        <w:tc>
          <w:tcPr>
            <w:tcW w:w="2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20" w:type="dxa"/>
            <w:vAlign w:val="bottom"/>
            <w:gridSpan w:val="2"/>
          </w:tcPr>
          <w:p>
            <w:pPr>
              <w:jc w:val="center"/>
              <w:ind w:right="4230"/>
              <w:spacing w:after="0"/>
              <w:rPr>
                <w:sz w:val="20"/>
                <w:szCs w:val="20"/>
                <w:color w:val="auto"/>
              </w:rPr>
            </w:pPr>
            <w:r>
              <w:rPr>
                <w:rFonts w:ascii="Arial" w:cs="Arial" w:eastAsia="Arial" w:hAnsi="Arial"/>
                <w:sz w:val="18"/>
                <w:szCs w:val="18"/>
                <w:b w:val="1"/>
                <w:bCs w:val="1"/>
                <w:color w:val="auto"/>
              </w:rPr>
              <w:t>None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-2194560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792" w:right="279" w:bottom="1440" w:gutter="0" w:footer="0" w:header="0"/>
        </w:sectPr>
      </w:pPr>
    </w:p>
    <w:bookmarkStart w:id="1" w:name="page2"/>
    <w:bookmarkEnd w:id="1"/>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0"/>
          <w:szCs w:val="20"/>
          <w:color w:val="auto"/>
        </w:rPr>
      </w:pPr>
    </w:p>
    <w:p>
      <w:pPr>
        <w:ind w:left="60"/>
        <w:spacing w:after="0" w:line="207" w:lineRule="exact"/>
        <w:tabs>
          <w:tab w:leader="none" w:pos="2300" w:val="left"/>
          <w:tab w:leader="none" w:pos="3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  </w:t>
      </w:r>
      <w:r>
        <w:rPr>
          <w:rFonts w:ascii="Arial" w:cs="Arial" w:eastAsia="Arial" w:hAnsi="Arial"/>
          <w:sz w:val="18"/>
          <w:szCs w:val="18"/>
          <w:color w:val="auto"/>
        </w:rPr>
        <w:t>Emerging growth company</w:t>
      </w:r>
      <w:r>
        <w:rPr>
          <w:rFonts w:ascii="MS PGothic" w:cs="MS PGothic" w:eastAsia="MS PGothic" w:hAnsi="MS PGothic"/>
          <w:sz w:val="18"/>
          <w:szCs w:val="18"/>
          <w:color w:val="auto"/>
        </w:rPr>
        <w:t xml:space="preserve">  ☐</w:t>
      </w:r>
    </w:p>
    <w:p>
      <w:pPr>
        <w:spacing w:after="0" w:line="241"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0"/>
          <w:szCs w:val="20"/>
          <w:color w:val="auto"/>
        </w:rPr>
      </w:pPr>
    </w:p>
    <w:p>
      <w:pPr>
        <w:spacing w:after="0" w:line="207" w:lineRule="exact"/>
        <w:tabs>
          <w:tab w:leader="none" w:pos="9140" w:val="left"/>
          <w:tab w:leader="none" w:pos="95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r>
        <w:rPr>
          <w:rFonts w:ascii="MS PGothic" w:cs="MS PGothic" w:eastAsia="MS PGothic" w:hAnsi="MS PGothic"/>
          <w:sz w:val="17"/>
          <w:szCs w:val="17"/>
          <w:color w:val="auto"/>
        </w:rPr>
        <w:t xml:space="preserve"> ☑</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20" w:type="dxa"/>
            <w:vAlign w:val="bottom"/>
          </w:tcPr>
          <w:p>
            <w:pPr>
              <w:spacing w:after="0"/>
              <w:rPr>
                <w:sz w:val="18"/>
                <w:szCs w:val="18"/>
                <w:color w:val="auto"/>
              </w:rPr>
            </w:pPr>
          </w:p>
        </w:tc>
        <w:tc>
          <w:tcPr>
            <w:tcW w:w="8100" w:type="dxa"/>
            <w:vAlign w:val="bottom"/>
            <w:gridSpan w:val="5"/>
          </w:tcPr>
          <w:p>
            <w:pPr>
              <w:ind w:left="10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99"/>
        </w:trPr>
        <w:tc>
          <w:tcPr>
            <w:tcW w:w="33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Title of each class</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10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43"/>
        </w:trPr>
        <w:tc>
          <w:tcPr>
            <w:tcW w:w="3320" w:type="dxa"/>
            <w:vAlign w:val="bottom"/>
          </w:tcPr>
          <w:p>
            <w:pPr>
              <w:jc w:val="center"/>
              <w:ind w:left="270"/>
              <w:spacing w:after="0"/>
              <w:rPr>
                <w:sz w:val="20"/>
                <w:szCs w:val="20"/>
                <w:color w:val="auto"/>
              </w:rPr>
            </w:pPr>
            <w:r>
              <w:rPr>
                <w:rFonts w:ascii="Arial" w:cs="Arial" w:eastAsia="Arial" w:hAnsi="Arial"/>
                <w:sz w:val="18"/>
                <w:szCs w:val="18"/>
                <w:b w:val="1"/>
                <w:bCs w:val="1"/>
                <w:color w:val="auto"/>
              </w:rPr>
              <w:t>Common Stock, $0.01 par value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ABM</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the registrant’s common stock outstanding as of September 3, 2019: 66,415,504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2">
              <w:r>
                <w:rPr>
                  <w:rFonts w:ascii="Arial" w:cs="Arial" w:eastAsia="Arial" w:hAnsi="Arial"/>
                  <w:sz w:val="15"/>
                  <w:szCs w:val="15"/>
                  <w:color w:val="0000EE"/>
                  <w:w w:val="95"/>
                </w:rPr>
                <w:t>29</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4">
              <w:r>
                <w:rPr>
                  <w:rFonts w:ascii="Arial" w:cs="Arial" w:eastAsia="Arial" w:hAnsi="Arial"/>
                  <w:sz w:val="15"/>
                  <w:szCs w:val="15"/>
                  <w:color w:val="0000EE"/>
                  <w:w w:val="95"/>
                </w:rPr>
                <w:t>51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5">
              <w:r>
                <w:rPr>
                  <w:rFonts w:ascii="Arial" w:cs="Arial" w:eastAsia="Arial" w:hAnsi="Arial"/>
                  <w:sz w:val="15"/>
                  <w:szCs w:val="15"/>
                  <w:color w:val="0000EE"/>
                  <w:w w:val="95"/>
                </w:rPr>
                <w:t>52</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This Form 10-Q contains both historical and forward-looking statements regarding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45" w:lineRule="exact"/>
        <w:rPr>
          <w:sz w:val="20"/>
          <w:szCs w:val="20"/>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realize the full extent of growth opportunities or potential synergies anticipated from the acquisition of GCA Services Group (“GCA”).</w:t>
      </w:r>
    </w:p>
    <w:p>
      <w:pPr>
        <w:spacing w:after="0" w:line="34"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incurred a substantial amount of debt to complete the acquisition of GCA. To service our debt we will require a significant amount of cash. Our ability to generate cash depends on many factors beyond our control. We also depend on the profitability of our subsidiaries to satisfy our cash needs. If we cannot generate the required cash, we may not be able to make the necessary payments required to service our indebtedness or we may be required to suspend certain discretionary payments, including our dividend.</w:t>
      </w:r>
    </w:p>
    <w:p>
      <w:pPr>
        <w:spacing w:after="0" w:line="20"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Changes to our businesses, operating structure, financial reporting structure, or personnel relating to the implementation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strategic transformation initiative, together with process and technology initiatives following the acquisition of GCA, may not</w:t>
      </w:r>
      <w:r>
        <w:rPr>
          <w:rFonts w:ascii="Arial" w:cs="Arial" w:eastAsia="Arial" w:hAnsi="Arial"/>
          <w:sz w:val="18"/>
          <w:szCs w:val="18"/>
          <w:b w:val="1"/>
          <w:bCs w:val="1"/>
          <w:color w:val="0070C0"/>
        </w:rPr>
        <w:t xml:space="preserve"> </w:t>
      </w:r>
      <w:r>
        <w:rPr>
          <w:rFonts w:ascii="Arial" w:cs="Arial" w:eastAsia="Arial" w:hAnsi="Arial"/>
          <w:sz w:val="18"/>
          <w:szCs w:val="18"/>
          <w:color w:val="000000"/>
        </w:rPr>
        <w:t>have the desired effects on our financial condition and results of operations.</w:t>
      </w:r>
    </w:p>
    <w:p>
      <w:pPr>
        <w:spacing w:after="0" w:line="2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our ability to gain profitable business despite competitive pressures and on our ability to preserve long-term client relationships.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our ability to attract and retain qualified personnel and senior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subcontractors or joint venture partners to perform work under customer contracts exposes us to liability and financial risk.</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business involves risks different from those we face in the United States that could have an effect on our results of operations and financial condition.</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 could cause us to incur substantial liabilities.</w:t>
      </w:r>
    </w:p>
    <w:p>
      <w:pPr>
        <w:spacing w:after="0" w:line="3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insure our insurable risks through a combination of insurance and self-insurance, and we retain a substantial portion of the risk associated with expected losses under these programs, which exposes us to volatility associated with those risks, including the possibility that changes in estimates of ultimate insurance losses could result in material charges against our earnings.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management and safety programs may not have the intended effect of reducing our liability for personal injury or property loss.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goodwill and long-lived assets could have a material adverse effect on our financial condition and results of operations.</w:t>
      </w:r>
    </w:p>
    <w:p>
      <w:pPr>
        <w:spacing w:after="0" w:line="6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including changes in energy prices, government regulations, and changing consumer preferences, could reduce the demand for facility services and, as a result, reduce our earnings and adversely affect our financial condition.</w:t>
      </w:r>
    </w:p>
    <w:p>
      <w:pPr>
        <w:spacing w:after="0" w:line="3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materially affected by changes to fiscal and tax policies. Negative or unexpected tax consequences could adversely affect our results of operations.</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breaches of, or disruptions to, our information technology systems or those of our third-party providers or clients, or other compromises of our data that could adversely affect our business.</w:t>
      </w:r>
    </w:p>
    <w:p>
      <w:pPr>
        <w:spacing w:after="0" w:line="3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number of our employees are covered by collective bargaining agreements that could expose us to potential liabilities in relationship to our participation in multiemployer pension plans, requirements to make contributions to other benefit plans, and the potential for strikes, work slowdowns or similar activities, and union-organizing drives.</w:t>
      </w:r>
    </w:p>
    <w:p>
      <w:pPr>
        <w:spacing w:after="0" w:line="39"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negatively impacted by adverse weather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disasters, and terrorist attacks could disrupt our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investors could disrupt our business.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2018 and in other reports we file from time to time with the Securities and Exchange Commission (including all amendments to those reports).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3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6AD"/>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CONSOLIDATED FINANCIAL STATEMENTS.</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300" w:type="dxa"/>
            <w:vAlign w:val="bottom"/>
          </w:tcPr>
          <w:p>
            <w:pPr>
              <w:spacing w:after="0"/>
              <w:rPr>
                <w:sz w:val="14"/>
                <w:szCs w:val="14"/>
                <w:color w:val="auto"/>
              </w:rPr>
            </w:pPr>
          </w:p>
        </w:tc>
        <w:tc>
          <w:tcPr>
            <w:tcW w:w="174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July 31, 2019</w:t>
            </w:r>
          </w:p>
        </w:tc>
        <w:tc>
          <w:tcPr>
            <w:tcW w:w="240" w:type="dxa"/>
            <w:vAlign w:val="bottom"/>
          </w:tcPr>
          <w:p>
            <w:pPr>
              <w:spacing w:after="0"/>
              <w:rPr>
                <w:sz w:val="14"/>
                <w:szCs w:val="14"/>
                <w:color w:val="auto"/>
              </w:rPr>
            </w:pPr>
          </w:p>
        </w:tc>
        <w:tc>
          <w:tcPr>
            <w:tcW w:w="170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October 31, 2018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860" w:type="dxa"/>
            <w:vAlign w:val="bottom"/>
            <w:tcBorders>
              <w:top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7420" w:type="dxa"/>
            <w:vAlign w:val="bottom"/>
            <w:tcBorders>
              <w:top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top w:val="single" w:sz="8" w:color="auto"/>
            </w:tcBorders>
            <w:shd w:val="clear" w:color="auto" w:fill="DCE2EF"/>
          </w:tcPr>
          <w:p>
            <w:pPr>
              <w:spacing w:after="0"/>
              <w:rPr>
                <w:sz w:val="23"/>
                <w:szCs w:val="23"/>
                <w:color w:val="auto"/>
              </w:rPr>
            </w:pPr>
          </w:p>
        </w:tc>
        <w:tc>
          <w:tcPr>
            <w:tcW w:w="164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240" w:type="dxa"/>
            <w:vAlign w:val="bottom"/>
            <w:tcBorders>
              <w:top w:val="single" w:sz="8" w:color="auto"/>
            </w:tcBorders>
            <w:shd w:val="clear" w:color="auto" w:fill="DCE2EF"/>
          </w:tcPr>
          <w:p>
            <w:pPr>
              <w:spacing w:after="0"/>
              <w:rPr>
                <w:sz w:val="23"/>
                <w:szCs w:val="23"/>
                <w:color w:val="auto"/>
              </w:rPr>
            </w:pPr>
          </w:p>
        </w:tc>
        <w:tc>
          <w:tcPr>
            <w:tcW w:w="1700" w:type="dxa"/>
            <w:vAlign w:val="bottom"/>
            <w:tcBorders>
              <w:top w:val="single" w:sz="8" w:color="auto"/>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3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60.5</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Trade accounts receivable, net of allowances of $22.6</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520"/>
              <w:spacing w:after="0"/>
              <w:rPr>
                <w:sz w:val="20"/>
                <w:szCs w:val="20"/>
                <w:color w:val="auto"/>
              </w:rPr>
            </w:pPr>
            <w:r>
              <w:rPr>
                <w:rFonts w:ascii="Arial" w:cs="Arial" w:eastAsia="Arial" w:hAnsi="Arial"/>
                <w:sz w:val="15"/>
                <w:szCs w:val="15"/>
                <w:color w:val="auto"/>
              </w:rPr>
              <w:t>and $19.2 at July 31, 2019 and October 31, 2018, respectively</w:t>
            </w:r>
          </w:p>
        </w:tc>
        <w:tc>
          <w:tcPr>
            <w:tcW w:w="300" w:type="dxa"/>
            <w:vAlign w:val="bottom"/>
          </w:tcPr>
          <w:p>
            <w:pPr>
              <w:spacing w:after="0"/>
              <w:rPr>
                <w:sz w:val="16"/>
                <w:szCs w:val="16"/>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1,061.3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1,014.1</w:t>
            </w: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Costs incurred in excess of amounts billed</w:t>
            </w:r>
          </w:p>
        </w:tc>
        <w:tc>
          <w:tcPr>
            <w:tcW w:w="300" w:type="dxa"/>
            <w:vAlign w:val="bottom"/>
            <w:shd w:val="clear" w:color="auto" w:fill="DCE2EF"/>
          </w:tcPr>
          <w:p>
            <w:pPr>
              <w:spacing w:after="0"/>
              <w:rPr>
                <w:sz w:val="19"/>
                <w:szCs w:val="19"/>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68.4</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Prepaid expenses</w:t>
            </w:r>
          </w:p>
        </w:tc>
        <w:tc>
          <w:tcPr>
            <w:tcW w:w="300" w:type="dxa"/>
            <w:vAlign w:val="bottom"/>
          </w:tcPr>
          <w:p>
            <w:pPr>
              <w:spacing w:after="0"/>
              <w:rPr>
                <w:sz w:val="23"/>
                <w:szCs w:val="23"/>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75.5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80.8</w:t>
            </w:r>
          </w:p>
        </w:tc>
        <w:tc>
          <w:tcPr>
            <w:tcW w:w="0" w:type="dxa"/>
            <w:vAlign w:val="bottom"/>
          </w:tcPr>
          <w:p>
            <w:pPr>
              <w:spacing w:after="0"/>
              <w:rPr>
                <w:sz w:val="1"/>
                <w:szCs w:val="1"/>
                <w:color w:val="auto"/>
              </w:rPr>
            </w:pPr>
          </w:p>
        </w:tc>
      </w:tr>
      <w:tr>
        <w:trPr>
          <w:trHeight w:val="270"/>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Other current assets</w:t>
            </w:r>
          </w:p>
        </w:tc>
        <w:tc>
          <w:tcPr>
            <w:tcW w:w="300" w:type="dxa"/>
            <w:vAlign w:val="bottom"/>
            <w:tcBorders>
              <w:bottom w:val="single" w:sz="8" w:color="auto"/>
            </w:tcBorders>
            <w:shd w:val="clear" w:color="auto" w:fill="DCE2EF"/>
          </w:tcPr>
          <w:p>
            <w:pPr>
              <w:spacing w:after="0"/>
              <w:rPr>
                <w:sz w:val="23"/>
                <w:szCs w:val="23"/>
                <w:color w:val="auto"/>
              </w:rPr>
            </w:pPr>
          </w:p>
        </w:tc>
        <w:tc>
          <w:tcPr>
            <w:tcW w:w="16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53.5</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37.0</w:t>
            </w:r>
          </w:p>
        </w:tc>
        <w:tc>
          <w:tcPr>
            <w:tcW w:w="0" w:type="dxa"/>
            <w:vAlign w:val="bottom"/>
          </w:tcPr>
          <w:p>
            <w:pPr>
              <w:spacing w:after="0"/>
              <w:rPr>
                <w:sz w:val="1"/>
                <w:szCs w:val="1"/>
                <w:color w:val="auto"/>
              </w:rPr>
            </w:pPr>
          </w:p>
        </w:tc>
      </w:tr>
      <w:tr>
        <w:trPr>
          <w:trHeight w:val="250"/>
        </w:trPr>
        <w:tc>
          <w:tcPr>
            <w:tcW w:w="20" w:type="dxa"/>
            <w:vAlign w:val="bottom"/>
            <w:tcBorders>
              <w:bottom w:val="single" w:sz="8" w:color="DCE2EF"/>
            </w:tcBorders>
          </w:tcPr>
          <w:p>
            <w:pPr>
              <w:spacing w:after="0"/>
              <w:rPr>
                <w:sz w:val="21"/>
                <w:szCs w:val="21"/>
                <w:color w:val="auto"/>
              </w:rPr>
            </w:pPr>
          </w:p>
        </w:tc>
        <w:tc>
          <w:tcPr>
            <w:tcW w:w="7400" w:type="dxa"/>
            <w:vAlign w:val="bottom"/>
            <w:tcBorders>
              <w:bottom w:val="single" w:sz="8" w:color="DCE2EF"/>
            </w:tcBorders>
            <w:gridSpan w:val="2"/>
          </w:tcPr>
          <w:p>
            <w:pPr>
              <w:ind w:left="680"/>
              <w:spacing w:after="0"/>
              <w:rPr>
                <w:sz w:val="20"/>
                <w:szCs w:val="20"/>
                <w:color w:val="auto"/>
              </w:rPr>
            </w:pPr>
            <w:r>
              <w:rPr>
                <w:rFonts w:ascii="Arial" w:cs="Arial" w:eastAsia="Arial" w:hAnsi="Arial"/>
                <w:sz w:val="15"/>
                <w:szCs w:val="15"/>
                <w:color w:val="auto"/>
              </w:rPr>
              <w:t>Total current assets</w:t>
            </w: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1,319.2</w:t>
            </w:r>
          </w:p>
        </w:tc>
        <w:tc>
          <w:tcPr>
            <w:tcW w:w="100" w:type="dxa"/>
            <w:vAlign w:val="bottom"/>
            <w:tcBorders>
              <w:bottom w:val="single" w:sz="8" w:color="DCE2E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1,171.0</w:t>
            </w:r>
          </w:p>
        </w:tc>
        <w:tc>
          <w:tcPr>
            <w:tcW w:w="0" w:type="dxa"/>
            <w:vAlign w:val="bottom"/>
          </w:tcPr>
          <w:p>
            <w:pPr>
              <w:spacing w:after="0"/>
              <w:rPr>
                <w:sz w:val="1"/>
                <w:szCs w:val="1"/>
                <w:color w:val="auto"/>
              </w:rPr>
            </w:pPr>
          </w:p>
        </w:tc>
      </w:tr>
      <w:tr>
        <w:trPr>
          <w:trHeight w:val="25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investments</w:t>
            </w:r>
          </w:p>
        </w:tc>
        <w:tc>
          <w:tcPr>
            <w:tcW w:w="300" w:type="dxa"/>
            <w:vAlign w:val="bottom"/>
            <w:shd w:val="clear" w:color="auto" w:fill="DCE2EF"/>
          </w:tcPr>
          <w:p>
            <w:pPr>
              <w:spacing w:after="0"/>
              <w:rPr>
                <w:sz w:val="22"/>
                <w:szCs w:val="22"/>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15.1</w:t>
            </w:r>
          </w:p>
        </w:tc>
        <w:tc>
          <w:tcPr>
            <w:tcW w:w="10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8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Property, plant and equipment, net of accumulated depreciation of $188.7</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160"/>
              <w:spacing w:after="0"/>
              <w:rPr>
                <w:sz w:val="20"/>
                <w:szCs w:val="20"/>
                <w:color w:val="auto"/>
              </w:rPr>
            </w:pPr>
            <w:r>
              <w:rPr>
                <w:rFonts w:ascii="Arial" w:cs="Arial" w:eastAsia="Arial" w:hAnsi="Arial"/>
                <w:sz w:val="15"/>
                <w:szCs w:val="15"/>
                <w:color w:val="auto"/>
              </w:rPr>
              <w:t>and $153.9 at July 31, 2019 and October 31, 2018, respectively</w:t>
            </w:r>
          </w:p>
        </w:tc>
        <w:tc>
          <w:tcPr>
            <w:tcW w:w="300" w:type="dxa"/>
            <w:vAlign w:val="bottom"/>
          </w:tcPr>
          <w:p>
            <w:pPr>
              <w:spacing w:after="0"/>
              <w:rPr>
                <w:sz w:val="16"/>
                <w:szCs w:val="16"/>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147.1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140.1</w:t>
            </w:r>
          </w:p>
        </w:tc>
        <w:tc>
          <w:tcPr>
            <w:tcW w:w="0" w:type="dxa"/>
            <w:vAlign w:val="bottom"/>
          </w:tcPr>
          <w:p>
            <w:pPr>
              <w:spacing w:after="0"/>
              <w:rPr>
                <w:sz w:val="1"/>
                <w:szCs w:val="1"/>
                <w:color w:val="auto"/>
              </w:rPr>
            </w:pPr>
          </w:p>
        </w:tc>
      </w:tr>
      <w:tr>
        <w:trPr>
          <w:trHeight w:val="190"/>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intangible assets, net of accumulated amortization of $294.7</w:t>
            </w:r>
          </w:p>
        </w:tc>
        <w:tc>
          <w:tcPr>
            <w:tcW w:w="300" w:type="dxa"/>
            <w:vAlign w:val="bottom"/>
            <w:shd w:val="clear" w:color="auto" w:fill="DCE2EF"/>
          </w:tcPr>
          <w:p>
            <w:pPr>
              <w:spacing w:after="0"/>
              <w:rPr>
                <w:sz w:val="16"/>
                <w:szCs w:val="16"/>
                <w:color w:val="auto"/>
              </w:rPr>
            </w:pPr>
          </w:p>
        </w:tc>
        <w:tc>
          <w:tcPr>
            <w:tcW w:w="16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DCE2EF"/>
          </w:tcPr>
          <w:p>
            <w:pPr>
              <w:spacing w:after="0"/>
              <w:rPr>
                <w:sz w:val="16"/>
                <w:szCs w:val="16"/>
                <w:color w:val="auto"/>
              </w:rPr>
            </w:pPr>
          </w:p>
        </w:tc>
        <w:tc>
          <w:tcPr>
            <w:tcW w:w="7400" w:type="dxa"/>
            <w:vAlign w:val="bottom"/>
            <w:gridSpan w:val="2"/>
            <w:shd w:val="clear" w:color="auto" w:fill="DCE2EF"/>
          </w:tcPr>
          <w:p>
            <w:pPr>
              <w:ind w:left="160"/>
              <w:spacing w:after="0"/>
              <w:rPr>
                <w:sz w:val="20"/>
                <w:szCs w:val="20"/>
                <w:color w:val="auto"/>
              </w:rPr>
            </w:pPr>
            <w:r>
              <w:rPr>
                <w:rFonts w:ascii="Arial" w:cs="Arial" w:eastAsia="Arial" w:hAnsi="Arial"/>
                <w:sz w:val="15"/>
                <w:szCs w:val="15"/>
                <w:color w:val="auto"/>
              </w:rPr>
              <w:t>and $250.4 at July 31, 2019 and October 31, 2018, respectively</w:t>
            </w:r>
          </w:p>
        </w:tc>
        <w:tc>
          <w:tcPr>
            <w:tcW w:w="300" w:type="dxa"/>
            <w:vAlign w:val="bottom"/>
            <w:shd w:val="clear" w:color="auto" w:fill="DCE2EF"/>
          </w:tcPr>
          <w:p>
            <w:pPr>
              <w:spacing w:after="0"/>
              <w:rPr>
                <w:sz w:val="16"/>
                <w:szCs w:val="16"/>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310.4</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355.7</w:t>
            </w: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Goodwill</w:t>
            </w:r>
          </w:p>
        </w:tc>
        <w:tc>
          <w:tcPr>
            <w:tcW w:w="300" w:type="dxa"/>
            <w:vAlign w:val="bottom"/>
          </w:tcPr>
          <w:p>
            <w:pPr>
              <w:spacing w:after="0"/>
              <w:rPr>
                <w:sz w:val="23"/>
                <w:szCs w:val="23"/>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1,832.0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1,834.8</w:t>
            </w:r>
          </w:p>
        </w:tc>
        <w:tc>
          <w:tcPr>
            <w:tcW w:w="0" w:type="dxa"/>
            <w:vAlign w:val="bottom"/>
          </w:tcPr>
          <w:p>
            <w:pPr>
              <w:spacing w:after="0"/>
              <w:rPr>
                <w:sz w:val="1"/>
                <w:szCs w:val="1"/>
                <w:color w:val="auto"/>
              </w:rPr>
            </w:pPr>
          </w:p>
        </w:tc>
      </w:tr>
      <w:tr>
        <w:trPr>
          <w:trHeight w:val="270"/>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noncurrent assets</w:t>
            </w:r>
          </w:p>
        </w:tc>
        <w:tc>
          <w:tcPr>
            <w:tcW w:w="300" w:type="dxa"/>
            <w:vAlign w:val="bottom"/>
            <w:tcBorders>
              <w:bottom w:val="single" w:sz="8" w:color="auto"/>
            </w:tcBorders>
            <w:shd w:val="clear" w:color="auto" w:fill="DCE2EF"/>
          </w:tcPr>
          <w:p>
            <w:pPr>
              <w:spacing w:after="0"/>
              <w:rPr>
                <w:sz w:val="23"/>
                <w:szCs w:val="23"/>
                <w:color w:val="auto"/>
              </w:rPr>
            </w:pPr>
          </w:p>
        </w:tc>
        <w:tc>
          <w:tcPr>
            <w:tcW w:w="16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120.2</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109.6</w:t>
            </w:r>
          </w:p>
        </w:tc>
        <w:tc>
          <w:tcPr>
            <w:tcW w:w="0" w:type="dxa"/>
            <w:vAlign w:val="bottom"/>
          </w:tcPr>
          <w:p>
            <w:pPr>
              <w:spacing w:after="0"/>
              <w:rPr>
                <w:sz w:val="1"/>
                <w:szCs w:val="1"/>
                <w:color w:val="auto"/>
              </w:rPr>
            </w:pPr>
          </w:p>
        </w:tc>
      </w:tr>
      <w:tr>
        <w:trPr>
          <w:trHeight w:val="281"/>
        </w:trPr>
        <w:tc>
          <w:tcPr>
            <w:tcW w:w="742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Total assets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3,744.0</w:t>
            </w:r>
          </w:p>
        </w:tc>
        <w:tc>
          <w:tcPr>
            <w:tcW w:w="100" w:type="dxa"/>
            <w:vAlign w:val="bottom"/>
            <w:tcBorders>
              <w:bottom w:val="single" w:sz="8" w:color="DCE2EF"/>
            </w:tcBorders>
          </w:tcPr>
          <w:p>
            <w:pPr>
              <w:spacing w:after="0"/>
              <w:rPr>
                <w:sz w:val="24"/>
                <w:szCs w:val="24"/>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3,627.5</w:t>
            </w:r>
          </w:p>
        </w:tc>
        <w:tc>
          <w:tcPr>
            <w:tcW w:w="0" w:type="dxa"/>
            <w:vAlign w:val="bottom"/>
          </w:tcPr>
          <w:p>
            <w:pPr>
              <w:spacing w:after="0"/>
              <w:rPr>
                <w:sz w:val="1"/>
                <w:szCs w:val="1"/>
                <w:color w:val="auto"/>
              </w:rPr>
            </w:pPr>
          </w:p>
        </w:tc>
      </w:tr>
      <w:tr>
        <w:trPr>
          <w:trHeight w:val="251"/>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shd w:val="clear" w:color="auto" w:fill="DCE2EF"/>
          </w:tcPr>
          <w:p>
            <w:pPr>
              <w:spacing w:after="0"/>
              <w:rPr>
                <w:sz w:val="21"/>
                <w:szCs w:val="21"/>
                <w:color w:val="auto"/>
              </w:rPr>
            </w:pPr>
          </w:p>
        </w:tc>
        <w:tc>
          <w:tcPr>
            <w:tcW w:w="164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170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Current liabilities</w:t>
            </w:r>
          </w:p>
        </w:tc>
        <w:tc>
          <w:tcPr>
            <w:tcW w:w="3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Current portion of long-term debt, net</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52.2</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37.0</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Trade accounts payable</w:t>
            </w:r>
          </w:p>
        </w:tc>
        <w:tc>
          <w:tcPr>
            <w:tcW w:w="300" w:type="dxa"/>
            <w:vAlign w:val="bottom"/>
          </w:tcPr>
          <w:p>
            <w:pPr>
              <w:spacing w:after="0"/>
              <w:rPr>
                <w:sz w:val="23"/>
                <w:szCs w:val="23"/>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249.0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221.9</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Accrued compensation</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165.7</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172.1</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Accrued taxes—other than income</w:t>
            </w:r>
          </w:p>
        </w:tc>
        <w:tc>
          <w:tcPr>
            <w:tcW w:w="300" w:type="dxa"/>
            <w:vAlign w:val="bottom"/>
          </w:tcPr>
          <w:p>
            <w:pPr>
              <w:spacing w:after="0"/>
              <w:rPr>
                <w:sz w:val="23"/>
                <w:szCs w:val="23"/>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83.6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Insurance claims</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150.9</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149.5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Income taxes payable</w:t>
            </w:r>
          </w:p>
        </w:tc>
        <w:tc>
          <w:tcPr>
            <w:tcW w:w="300" w:type="dxa"/>
            <w:vAlign w:val="bottom"/>
          </w:tcPr>
          <w:p>
            <w:pPr>
              <w:spacing w:after="0"/>
              <w:rPr>
                <w:sz w:val="23"/>
                <w:szCs w:val="23"/>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70"/>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Other accrued liabilities</w:t>
            </w:r>
          </w:p>
        </w:tc>
        <w:tc>
          <w:tcPr>
            <w:tcW w:w="300" w:type="dxa"/>
            <w:vAlign w:val="bottom"/>
            <w:tcBorders>
              <w:bottom w:val="single" w:sz="8" w:color="auto"/>
            </w:tcBorders>
            <w:shd w:val="clear" w:color="auto" w:fill="DCE2EF"/>
          </w:tcPr>
          <w:p>
            <w:pPr>
              <w:spacing w:after="0"/>
              <w:rPr>
                <w:sz w:val="23"/>
                <w:szCs w:val="23"/>
                <w:color w:val="auto"/>
              </w:rPr>
            </w:pPr>
          </w:p>
        </w:tc>
        <w:tc>
          <w:tcPr>
            <w:tcW w:w="16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166.4</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152.7</w:t>
            </w:r>
          </w:p>
        </w:tc>
        <w:tc>
          <w:tcPr>
            <w:tcW w:w="0" w:type="dxa"/>
            <w:vAlign w:val="bottom"/>
          </w:tcPr>
          <w:p>
            <w:pPr>
              <w:spacing w:after="0"/>
              <w:rPr>
                <w:sz w:val="1"/>
                <w:szCs w:val="1"/>
                <w:color w:val="auto"/>
              </w:rPr>
            </w:pPr>
          </w:p>
        </w:tc>
      </w:tr>
      <w:tr>
        <w:trPr>
          <w:trHeight w:val="250"/>
        </w:trPr>
        <w:tc>
          <w:tcPr>
            <w:tcW w:w="20" w:type="dxa"/>
            <w:vAlign w:val="bottom"/>
            <w:tcBorders>
              <w:bottom w:val="single" w:sz="8" w:color="DCE2EF"/>
            </w:tcBorders>
          </w:tcPr>
          <w:p>
            <w:pPr>
              <w:spacing w:after="0"/>
              <w:rPr>
                <w:sz w:val="21"/>
                <w:szCs w:val="21"/>
                <w:color w:val="auto"/>
              </w:rPr>
            </w:pPr>
          </w:p>
        </w:tc>
        <w:tc>
          <w:tcPr>
            <w:tcW w:w="7400" w:type="dxa"/>
            <w:vAlign w:val="bottom"/>
            <w:tcBorders>
              <w:bottom w:val="single" w:sz="8" w:color="DCE2EF"/>
            </w:tcBorders>
            <w:gridSpan w:val="2"/>
          </w:tcPr>
          <w:p>
            <w:pPr>
              <w:ind w:left="680"/>
              <w:spacing w:after="0"/>
              <w:rPr>
                <w:sz w:val="20"/>
                <w:szCs w:val="20"/>
                <w:color w:val="auto"/>
              </w:rPr>
            </w:pPr>
            <w:r>
              <w:rPr>
                <w:rFonts w:ascii="Arial" w:cs="Arial" w:eastAsia="Arial" w:hAnsi="Arial"/>
                <w:sz w:val="15"/>
                <w:szCs w:val="15"/>
                <w:color w:val="auto"/>
              </w:rPr>
              <w:t>Total current liabilities</w:t>
            </w: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877.4</w:t>
            </w:r>
          </w:p>
        </w:tc>
        <w:tc>
          <w:tcPr>
            <w:tcW w:w="100" w:type="dxa"/>
            <w:vAlign w:val="bottom"/>
            <w:tcBorders>
              <w:bottom w:val="single" w:sz="8" w:color="DCE2E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792.5</w:t>
            </w:r>
          </w:p>
        </w:tc>
        <w:tc>
          <w:tcPr>
            <w:tcW w:w="0" w:type="dxa"/>
            <w:vAlign w:val="bottom"/>
          </w:tcPr>
          <w:p>
            <w:pPr>
              <w:spacing w:after="0"/>
              <w:rPr>
                <w:sz w:val="1"/>
                <w:szCs w:val="1"/>
                <w:color w:val="auto"/>
              </w:rPr>
            </w:pPr>
          </w:p>
        </w:tc>
      </w:tr>
      <w:tr>
        <w:trPr>
          <w:trHeight w:val="25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Long-term debt, net</w:t>
            </w:r>
          </w:p>
        </w:tc>
        <w:tc>
          <w:tcPr>
            <w:tcW w:w="300" w:type="dxa"/>
            <w:vAlign w:val="bottom"/>
            <w:shd w:val="clear" w:color="auto" w:fill="DCE2EF"/>
          </w:tcPr>
          <w:p>
            <w:pPr>
              <w:spacing w:after="0"/>
              <w:rPr>
                <w:sz w:val="22"/>
                <w:szCs w:val="22"/>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872.2</w:t>
            </w:r>
          </w:p>
        </w:tc>
        <w:tc>
          <w:tcPr>
            <w:tcW w:w="10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902.0</w:t>
            </w: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Deferred income tax liability, net</w:t>
            </w:r>
          </w:p>
        </w:tc>
        <w:tc>
          <w:tcPr>
            <w:tcW w:w="300" w:type="dxa"/>
            <w:vAlign w:val="bottom"/>
          </w:tcPr>
          <w:p>
            <w:pPr>
              <w:spacing w:after="0"/>
              <w:rPr>
                <w:sz w:val="23"/>
                <w:szCs w:val="23"/>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31.6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37.8</w:t>
            </w: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insurance claims</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368.0</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360.8</w:t>
            </w: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Other noncurrent liabilities</w:t>
            </w:r>
          </w:p>
        </w:tc>
        <w:tc>
          <w:tcPr>
            <w:tcW w:w="300" w:type="dxa"/>
            <w:vAlign w:val="bottom"/>
          </w:tcPr>
          <w:p>
            <w:pPr>
              <w:spacing w:after="0"/>
              <w:rPr>
                <w:sz w:val="23"/>
                <w:szCs w:val="23"/>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75.6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62.9</w:t>
            </w:r>
          </w:p>
        </w:tc>
        <w:tc>
          <w:tcPr>
            <w:tcW w:w="0" w:type="dxa"/>
            <w:vAlign w:val="bottom"/>
          </w:tcPr>
          <w:p>
            <w:pPr>
              <w:spacing w:after="0"/>
              <w:rPr>
                <w:sz w:val="1"/>
                <w:szCs w:val="1"/>
                <w:color w:val="auto"/>
              </w:rPr>
            </w:pPr>
          </w:p>
        </w:tc>
      </w:tr>
      <w:tr>
        <w:trPr>
          <w:trHeight w:val="270"/>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income taxes payable</w:t>
            </w:r>
          </w:p>
        </w:tc>
        <w:tc>
          <w:tcPr>
            <w:tcW w:w="300" w:type="dxa"/>
            <w:vAlign w:val="bottom"/>
            <w:tcBorders>
              <w:bottom w:val="single" w:sz="8" w:color="auto"/>
            </w:tcBorders>
            <w:shd w:val="clear" w:color="auto" w:fill="DCE2EF"/>
          </w:tcPr>
          <w:p>
            <w:pPr>
              <w:spacing w:after="0"/>
              <w:rPr>
                <w:sz w:val="23"/>
                <w:szCs w:val="23"/>
                <w:color w:val="auto"/>
              </w:rPr>
            </w:pPr>
          </w:p>
        </w:tc>
        <w:tc>
          <w:tcPr>
            <w:tcW w:w="16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15.6</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50"/>
        </w:trPr>
        <w:tc>
          <w:tcPr>
            <w:tcW w:w="20" w:type="dxa"/>
            <w:vAlign w:val="bottom"/>
            <w:tcBorders>
              <w:bottom w:val="single" w:sz="8" w:color="DCE2EF"/>
            </w:tcBorders>
          </w:tcPr>
          <w:p>
            <w:pPr>
              <w:spacing w:after="0"/>
              <w:rPr>
                <w:sz w:val="21"/>
                <w:szCs w:val="21"/>
                <w:color w:val="auto"/>
              </w:rPr>
            </w:pPr>
          </w:p>
        </w:tc>
        <w:tc>
          <w:tcPr>
            <w:tcW w:w="7400" w:type="dxa"/>
            <w:vAlign w:val="bottom"/>
            <w:tcBorders>
              <w:bottom w:val="single" w:sz="8" w:color="DCE2EF"/>
            </w:tcBorders>
            <w:gridSpan w:val="2"/>
          </w:tcPr>
          <w:p>
            <w:pPr>
              <w:ind w:left="360"/>
              <w:spacing w:after="0"/>
              <w:rPr>
                <w:sz w:val="20"/>
                <w:szCs w:val="20"/>
                <w:color w:val="auto"/>
              </w:rPr>
            </w:pPr>
            <w:r>
              <w:rPr>
                <w:rFonts w:ascii="Arial" w:cs="Arial" w:eastAsia="Arial" w:hAnsi="Arial"/>
                <w:sz w:val="15"/>
                <w:szCs w:val="15"/>
                <w:color w:val="auto"/>
              </w:rPr>
              <w:t>Total liabilities</w:t>
            </w: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2,240.4</w:t>
            </w:r>
          </w:p>
        </w:tc>
        <w:tc>
          <w:tcPr>
            <w:tcW w:w="100" w:type="dxa"/>
            <w:vAlign w:val="bottom"/>
            <w:tcBorders>
              <w:bottom w:val="single" w:sz="8" w:color="DCE2E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2,172.9</w:t>
            </w:r>
          </w:p>
        </w:tc>
        <w:tc>
          <w:tcPr>
            <w:tcW w:w="0" w:type="dxa"/>
            <w:vAlign w:val="bottom"/>
          </w:tcPr>
          <w:p>
            <w:pPr>
              <w:spacing w:after="0"/>
              <w:rPr>
                <w:sz w:val="1"/>
                <w:szCs w:val="1"/>
                <w:color w:val="auto"/>
              </w:rPr>
            </w:pPr>
          </w:p>
        </w:tc>
      </w:tr>
      <w:tr>
        <w:trPr>
          <w:trHeight w:val="25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Commitments and contingencies</w:t>
            </w:r>
          </w:p>
        </w:tc>
        <w:tc>
          <w:tcPr>
            <w:tcW w:w="300" w:type="dxa"/>
            <w:vAlign w:val="bottom"/>
            <w:shd w:val="clear" w:color="auto" w:fill="DCE2EF"/>
          </w:tcPr>
          <w:p>
            <w:pPr>
              <w:spacing w:after="0"/>
              <w:rPr>
                <w:sz w:val="22"/>
                <w:szCs w:val="22"/>
                <w:color w:val="auto"/>
              </w:rPr>
            </w:pPr>
          </w:p>
        </w:tc>
        <w:tc>
          <w:tcPr>
            <w:tcW w:w="16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170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3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300" w:type="dxa"/>
            <w:vAlign w:val="bottom"/>
            <w:shd w:val="clear" w:color="auto" w:fill="DCE2EF"/>
          </w:tcPr>
          <w:p>
            <w:pPr>
              <w:spacing w:after="0"/>
              <w:rPr>
                <w:sz w:val="23"/>
                <w:szCs w:val="23"/>
                <w:color w:val="auto"/>
              </w:rPr>
            </w:pPr>
          </w:p>
        </w:tc>
        <w:tc>
          <w:tcPr>
            <w:tcW w:w="1740" w:type="dxa"/>
            <w:vAlign w:val="bottom"/>
            <w:gridSpan w:val="2"/>
            <w:shd w:val="clear" w:color="auto" w:fill="DCE2E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Common stock, $0.01 par value; 100,000,000 shares authorized;</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0" w:type="dxa"/>
            <w:vAlign w:val="bottom"/>
            <w:gridSpan w:val="2"/>
          </w:tcPr>
          <w:p>
            <w:pPr>
              <w:ind w:left="520"/>
              <w:spacing w:after="0" w:line="162" w:lineRule="exact"/>
              <w:rPr>
                <w:sz w:val="20"/>
                <w:szCs w:val="20"/>
                <w:color w:val="auto"/>
              </w:rPr>
            </w:pPr>
            <w:r>
              <w:rPr>
                <w:rFonts w:ascii="Arial" w:cs="Arial" w:eastAsia="Arial" w:hAnsi="Arial"/>
                <w:sz w:val="15"/>
                <w:szCs w:val="15"/>
                <w:color w:val="auto"/>
              </w:rPr>
              <w:t>66,392,045 and 66,004,361 shares issued and outstanding at</w:t>
            </w: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520"/>
              <w:spacing w:after="0"/>
              <w:rPr>
                <w:sz w:val="20"/>
                <w:szCs w:val="20"/>
                <w:color w:val="auto"/>
              </w:rPr>
            </w:pPr>
            <w:r>
              <w:rPr>
                <w:rFonts w:ascii="Arial" w:cs="Arial" w:eastAsia="Arial" w:hAnsi="Arial"/>
                <w:sz w:val="15"/>
                <w:szCs w:val="15"/>
                <w:color w:val="auto"/>
              </w:rPr>
              <w:t>July 31, 2019 and October 31, 2018, respectively</w:t>
            </w:r>
          </w:p>
        </w:tc>
        <w:tc>
          <w:tcPr>
            <w:tcW w:w="300" w:type="dxa"/>
            <w:vAlign w:val="bottom"/>
          </w:tcPr>
          <w:p>
            <w:pPr>
              <w:spacing w:after="0"/>
              <w:rPr>
                <w:sz w:val="16"/>
                <w:szCs w:val="16"/>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Additional paid-in capital</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706.9</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691.8</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Accumulated other comprehensive loss, net of taxes</w:t>
            </w:r>
          </w:p>
        </w:tc>
        <w:tc>
          <w:tcPr>
            <w:tcW w:w="3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70"/>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Retained earnings</w:t>
            </w:r>
          </w:p>
        </w:tc>
        <w:tc>
          <w:tcPr>
            <w:tcW w:w="300" w:type="dxa"/>
            <w:vAlign w:val="bottom"/>
            <w:tcBorders>
              <w:bottom w:val="single" w:sz="8" w:color="auto"/>
            </w:tcBorders>
            <w:shd w:val="clear" w:color="auto" w:fill="DCE2EF"/>
          </w:tcPr>
          <w:p>
            <w:pPr>
              <w:spacing w:after="0"/>
              <w:rPr>
                <w:sz w:val="23"/>
                <w:szCs w:val="23"/>
                <w:color w:val="auto"/>
              </w:rPr>
            </w:pPr>
          </w:p>
        </w:tc>
        <w:tc>
          <w:tcPr>
            <w:tcW w:w="16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820.5</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771.2</w:t>
            </w:r>
          </w:p>
        </w:tc>
        <w:tc>
          <w:tcPr>
            <w:tcW w:w="0" w:type="dxa"/>
            <w:vAlign w:val="bottom"/>
          </w:tcPr>
          <w:p>
            <w:pPr>
              <w:spacing w:after="0"/>
              <w:rPr>
                <w:sz w:val="1"/>
                <w:szCs w:val="1"/>
                <w:color w:val="auto"/>
              </w:rPr>
            </w:pPr>
          </w:p>
        </w:tc>
      </w:tr>
      <w:tr>
        <w:trPr>
          <w:trHeight w:val="250"/>
        </w:trPr>
        <w:tc>
          <w:tcPr>
            <w:tcW w:w="20" w:type="dxa"/>
            <w:vAlign w:val="bottom"/>
            <w:tcBorders>
              <w:bottom w:val="single" w:sz="8" w:color="DCE2EF"/>
            </w:tcBorders>
          </w:tcPr>
          <w:p>
            <w:pPr>
              <w:spacing w:after="0"/>
              <w:rPr>
                <w:sz w:val="21"/>
                <w:szCs w:val="21"/>
                <w:color w:val="auto"/>
              </w:rPr>
            </w:pPr>
          </w:p>
        </w:tc>
        <w:tc>
          <w:tcPr>
            <w:tcW w:w="7400" w:type="dxa"/>
            <w:vAlign w:val="bottom"/>
            <w:tcBorders>
              <w:bottom w:val="single" w:sz="8" w:color="DCE2EF"/>
            </w:tcBorders>
            <w:gridSpan w:val="2"/>
          </w:tcPr>
          <w:p>
            <w:pPr>
              <w:ind w:left="360"/>
              <w:spacing w:after="0"/>
              <w:rPr>
                <w:sz w:val="20"/>
                <w:szCs w:val="20"/>
                <w:color w:val="auto"/>
              </w:rPr>
            </w:pPr>
            <w:r>
              <w:rPr>
                <w:rFonts w:ascii="Arial" w:cs="Arial" w:eastAsia="Arial" w:hAnsi="Arial"/>
                <w:sz w:val="15"/>
                <w:szCs w:val="15"/>
                <w:color w:val="auto"/>
              </w:rPr>
              <w:t>Total stockholders’ equity</w:t>
            </w: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1,503.6</w:t>
            </w:r>
          </w:p>
        </w:tc>
        <w:tc>
          <w:tcPr>
            <w:tcW w:w="100" w:type="dxa"/>
            <w:vAlign w:val="bottom"/>
            <w:tcBorders>
              <w:bottom w:val="single" w:sz="8" w:color="DCE2E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1,454.6</w:t>
            </w:r>
          </w:p>
        </w:tc>
        <w:tc>
          <w:tcPr>
            <w:tcW w:w="0" w:type="dxa"/>
            <w:vAlign w:val="bottom"/>
          </w:tcPr>
          <w:p>
            <w:pPr>
              <w:spacing w:after="0"/>
              <w:rPr>
                <w:sz w:val="1"/>
                <w:szCs w:val="1"/>
                <w:color w:val="auto"/>
              </w:rPr>
            </w:pPr>
          </w:p>
        </w:tc>
      </w:tr>
      <w:tr>
        <w:trPr>
          <w:trHeight w:val="241"/>
        </w:trPr>
        <w:tc>
          <w:tcPr>
            <w:tcW w:w="74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3,744.0</w:t>
            </w:r>
          </w:p>
        </w:tc>
        <w:tc>
          <w:tcPr>
            <w:tcW w:w="10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3,627.5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6" w:right="239" w:bottom="115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46" w:right="239" w:bottom="1151"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STATEMENTS OF COMPREHENSIVE INCOME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July 31,</w:t>
            </w:r>
          </w:p>
        </w:tc>
        <w:tc>
          <w:tcPr>
            <w:tcW w:w="300" w:type="dxa"/>
            <w:vAlign w:val="bottom"/>
          </w:tcPr>
          <w:p>
            <w:pPr>
              <w:spacing w:after="0"/>
              <w:rPr>
                <w:sz w:val="18"/>
                <w:szCs w:val="18"/>
                <w:color w:val="auto"/>
              </w:rPr>
            </w:pPr>
          </w:p>
        </w:tc>
        <w:tc>
          <w:tcPr>
            <w:tcW w:w="2760" w:type="dxa"/>
            <w:vAlign w:val="bottom"/>
            <w:gridSpan w:val="4"/>
          </w:tcPr>
          <w:p>
            <w:pPr>
              <w:jc w:val="right"/>
              <w:ind w:right="381"/>
              <w:spacing w:after="0"/>
              <w:rPr>
                <w:sz w:val="20"/>
                <w:szCs w:val="20"/>
                <w:color w:val="auto"/>
              </w:rPr>
            </w:pPr>
            <w:r>
              <w:rPr>
                <w:rFonts w:ascii="Arial" w:cs="Arial" w:eastAsia="Arial" w:hAnsi="Arial"/>
                <w:sz w:val="16"/>
                <w:szCs w:val="16"/>
                <w:b w:val="1"/>
                <w:bCs w:val="1"/>
                <w:color w:val="auto"/>
              </w:rPr>
              <w:t>Nine Months Ended July 31,</w:t>
            </w:r>
          </w:p>
        </w:tc>
      </w:tr>
      <w:tr>
        <w:trPr>
          <w:trHeight w:val="227"/>
        </w:trPr>
        <w:tc>
          <w:tcPr>
            <w:tcW w:w="51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top w:val="single" w:sz="8" w:color="auto"/>
              <w:bottom w:val="single" w:sz="8" w:color="DCE2EF"/>
            </w:tcBorders>
          </w:tcPr>
          <w:p>
            <w:pPr>
              <w:spacing w:after="0" w:line="20" w:lineRule="exact"/>
              <w:rPr>
                <w:sz w:val="1"/>
                <w:szCs w:val="1"/>
                <w:color w:val="auto"/>
              </w:rPr>
            </w:pPr>
          </w:p>
        </w:tc>
        <w:tc>
          <w:tcPr>
            <w:tcW w:w="286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1,647.9</w:t>
            </w:r>
          </w:p>
        </w:tc>
        <w:tc>
          <w:tcPr>
            <w:tcW w:w="12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1,624.3</w:t>
            </w: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4,850.6</w:t>
            </w: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4,793.5</w:t>
            </w:r>
          </w:p>
        </w:tc>
      </w:tr>
      <w:tr>
        <w:trPr>
          <w:trHeight w:val="266"/>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1,454.1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1,446.7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4,314.2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4,281.8</w:t>
            </w:r>
          </w:p>
        </w:tc>
      </w:tr>
      <w:tr>
        <w:trPr>
          <w:trHeight w:val="27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119.8</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340.9</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326.8</w:t>
            </w:r>
          </w:p>
        </w:tc>
      </w:tr>
      <w:tr>
        <w:trPr>
          <w:trHeight w:val="266"/>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Restructuring and related expenses</w:t>
            </w:r>
          </w:p>
        </w:tc>
        <w:tc>
          <w:tcPr>
            <w:tcW w:w="2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22.5</w:t>
            </w:r>
          </w:p>
        </w:tc>
      </w:tr>
      <w:tr>
        <w:trPr>
          <w:trHeight w:val="27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Borders>
              <w:bottom w:val="single" w:sz="8" w:color="auto"/>
            </w:tcBorders>
            <w:shd w:val="clear" w:color="auto" w:fill="DCE2EF"/>
          </w:tcPr>
          <w:p>
            <w:pPr>
              <w:spacing w:after="0"/>
              <w:rPr>
                <w:sz w:val="23"/>
                <w:szCs w:val="23"/>
                <w:color w:val="auto"/>
              </w:rPr>
            </w:pPr>
          </w:p>
        </w:tc>
        <w:tc>
          <w:tcPr>
            <w:tcW w:w="122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118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49.5</w:t>
            </w:r>
          </w:p>
        </w:tc>
      </w:tr>
      <w:tr>
        <w:trPr>
          <w:trHeight w:val="246"/>
        </w:trPr>
        <w:tc>
          <w:tcPr>
            <w:tcW w:w="5140" w:type="dxa"/>
            <w:vAlign w:val="bottom"/>
            <w:gridSpan w:val="3"/>
          </w:tcPr>
          <w:p>
            <w:pPr>
              <w:ind w:left="20"/>
              <w:spacing w:after="0"/>
              <w:rPr>
                <w:sz w:val="20"/>
                <w:szCs w:val="20"/>
                <w:color w:val="auto"/>
              </w:rPr>
            </w:pPr>
            <w:r>
              <w:rPr>
                <w:rFonts w:ascii="Arial" w:cs="Arial" w:eastAsia="Arial" w:hAnsi="Arial"/>
                <w:sz w:val="16"/>
                <w:szCs w:val="16"/>
                <w:b w:val="1"/>
                <w:bCs w:val="1"/>
                <w:color w:val="auto"/>
              </w:rPr>
              <w:t>Operating profit</w:t>
            </w:r>
          </w:p>
        </w:tc>
        <w:tc>
          <w:tcPr>
            <w:tcW w:w="28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112.9</w:t>
            </w:r>
          </w:p>
        </w:tc>
      </w:tr>
      <w:tr>
        <w:trPr>
          <w:trHeight w:val="27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from unconsolidated affiliates</w:t>
            </w:r>
          </w:p>
        </w:tc>
        <w:tc>
          <w:tcPr>
            <w:tcW w:w="2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0.7</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2.5</w:t>
            </w:r>
          </w:p>
        </w:tc>
      </w:tr>
      <w:tr>
        <w:trPr>
          <w:trHeight w:val="266"/>
        </w:trPr>
        <w:tc>
          <w:tcPr>
            <w:tcW w:w="514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DCE2E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r>
      <w:tr>
        <w:trPr>
          <w:trHeight w:val="25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shd w:val="clear" w:color="auto" w:fill="DCE2EF"/>
          </w:tcPr>
          <w:p>
            <w:pPr>
              <w:spacing w:after="0"/>
              <w:rPr>
                <w:sz w:val="22"/>
                <w:szCs w:val="22"/>
                <w:color w:val="auto"/>
              </w:rPr>
            </w:pP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11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74.4</w:t>
            </w:r>
          </w:p>
        </w:tc>
      </w:tr>
      <w:tr>
        <w:trPr>
          <w:trHeight w:val="266"/>
        </w:trPr>
        <w:tc>
          <w:tcPr>
            <w:tcW w:w="514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Income tax (provision) benefit</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DCE2E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12.7</w:t>
            </w:r>
          </w:p>
        </w:tc>
      </w:tr>
      <w:tr>
        <w:trPr>
          <w:trHeight w:val="25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shd w:val="clear" w:color="auto" w:fill="DCE2EF"/>
          </w:tcPr>
          <w:p>
            <w:pPr>
              <w:spacing w:after="0"/>
              <w:rPr>
                <w:sz w:val="22"/>
                <w:szCs w:val="22"/>
                <w:color w:val="auto"/>
              </w:rPr>
            </w:pP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11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87.1</w:t>
            </w:r>
          </w:p>
        </w:tc>
      </w:tr>
      <w:tr>
        <w:trPr>
          <w:trHeight w:val="266"/>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Income (loss) from discontinued operations, net of taxes</w:t>
            </w:r>
          </w:p>
        </w:tc>
        <w:tc>
          <w:tcPr>
            <w:tcW w:w="2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1.0</w:t>
            </w:r>
          </w:p>
        </w:tc>
      </w:tr>
      <w:tr>
        <w:trPr>
          <w:trHeight w:val="254"/>
        </w:trPr>
        <w:tc>
          <w:tcPr>
            <w:tcW w:w="5140" w:type="dxa"/>
            <w:vAlign w:val="bottom"/>
            <w:tcBorders>
              <w:top w:val="single" w:sz="8" w:color="DCE2EF"/>
            </w:tcBorders>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top w:val="single" w:sz="8" w:color="auto"/>
              <w:bottom w:val="single" w:sz="8" w:color="auto"/>
            </w:tcBorders>
            <w:shd w:val="clear" w:color="auto" w:fill="DCE2EF"/>
          </w:tcPr>
          <w:p>
            <w:pPr>
              <w:spacing w:after="0"/>
              <w:rPr>
                <w:sz w:val="22"/>
                <w:szCs w:val="22"/>
                <w:color w:val="auto"/>
              </w:rPr>
            </w:pPr>
          </w:p>
        </w:tc>
        <w:tc>
          <w:tcPr>
            <w:tcW w:w="1220" w:type="dxa"/>
            <w:vAlign w:val="bottom"/>
            <w:tcBorders>
              <w:top w:val="single" w:sz="8" w:color="auto"/>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36.8</w:t>
            </w:r>
          </w:p>
        </w:tc>
        <w:tc>
          <w:tcPr>
            <w:tcW w:w="120" w:type="dxa"/>
            <w:vAlign w:val="bottom"/>
            <w:tcBorders>
              <w:top w:val="single" w:sz="8" w:color="DCE2EF"/>
            </w:tcBorders>
            <w:shd w:val="clear" w:color="auto" w:fill="DCE2EF"/>
          </w:tcPr>
          <w:p>
            <w:pPr>
              <w:spacing w:after="0"/>
              <w:rPr>
                <w:sz w:val="22"/>
                <w:szCs w:val="22"/>
                <w:color w:val="auto"/>
              </w:rPr>
            </w:pPr>
          </w:p>
        </w:tc>
        <w:tc>
          <w:tcPr>
            <w:tcW w:w="340" w:type="dxa"/>
            <w:vAlign w:val="bottom"/>
            <w:tcBorders>
              <w:top w:val="single" w:sz="8" w:color="auto"/>
              <w:bottom w:val="single" w:sz="8" w:color="auto"/>
            </w:tcBorders>
            <w:shd w:val="clear" w:color="auto" w:fill="DCE2EF"/>
          </w:tcPr>
          <w:p>
            <w:pPr>
              <w:spacing w:after="0"/>
              <w:rPr>
                <w:sz w:val="22"/>
                <w:szCs w:val="22"/>
                <w:color w:val="auto"/>
              </w:rPr>
            </w:pPr>
          </w:p>
        </w:tc>
        <w:tc>
          <w:tcPr>
            <w:tcW w:w="1140" w:type="dxa"/>
            <w:vAlign w:val="bottom"/>
            <w:tcBorders>
              <w:top w:val="single" w:sz="8" w:color="auto"/>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33.6</w:t>
            </w:r>
          </w:p>
        </w:tc>
        <w:tc>
          <w:tcPr>
            <w:tcW w:w="100" w:type="dxa"/>
            <w:vAlign w:val="bottom"/>
            <w:tcBorders>
              <w:top w:val="single" w:sz="8" w:color="DCE2EF"/>
            </w:tcBorders>
            <w:shd w:val="clear" w:color="auto" w:fill="DCE2EF"/>
          </w:tcPr>
          <w:p>
            <w:pPr>
              <w:spacing w:after="0"/>
              <w:rPr>
                <w:sz w:val="22"/>
                <w:szCs w:val="22"/>
                <w:color w:val="auto"/>
              </w:rPr>
            </w:pPr>
          </w:p>
        </w:tc>
        <w:tc>
          <w:tcPr>
            <w:tcW w:w="300" w:type="dxa"/>
            <w:vAlign w:val="bottom"/>
            <w:tcBorders>
              <w:top w:val="single" w:sz="8" w:color="auto"/>
              <w:bottom w:val="single" w:sz="8" w:color="auto"/>
            </w:tcBorders>
            <w:shd w:val="clear" w:color="auto" w:fill="DCE2EF"/>
          </w:tcPr>
          <w:p>
            <w:pPr>
              <w:spacing w:after="0"/>
              <w:rPr>
                <w:sz w:val="22"/>
                <w:szCs w:val="22"/>
                <w:color w:val="auto"/>
              </w:rPr>
            </w:pPr>
          </w:p>
        </w:tc>
        <w:tc>
          <w:tcPr>
            <w:tcW w:w="1180" w:type="dxa"/>
            <w:vAlign w:val="bottom"/>
            <w:tcBorders>
              <w:top w:val="single" w:sz="8" w:color="auto"/>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79.4</w:t>
            </w:r>
          </w:p>
        </w:tc>
        <w:tc>
          <w:tcPr>
            <w:tcW w:w="100" w:type="dxa"/>
            <w:vAlign w:val="bottom"/>
            <w:tcBorders>
              <w:top w:val="single" w:sz="8" w:color="DCE2EF"/>
            </w:tcBorders>
            <w:shd w:val="clear" w:color="auto" w:fill="DCE2EF"/>
          </w:tcPr>
          <w:p>
            <w:pPr>
              <w:spacing w:after="0"/>
              <w:rPr>
                <w:sz w:val="22"/>
                <w:szCs w:val="22"/>
                <w:color w:val="auto"/>
              </w:rPr>
            </w:pPr>
          </w:p>
        </w:tc>
        <w:tc>
          <w:tcPr>
            <w:tcW w:w="340" w:type="dxa"/>
            <w:vAlign w:val="bottom"/>
            <w:tcBorders>
              <w:top w:val="single" w:sz="8" w:color="auto"/>
              <w:bottom w:val="single" w:sz="8" w:color="auto"/>
            </w:tcBorders>
            <w:shd w:val="clear" w:color="auto" w:fill="DCE2EF"/>
          </w:tcPr>
          <w:p>
            <w:pPr>
              <w:spacing w:after="0"/>
              <w:rPr>
                <w:sz w:val="22"/>
                <w:szCs w:val="22"/>
                <w:color w:val="auto"/>
              </w:rPr>
            </w:pPr>
          </w:p>
        </w:tc>
        <w:tc>
          <w:tcPr>
            <w:tcW w:w="1140" w:type="dxa"/>
            <w:vAlign w:val="bottom"/>
            <w:tcBorders>
              <w:top w:val="single" w:sz="8" w:color="auto"/>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88.1</w:t>
            </w:r>
          </w:p>
        </w:tc>
      </w:tr>
      <w:tr>
        <w:trPr>
          <w:trHeight w:val="260"/>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4"/>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Interest rate swaps</w:t>
            </w:r>
          </w:p>
        </w:tc>
        <w:tc>
          <w:tcPr>
            <w:tcW w:w="280" w:type="dxa"/>
            <w:vAlign w:val="bottom"/>
            <w:shd w:val="clear" w:color="auto" w:fill="DCE2EF"/>
          </w:tcPr>
          <w:p>
            <w:pPr>
              <w:spacing w:after="0"/>
              <w:rPr>
                <w:sz w:val="23"/>
                <w:szCs w:val="23"/>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22.0</w:t>
            </w:r>
          </w:p>
        </w:tc>
      </w:tr>
      <w:tr>
        <w:trPr>
          <w:trHeight w:val="266"/>
        </w:trPr>
        <w:tc>
          <w:tcPr>
            <w:tcW w:w="20" w:type="dxa"/>
            <w:vAlign w:val="bottom"/>
          </w:tcPr>
          <w:p>
            <w:pPr>
              <w:spacing w:after="0"/>
              <w:rPr>
                <w:sz w:val="23"/>
                <w:szCs w:val="23"/>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Foreign currency translation</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4"/>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Income tax benefit (provision)</w:t>
            </w:r>
          </w:p>
        </w:tc>
        <w:tc>
          <w:tcPr>
            <w:tcW w:w="280" w:type="dxa"/>
            <w:vAlign w:val="bottom"/>
            <w:tcBorders>
              <w:bottom w:val="single" w:sz="8" w:color="auto"/>
            </w:tcBorders>
            <w:shd w:val="clear" w:color="auto" w:fill="DCE2EF"/>
          </w:tcPr>
          <w:p>
            <w:pPr>
              <w:spacing w:after="0"/>
              <w:rPr>
                <w:sz w:val="23"/>
                <w:szCs w:val="23"/>
                <w:color w:val="auto"/>
              </w:rPr>
            </w:pPr>
          </w:p>
        </w:tc>
        <w:tc>
          <w:tcPr>
            <w:tcW w:w="122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118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4.9</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(5.9)</w:t>
            </w:r>
          </w:p>
        </w:tc>
      </w:tr>
      <w:tr>
        <w:trPr>
          <w:trHeight w:val="277"/>
        </w:trPr>
        <w:tc>
          <w:tcPr>
            <w:tcW w:w="514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DCE2EF"/>
            </w:tcBorders>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DCE2EF"/>
            </w:tcBorders>
          </w:tcPr>
          <w:p>
            <w:pPr>
              <w:spacing w:after="0"/>
              <w:rPr>
                <w:sz w:val="24"/>
                <w:szCs w:val="24"/>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DCE2EF"/>
            </w:tcBorders>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102.6</w:t>
            </w:r>
          </w:p>
        </w:tc>
      </w:tr>
      <w:tr>
        <w:trPr>
          <w:trHeight w:val="251"/>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income per common share — Basic</w:t>
            </w:r>
          </w:p>
        </w:tc>
        <w:tc>
          <w:tcPr>
            <w:tcW w:w="280" w:type="dxa"/>
            <w:vAlign w:val="bottom"/>
            <w:shd w:val="clear" w:color="auto" w:fill="DCE2EF"/>
          </w:tcPr>
          <w:p>
            <w:pPr>
              <w:spacing w:after="0"/>
              <w:rPr>
                <w:sz w:val="21"/>
                <w:szCs w:val="21"/>
                <w:color w:val="auto"/>
              </w:rPr>
            </w:pPr>
          </w:p>
        </w:tc>
        <w:tc>
          <w:tcPr>
            <w:tcW w:w="122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340" w:type="dxa"/>
            <w:vAlign w:val="bottom"/>
            <w:shd w:val="clear" w:color="auto" w:fill="DCE2EF"/>
          </w:tcPr>
          <w:p>
            <w:pPr>
              <w:spacing w:after="0"/>
              <w:rPr>
                <w:sz w:val="21"/>
                <w:szCs w:val="21"/>
                <w:color w:val="auto"/>
              </w:rPr>
            </w:pPr>
          </w:p>
        </w:tc>
        <w:tc>
          <w:tcPr>
            <w:tcW w:w="114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118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spacing w:after="0"/>
              <w:rPr>
                <w:sz w:val="21"/>
                <w:szCs w:val="21"/>
                <w:color w:val="auto"/>
              </w:rPr>
            </w:pPr>
          </w:p>
        </w:tc>
        <w:tc>
          <w:tcPr>
            <w:tcW w:w="1140" w:type="dxa"/>
            <w:vAlign w:val="bottom"/>
            <w:shd w:val="clear" w:color="auto" w:fill="DCE2EF"/>
          </w:tcPr>
          <w:p>
            <w:pPr>
              <w:spacing w:after="0"/>
              <w:rPr>
                <w:sz w:val="21"/>
                <w:szCs w:val="21"/>
                <w:color w:val="auto"/>
              </w:rPr>
            </w:pPr>
          </w:p>
        </w:tc>
      </w:tr>
      <w:tr>
        <w:trPr>
          <w:trHeight w:val="266"/>
        </w:trPr>
        <w:tc>
          <w:tcPr>
            <w:tcW w:w="20" w:type="dxa"/>
            <w:vAlign w:val="bottom"/>
          </w:tcPr>
          <w:p>
            <w:pPr>
              <w:spacing w:after="0"/>
              <w:rPr>
                <w:sz w:val="23"/>
                <w:szCs w:val="23"/>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3"/>
                <w:szCs w:val="23"/>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1.32</w:t>
            </w:r>
          </w:p>
        </w:tc>
      </w:tr>
      <w:tr>
        <w:trPr>
          <w:trHeight w:val="270"/>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Income from discontinued operations</w:t>
            </w:r>
          </w:p>
        </w:tc>
        <w:tc>
          <w:tcPr>
            <w:tcW w:w="280" w:type="dxa"/>
            <w:vAlign w:val="bottom"/>
            <w:shd w:val="clear" w:color="auto" w:fill="DCE2EF"/>
          </w:tcPr>
          <w:p>
            <w:pPr>
              <w:spacing w:after="0"/>
              <w:rPr>
                <w:sz w:val="23"/>
                <w:szCs w:val="23"/>
                <w:color w:val="auto"/>
              </w:rPr>
            </w:pPr>
          </w:p>
        </w:tc>
        <w:tc>
          <w:tcPr>
            <w:tcW w:w="134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3"/>
                <w:szCs w:val="23"/>
                <w:color w:val="auto"/>
              </w:rPr>
            </w:pPr>
          </w:p>
        </w:tc>
        <w:tc>
          <w:tcPr>
            <w:tcW w:w="124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3"/>
                <w:szCs w:val="23"/>
                <w:color w:val="auto"/>
              </w:rPr>
            </w:pPr>
          </w:p>
        </w:tc>
        <w:tc>
          <w:tcPr>
            <w:tcW w:w="12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0.02</w:t>
            </w:r>
          </w:p>
        </w:tc>
      </w:tr>
      <w:tr>
        <w:trPr>
          <w:trHeight w:val="281"/>
        </w:trPr>
        <w:tc>
          <w:tcPr>
            <w:tcW w:w="20" w:type="dxa"/>
            <w:vAlign w:val="bottom"/>
            <w:tcBorders>
              <w:bottom w:val="single" w:sz="8" w:color="DCE2EF"/>
            </w:tcBorders>
          </w:tcPr>
          <w:p>
            <w:pPr>
              <w:spacing w:after="0"/>
              <w:rPr>
                <w:sz w:val="24"/>
                <w:szCs w:val="24"/>
                <w:color w:val="auto"/>
              </w:rPr>
            </w:pPr>
          </w:p>
        </w:tc>
        <w:tc>
          <w:tcPr>
            <w:tcW w:w="5120" w:type="dxa"/>
            <w:vAlign w:val="bottom"/>
            <w:tcBorders>
              <w:bottom w:val="single" w:sz="8" w:color="DCE2EF"/>
            </w:tcBorders>
            <w:gridSpan w:val="2"/>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DCE2E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0.51</w:t>
            </w:r>
          </w:p>
        </w:tc>
        <w:tc>
          <w:tcPr>
            <w:tcW w:w="100" w:type="dxa"/>
            <w:vAlign w:val="bottom"/>
            <w:tcBorders>
              <w:bottom w:val="single" w:sz="8" w:color="DCE2E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DCE2E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1.33</w:t>
            </w:r>
          </w:p>
        </w:tc>
      </w:tr>
      <w:tr>
        <w:trPr>
          <w:trHeight w:val="251"/>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income per common share — Diluted</w:t>
            </w:r>
          </w:p>
        </w:tc>
        <w:tc>
          <w:tcPr>
            <w:tcW w:w="280" w:type="dxa"/>
            <w:vAlign w:val="bottom"/>
            <w:shd w:val="clear" w:color="auto" w:fill="DCE2EF"/>
          </w:tcPr>
          <w:p>
            <w:pPr>
              <w:spacing w:after="0"/>
              <w:rPr>
                <w:sz w:val="21"/>
                <w:szCs w:val="21"/>
                <w:color w:val="auto"/>
              </w:rPr>
            </w:pPr>
          </w:p>
        </w:tc>
        <w:tc>
          <w:tcPr>
            <w:tcW w:w="122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340" w:type="dxa"/>
            <w:vAlign w:val="bottom"/>
            <w:shd w:val="clear" w:color="auto" w:fill="DCE2EF"/>
          </w:tcPr>
          <w:p>
            <w:pPr>
              <w:spacing w:after="0"/>
              <w:rPr>
                <w:sz w:val="21"/>
                <w:szCs w:val="21"/>
                <w:color w:val="auto"/>
              </w:rPr>
            </w:pPr>
          </w:p>
        </w:tc>
        <w:tc>
          <w:tcPr>
            <w:tcW w:w="114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118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spacing w:after="0"/>
              <w:rPr>
                <w:sz w:val="21"/>
                <w:szCs w:val="21"/>
                <w:color w:val="auto"/>
              </w:rPr>
            </w:pPr>
          </w:p>
        </w:tc>
        <w:tc>
          <w:tcPr>
            <w:tcW w:w="1140" w:type="dxa"/>
            <w:vAlign w:val="bottom"/>
            <w:shd w:val="clear" w:color="auto" w:fill="DCE2EF"/>
          </w:tcPr>
          <w:p>
            <w:pPr>
              <w:spacing w:after="0"/>
              <w:rPr>
                <w:sz w:val="21"/>
                <w:szCs w:val="21"/>
                <w:color w:val="auto"/>
              </w:rPr>
            </w:pPr>
          </w:p>
        </w:tc>
      </w:tr>
      <w:tr>
        <w:trPr>
          <w:trHeight w:val="266"/>
        </w:trPr>
        <w:tc>
          <w:tcPr>
            <w:tcW w:w="20" w:type="dxa"/>
            <w:vAlign w:val="bottom"/>
          </w:tcPr>
          <w:p>
            <w:pPr>
              <w:spacing w:after="0"/>
              <w:rPr>
                <w:sz w:val="23"/>
                <w:szCs w:val="23"/>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3"/>
                <w:szCs w:val="23"/>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1.31</w:t>
            </w:r>
          </w:p>
        </w:tc>
      </w:tr>
      <w:tr>
        <w:trPr>
          <w:trHeight w:val="270"/>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Income from discontinued operations</w:t>
            </w:r>
          </w:p>
        </w:tc>
        <w:tc>
          <w:tcPr>
            <w:tcW w:w="280" w:type="dxa"/>
            <w:vAlign w:val="bottom"/>
            <w:shd w:val="clear" w:color="auto" w:fill="DCE2EF"/>
          </w:tcPr>
          <w:p>
            <w:pPr>
              <w:spacing w:after="0"/>
              <w:rPr>
                <w:sz w:val="23"/>
                <w:szCs w:val="23"/>
                <w:color w:val="auto"/>
              </w:rPr>
            </w:pPr>
          </w:p>
        </w:tc>
        <w:tc>
          <w:tcPr>
            <w:tcW w:w="134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3"/>
                <w:szCs w:val="23"/>
                <w:color w:val="auto"/>
              </w:rPr>
            </w:pPr>
          </w:p>
        </w:tc>
        <w:tc>
          <w:tcPr>
            <w:tcW w:w="124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3"/>
                <w:szCs w:val="23"/>
                <w:color w:val="auto"/>
              </w:rPr>
            </w:pPr>
          </w:p>
        </w:tc>
        <w:tc>
          <w:tcPr>
            <w:tcW w:w="12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0.02</w:t>
            </w:r>
          </w:p>
        </w:tc>
      </w:tr>
      <w:tr>
        <w:trPr>
          <w:trHeight w:val="281"/>
        </w:trPr>
        <w:tc>
          <w:tcPr>
            <w:tcW w:w="20" w:type="dxa"/>
            <w:vAlign w:val="bottom"/>
            <w:tcBorders>
              <w:bottom w:val="single" w:sz="8" w:color="DCE2EF"/>
            </w:tcBorders>
          </w:tcPr>
          <w:p>
            <w:pPr>
              <w:spacing w:after="0"/>
              <w:rPr>
                <w:sz w:val="24"/>
                <w:szCs w:val="24"/>
                <w:color w:val="auto"/>
              </w:rPr>
            </w:pPr>
          </w:p>
        </w:tc>
        <w:tc>
          <w:tcPr>
            <w:tcW w:w="5120" w:type="dxa"/>
            <w:vAlign w:val="bottom"/>
            <w:tcBorders>
              <w:bottom w:val="single" w:sz="8" w:color="DCE2EF"/>
            </w:tcBorders>
            <w:gridSpan w:val="2"/>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DCE2E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0.51</w:t>
            </w:r>
          </w:p>
        </w:tc>
        <w:tc>
          <w:tcPr>
            <w:tcW w:w="100" w:type="dxa"/>
            <w:vAlign w:val="bottom"/>
            <w:tcBorders>
              <w:bottom w:val="single" w:sz="8" w:color="DCE2E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DCE2E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1.33</w:t>
            </w:r>
          </w:p>
        </w:tc>
      </w:tr>
      <w:tr>
        <w:trPr>
          <w:trHeight w:val="141"/>
        </w:trPr>
        <w:tc>
          <w:tcPr>
            <w:tcW w:w="5140" w:type="dxa"/>
            <w:vAlign w:val="bottom"/>
            <w:gridSpan w:val="3"/>
            <w:shd w:val="clear" w:color="auto" w:fill="DCE2EF"/>
          </w:tcPr>
          <w:p>
            <w:pPr>
              <w:ind w:left="20"/>
              <w:spacing w:after="0" w:line="142" w:lineRule="exact"/>
              <w:rPr>
                <w:sz w:val="20"/>
                <w:szCs w:val="20"/>
                <w:color w:val="auto"/>
              </w:rPr>
            </w:pPr>
            <w:r>
              <w:rPr>
                <w:rFonts w:ascii="Arial" w:cs="Arial" w:eastAsia="Arial" w:hAnsi="Arial"/>
                <w:sz w:val="16"/>
                <w:szCs w:val="16"/>
                <w:b w:val="1"/>
                <w:bCs w:val="1"/>
                <w:color w:val="auto"/>
              </w:rPr>
              <w:t>Weighted-average common and common equivalent shares</w:t>
            </w:r>
          </w:p>
        </w:tc>
        <w:tc>
          <w:tcPr>
            <w:tcW w:w="280" w:type="dxa"/>
            <w:vAlign w:val="bottom"/>
            <w:shd w:val="clear" w:color="auto" w:fill="DCE2EF"/>
          </w:tcPr>
          <w:p>
            <w:pPr>
              <w:spacing w:after="0"/>
              <w:rPr>
                <w:sz w:val="12"/>
                <w:szCs w:val="12"/>
                <w:color w:val="auto"/>
              </w:rPr>
            </w:pPr>
          </w:p>
        </w:tc>
        <w:tc>
          <w:tcPr>
            <w:tcW w:w="122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340" w:type="dxa"/>
            <w:vAlign w:val="bottom"/>
            <w:shd w:val="clear" w:color="auto" w:fill="DCE2EF"/>
          </w:tcPr>
          <w:p>
            <w:pPr>
              <w:spacing w:after="0"/>
              <w:rPr>
                <w:sz w:val="12"/>
                <w:szCs w:val="12"/>
                <w:color w:val="auto"/>
              </w:rPr>
            </w:pPr>
          </w:p>
        </w:tc>
        <w:tc>
          <w:tcPr>
            <w:tcW w:w="114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00" w:type="dxa"/>
            <w:vAlign w:val="bottom"/>
            <w:shd w:val="clear" w:color="auto" w:fill="DCE2EF"/>
          </w:tcPr>
          <w:p>
            <w:pPr>
              <w:spacing w:after="0"/>
              <w:rPr>
                <w:sz w:val="12"/>
                <w:szCs w:val="12"/>
                <w:color w:val="auto"/>
              </w:rPr>
            </w:pPr>
          </w:p>
        </w:tc>
        <w:tc>
          <w:tcPr>
            <w:tcW w:w="118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40" w:type="dxa"/>
            <w:vAlign w:val="bottom"/>
            <w:shd w:val="clear" w:color="auto" w:fill="DCE2EF"/>
          </w:tcPr>
          <w:p>
            <w:pPr>
              <w:spacing w:after="0"/>
              <w:rPr>
                <w:sz w:val="12"/>
                <w:szCs w:val="12"/>
                <w:color w:val="auto"/>
              </w:rPr>
            </w:pPr>
          </w:p>
        </w:tc>
        <w:tc>
          <w:tcPr>
            <w:tcW w:w="1140" w:type="dxa"/>
            <w:vAlign w:val="bottom"/>
            <w:shd w:val="clear" w:color="auto" w:fill="DCE2EF"/>
          </w:tcPr>
          <w:p>
            <w:pPr>
              <w:spacing w:after="0"/>
              <w:rPr>
                <w:sz w:val="12"/>
                <w:szCs w:val="12"/>
                <w:color w:val="auto"/>
              </w:rPr>
            </w:pPr>
          </w:p>
        </w:tc>
      </w:tr>
      <w:tr>
        <w:trPr>
          <w:trHeight w:val="217"/>
        </w:trPr>
        <w:tc>
          <w:tcPr>
            <w:tcW w:w="20" w:type="dxa"/>
            <w:vAlign w:val="bottom"/>
            <w:shd w:val="clear" w:color="auto" w:fill="DCE2EF"/>
          </w:tcPr>
          <w:p>
            <w:pPr>
              <w:spacing w:after="0"/>
              <w:rPr>
                <w:sz w:val="18"/>
                <w:szCs w:val="18"/>
                <w:color w:val="auto"/>
              </w:rPr>
            </w:pPr>
          </w:p>
        </w:tc>
        <w:tc>
          <w:tcPr>
            <w:tcW w:w="5120" w:type="dxa"/>
            <w:vAlign w:val="bottom"/>
            <w:gridSpan w:val="2"/>
            <w:shd w:val="clear" w:color="auto" w:fill="DCE2EF"/>
          </w:tcPr>
          <w:p>
            <w:pPr>
              <w:ind w:left="160"/>
              <w:spacing w:after="0"/>
              <w:rPr>
                <w:sz w:val="20"/>
                <w:szCs w:val="20"/>
                <w:color w:val="auto"/>
              </w:rPr>
            </w:pPr>
            <w:r>
              <w:rPr>
                <w:rFonts w:ascii="Arial" w:cs="Arial" w:eastAsia="Arial" w:hAnsi="Arial"/>
                <w:sz w:val="16"/>
                <w:szCs w:val="16"/>
                <w:b w:val="1"/>
                <w:bCs w:val="1"/>
                <w:color w:val="auto"/>
              </w:rPr>
              <w:t>outstanding</w:t>
            </w:r>
          </w:p>
        </w:tc>
        <w:tc>
          <w:tcPr>
            <w:tcW w:w="280" w:type="dxa"/>
            <w:vAlign w:val="bottom"/>
            <w:shd w:val="clear" w:color="auto" w:fill="DCE2EF"/>
          </w:tcPr>
          <w:p>
            <w:pPr>
              <w:spacing w:after="0"/>
              <w:rPr>
                <w:sz w:val="18"/>
                <w:szCs w:val="18"/>
                <w:color w:val="auto"/>
              </w:rPr>
            </w:pPr>
          </w:p>
        </w:tc>
        <w:tc>
          <w:tcPr>
            <w:tcW w:w="12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1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40" w:type="dxa"/>
            <w:vAlign w:val="bottom"/>
            <w:shd w:val="clear" w:color="auto" w:fill="DCE2EF"/>
          </w:tcPr>
          <w:p>
            <w:pPr>
              <w:spacing w:after="0"/>
              <w:rPr>
                <w:sz w:val="18"/>
                <w:szCs w:val="18"/>
                <w:color w:val="auto"/>
              </w:rPr>
            </w:pPr>
          </w:p>
        </w:tc>
      </w:tr>
      <w:tr>
        <w:trPr>
          <w:trHeight w:val="266"/>
        </w:trPr>
        <w:tc>
          <w:tcPr>
            <w:tcW w:w="20" w:type="dxa"/>
            <w:vAlign w:val="bottom"/>
          </w:tcPr>
          <w:p>
            <w:pPr>
              <w:spacing w:after="0"/>
              <w:rPr>
                <w:sz w:val="23"/>
                <w:szCs w:val="23"/>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66.0</w:t>
            </w:r>
          </w:p>
        </w:tc>
      </w:tr>
      <w:tr>
        <w:trPr>
          <w:trHeight w:val="274"/>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66.3</w:t>
            </w: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468"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STATEMENTS OF STOCKHOLDERS’ EQUITY</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rPr>
              <w:t>Three Months Ended July 31,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rPr>
              <w:t>Nine Months Ended July 31,</w:t>
            </w:r>
          </w:p>
        </w:tc>
        <w:tc>
          <w:tcPr>
            <w:tcW w:w="66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3"/>
                <w:szCs w:val="13"/>
                <w:i w:val="1"/>
                <w:iCs w:val="1"/>
                <w:color w:val="auto"/>
              </w:rPr>
              <w:t>(in millions, except per share amounts)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Amount</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1960" w:type="dxa"/>
            <w:vAlign w:val="bottom"/>
            <w:tcBorders>
              <w:top w:val="single" w:sz="8" w:color="auto"/>
              <w:bottom w:val="single" w:sz="8" w:color="DCE2EF"/>
            </w:tcBorders>
          </w:tcPr>
          <w:p>
            <w:pPr>
              <w:spacing w:after="0" w:line="20" w:lineRule="exact"/>
              <w:rPr>
                <w:sz w:val="1"/>
                <w:szCs w:val="1"/>
                <w:color w:val="auto"/>
              </w:rPr>
            </w:pPr>
          </w:p>
        </w:tc>
        <w:tc>
          <w:tcPr>
            <w:tcW w:w="2240" w:type="dxa"/>
            <w:vAlign w:val="bottom"/>
            <w:tcBorders>
              <w:bottom w:val="single" w:sz="8" w:color="DCE2E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DCE2EF"/>
          </w:tcPr>
          <w:p>
            <w:pPr>
              <w:spacing w:after="0"/>
              <w:rPr>
                <w:sz w:val="22"/>
                <w:szCs w:val="22"/>
                <w:color w:val="auto"/>
              </w:rPr>
            </w:pPr>
          </w:p>
        </w:tc>
        <w:tc>
          <w:tcPr>
            <w:tcW w:w="420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Common Stock</w:t>
            </w:r>
          </w:p>
        </w:tc>
        <w:tc>
          <w:tcPr>
            <w:tcW w:w="7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7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Balance, beginning of period</w:t>
            </w:r>
          </w:p>
        </w:tc>
        <w:tc>
          <w:tcPr>
            <w:tcW w:w="700" w:type="dxa"/>
            <w:vAlign w:val="bottom"/>
          </w:tcPr>
          <w:p>
            <w:pPr>
              <w:jc w:val="right"/>
              <w:spacing w:after="0"/>
              <w:rPr>
                <w:sz w:val="20"/>
                <w:szCs w:val="20"/>
                <w:color w:val="auto"/>
              </w:rPr>
            </w:pPr>
            <w:r>
              <w:rPr>
                <w:rFonts w:ascii="Arial" w:cs="Arial" w:eastAsia="Arial" w:hAnsi="Arial"/>
                <w:sz w:val="14"/>
                <w:szCs w:val="14"/>
                <w:color w:val="auto"/>
              </w:rPr>
              <w:t>66.3</w:t>
            </w:r>
          </w:p>
        </w:tc>
        <w:tc>
          <w:tcPr>
            <w:tcW w:w="3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65.7</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66.0</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65.5</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00"/>
        </w:trPr>
        <w:tc>
          <w:tcPr>
            <w:tcW w:w="20" w:type="dxa"/>
            <w:vAlign w:val="bottom"/>
            <w:shd w:val="clear" w:color="auto" w:fill="DCE2EF"/>
          </w:tcPr>
          <w:p>
            <w:pPr>
              <w:spacing w:after="0"/>
              <w:rPr>
                <w:sz w:val="17"/>
                <w:szCs w:val="17"/>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Stock issued under employee stock purchase and share-</w:t>
            </w:r>
          </w:p>
        </w:tc>
        <w:tc>
          <w:tcPr>
            <w:tcW w:w="7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r>
      <w:tr>
        <w:trPr>
          <w:trHeight w:val="178"/>
        </w:trPr>
        <w:tc>
          <w:tcPr>
            <w:tcW w:w="20" w:type="dxa"/>
            <w:vAlign w:val="bottom"/>
            <w:shd w:val="clear" w:color="auto" w:fill="DCE2EF"/>
          </w:tcPr>
          <w:p>
            <w:pPr>
              <w:spacing w:after="0"/>
              <w:rPr>
                <w:sz w:val="15"/>
                <w:szCs w:val="15"/>
                <w:color w:val="auto"/>
              </w:rPr>
            </w:pPr>
          </w:p>
        </w:tc>
        <w:tc>
          <w:tcPr>
            <w:tcW w:w="420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based compensation plans</w:t>
            </w:r>
          </w:p>
        </w:tc>
        <w:tc>
          <w:tcPr>
            <w:tcW w:w="7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auto"/>
            </w:tcBorders>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0" w:type="dxa"/>
            <w:vAlign w:val="bottom"/>
            <w:tcBorders>
              <w:bottom w:val="single" w:sz="8" w:color="auto"/>
            </w:tcBorders>
            <w:shd w:val="clear" w:color="auto" w:fill="DCE2EF"/>
          </w:tcPr>
          <w:p>
            <w:pPr>
              <w:spacing w:after="0"/>
              <w:rPr>
                <w:sz w:val="15"/>
                <w:szCs w:val="15"/>
                <w:color w:val="auto"/>
              </w:rPr>
            </w:pPr>
          </w:p>
        </w:tc>
        <w:tc>
          <w:tcPr>
            <w:tcW w:w="700" w:type="dxa"/>
            <w:vAlign w:val="bottom"/>
            <w:tcBorders>
              <w:bottom w:val="single" w:sz="8" w:color="auto"/>
            </w:tcBorders>
            <w:shd w:val="clear" w:color="auto" w:fill="DCE2E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5"/>
                <w:szCs w:val="15"/>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auto"/>
            </w:tcBorders>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00" w:type="dxa"/>
            <w:vAlign w:val="bottom"/>
            <w:tcBorders>
              <w:bottom w:val="single" w:sz="8" w:color="auto"/>
            </w:tcBorders>
            <w:shd w:val="clear" w:color="auto" w:fill="DCE2EF"/>
          </w:tcPr>
          <w:p>
            <w:pPr>
              <w:spacing w:after="0"/>
              <w:rPr>
                <w:sz w:val="15"/>
                <w:szCs w:val="15"/>
                <w:color w:val="auto"/>
              </w:rPr>
            </w:pPr>
          </w:p>
        </w:tc>
        <w:tc>
          <w:tcPr>
            <w:tcW w:w="68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5"/>
                <w:szCs w:val="15"/>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auto"/>
            </w:tcBorders>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20" w:type="dxa"/>
            <w:vAlign w:val="bottom"/>
            <w:tcBorders>
              <w:bottom w:val="single" w:sz="8" w:color="auto"/>
            </w:tcBorders>
            <w:shd w:val="clear" w:color="auto" w:fill="DCE2EF"/>
          </w:tcPr>
          <w:p>
            <w:pPr>
              <w:spacing w:after="0"/>
              <w:rPr>
                <w:sz w:val="15"/>
                <w:szCs w:val="15"/>
                <w:color w:val="auto"/>
              </w:rPr>
            </w:pPr>
          </w:p>
        </w:tc>
        <w:tc>
          <w:tcPr>
            <w:tcW w:w="6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5"/>
                <w:szCs w:val="15"/>
                <w:color w:val="auto"/>
              </w:rPr>
            </w:pPr>
          </w:p>
        </w:tc>
        <w:tc>
          <w:tcPr>
            <w:tcW w:w="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20" w:type="dxa"/>
            <w:vAlign w:val="bottom"/>
            <w:tcBorders>
              <w:bottom w:val="single" w:sz="8" w:color="auto"/>
            </w:tcBorders>
            <w:shd w:val="clear" w:color="auto" w:fill="DCE2EF"/>
          </w:tcPr>
          <w:p>
            <w:pPr>
              <w:spacing w:after="0"/>
              <w:rPr>
                <w:sz w:val="15"/>
                <w:szCs w:val="15"/>
                <w:color w:val="auto"/>
              </w:rPr>
            </w:pPr>
          </w:p>
        </w:tc>
        <w:tc>
          <w:tcPr>
            <w:tcW w:w="66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Balance, end of period</w:t>
            </w:r>
          </w:p>
        </w:tc>
        <w:tc>
          <w:tcPr>
            <w:tcW w:w="700" w:type="dxa"/>
            <w:vAlign w:val="bottom"/>
          </w:tcPr>
          <w:p>
            <w:pPr>
              <w:jc w:val="right"/>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0"/>
        </w:trPr>
        <w:tc>
          <w:tcPr>
            <w:tcW w:w="20" w:type="dxa"/>
            <w:vAlign w:val="bottom"/>
            <w:tcBorders>
              <w:top w:val="single" w:sz="8" w:color="DCE2EF"/>
            </w:tcBorders>
            <w:shd w:val="clear" w:color="auto" w:fill="DCE2EF"/>
          </w:tcPr>
          <w:p>
            <w:pPr>
              <w:spacing w:after="0"/>
              <w:rPr>
                <w:sz w:val="23"/>
                <w:szCs w:val="23"/>
                <w:color w:val="auto"/>
              </w:rPr>
            </w:pPr>
          </w:p>
        </w:tc>
        <w:tc>
          <w:tcPr>
            <w:tcW w:w="420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Additional Paid-in Capital</w:t>
            </w:r>
          </w:p>
        </w:tc>
        <w:tc>
          <w:tcPr>
            <w:tcW w:w="70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DCE2EF"/>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70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DCE2EF"/>
            </w:tcBorders>
            <w:shd w:val="clear" w:color="auto" w:fill="DCE2EF"/>
          </w:tcPr>
          <w:p>
            <w:pPr>
              <w:spacing w:after="0"/>
              <w:rPr>
                <w:sz w:val="23"/>
                <w:szCs w:val="23"/>
                <w:color w:val="auto"/>
              </w:rPr>
            </w:pPr>
          </w:p>
        </w:tc>
        <w:tc>
          <w:tcPr>
            <w:tcW w:w="68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DCE2EF"/>
            </w:tcBorders>
            <w:shd w:val="clear" w:color="auto" w:fill="DCE2EF"/>
          </w:tcPr>
          <w:p>
            <w:pPr>
              <w:spacing w:after="0"/>
              <w:rPr>
                <w:sz w:val="23"/>
                <w:szCs w:val="23"/>
                <w:color w:val="auto"/>
              </w:rPr>
            </w:pPr>
          </w:p>
        </w:tc>
        <w:tc>
          <w:tcPr>
            <w:tcW w:w="100" w:type="dxa"/>
            <w:vAlign w:val="bottom"/>
            <w:tcBorders>
              <w:top w:val="single" w:sz="8" w:color="auto"/>
            </w:tcBorders>
            <w:shd w:val="clear" w:color="auto" w:fill="DCE2EF"/>
          </w:tcPr>
          <w:p>
            <w:pPr>
              <w:spacing w:after="0"/>
              <w:rPr>
                <w:sz w:val="23"/>
                <w:szCs w:val="23"/>
                <w:color w:val="auto"/>
              </w:rPr>
            </w:pPr>
          </w:p>
        </w:tc>
        <w:tc>
          <w:tcPr>
            <w:tcW w:w="68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68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66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DCE2EF"/>
            </w:tcBorders>
            <w:shd w:val="clear" w:color="auto" w:fill="DCE2EF"/>
          </w:tcPr>
          <w:p>
            <w:pPr>
              <w:spacing w:after="0"/>
              <w:rPr>
                <w:sz w:val="23"/>
                <w:szCs w:val="23"/>
                <w:color w:val="auto"/>
              </w:rPr>
            </w:pPr>
          </w:p>
        </w:tc>
        <w:tc>
          <w:tcPr>
            <w:tcW w:w="66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660" w:type="dxa"/>
            <w:vAlign w:val="bottom"/>
            <w:tcBorders>
              <w:top w:val="single" w:sz="8" w:color="auto"/>
            </w:tcBorders>
            <w:shd w:val="clear" w:color="auto" w:fill="DCE2EF"/>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Balance, beginning of period</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700.6</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683.1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691.8</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675.2</w:t>
            </w:r>
          </w:p>
        </w:tc>
      </w:tr>
      <w:tr>
        <w:trPr>
          <w:trHeight w:val="200"/>
        </w:trPr>
        <w:tc>
          <w:tcPr>
            <w:tcW w:w="20" w:type="dxa"/>
            <w:vAlign w:val="bottom"/>
            <w:shd w:val="clear" w:color="auto" w:fill="DCE2EF"/>
          </w:tcPr>
          <w:p>
            <w:pPr>
              <w:spacing w:after="0"/>
              <w:rPr>
                <w:sz w:val="17"/>
                <w:szCs w:val="17"/>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Stock issued under employee stock purchase and share-</w:t>
            </w:r>
          </w:p>
        </w:tc>
        <w:tc>
          <w:tcPr>
            <w:tcW w:w="7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r>
      <w:tr>
        <w:trPr>
          <w:trHeight w:val="184"/>
        </w:trPr>
        <w:tc>
          <w:tcPr>
            <w:tcW w:w="20" w:type="dxa"/>
            <w:vAlign w:val="bottom"/>
            <w:shd w:val="clear" w:color="auto" w:fill="DCE2EF"/>
          </w:tcPr>
          <w:p>
            <w:pPr>
              <w:spacing w:after="0"/>
              <w:rPr>
                <w:sz w:val="16"/>
                <w:szCs w:val="16"/>
                <w:color w:val="auto"/>
              </w:rPr>
            </w:pPr>
          </w:p>
        </w:tc>
        <w:tc>
          <w:tcPr>
            <w:tcW w:w="420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based compensation plans, net</w:t>
            </w:r>
          </w:p>
        </w:tc>
        <w:tc>
          <w:tcPr>
            <w:tcW w:w="7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0" w:type="dxa"/>
            <w:vAlign w:val="bottom"/>
            <w:shd w:val="clear" w:color="auto" w:fill="DCE2EF"/>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DCE2EF"/>
          </w:tcPr>
          <w:p>
            <w:pPr>
              <w:spacing w:after="0"/>
              <w:rPr>
                <w:sz w:val="16"/>
                <w:szCs w:val="16"/>
                <w:color w:val="auto"/>
              </w:rPr>
            </w:pPr>
          </w:p>
        </w:tc>
        <w:tc>
          <w:tcPr>
            <w:tcW w:w="6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8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DCE2EF"/>
          </w:tcPr>
          <w:p>
            <w:pPr>
              <w:spacing w:after="0"/>
              <w:rPr>
                <w:sz w:val="16"/>
                <w:szCs w:val="16"/>
                <w:color w:val="auto"/>
              </w:rPr>
            </w:pPr>
          </w:p>
        </w:tc>
        <w:tc>
          <w:tcPr>
            <w:tcW w:w="6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DCE2EF"/>
          </w:tcPr>
          <w:p>
            <w:pPr>
              <w:spacing w:after="0"/>
              <w:rPr>
                <w:sz w:val="16"/>
                <w:szCs w:val="16"/>
                <w:color w:val="auto"/>
              </w:rPr>
            </w:pPr>
          </w:p>
        </w:tc>
        <w:tc>
          <w:tcPr>
            <w:tcW w:w="6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6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0.2</w:t>
            </w:r>
          </w:p>
        </w:tc>
      </w:tr>
      <w:tr>
        <w:trPr>
          <w:trHeight w:val="264"/>
        </w:trPr>
        <w:tc>
          <w:tcPr>
            <w:tcW w:w="20" w:type="dxa"/>
            <w:vAlign w:val="bottom"/>
            <w:tcBorders>
              <w:bottom w:val="single" w:sz="8" w:color="DCE2EF"/>
            </w:tcBorders>
          </w:tcPr>
          <w:p>
            <w:pPr>
              <w:spacing w:after="0"/>
              <w:rPr>
                <w:sz w:val="22"/>
                <w:szCs w:val="22"/>
                <w:color w:val="auto"/>
              </w:rPr>
            </w:pPr>
          </w:p>
        </w:tc>
        <w:tc>
          <w:tcPr>
            <w:tcW w:w="4200" w:type="dxa"/>
            <w:vAlign w:val="bottom"/>
            <w:tcBorders>
              <w:bottom w:val="single" w:sz="8" w:color="DCE2EF"/>
            </w:tcBorders>
            <w:gridSpan w:val="2"/>
          </w:tcPr>
          <w:p>
            <w:pPr>
              <w:ind w:left="140"/>
              <w:spacing w:after="0"/>
              <w:rPr>
                <w:sz w:val="20"/>
                <w:szCs w:val="20"/>
                <w:color w:val="auto"/>
              </w:rPr>
            </w:pPr>
            <w:r>
              <w:rPr>
                <w:rFonts w:ascii="Arial" w:cs="Arial" w:eastAsia="Arial" w:hAnsi="Arial"/>
                <w:sz w:val="14"/>
                <w:szCs w:val="14"/>
                <w:color w:val="auto"/>
              </w:rPr>
              <w:t>Share-based compensation expense</w:t>
            </w:r>
          </w:p>
        </w:tc>
        <w:tc>
          <w:tcPr>
            <w:tcW w:w="70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DCE2EF"/>
            </w:tcBorders>
          </w:tcPr>
          <w:p>
            <w:pPr>
              <w:spacing w:after="0"/>
              <w:rPr>
                <w:sz w:val="22"/>
                <w:szCs w:val="22"/>
                <w:color w:val="auto"/>
              </w:rPr>
            </w:pPr>
          </w:p>
        </w:tc>
        <w:tc>
          <w:tcPr>
            <w:tcW w:w="68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DCE2EF"/>
            </w:tcBorders>
          </w:tcPr>
          <w:p>
            <w:pPr>
              <w:spacing w:after="0"/>
              <w:rPr>
                <w:sz w:val="22"/>
                <w:szCs w:val="22"/>
                <w:color w:val="auto"/>
              </w:rPr>
            </w:pPr>
          </w:p>
        </w:tc>
        <w:tc>
          <w:tcPr>
            <w:tcW w:w="68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DCE2EF"/>
            </w:tcBorders>
          </w:tcPr>
          <w:p>
            <w:pPr>
              <w:spacing w:after="0"/>
              <w:rPr>
                <w:sz w:val="22"/>
                <w:szCs w:val="22"/>
                <w:color w:val="auto"/>
              </w:rPr>
            </w:pPr>
          </w:p>
        </w:tc>
        <w:tc>
          <w:tcPr>
            <w:tcW w:w="66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w:t>
            </w:r>
          </w:p>
        </w:tc>
      </w:tr>
      <w:tr>
        <w:trPr>
          <w:trHeight w:val="256"/>
        </w:trPr>
        <w:tc>
          <w:tcPr>
            <w:tcW w:w="20" w:type="dxa"/>
            <w:vAlign w:val="bottom"/>
            <w:shd w:val="clear" w:color="auto" w:fill="DCE2EF"/>
          </w:tcPr>
          <w:p>
            <w:pPr>
              <w:spacing w:after="0"/>
              <w:rPr>
                <w:sz w:val="22"/>
                <w:szCs w:val="22"/>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end of period</w:t>
            </w:r>
          </w:p>
        </w:tc>
        <w:tc>
          <w:tcPr>
            <w:tcW w:w="7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700" w:type="dxa"/>
            <w:vAlign w:val="bottom"/>
            <w:tcBorders>
              <w:bottom w:val="single" w:sz="8" w:color="auto"/>
            </w:tcBorders>
            <w:shd w:val="clear" w:color="auto" w:fill="DCE2EF"/>
          </w:tcPr>
          <w:p>
            <w:pPr>
              <w:jc w:val="right"/>
              <w:ind w:right="68"/>
              <w:spacing w:after="0"/>
              <w:rPr>
                <w:sz w:val="20"/>
                <w:szCs w:val="20"/>
                <w:color w:val="auto"/>
              </w:rPr>
            </w:pPr>
            <w:r>
              <w:rPr>
                <w:rFonts w:ascii="Arial" w:cs="Arial" w:eastAsia="Arial" w:hAnsi="Arial"/>
                <w:sz w:val="14"/>
                <w:szCs w:val="14"/>
                <w:color w:val="auto"/>
              </w:rPr>
              <w:t>706.9</w:t>
            </w:r>
          </w:p>
        </w:tc>
        <w:tc>
          <w:tcPr>
            <w:tcW w:w="12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tcBorders>
              <w:bottom w:val="single" w:sz="8" w:color="auto"/>
            </w:tcBorders>
            <w:shd w:val="clear" w:color="auto" w:fill="DCE2EF"/>
          </w:tcPr>
          <w:p>
            <w:pPr>
              <w:spacing w:after="0"/>
              <w:rPr>
                <w:sz w:val="22"/>
                <w:szCs w:val="22"/>
                <w:color w:val="auto"/>
              </w:rPr>
            </w:pPr>
          </w:p>
        </w:tc>
        <w:tc>
          <w:tcPr>
            <w:tcW w:w="68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688.3</w:t>
            </w:r>
          </w:p>
        </w:tc>
        <w:tc>
          <w:tcPr>
            <w:tcW w:w="10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6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706.9</w:t>
            </w:r>
          </w:p>
        </w:tc>
        <w:tc>
          <w:tcPr>
            <w:tcW w:w="12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66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688.3</w:t>
            </w:r>
          </w:p>
        </w:tc>
      </w:tr>
      <w:tr>
        <w:trPr>
          <w:trHeight w:val="156"/>
        </w:trPr>
        <w:tc>
          <w:tcPr>
            <w:tcW w:w="20" w:type="dxa"/>
            <w:vAlign w:val="bottom"/>
          </w:tcPr>
          <w:p>
            <w:pPr>
              <w:spacing w:after="0"/>
              <w:rPr>
                <w:sz w:val="13"/>
                <w:szCs w:val="13"/>
                <w:color w:val="auto"/>
              </w:rPr>
            </w:pPr>
          </w:p>
        </w:tc>
        <w:tc>
          <w:tcPr>
            <w:tcW w:w="420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Accumulated Other Comprehensive (Loss) Income, Net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200" w:type="dxa"/>
            <w:vAlign w:val="bottom"/>
            <w:gridSpan w:val="2"/>
          </w:tcPr>
          <w:p>
            <w:pPr>
              <w:ind w:left="160"/>
              <w:spacing w:after="0"/>
              <w:rPr>
                <w:sz w:val="20"/>
                <w:szCs w:val="20"/>
                <w:color w:val="auto"/>
              </w:rPr>
            </w:pPr>
            <w:r>
              <w:rPr>
                <w:rFonts w:ascii="Arial" w:cs="Arial" w:eastAsia="Arial" w:hAnsi="Arial"/>
                <w:sz w:val="14"/>
                <w:szCs w:val="14"/>
                <w:b w:val="1"/>
                <w:bCs w:val="1"/>
                <w:color w:val="auto"/>
              </w:rPr>
              <w:t>Taxes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76"/>
        </w:trPr>
        <w:tc>
          <w:tcPr>
            <w:tcW w:w="20" w:type="dxa"/>
            <w:vAlign w:val="bottom"/>
            <w:shd w:val="clear" w:color="auto" w:fill="DCE2EF"/>
          </w:tcPr>
          <w:p>
            <w:pPr>
              <w:spacing w:after="0"/>
              <w:rPr>
                <w:sz w:val="24"/>
                <w:szCs w:val="24"/>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beginning of period</w:t>
            </w:r>
          </w:p>
        </w:tc>
        <w:tc>
          <w:tcPr>
            <w:tcW w:w="7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70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(20.3)</w:t>
            </w:r>
          </w:p>
        </w:tc>
      </w:tr>
      <w:tr>
        <w:trPr>
          <w:trHeight w:val="264"/>
        </w:trPr>
        <w:tc>
          <w:tcPr>
            <w:tcW w:w="20" w:type="dxa"/>
            <w:vAlign w:val="bottom"/>
            <w:tcBorders>
              <w:bottom w:val="single" w:sz="8" w:color="DCE2EF"/>
            </w:tcBorders>
          </w:tcPr>
          <w:p>
            <w:pPr>
              <w:spacing w:after="0"/>
              <w:rPr>
                <w:sz w:val="22"/>
                <w:szCs w:val="22"/>
                <w:color w:val="auto"/>
              </w:rPr>
            </w:pPr>
          </w:p>
        </w:tc>
        <w:tc>
          <w:tcPr>
            <w:tcW w:w="4200" w:type="dxa"/>
            <w:vAlign w:val="bottom"/>
            <w:tcBorders>
              <w:bottom w:val="single" w:sz="8" w:color="DCE2EF"/>
            </w:tcBorders>
            <w:gridSpan w:val="2"/>
          </w:tcPr>
          <w:p>
            <w:pPr>
              <w:ind w:left="140"/>
              <w:spacing w:after="0"/>
              <w:rPr>
                <w:sz w:val="20"/>
                <w:szCs w:val="20"/>
                <w:color w:val="auto"/>
              </w:rPr>
            </w:pPr>
            <w:r>
              <w:rPr>
                <w:rFonts w:ascii="Arial" w:cs="Arial" w:eastAsia="Arial" w:hAnsi="Arial"/>
                <w:sz w:val="14"/>
                <w:szCs w:val="14"/>
                <w:color w:val="auto"/>
              </w:rPr>
              <w:t>Other comprehensive (loss) income</w:t>
            </w:r>
          </w:p>
        </w:tc>
        <w:tc>
          <w:tcPr>
            <w:tcW w:w="70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DCE2EF"/>
            </w:tcBorders>
          </w:tcPr>
          <w:p>
            <w:pPr>
              <w:spacing w:after="0"/>
              <w:rPr>
                <w:sz w:val="22"/>
                <w:szCs w:val="22"/>
                <w:color w:val="auto"/>
              </w:rPr>
            </w:pPr>
          </w:p>
        </w:tc>
        <w:tc>
          <w:tcPr>
            <w:tcW w:w="68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DCE2EF"/>
            </w:tcBorders>
          </w:tcPr>
          <w:p>
            <w:pPr>
              <w:spacing w:after="0"/>
              <w:rPr>
                <w:sz w:val="22"/>
                <w:szCs w:val="22"/>
                <w:color w:val="auto"/>
              </w:rPr>
            </w:pPr>
          </w:p>
        </w:tc>
        <w:tc>
          <w:tcPr>
            <w:tcW w:w="68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DCE2EF"/>
            </w:tcBorders>
          </w:tcPr>
          <w:p>
            <w:pPr>
              <w:spacing w:after="0"/>
              <w:rPr>
                <w:sz w:val="22"/>
                <w:szCs w:val="22"/>
                <w:color w:val="auto"/>
              </w:rPr>
            </w:pPr>
          </w:p>
        </w:tc>
        <w:tc>
          <w:tcPr>
            <w:tcW w:w="66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r>
      <w:tr>
        <w:trPr>
          <w:trHeight w:val="256"/>
        </w:trPr>
        <w:tc>
          <w:tcPr>
            <w:tcW w:w="20" w:type="dxa"/>
            <w:vAlign w:val="bottom"/>
            <w:shd w:val="clear" w:color="auto" w:fill="DCE2EF"/>
          </w:tcPr>
          <w:p>
            <w:pPr>
              <w:spacing w:after="0"/>
              <w:rPr>
                <w:sz w:val="22"/>
                <w:szCs w:val="22"/>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end of period</w:t>
            </w:r>
          </w:p>
        </w:tc>
        <w:tc>
          <w:tcPr>
            <w:tcW w:w="7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70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tcBorders>
              <w:bottom w:val="single" w:sz="8" w:color="auto"/>
            </w:tcBorders>
            <w:shd w:val="clear" w:color="auto" w:fill="DCE2EF"/>
          </w:tcPr>
          <w:p>
            <w:pPr>
              <w:spacing w:after="0"/>
              <w:rPr>
                <w:sz w:val="22"/>
                <w:szCs w:val="22"/>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(5.7)</w:t>
            </w:r>
          </w:p>
        </w:tc>
      </w:tr>
      <w:tr>
        <w:trPr>
          <w:trHeight w:val="258"/>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Retained Earnings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20" w:type="dxa"/>
            <w:vAlign w:val="bottom"/>
            <w:shd w:val="clear" w:color="auto" w:fill="DCE2EF"/>
          </w:tcPr>
          <w:p>
            <w:pPr>
              <w:spacing w:after="0"/>
              <w:rPr>
                <w:sz w:val="24"/>
                <w:szCs w:val="24"/>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beginning of period</w:t>
            </w:r>
          </w:p>
        </w:tc>
        <w:tc>
          <w:tcPr>
            <w:tcW w:w="7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700" w:type="dxa"/>
            <w:vAlign w:val="bottom"/>
            <w:shd w:val="clear" w:color="auto" w:fill="DCE2EF"/>
          </w:tcPr>
          <w:p>
            <w:pPr>
              <w:jc w:val="right"/>
              <w:ind w:right="68"/>
              <w:spacing w:after="0"/>
              <w:rPr>
                <w:sz w:val="20"/>
                <w:szCs w:val="20"/>
                <w:color w:val="auto"/>
              </w:rPr>
            </w:pPr>
            <w:r>
              <w:rPr>
                <w:rFonts w:ascii="Arial" w:cs="Arial" w:eastAsia="Arial" w:hAnsi="Arial"/>
                <w:sz w:val="14"/>
                <w:szCs w:val="14"/>
                <w:color w:val="auto"/>
              </w:rPr>
              <w:t>795.9</w:t>
            </w:r>
          </w:p>
        </w:tc>
        <w:tc>
          <w:tcPr>
            <w:tcW w:w="12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751.2</w:t>
            </w: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771.2</w:t>
            </w: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720.1</w:t>
            </w:r>
          </w:p>
        </w:tc>
      </w:tr>
      <w:tr>
        <w:trPr>
          <w:trHeight w:val="264"/>
        </w:trPr>
        <w:tc>
          <w:tcPr>
            <w:tcW w:w="2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88.1</w:t>
            </w:r>
          </w:p>
        </w:tc>
      </w:tr>
      <w:tr>
        <w:trPr>
          <w:trHeight w:val="276"/>
        </w:trPr>
        <w:tc>
          <w:tcPr>
            <w:tcW w:w="20" w:type="dxa"/>
            <w:vAlign w:val="bottom"/>
            <w:shd w:val="clear" w:color="auto" w:fill="DCE2EF"/>
          </w:tcPr>
          <w:p>
            <w:pPr>
              <w:spacing w:after="0"/>
              <w:rPr>
                <w:sz w:val="24"/>
                <w:szCs w:val="24"/>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Dividends</w:t>
            </w:r>
          </w:p>
        </w:tc>
        <w:tc>
          <w:tcPr>
            <w:tcW w:w="7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4200" w:type="dxa"/>
            <w:vAlign w:val="bottom"/>
            <w:gridSpan w:val="2"/>
          </w:tcPr>
          <w:p>
            <w:pPr>
              <w:ind w:left="240"/>
              <w:spacing w:after="0"/>
              <w:rPr>
                <w:sz w:val="20"/>
                <w:szCs w:val="20"/>
                <w:color w:val="auto"/>
              </w:rPr>
            </w:pPr>
            <w:r>
              <w:rPr>
                <w:rFonts w:ascii="Arial" w:cs="Arial" w:eastAsia="Arial" w:hAnsi="Arial"/>
                <w:sz w:val="14"/>
                <w:szCs w:val="14"/>
                <w:color w:val="auto"/>
              </w:rPr>
              <w:t>Common stock ($0.180, $0.175, $0.540, and $0.525 per</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8"/>
        </w:trPr>
        <w:tc>
          <w:tcPr>
            <w:tcW w:w="20" w:type="dxa"/>
            <w:vAlign w:val="bottom"/>
          </w:tcPr>
          <w:p>
            <w:pPr>
              <w:spacing w:after="0"/>
              <w:rPr>
                <w:sz w:val="15"/>
                <w:szCs w:val="15"/>
                <w:color w:val="auto"/>
              </w:rPr>
            </w:pPr>
          </w:p>
        </w:tc>
        <w:tc>
          <w:tcPr>
            <w:tcW w:w="4200" w:type="dxa"/>
            <w:vAlign w:val="bottom"/>
            <w:gridSpan w:val="2"/>
          </w:tcPr>
          <w:p>
            <w:pPr>
              <w:ind w:left="400"/>
              <w:spacing w:after="0"/>
              <w:rPr>
                <w:sz w:val="20"/>
                <w:szCs w:val="20"/>
                <w:color w:val="auto"/>
              </w:rPr>
            </w:pPr>
            <w:r>
              <w:rPr>
                <w:rFonts w:ascii="Arial" w:cs="Arial" w:eastAsia="Arial" w:hAnsi="Arial"/>
                <w:sz w:val="14"/>
                <w:szCs w:val="14"/>
                <w:color w:val="auto"/>
              </w:rPr>
              <w:t>share)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76"/>
        </w:trPr>
        <w:tc>
          <w:tcPr>
            <w:tcW w:w="20" w:type="dxa"/>
            <w:vAlign w:val="bottom"/>
            <w:shd w:val="clear" w:color="auto" w:fill="DCE2EF"/>
          </w:tcPr>
          <w:p>
            <w:pPr>
              <w:spacing w:after="0"/>
              <w:rPr>
                <w:sz w:val="24"/>
                <w:szCs w:val="24"/>
                <w:color w:val="auto"/>
              </w:rPr>
            </w:pPr>
          </w:p>
        </w:tc>
        <w:tc>
          <w:tcPr>
            <w:tcW w:w="4200" w:type="dxa"/>
            <w:vAlign w:val="bottom"/>
            <w:gridSpan w:val="2"/>
            <w:shd w:val="clear" w:color="auto" w:fill="DCE2EF"/>
          </w:tcPr>
          <w:p>
            <w:pPr>
              <w:ind w:left="240"/>
              <w:spacing w:after="0"/>
              <w:rPr>
                <w:sz w:val="20"/>
                <w:szCs w:val="20"/>
                <w:color w:val="auto"/>
              </w:rPr>
            </w:pPr>
            <w:r>
              <w:rPr>
                <w:rFonts w:ascii="Arial" w:cs="Arial" w:eastAsia="Arial" w:hAnsi="Arial"/>
                <w:sz w:val="14"/>
                <w:szCs w:val="14"/>
                <w:color w:val="auto"/>
              </w:rPr>
              <w:t>Stock issued under share-based compensation plans</w:t>
            </w:r>
          </w:p>
        </w:tc>
        <w:tc>
          <w:tcPr>
            <w:tcW w:w="7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70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(0.5)</w:t>
            </w:r>
          </w:p>
        </w:tc>
      </w:tr>
      <w:tr>
        <w:trPr>
          <w:trHeight w:val="194"/>
        </w:trPr>
        <w:tc>
          <w:tcPr>
            <w:tcW w:w="20" w:type="dxa"/>
            <w:vAlign w:val="bottom"/>
          </w:tcPr>
          <w:p>
            <w:pPr>
              <w:spacing w:after="0"/>
              <w:rPr>
                <w:sz w:val="16"/>
                <w:szCs w:val="16"/>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Cumulative effect adjustment for adoption of Accounting</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8"/>
        </w:trPr>
        <w:tc>
          <w:tcPr>
            <w:tcW w:w="20" w:type="dxa"/>
            <w:vAlign w:val="bottom"/>
            <w:tcBorders>
              <w:bottom w:val="single" w:sz="8" w:color="DCE2EF"/>
            </w:tcBorders>
          </w:tcPr>
          <w:p>
            <w:pPr>
              <w:spacing w:after="0"/>
              <w:rPr>
                <w:sz w:val="15"/>
                <w:szCs w:val="15"/>
                <w:color w:val="auto"/>
              </w:rPr>
            </w:pPr>
          </w:p>
        </w:tc>
        <w:tc>
          <w:tcPr>
            <w:tcW w:w="4200" w:type="dxa"/>
            <w:vAlign w:val="bottom"/>
            <w:tcBorders>
              <w:bottom w:val="single" w:sz="8" w:color="DCE2EF"/>
            </w:tcBorders>
            <w:gridSpan w:val="2"/>
          </w:tcPr>
          <w:p>
            <w:pPr>
              <w:ind w:left="300"/>
              <w:spacing w:after="0"/>
              <w:rPr>
                <w:sz w:val="20"/>
                <w:szCs w:val="20"/>
                <w:color w:val="auto"/>
              </w:rPr>
            </w:pPr>
            <w:r>
              <w:rPr>
                <w:rFonts w:ascii="Arial" w:cs="Arial" w:eastAsia="Arial" w:hAnsi="Arial"/>
                <w:sz w:val="14"/>
                <w:szCs w:val="14"/>
                <w:color w:val="auto"/>
              </w:rPr>
              <w:t>Standards Update 2014-09</w:t>
            </w:r>
          </w:p>
        </w:tc>
        <w:tc>
          <w:tcPr>
            <w:tcW w:w="70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E2EF"/>
            </w:tcBorders>
          </w:tcPr>
          <w:p>
            <w:pPr>
              <w:spacing w:after="0"/>
              <w:rPr>
                <w:sz w:val="15"/>
                <w:szCs w:val="15"/>
                <w:color w:val="auto"/>
              </w:rPr>
            </w:pPr>
          </w:p>
        </w:tc>
        <w:tc>
          <w:tcPr>
            <w:tcW w:w="68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5"/>
                <w:szCs w:val="15"/>
                <w:color w:val="auto"/>
              </w:rPr>
            </w:pPr>
          </w:p>
        </w:tc>
        <w:tc>
          <w:tcPr>
            <w:tcW w:w="68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00" w:type="dxa"/>
            <w:vAlign w:val="bottom"/>
            <w:tcBorders>
              <w:bottom w:val="single" w:sz="8" w:color="DCE2E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DCE2EF"/>
            </w:tcBorders>
          </w:tcPr>
          <w:p>
            <w:pPr>
              <w:spacing w:after="0"/>
              <w:rPr>
                <w:sz w:val="15"/>
                <w:szCs w:val="15"/>
                <w:color w:val="auto"/>
              </w:rPr>
            </w:pPr>
          </w:p>
        </w:tc>
        <w:tc>
          <w:tcPr>
            <w:tcW w:w="66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00" w:type="dxa"/>
            <w:vAlign w:val="bottom"/>
            <w:tcBorders>
              <w:bottom w:val="single" w:sz="8" w:color="DCE2E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20" w:type="dxa"/>
            <w:vAlign w:val="bottom"/>
            <w:shd w:val="clear" w:color="auto" w:fill="DCE2EF"/>
          </w:tcPr>
          <w:p>
            <w:pPr>
              <w:spacing w:after="0"/>
              <w:rPr>
                <w:sz w:val="22"/>
                <w:szCs w:val="22"/>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end of period</w:t>
            </w:r>
          </w:p>
        </w:tc>
        <w:tc>
          <w:tcPr>
            <w:tcW w:w="7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700" w:type="dxa"/>
            <w:vAlign w:val="bottom"/>
            <w:tcBorders>
              <w:bottom w:val="single" w:sz="8" w:color="auto"/>
            </w:tcBorders>
            <w:shd w:val="clear" w:color="auto" w:fill="DCE2EF"/>
          </w:tcPr>
          <w:p>
            <w:pPr>
              <w:jc w:val="right"/>
              <w:ind w:right="68"/>
              <w:spacing w:after="0"/>
              <w:rPr>
                <w:sz w:val="20"/>
                <w:szCs w:val="20"/>
                <w:color w:val="auto"/>
              </w:rPr>
            </w:pPr>
            <w:r>
              <w:rPr>
                <w:rFonts w:ascii="Arial" w:cs="Arial" w:eastAsia="Arial" w:hAnsi="Arial"/>
                <w:sz w:val="14"/>
                <w:szCs w:val="14"/>
                <w:color w:val="auto"/>
              </w:rPr>
              <w:t>820.5</w:t>
            </w:r>
          </w:p>
        </w:tc>
        <w:tc>
          <w:tcPr>
            <w:tcW w:w="12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tcBorders>
              <w:bottom w:val="single" w:sz="8" w:color="auto"/>
            </w:tcBorders>
            <w:shd w:val="clear" w:color="auto" w:fill="DCE2EF"/>
          </w:tcPr>
          <w:p>
            <w:pPr>
              <w:spacing w:after="0"/>
              <w:rPr>
                <w:sz w:val="22"/>
                <w:szCs w:val="22"/>
                <w:color w:val="auto"/>
              </w:rPr>
            </w:pPr>
          </w:p>
        </w:tc>
        <w:tc>
          <w:tcPr>
            <w:tcW w:w="68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773.2</w:t>
            </w:r>
          </w:p>
        </w:tc>
        <w:tc>
          <w:tcPr>
            <w:tcW w:w="10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6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820.5</w:t>
            </w:r>
          </w:p>
        </w:tc>
        <w:tc>
          <w:tcPr>
            <w:tcW w:w="12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66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773.2</w:t>
            </w:r>
          </w:p>
        </w:tc>
      </w:tr>
      <w:tr>
        <w:trPr>
          <w:trHeight w:val="237"/>
        </w:trPr>
        <w:tc>
          <w:tcPr>
            <w:tcW w:w="2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Total Stockholders’ Equity</w:t>
            </w:r>
          </w:p>
        </w:tc>
        <w:tc>
          <w:tcPr>
            <w:tcW w:w="70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1,503.6</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1,456.4</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1,503.6</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1,456.4</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346"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0046AD"/>
        </w:rPr>
        <w:t>ABM INDUSTRIES INCORPORATED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CONSOLIDATED STATEMENTS OF CASH FLOWS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(UNAUDITED)</w:t>
      </w:r>
    </w:p>
    <w:p>
      <w:pPr>
        <w:spacing w:after="0" w:line="240"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Nine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26035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40" w:type="dxa"/>
            <w:vAlign w:val="bottom"/>
          </w:tcPr>
          <w:p>
            <w:pPr>
              <w:spacing w:after="0"/>
              <w:rPr>
                <w:sz w:val="14"/>
                <w:szCs w:val="14"/>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76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88.1</w:t>
            </w:r>
          </w:p>
        </w:tc>
      </w:tr>
      <w:tr>
        <w:trPr>
          <w:trHeight w:val="270"/>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Income from discontinued operations, net of taxes</w:t>
            </w:r>
          </w:p>
        </w:tc>
        <w:tc>
          <w:tcPr>
            <w:tcW w:w="340" w:type="dxa"/>
            <w:vAlign w:val="bottom"/>
            <w:shd w:val="clear" w:color="auto" w:fill="DCE2EF"/>
          </w:tcPr>
          <w:p>
            <w:pPr>
              <w:spacing w:after="0"/>
              <w:rPr>
                <w:sz w:val="23"/>
                <w:szCs w:val="23"/>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3"/>
                <w:szCs w:val="23"/>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w:t>
            </w:r>
          </w:p>
        </w:tc>
      </w:tr>
      <w:tr>
        <w:trPr>
          <w:trHeight w:val="250"/>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87.1</w:t>
            </w:r>
          </w:p>
        </w:tc>
      </w:tr>
      <w:tr>
        <w:trPr>
          <w:trHeight w:val="182"/>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Adjustments to reconcile income from continuing operations to net cash provided by operating activities of continuing</w:t>
            </w:r>
          </w:p>
        </w:tc>
        <w:tc>
          <w:tcPr>
            <w:tcW w:w="340" w:type="dxa"/>
            <w:vAlign w:val="bottom"/>
            <w:shd w:val="clear" w:color="auto" w:fill="DCE2EF"/>
          </w:tcPr>
          <w:p>
            <w:pPr>
              <w:spacing w:after="0"/>
              <w:rPr>
                <w:sz w:val="15"/>
                <w:szCs w:val="15"/>
                <w:color w:val="auto"/>
              </w:rPr>
            </w:pPr>
          </w:p>
        </w:tc>
        <w:tc>
          <w:tcPr>
            <w:tcW w:w="11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1120" w:type="dxa"/>
            <w:vAlign w:val="bottom"/>
            <w:shd w:val="clear" w:color="auto" w:fill="DCE2EF"/>
          </w:tcPr>
          <w:p>
            <w:pPr>
              <w:spacing w:after="0"/>
              <w:rPr>
                <w:sz w:val="15"/>
                <w:szCs w:val="15"/>
                <w:color w:val="auto"/>
              </w:rPr>
            </w:pPr>
          </w:p>
        </w:tc>
      </w:tr>
      <w:tr>
        <w:trPr>
          <w:trHeight w:val="202"/>
        </w:trPr>
        <w:tc>
          <w:tcPr>
            <w:tcW w:w="40" w:type="dxa"/>
            <w:vAlign w:val="bottom"/>
            <w:shd w:val="clear" w:color="auto" w:fill="DCE2EF"/>
          </w:tcPr>
          <w:p>
            <w:pPr>
              <w:spacing w:after="0"/>
              <w:rPr>
                <w:sz w:val="17"/>
                <w:szCs w:val="17"/>
                <w:color w:val="auto"/>
              </w:rPr>
            </w:pPr>
          </w:p>
        </w:tc>
        <w:tc>
          <w:tcPr>
            <w:tcW w:w="8300" w:type="dxa"/>
            <w:vAlign w:val="bottom"/>
            <w:gridSpan w:val="2"/>
            <w:shd w:val="clear" w:color="auto" w:fill="DCE2EF"/>
          </w:tcPr>
          <w:p>
            <w:pPr>
              <w:ind w:left="160"/>
              <w:spacing w:after="0"/>
              <w:rPr>
                <w:sz w:val="20"/>
                <w:szCs w:val="20"/>
                <w:color w:val="auto"/>
              </w:rPr>
            </w:pPr>
            <w:r>
              <w:rPr>
                <w:rFonts w:ascii="Arial" w:cs="Arial" w:eastAsia="Arial" w:hAnsi="Arial"/>
                <w:sz w:val="14"/>
                <w:szCs w:val="14"/>
                <w:b w:val="1"/>
                <w:bCs w:val="1"/>
                <w:color w:val="auto"/>
              </w:rPr>
              <w:t>operations</w:t>
            </w:r>
          </w:p>
        </w:tc>
        <w:tc>
          <w:tcPr>
            <w:tcW w:w="34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20" w:type="dxa"/>
            <w:vAlign w:val="bottom"/>
            <w:shd w:val="clear" w:color="auto" w:fill="DCE2EF"/>
          </w:tcPr>
          <w:p>
            <w:pPr>
              <w:spacing w:after="0"/>
              <w:rPr>
                <w:sz w:val="17"/>
                <w:szCs w:val="17"/>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86.1</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Proceeds from termination of interest rate swaps</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25.9</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Share-based compensation expense</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13.1</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Provision for bad debt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Discount accretion on insurance claims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0.6</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(Gain) loss on sale of assets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Income from unconsolidated affiliates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Distributions from unconsolidated affiliates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Trade accounts receivable and costs incurred in excess of amounts billed</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(7.1)</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Other noncurrent assets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9.0</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Insurance claims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12.7</w:t>
            </w: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Income taxes payable</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(5.0)</w:t>
            </w:r>
          </w:p>
        </w:tc>
      </w:tr>
      <w:tr>
        <w:trPr>
          <w:trHeight w:val="264"/>
        </w:trPr>
        <w:tc>
          <w:tcPr>
            <w:tcW w:w="40" w:type="dxa"/>
            <w:vAlign w:val="bottom"/>
            <w:tcBorders>
              <w:bottom w:val="single" w:sz="8" w:color="DCE2EF"/>
            </w:tcBorders>
          </w:tcPr>
          <w:p>
            <w:pPr>
              <w:spacing w:after="0"/>
              <w:rPr>
                <w:sz w:val="22"/>
                <w:szCs w:val="22"/>
                <w:color w:val="auto"/>
              </w:rPr>
            </w:pPr>
          </w:p>
        </w:tc>
        <w:tc>
          <w:tcPr>
            <w:tcW w:w="8300" w:type="dxa"/>
            <w:vAlign w:val="bottom"/>
            <w:tcBorders>
              <w:bottom w:val="single" w:sz="8" w:color="DCE2EF"/>
            </w:tcBorders>
            <w:gridSpan w:val="2"/>
          </w:tcPr>
          <w:p>
            <w:pPr>
              <w:ind w:left="34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50"/>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Total adjustments</w:t>
            </w:r>
          </w:p>
        </w:tc>
        <w:tc>
          <w:tcPr>
            <w:tcW w:w="340" w:type="dxa"/>
            <w:vAlign w:val="bottom"/>
            <w:tcBorders>
              <w:bottom w:val="single" w:sz="8" w:color="auto"/>
            </w:tcBorders>
            <w:shd w:val="clear" w:color="auto" w:fill="DCE2EF"/>
          </w:tcPr>
          <w:p>
            <w:pPr>
              <w:spacing w:after="0"/>
              <w:rPr>
                <w:sz w:val="21"/>
                <w:szCs w:val="21"/>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spacing w:after="0"/>
              <w:rPr>
                <w:sz w:val="21"/>
                <w:szCs w:val="21"/>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119.3</w:t>
            </w:r>
          </w:p>
        </w:tc>
      </w:tr>
      <w:tr>
        <w:trPr>
          <w:trHeight w:val="250"/>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206.4</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1.0</w:t>
            </w:r>
          </w:p>
        </w:tc>
      </w:tr>
      <w:tr>
        <w:trPr>
          <w:trHeight w:val="24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114.0</w:t>
            </w:r>
          </w:p>
        </w:tc>
        <w:tc>
          <w:tcPr>
            <w:tcW w:w="120" w:type="dxa"/>
            <w:vAlign w:val="bottom"/>
            <w:tcBorders>
              <w:bottom w:val="single" w:sz="8" w:color="DCE2E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207.4</w:t>
            </w:r>
          </w:p>
        </w:tc>
      </w:tr>
      <w:tr>
        <w:trPr>
          <w:trHeight w:val="270"/>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DCE2EF"/>
          </w:tcPr>
          <w:p>
            <w:pPr>
              <w:spacing w:after="0"/>
              <w:rPr>
                <w:sz w:val="23"/>
                <w:szCs w:val="23"/>
                <w:color w:val="auto"/>
              </w:rPr>
            </w:pPr>
          </w:p>
        </w:tc>
        <w:tc>
          <w:tcPr>
            <w:tcW w:w="11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20" w:type="dxa"/>
            <w:vAlign w:val="bottom"/>
            <w:shd w:val="clear" w:color="auto" w:fill="DCE2EF"/>
          </w:tcPr>
          <w:p>
            <w:pPr>
              <w:spacing w:after="0"/>
              <w:rPr>
                <w:sz w:val="23"/>
                <w:szCs w:val="23"/>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Additions to property, plant and equipment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(37.3)</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Proceeds from sale of assets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0.7</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Adjustments to purchase and sale of business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Proceeds from redemption of auction rate security</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Investments in unconsolidated affiliates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56"/>
        </w:trPr>
        <w:tc>
          <w:tcPr>
            <w:tcW w:w="8340" w:type="dxa"/>
            <w:vAlign w:val="bottom"/>
            <w:tcBorders>
              <w:top w:val="single" w:sz="8" w:color="DCE2EF"/>
            </w:tcBorders>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top w:val="single" w:sz="8" w:color="auto"/>
              <w:bottom w:val="single" w:sz="8" w:color="auto"/>
            </w:tcBorders>
            <w:shd w:val="clear" w:color="auto" w:fill="DCE2EF"/>
          </w:tcPr>
          <w:p>
            <w:pPr>
              <w:spacing w:after="0"/>
              <w:rPr>
                <w:sz w:val="22"/>
                <w:szCs w:val="22"/>
                <w:color w:val="auto"/>
              </w:rPr>
            </w:pPr>
          </w:p>
        </w:tc>
        <w:tc>
          <w:tcPr>
            <w:tcW w:w="1160" w:type="dxa"/>
            <w:vAlign w:val="bottom"/>
            <w:tcBorders>
              <w:top w:val="single" w:sz="8" w:color="auto"/>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(44.1)</w:t>
            </w:r>
          </w:p>
        </w:tc>
        <w:tc>
          <w:tcPr>
            <w:tcW w:w="120" w:type="dxa"/>
            <w:vAlign w:val="bottom"/>
            <w:tcBorders>
              <w:top w:val="single" w:sz="8" w:color="DCE2EF"/>
            </w:tcBorders>
            <w:shd w:val="clear" w:color="auto" w:fill="DCE2EF"/>
          </w:tcPr>
          <w:p>
            <w:pPr>
              <w:spacing w:after="0"/>
              <w:rPr>
                <w:sz w:val="22"/>
                <w:szCs w:val="22"/>
                <w:color w:val="auto"/>
              </w:rPr>
            </w:pPr>
          </w:p>
        </w:tc>
        <w:tc>
          <w:tcPr>
            <w:tcW w:w="340" w:type="dxa"/>
            <w:vAlign w:val="bottom"/>
            <w:tcBorders>
              <w:top w:val="single" w:sz="8" w:color="auto"/>
              <w:bottom w:val="single" w:sz="8" w:color="auto"/>
            </w:tcBorders>
            <w:shd w:val="clear" w:color="auto" w:fill="DCE2EF"/>
          </w:tcPr>
          <w:p>
            <w:pPr>
              <w:spacing w:after="0"/>
              <w:rPr>
                <w:sz w:val="22"/>
                <w:szCs w:val="22"/>
                <w:color w:val="auto"/>
              </w:rPr>
            </w:pPr>
          </w:p>
        </w:tc>
        <w:tc>
          <w:tcPr>
            <w:tcW w:w="1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(36.3)</w:t>
            </w:r>
          </w:p>
        </w:tc>
      </w:tr>
      <w:tr>
        <w:trPr>
          <w:trHeight w:val="258"/>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Proceeds and (taxes withheld) from issuance of share-based compensation awards, net</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(0.3)</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Dividends paid</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Deferred financing costs paid</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Borrowings from credit facility</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1,219.9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887.0</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Repayment of borrowings from credit facility</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(1,236.8)</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(1,042.1)</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Changes in book cash overdrafts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Financing of energy savings performance contracts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3.5</w:t>
            </w:r>
          </w:p>
        </w:tc>
      </w:tr>
      <w:tr>
        <w:trPr>
          <w:trHeight w:val="26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color w:val="auto"/>
              </w:rPr>
              <w:t>Repayment of capital lease obligations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340" w:type="dxa"/>
            <w:vAlign w:val="bottom"/>
            <w:tcBorders>
              <w:bottom w:val="single" w:sz="8" w:color="auto"/>
            </w:tcBorders>
            <w:shd w:val="clear" w:color="auto" w:fill="DCE2EF"/>
          </w:tcPr>
          <w:p>
            <w:pPr>
              <w:spacing w:after="0"/>
              <w:rPr>
                <w:sz w:val="22"/>
                <w:szCs w:val="22"/>
                <w:color w:val="auto"/>
              </w:rPr>
            </w:pPr>
          </w:p>
        </w:tc>
        <w:tc>
          <w:tcPr>
            <w:tcW w:w="11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(187.7)</w:t>
            </w:r>
          </w:p>
        </w:tc>
      </w:tr>
      <w:tr>
        <w:trPr>
          <w:trHeight w:val="24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340" w:type="dxa"/>
            <w:vAlign w:val="bottom"/>
            <w:shd w:val="clear" w:color="auto" w:fill="DCE2EF"/>
          </w:tcPr>
          <w:p>
            <w:pPr>
              <w:spacing w:after="0"/>
              <w:rPr>
                <w:sz w:val="22"/>
                <w:szCs w:val="22"/>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(16.8)</w:t>
            </w:r>
          </w:p>
        </w:tc>
      </w:tr>
      <w:tr>
        <w:trPr>
          <w:trHeight w:val="26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62.8</w:t>
            </w:r>
          </w:p>
        </w:tc>
      </w:tr>
      <w:tr>
        <w:trPr>
          <w:trHeight w:val="243"/>
        </w:trPr>
        <w:tc>
          <w:tcPr>
            <w:tcW w:w="83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340" w:type="dxa"/>
            <w:vAlign w:val="bottom"/>
            <w:tcBorders>
              <w:bottom w:val="single" w:sz="8" w:color="auto"/>
            </w:tcBorders>
            <w:shd w:val="clear" w:color="auto" w:fill="DCE2E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60.5</w:t>
            </w:r>
          </w:p>
        </w:tc>
        <w:tc>
          <w:tcPr>
            <w:tcW w:w="120" w:type="dxa"/>
            <w:vAlign w:val="bottom"/>
            <w:tcBorders>
              <w:bottom w:val="single" w:sz="8" w:color="DCE2EF"/>
            </w:tcBorders>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46.0</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420"/>
          </w:cols>
          <w:pgMar w:left="240" w:top="364" w:right="239" w:bottom="48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489"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services with a mission to </w:t>
      </w:r>
      <w:r>
        <w:rPr>
          <w:rFonts w:ascii="Arial" w:cs="Arial" w:eastAsia="Arial" w:hAnsi="Arial"/>
          <w:sz w:val="18"/>
          <w:szCs w:val="18"/>
          <w:b w:val="1"/>
          <w:bCs w:val="1"/>
          <w:color w:val="006EBF"/>
        </w:rPr>
        <w:t>make a difference, every person, every day</w:t>
      </w:r>
      <w:r>
        <w:rPr>
          <w:rFonts w:ascii="Arial" w:cs="Arial" w:eastAsia="Arial" w:hAnsi="Arial"/>
          <w:sz w:val="18"/>
          <w:szCs w:val="18"/>
          <w:color w:val="auto"/>
        </w:rPr>
        <w:t>.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60325</wp:posOffset>
            </wp:positionV>
            <wp:extent cx="4973955" cy="900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395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year ended October 31, 2018 (“Annual Report”). Unless otherwise indicated, all references to years are to our fiscal year, which ends on October 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Prior Year Reclassifications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November 1, 2018, we have modified the presentation of inter-segment revenues, which are recorded at cost with no associated intercompany profit or loss and are eliminated in consolidation. Additionally, during the third quarter of 2019, we made changes to our operating structure to better align the services and expertise of our Healthcare business with our other industry groups, allowing us to leverage our existing branch network to support the long-term growth of this business. As a result, our former Healthcare portfolio is now included primarily in our Business &amp; Industry segment. Our prior period segment data in Note 11, “Segment Information,” has been reclassified to conform with our current period presentation. These changes had no impact on our previously reported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Rounding</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Discontinued Operations</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Following the sale of our Security business in 2015, we record all costs associated with this former business in discontinued operations. Such costs generally relate to litigation we retained and insurance reserves.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operate certain parking facilities under managed location arrangements. Under these arrangements, we manage the parking facility for a management fee and pass through the revenue and expenses associated with the facility to the owner. See Note 3, “Revenue,” for further details regarding managed location arrangement considerations under the new revenue standards. These revenues and expenses are reported in equal amounts as costs reimbursed from our managed locations: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July 31,</w:t>
            </w:r>
          </w:p>
        </w:tc>
        <w:tc>
          <w:tcPr>
            <w:tcW w:w="300" w:type="dxa"/>
            <w:vAlign w:val="bottom"/>
          </w:tcPr>
          <w:p>
            <w:pPr>
              <w:spacing w:after="0"/>
              <w:rPr>
                <w:sz w:val="21"/>
                <w:szCs w:val="21"/>
                <w:color w:val="auto"/>
              </w:rPr>
            </w:pPr>
          </w:p>
        </w:tc>
        <w:tc>
          <w:tcPr>
            <w:tcW w:w="30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 July 31,</w:t>
            </w:r>
          </w:p>
        </w:tc>
      </w:tr>
      <w:tr>
        <w:trPr>
          <w:trHeight w:val="230"/>
        </w:trPr>
        <w:tc>
          <w:tcPr>
            <w:tcW w:w="46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9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46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Business &amp; Industry</w:t>
            </w:r>
          </w:p>
        </w:tc>
        <w:tc>
          <w:tcPr>
            <w:tcW w:w="28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211.2</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206.1</w:t>
            </w:r>
          </w:p>
        </w:tc>
      </w:tr>
      <w:tr>
        <w:trPr>
          <w:trHeight w:val="264"/>
        </w:trPr>
        <w:tc>
          <w:tcPr>
            <w:tcW w:w="466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Aviation</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r>
      <w:tr>
        <w:trPr>
          <w:trHeight w:val="257"/>
        </w:trPr>
        <w:tc>
          <w:tcPr>
            <w:tcW w:w="466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CE2E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DCE2EF"/>
            </w:tcBorders>
            <w:shd w:val="clear" w:color="auto" w:fill="DCE2EF"/>
          </w:tcPr>
          <w:p>
            <w:pPr>
              <w:spacing w:after="0"/>
              <w:rPr>
                <w:sz w:val="22"/>
                <w:szCs w:val="22"/>
                <w:color w:val="auto"/>
              </w:rPr>
            </w:pPr>
          </w:p>
        </w:tc>
        <w:tc>
          <w:tcPr>
            <w:tcW w:w="300" w:type="dxa"/>
            <w:vAlign w:val="bottom"/>
            <w:tcBorders>
              <w:bottom w:val="single" w:sz="8" w:color="auto"/>
            </w:tcBorders>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283.2</w:t>
            </w:r>
          </w:p>
        </w:tc>
        <w:tc>
          <w:tcPr>
            <w:tcW w:w="120" w:type="dxa"/>
            <w:vAlign w:val="bottom"/>
            <w:tcBorders>
              <w:bottom w:val="single" w:sz="8" w:color="DCE2EF"/>
            </w:tcBorders>
            <w:shd w:val="clear" w:color="auto" w:fill="DCE2EF"/>
          </w:tcPr>
          <w:p>
            <w:pPr>
              <w:spacing w:after="0"/>
              <w:rPr>
                <w:sz w:val="22"/>
                <w:szCs w:val="22"/>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282.9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Recently Adopted Accounting Standards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significant accounting policies are described in Note 2, “Basis of Presentation and Significant Accounting Policies,” in our Annual Report. There have been no material changes to our significant accounting policies during the nine months ended July 31, 2019, other than those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Revenue from Contracts with Customers</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(Topic 606) </w:t>
      </w:r>
      <w:r>
        <w:rPr>
          <w:rFonts w:ascii="Arial" w:cs="Arial" w:eastAsia="Arial" w:hAnsi="Arial"/>
          <w:sz w:val="18"/>
          <w:szCs w:val="18"/>
          <w:color w:val="auto"/>
        </w:rPr>
        <w:t>and subsequently issued several ASUs further updating Topic 606.</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May 2017, the FASB issued ASU 2017-10</w:t>
      </w:r>
      <w:r>
        <w:rPr>
          <w:rFonts w:ascii="Arial" w:cs="Arial" w:eastAsia="Arial" w:hAnsi="Arial"/>
          <w:sz w:val="18"/>
          <w:szCs w:val="18"/>
          <w:i w:val="1"/>
          <w:iCs w:val="1"/>
          <w:color w:val="auto"/>
        </w:rPr>
        <w:t>, Service Concession Arrangements (Topic 853): Determining the Customer</w:t>
      </w:r>
      <w:r>
        <w:rPr>
          <w:rFonts w:ascii="Arial" w:cs="Arial" w:eastAsia="Arial" w:hAnsi="Arial"/>
          <w:sz w:val="18"/>
          <w:szCs w:val="18"/>
          <w:color w:val="auto"/>
        </w:rPr>
        <w:t xml:space="preserve"> </w:t>
      </w:r>
      <w:r>
        <w:rPr>
          <w:rFonts w:ascii="Arial" w:cs="Arial" w:eastAsia="Arial" w:hAnsi="Arial"/>
          <w:sz w:val="18"/>
          <w:szCs w:val="18"/>
          <w:i w:val="1"/>
          <w:iCs w:val="1"/>
          <w:color w:val="auto"/>
        </w:rPr>
        <w:t>of the Operation Services</w:t>
      </w:r>
      <w:r>
        <w:rPr>
          <w:rFonts w:ascii="Arial" w:cs="Arial" w:eastAsia="Arial" w:hAnsi="Arial"/>
          <w:sz w:val="18"/>
          <w:szCs w:val="18"/>
          <w:color w:val="auto"/>
        </w:rPr>
        <w:t>, to clarify how operating entities should determine the customer of operation services for transactions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scope of this guidance, which U.S. GAAP did not address prior to this ASU. The amendment eliminates diversity in practice by clarifying that the grantor is the customer of the operation services in all cases for those arrangements. We determined that revenue we generate from service concession arrangements, primarily from certain parking arrangements, will be accounted for under this guidance. We adopted the amendments in this update in conjunction with the adoption of Topic 606, as discussed below.</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Collectively these ASUs introduce a new principles-based framework for revenue recognition and disclosure. The core principle of the standard is when an entity transfers goods or services to customers it will recognize revenue in an amount that reflects the consideration it expects to be entitled to for those goods or services. The standard also expands the required disclosures to include the disaggregation of revenue from contracts with customers into categories that depict how the nature, timing, and uncertainty of revenue and cash flows are affected by economic factors.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adopted Topic 606 and Topic 853 on November 1, 2018 using a modified retrospective approach with a cumulative-effect adjustment to retained earnings as of the beginning of 2019; prior period financial statements are not adjusted. We applied the standards to contracts that had not been completed at November 1, 2018 and did not apply them to contracts that were modified before the beginning of the earliest reporting period presented. See Note 3, “Revenue,” for further details.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0046AD"/>
        </w:rPr>
        <w:t>Other Recently Adopted Accounting Standards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2019, we adopted the following ASUs with no material impact on our consolidated financial statements:</w:t>
      </w:r>
    </w:p>
    <w:p>
      <w:pPr>
        <w:sectPr>
          <w:pgSz w:w="11900" w:h="16838" w:orient="portrait"/>
          <w:cols w:equalWidth="0" w:num="1">
            <w:col w:w="11420"/>
          </w:cols>
          <w:pgMar w:left="240" w:top="522" w:right="239" w:bottom="1440" w:gutter="0" w:footer="0" w:header="0"/>
        </w:sectPr>
      </w:pP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1740" w:type="dxa"/>
            <w:vAlign w:val="bottom"/>
            <w:gridSpan w:val="2"/>
          </w:tcPr>
          <w:p>
            <w:pPr>
              <w:ind w:left="600"/>
              <w:spacing w:after="0"/>
              <w:rPr>
                <w:sz w:val="20"/>
                <w:szCs w:val="20"/>
                <w:color w:val="auto"/>
              </w:rPr>
            </w:pPr>
            <w:r>
              <w:rPr>
                <w:rFonts w:ascii="Arial" w:cs="Arial" w:eastAsia="Arial" w:hAnsi="Arial"/>
                <w:sz w:val="18"/>
                <w:szCs w:val="18"/>
                <w:b w:val="1"/>
                <w:bCs w:val="1"/>
                <w:color w:val="auto"/>
              </w:rPr>
              <w:t>ASU</w:t>
            </w:r>
          </w:p>
        </w:tc>
        <w:tc>
          <w:tcPr>
            <w:tcW w:w="4780" w:type="dxa"/>
            <w:vAlign w:val="bottom"/>
          </w:tcPr>
          <w:p>
            <w:pPr>
              <w:ind w:left="2140"/>
              <w:spacing w:after="0"/>
              <w:rPr>
                <w:sz w:val="20"/>
                <w:szCs w:val="20"/>
                <w:color w:val="auto"/>
              </w:rPr>
            </w:pPr>
            <w:r>
              <w:rPr>
                <w:rFonts w:ascii="Arial" w:cs="Arial" w:eastAsia="Arial" w:hAnsi="Arial"/>
                <w:sz w:val="18"/>
                <w:szCs w:val="18"/>
                <w:b w:val="1"/>
                <w:bCs w:val="1"/>
                <w:color w:val="auto"/>
              </w:rPr>
              <w:t>Topic</w:t>
            </w:r>
          </w:p>
        </w:tc>
      </w:tr>
      <w:tr>
        <w:trPr>
          <w:trHeight w:val="243"/>
        </w:trPr>
        <w:tc>
          <w:tcPr>
            <w:tcW w:w="160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2016-01</w:t>
            </w:r>
          </w:p>
        </w:tc>
        <w:tc>
          <w:tcPr>
            <w:tcW w:w="140" w:type="dxa"/>
            <w:vAlign w:val="bottom"/>
          </w:tcPr>
          <w:p>
            <w:pPr>
              <w:spacing w:after="0"/>
              <w:rPr>
                <w:sz w:val="21"/>
                <w:szCs w:val="21"/>
                <w:color w:val="auto"/>
              </w:rPr>
            </w:pPr>
          </w:p>
        </w:tc>
        <w:tc>
          <w:tcPr>
            <w:tcW w:w="4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Financial Instruments</w:t>
            </w:r>
          </w:p>
        </w:tc>
      </w:tr>
      <w:tr>
        <w:trPr>
          <w:trHeight w:val="242"/>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2016-15</w:t>
            </w:r>
          </w:p>
        </w:tc>
        <w:tc>
          <w:tcPr>
            <w:tcW w:w="14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Statement of Cash Flows — Classification of Certain Cash</w:t>
            </w:r>
          </w:p>
        </w:tc>
      </w:tr>
      <w:tr>
        <w:trPr>
          <w:trHeight w:val="217"/>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Receipts and Cash Payments</w:t>
            </w:r>
          </w:p>
        </w:tc>
      </w:tr>
      <w:tr>
        <w:trPr>
          <w:trHeight w:val="242"/>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2016-16</w:t>
            </w:r>
          </w:p>
        </w:tc>
        <w:tc>
          <w:tcPr>
            <w:tcW w:w="14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Income Taxes — Intra-Entity Transfers of Assets Other</w:t>
            </w:r>
          </w:p>
        </w:tc>
      </w:tr>
      <w:tr>
        <w:trPr>
          <w:trHeight w:val="217"/>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Than Inventory</w:t>
            </w:r>
          </w:p>
        </w:tc>
      </w:tr>
      <w:tr>
        <w:trPr>
          <w:trHeight w:val="257"/>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2016-18</w:t>
            </w:r>
          </w:p>
        </w:tc>
        <w:tc>
          <w:tcPr>
            <w:tcW w:w="14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Statement of Cash Flows — Restricted Cash</w:t>
            </w:r>
          </w:p>
        </w:tc>
      </w:tr>
      <w:tr>
        <w:trPr>
          <w:trHeight w:val="270"/>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2017-07</w:t>
            </w:r>
          </w:p>
        </w:tc>
        <w:tc>
          <w:tcPr>
            <w:tcW w:w="1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Compensation — Retirement Benefits</w:t>
            </w:r>
          </w:p>
        </w:tc>
      </w:tr>
      <w:tr>
        <w:trPr>
          <w:trHeight w:val="270"/>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2017-09</w:t>
            </w:r>
          </w:p>
        </w:tc>
        <w:tc>
          <w:tcPr>
            <w:tcW w:w="1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Compensation — Stock Compensation</w:t>
            </w:r>
          </w:p>
        </w:tc>
      </w:tr>
      <w:tr>
        <w:trPr>
          <w:trHeight w:val="256"/>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2018-02</w:t>
            </w:r>
          </w:p>
        </w:tc>
        <w:tc>
          <w:tcPr>
            <w:tcW w:w="14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Income Statement — Reporting Comprehensive Income:</w:t>
            </w:r>
          </w:p>
        </w:tc>
      </w:tr>
      <w:tr>
        <w:trPr>
          <w:trHeight w:val="203"/>
        </w:trPr>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Reclassification of Certain Tax Effects from Accumulated</w:t>
            </w:r>
          </w:p>
        </w:tc>
      </w:tr>
      <w:tr>
        <w:trPr>
          <w:trHeight w:val="217"/>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r>
      <w:tr>
        <w:trPr>
          <w:trHeight w:val="459"/>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2018-04</w:t>
            </w:r>
          </w:p>
        </w:tc>
        <w:tc>
          <w:tcPr>
            <w:tcW w:w="14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Investments — Debt Securities</w:t>
            </w:r>
          </w:p>
        </w:tc>
      </w:tr>
    </w:tbl>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28575</wp:posOffset>
            </wp:positionV>
            <wp:extent cx="3035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Modified retrospective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Retrospective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Modified retrospective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Retrospective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Retrospective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Prospective</w:t>
      </w:r>
    </w:p>
    <w:p>
      <w:pPr>
        <w:spacing w:after="0" w:line="6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Early adopted; we elected not to reclassify any stranded tax effects of the Tax Cuts and Jobs Act (the “Tax Act”) due to the insignificance of the amount remaining in accumulated other comprehensive income (“AOCI”).</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Adopted in conjunction with ASU 2016-01</w:t>
      </w:r>
    </w:p>
    <w:p>
      <w:pPr>
        <w:spacing w:after="0" w:line="209" w:lineRule="exact"/>
        <w:rPr>
          <w:sz w:val="20"/>
          <w:szCs w:val="20"/>
          <w:color w:val="auto"/>
        </w:rPr>
      </w:pPr>
    </w:p>
    <w:p>
      <w:pPr>
        <w:sectPr>
          <w:pgSz w:w="11900" w:h="16838" w:orient="portrait"/>
          <w:cols w:equalWidth="0" w:num="2">
            <w:col w:w="6540" w:space="120"/>
            <w:col w:w="4760"/>
          </w:cols>
          <w:pgMar w:left="240" w:top="522" w:right="239" w:bottom="1440" w:gutter="0" w:footer="0" w:header="0"/>
          <w:type w:val="continuous"/>
        </w:sectPr>
      </w:pPr>
    </w:p>
    <w:p>
      <w:pPr>
        <w:spacing w:after="0" w:line="2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Additionally, in August 2018, the U.S. Securities and Exchange Commission (the “SEC”) published Release No. 33-10532,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Update and Simplification</w:t>
      </w:r>
      <w:r>
        <w:rPr>
          <w:rFonts w:ascii="Arial" w:cs="Arial" w:eastAsia="Arial" w:hAnsi="Arial"/>
          <w:sz w:val="18"/>
          <w:szCs w:val="18"/>
          <w:color w:val="auto"/>
        </w:rPr>
        <w:t>, which adopted amendments to certain disclosure requirements that had become redundant, duplicative,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overlapping, outdated, or superseded in light of other SEC disclosure requirements, U.S. GAAP, or changes in the information environment, effective for all filings of periods beginning after November 5, 2018. This release was subsequently codified in July 2019 as part of ASU 2019-07, </w:t>
      </w:r>
      <w:r>
        <w:rPr>
          <w:rFonts w:ascii="Arial" w:cs="Arial" w:eastAsia="Arial" w:hAnsi="Arial"/>
          <w:sz w:val="18"/>
          <w:szCs w:val="18"/>
          <w:i w:val="1"/>
          <w:iCs w:val="1"/>
          <w:color w:val="auto"/>
        </w:rPr>
        <w:t>Codification Updates to SEC Sections—Amendments to SEC Paragraphs Pursuant to SEC Final Rule Releases No. 33-10532,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Update and Simplification,” and Nos. 33-10231 and 33-10442, “Investment Company Reporting Modernization,” and Miscellaneous Updates. </w:t>
      </w:r>
      <w:r>
        <w:rPr>
          <w:rFonts w:ascii="Arial" w:cs="Arial" w:eastAsia="Arial" w:hAnsi="Arial"/>
          <w:sz w:val="18"/>
          <w:szCs w:val="18"/>
          <w:color w:val="auto"/>
        </w:rPr>
        <w:t>While most of the amendments in this release eliminate outdated or duplicative disclosure requirements, the final rule amends the interim financial statement requirements to include a reconciliation of changes in stockholders’ equity in the notes to the financial statements or as a separate statement for each period for which an income statement is required to be filed. We have provided this required information herein as a separate statement. The eliminated or amended disclosures did not have a material impact on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Leases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replaces existing lease accounting guidance. The new standard is intended to provide enhanced transparency and comparability by requiring lessees to record right-of-use assets and corresponding lease liabilities on the balance sheet. The new guidance will require us to continue to classify leases as either operating or financing, with classification affecting the pattern of expense recognition in the statement of comprehensive income. The FASB issued several updates to ASU 2016-02, including: ASU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ASU 2018-11, </w:t>
      </w:r>
      <w:r>
        <w:rPr>
          <w:rFonts w:ascii="Arial" w:cs="Arial" w:eastAsia="Arial" w:hAnsi="Arial"/>
          <w:sz w:val="18"/>
          <w:szCs w:val="18"/>
          <w:i w:val="1"/>
          <w:iCs w:val="1"/>
          <w:color w:val="auto"/>
        </w:rPr>
        <w:t>Leases (Topic 842):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w:t>
      </w:r>
      <w:r>
        <w:rPr>
          <w:rFonts w:ascii="Arial" w:cs="Arial" w:eastAsia="Arial" w:hAnsi="Arial"/>
          <w:sz w:val="18"/>
          <w:szCs w:val="18"/>
          <w:color w:val="auto"/>
        </w:rPr>
        <w:t>, which provides an additional transition method to adopt Topic 842; and ASU 2019-01,</w:t>
      </w:r>
      <w:r>
        <w:rPr>
          <w:rFonts w:ascii="Arial" w:cs="Arial" w:eastAsia="Arial" w:hAnsi="Arial"/>
          <w:sz w:val="18"/>
          <w:szCs w:val="18"/>
          <w:i w:val="1"/>
          <w:iCs w:val="1"/>
          <w:color w:val="auto"/>
        </w:rPr>
        <w:t xml:space="preserve"> Leases (Topic 842): Codification Improvements</w:t>
      </w:r>
      <w:r>
        <w:rPr>
          <w:rFonts w:ascii="Arial" w:cs="Arial" w:eastAsia="Arial" w:hAnsi="Arial"/>
          <w:sz w:val="18"/>
          <w:szCs w:val="18"/>
          <w:color w:val="auto"/>
        </w:rPr>
        <w:t>, which addresses, among other issues, determination of the fair value of the underlying asset by lessors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or dealers and clarifies interim period transition disclosure requirements.</w:t>
      </w:r>
    </w:p>
    <w:p>
      <w:pPr>
        <w:spacing w:after="0" w:line="14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established an implementation team to comprehensively evaluate the impact of adopting this guidance, which includes: reviewing our lease portfolio; implementing new system tools to help us meet reporting requirements; and assessing the impact to business processes, internal control over financial reporting, and the related disclosure requirements. While our evaluation is ongoing, we believe the adoption of this standard will have a significant impact on our consolidated balance sheets due to the recognition of right-of-use assets and corresponding lease liabilities. Refer to Note 14, “Commitments and Contingencies,” in our 2018 Annual Report for information about our lease obligations. This standard will become effective for us on November 1, 2019. We plan to adopt this standard using a modified retrospective transition approach for leases that exist in the period of adoption, and therefore we will not restate the prior comparative periods. No other recently issued standards are expected to have a significant impact on our fiscal 2020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2"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0046AD"/>
        </w:rPr>
        <w:t>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Impact of Adopting Topic 606 and Topic 853 on the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1, 2018, we recorded a pre-tax increase of $9.1 million to our opening retained earnings as a result of adopting Topic</w:t>
      </w:r>
    </w:p>
    <w:p>
      <w:pPr>
        <w:spacing w:after="0" w:line="9" w:lineRule="exact"/>
        <w:rPr>
          <w:sz w:val="20"/>
          <w:szCs w:val="20"/>
          <w:color w:val="auto"/>
        </w:rPr>
      </w:pPr>
    </w:p>
    <w:p>
      <w:pPr>
        <w:jc w:val="both"/>
        <w:ind w:firstLine="8"/>
        <w:spacing w:after="0" w:line="252" w:lineRule="auto"/>
        <w:tabs>
          <w:tab w:leader="none" w:pos="4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changes primarily related to: (i) the capitalization of certain commission costs that were previously expensed as incurred; (ii) the deferral of revenue, and the associated margin, on uninstalled materials associated with certain project type contracts that will now be recognized when installation is substantially complete; and (iii) the deferral of initial franchise license fees that were previously recognized when the franchise license term began but will now be recognized over the term of the initial franchise arrangement. Changes to our consolidated balance sheets include the separate presentation of costs incurred in excess of amounts billed, which were previously included in trade accounts receivable, net. Additionally, in accordance with Topic 853, rent expense related to service concession arrangements, which was previously classified as an operating expense, is now classified as a reduction of revenues.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October</w:t>
            </w:r>
          </w:p>
        </w:tc>
        <w:tc>
          <w:tcPr>
            <w:tcW w:w="2060" w:type="dxa"/>
            <w:vAlign w:val="bottom"/>
            <w:gridSpan w:val="3"/>
          </w:tcPr>
          <w:p>
            <w:pPr>
              <w:ind w:left="120"/>
              <w:spacing w:after="0"/>
              <w:rPr>
                <w:sz w:val="20"/>
                <w:szCs w:val="20"/>
                <w:color w:val="auto"/>
              </w:rPr>
            </w:pPr>
            <w:r>
              <w:rPr>
                <w:rFonts w:ascii="Arial" w:cs="Arial" w:eastAsia="Arial" w:hAnsi="Arial"/>
                <w:sz w:val="18"/>
                <w:szCs w:val="18"/>
                <w:b w:val="1"/>
                <w:bCs w:val="1"/>
                <w:color w:val="auto"/>
              </w:rPr>
              <w:t>Adjustments Due to</w:t>
            </w: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Balance at November</w:t>
            </w:r>
          </w:p>
        </w:tc>
      </w:tr>
      <w:tr>
        <w:trPr>
          <w:trHeight w:val="212"/>
        </w:trPr>
        <w:tc>
          <w:tcPr>
            <w:tcW w:w="5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8"/>
                <w:szCs w:val="18"/>
                <w:color w:val="auto"/>
              </w:rPr>
            </w:pPr>
          </w:p>
        </w:tc>
        <w:tc>
          <w:tcPr>
            <w:tcW w:w="1820" w:type="dxa"/>
            <w:vAlign w:val="bottom"/>
          </w:tcPr>
          <w:p>
            <w:pPr>
              <w:jc w:val="right"/>
              <w:ind w:right="530"/>
              <w:spacing w:after="0"/>
              <w:rPr>
                <w:sz w:val="20"/>
                <w:szCs w:val="20"/>
                <w:color w:val="auto"/>
              </w:rPr>
            </w:pPr>
            <w:r>
              <w:rPr>
                <w:rFonts w:ascii="Arial" w:cs="Arial" w:eastAsia="Arial" w:hAnsi="Arial"/>
                <w:sz w:val="18"/>
                <w:szCs w:val="18"/>
                <w:b w:val="1"/>
                <w:bCs w:val="1"/>
                <w:color w:val="auto"/>
              </w:rPr>
              <w:t>31, 2018</w:t>
            </w:r>
          </w:p>
        </w:tc>
        <w:tc>
          <w:tcPr>
            <w:tcW w:w="100" w:type="dxa"/>
            <w:vAlign w:val="bottom"/>
          </w:tcPr>
          <w:p>
            <w:pPr>
              <w:spacing w:after="0"/>
              <w:rPr>
                <w:sz w:val="18"/>
                <w:szCs w:val="18"/>
                <w:color w:val="auto"/>
              </w:rPr>
            </w:pPr>
          </w:p>
        </w:tc>
        <w:tc>
          <w:tcPr>
            <w:tcW w:w="2060" w:type="dxa"/>
            <w:vAlign w:val="bottom"/>
            <w:gridSpan w:val="3"/>
          </w:tcPr>
          <w:p>
            <w:pPr>
              <w:ind w:left="40"/>
              <w:spacing w:after="0"/>
              <w:rPr>
                <w:sz w:val="20"/>
                <w:szCs w:val="20"/>
                <w:color w:val="auto"/>
              </w:rPr>
            </w:pPr>
            <w:r>
              <w:rPr>
                <w:rFonts w:ascii="Arial" w:cs="Arial" w:eastAsia="Arial" w:hAnsi="Arial"/>
                <w:sz w:val="18"/>
                <w:szCs w:val="18"/>
                <w:b w:val="1"/>
                <w:bCs w:val="1"/>
                <w:color w:val="auto"/>
              </w:rPr>
              <w:t>Adoption of Topic 606</w:t>
            </w:r>
          </w:p>
        </w:tc>
        <w:tc>
          <w:tcPr>
            <w:tcW w:w="400" w:type="dxa"/>
            <w:vAlign w:val="bottom"/>
          </w:tcPr>
          <w:p>
            <w:pPr>
              <w:spacing w:after="0"/>
              <w:rPr>
                <w:sz w:val="18"/>
                <w:szCs w:val="18"/>
                <w:color w:val="auto"/>
              </w:rPr>
            </w:pPr>
          </w:p>
        </w:tc>
        <w:tc>
          <w:tcPr>
            <w:tcW w:w="1540" w:type="dxa"/>
            <w:vAlign w:val="bottom"/>
          </w:tcPr>
          <w:p>
            <w:pPr>
              <w:jc w:val="right"/>
              <w:ind w:right="590"/>
              <w:spacing w:after="0"/>
              <w:rPr>
                <w:sz w:val="20"/>
                <w:szCs w:val="20"/>
                <w:color w:val="auto"/>
              </w:rPr>
            </w:pPr>
            <w:r>
              <w:rPr>
                <w:rFonts w:ascii="Arial" w:cs="Arial" w:eastAsia="Arial" w:hAnsi="Arial"/>
                <w:sz w:val="18"/>
                <w:szCs w:val="18"/>
                <w:b w:val="1"/>
                <w:bCs w:val="1"/>
                <w:color w:val="auto"/>
              </w:rPr>
              <w:t>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6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4"/>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CE2EF"/>
          </w:tcPr>
          <w:p>
            <w:pPr>
              <w:spacing w:after="0"/>
              <w:rPr>
                <w:sz w:val="22"/>
                <w:szCs w:val="22"/>
                <w:color w:val="auto"/>
              </w:rPr>
            </w:pPr>
          </w:p>
        </w:tc>
        <w:tc>
          <w:tcPr>
            <w:tcW w:w="18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78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400" w:type="dxa"/>
            <w:vAlign w:val="bottom"/>
            <w:shd w:val="clear" w:color="auto" w:fill="DCE2EF"/>
          </w:tcPr>
          <w:p>
            <w:pPr>
              <w:spacing w:after="0"/>
              <w:rPr>
                <w:sz w:val="22"/>
                <w:szCs w:val="22"/>
                <w:color w:val="auto"/>
              </w:rPr>
            </w:pPr>
          </w:p>
        </w:tc>
        <w:tc>
          <w:tcPr>
            <w:tcW w:w="1540" w:type="dxa"/>
            <w:vAlign w:val="bottom"/>
            <w:shd w:val="clear" w:color="auto" w:fill="DCE2EF"/>
          </w:tcPr>
          <w:p>
            <w:pPr>
              <w:spacing w:after="0"/>
              <w:rPr>
                <w:sz w:val="22"/>
                <w:szCs w:val="22"/>
                <w:color w:val="auto"/>
              </w:rPr>
            </w:pP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532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Trade accounts receivable, net</w:t>
            </w:r>
          </w:p>
        </w:tc>
        <w:tc>
          <w:tcPr>
            <w:tcW w:w="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1,014.1</w:t>
            </w:r>
          </w:p>
        </w:tc>
        <w:tc>
          <w:tcPr>
            <w:tcW w:w="100" w:type="dxa"/>
            <w:vAlign w:val="bottom"/>
            <w:shd w:val="clear" w:color="auto" w:fill="DCE2EF"/>
          </w:tcPr>
          <w:p>
            <w:pPr>
              <w:spacing w:after="0"/>
              <w:rPr>
                <w:sz w:val="24"/>
                <w:szCs w:val="24"/>
                <w:color w:val="auto"/>
              </w:rPr>
            </w:pPr>
          </w:p>
        </w:tc>
        <w:tc>
          <w:tcPr>
            <w:tcW w:w="780" w:type="dxa"/>
            <w:vAlign w:val="bottom"/>
            <w:shd w:val="clear" w:color="auto" w:fill="DCE2E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974.0</w:t>
            </w:r>
          </w:p>
        </w:tc>
      </w:tr>
      <w:tr>
        <w:trPr>
          <w:trHeight w:val="263"/>
        </w:trPr>
        <w:tc>
          <w:tcPr>
            <w:tcW w:w="40" w:type="dxa"/>
            <w:vAlign w:val="bottom"/>
          </w:tcPr>
          <w:p>
            <w:pPr>
              <w:spacing w:after="0"/>
              <w:rPr>
                <w:sz w:val="22"/>
                <w:szCs w:val="22"/>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Costs incurred in excess of amounts billed</w:t>
            </w:r>
          </w:p>
        </w:tc>
        <w:tc>
          <w:tcPr>
            <w:tcW w:w="140" w:type="dxa"/>
            <w:vAlign w:val="bottom"/>
          </w:tcPr>
          <w:p>
            <w:pPr>
              <w:spacing w:after="0"/>
              <w:rPr>
                <w:sz w:val="22"/>
                <w:szCs w:val="22"/>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7"/>
        </w:trPr>
        <w:tc>
          <w:tcPr>
            <w:tcW w:w="40" w:type="dxa"/>
            <w:vAlign w:val="bottom"/>
            <w:shd w:val="clear" w:color="auto" w:fill="DCE2EF"/>
          </w:tcPr>
          <w:p>
            <w:pPr>
              <w:spacing w:after="0"/>
              <w:rPr>
                <w:sz w:val="24"/>
                <w:szCs w:val="24"/>
                <w:color w:val="auto"/>
              </w:rPr>
            </w:pPr>
          </w:p>
        </w:tc>
        <w:tc>
          <w:tcPr>
            <w:tcW w:w="532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DCE2EF"/>
          </w:tcPr>
          <w:p>
            <w:pPr>
              <w:spacing w:after="0"/>
              <w:rPr>
                <w:sz w:val="24"/>
                <w:szCs w:val="24"/>
                <w:color w:val="auto"/>
              </w:rPr>
            </w:pPr>
          </w:p>
        </w:tc>
        <w:tc>
          <w:tcPr>
            <w:tcW w:w="18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DCE2EF"/>
          </w:tcPr>
          <w:p>
            <w:pPr>
              <w:spacing w:after="0"/>
              <w:rPr>
                <w:sz w:val="24"/>
                <w:szCs w:val="24"/>
                <w:color w:val="auto"/>
              </w:rPr>
            </w:pPr>
          </w:p>
        </w:tc>
        <w:tc>
          <w:tcPr>
            <w:tcW w:w="78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5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40.6</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2"/>
                <w:szCs w:val="22"/>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121.1</w:t>
            </w:r>
          </w:p>
        </w:tc>
      </w:tr>
      <w:tr>
        <w:trPr>
          <w:trHeight w:val="290"/>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4620" w:type="dxa"/>
            <w:vAlign w:val="bottom"/>
            <w:shd w:val="clear" w:color="auto" w:fill="DCE2EF"/>
          </w:tcPr>
          <w:p>
            <w:pPr>
              <w:spacing w:after="0"/>
              <w:rPr>
                <w:sz w:val="24"/>
                <w:szCs w:val="24"/>
                <w:color w:val="auto"/>
              </w:rPr>
            </w:pPr>
          </w:p>
        </w:tc>
        <w:tc>
          <w:tcPr>
            <w:tcW w:w="140" w:type="dxa"/>
            <w:vAlign w:val="bottom"/>
            <w:shd w:val="clear" w:color="auto" w:fill="DCE2EF"/>
          </w:tcPr>
          <w:p>
            <w:pPr>
              <w:spacing w:after="0"/>
              <w:rPr>
                <w:sz w:val="24"/>
                <w:szCs w:val="24"/>
                <w:color w:val="auto"/>
              </w:rPr>
            </w:pPr>
          </w:p>
        </w:tc>
        <w:tc>
          <w:tcPr>
            <w:tcW w:w="18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78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540" w:type="dxa"/>
            <w:vAlign w:val="bottom"/>
            <w:shd w:val="clear" w:color="auto" w:fill="DCE2EF"/>
          </w:tcPr>
          <w:p>
            <w:pPr>
              <w:spacing w:after="0"/>
              <w:rPr>
                <w:sz w:val="24"/>
                <w:szCs w:val="24"/>
                <w:color w:val="auto"/>
              </w:rPr>
            </w:pP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DCE2EF"/>
          </w:tcPr>
          <w:p>
            <w:pPr>
              <w:spacing w:after="0"/>
              <w:rPr>
                <w:sz w:val="24"/>
                <w:szCs w:val="24"/>
                <w:color w:val="auto"/>
              </w:rPr>
            </w:pPr>
          </w:p>
        </w:tc>
        <w:tc>
          <w:tcPr>
            <w:tcW w:w="18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78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540" w:type="dxa"/>
            <w:vAlign w:val="bottom"/>
            <w:shd w:val="clear" w:color="auto" w:fill="DCE2E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158.9</w:t>
            </w: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Deferred income tax liability, net</w:t>
            </w:r>
          </w:p>
        </w:tc>
        <w:tc>
          <w:tcPr>
            <w:tcW w:w="140" w:type="dxa"/>
            <w:vAlign w:val="bottom"/>
            <w:shd w:val="clear" w:color="auto" w:fill="DCE2EF"/>
          </w:tcPr>
          <w:p>
            <w:pPr>
              <w:spacing w:after="0"/>
              <w:rPr>
                <w:sz w:val="24"/>
                <w:szCs w:val="24"/>
                <w:color w:val="auto"/>
              </w:rPr>
            </w:pPr>
          </w:p>
        </w:tc>
        <w:tc>
          <w:tcPr>
            <w:tcW w:w="18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DCE2EF"/>
          </w:tcPr>
          <w:p>
            <w:pPr>
              <w:spacing w:after="0"/>
              <w:rPr>
                <w:sz w:val="24"/>
                <w:szCs w:val="24"/>
                <w:color w:val="auto"/>
              </w:rPr>
            </w:pPr>
          </w:p>
        </w:tc>
        <w:tc>
          <w:tcPr>
            <w:tcW w:w="78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5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40.3</w:t>
            </w:r>
          </w:p>
        </w:tc>
      </w:tr>
      <w:tr>
        <w:trPr>
          <w:trHeight w:val="257"/>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2"/>
                <w:szCs w:val="22"/>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777.6</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adopting Topic 606 on our unaudited consolidated balance sheet as of July 31, 2019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As of July 31, 2019</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r>
      <w:tr>
        <w:trPr>
          <w:trHeight w:val="20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Under Historical</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2"/>
        </w:trPr>
        <w:tc>
          <w:tcPr>
            <w:tcW w:w="5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Guidance</w:t>
            </w:r>
          </w:p>
        </w:tc>
        <w:tc>
          <w:tcPr>
            <w:tcW w:w="160" w:type="dxa"/>
            <w:vAlign w:val="bottom"/>
          </w:tcPr>
          <w:p>
            <w:pPr>
              <w:spacing w:after="0"/>
              <w:rPr>
                <w:sz w:val="18"/>
                <w:szCs w:val="18"/>
                <w:color w:val="auto"/>
              </w:rPr>
            </w:pP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Effect of Adoption</w:t>
            </w:r>
          </w:p>
        </w:tc>
        <w:tc>
          <w:tcPr>
            <w:tcW w:w="280" w:type="dxa"/>
            <w:vAlign w:val="bottom"/>
          </w:tcPr>
          <w:p>
            <w:pPr>
              <w:spacing w:after="0"/>
              <w:rPr>
                <w:sz w:val="18"/>
                <w:szCs w:val="18"/>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As Reported</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6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64"/>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CE2EF"/>
          </w:tcPr>
          <w:p>
            <w:pPr>
              <w:spacing w:after="0"/>
              <w:rPr>
                <w:sz w:val="22"/>
                <w:szCs w:val="22"/>
                <w:color w:val="auto"/>
              </w:rPr>
            </w:pPr>
          </w:p>
        </w:tc>
        <w:tc>
          <w:tcPr>
            <w:tcW w:w="17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17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80" w:type="dxa"/>
            <w:vAlign w:val="bottom"/>
            <w:shd w:val="clear" w:color="auto" w:fill="DCE2EF"/>
          </w:tcPr>
          <w:p>
            <w:pPr>
              <w:spacing w:after="0"/>
              <w:rPr>
                <w:sz w:val="22"/>
                <w:szCs w:val="22"/>
                <w:color w:val="auto"/>
              </w:rPr>
            </w:pPr>
          </w:p>
        </w:tc>
        <w:tc>
          <w:tcPr>
            <w:tcW w:w="1660" w:type="dxa"/>
            <w:vAlign w:val="bottom"/>
            <w:shd w:val="clear" w:color="auto" w:fill="DCE2EF"/>
          </w:tcPr>
          <w:p>
            <w:pPr>
              <w:spacing w:after="0"/>
              <w:rPr>
                <w:sz w:val="22"/>
                <w:szCs w:val="22"/>
                <w:color w:val="auto"/>
              </w:rPr>
            </w:pP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532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53.5</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2"/>
                <w:szCs w:val="22"/>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120.2</w:t>
            </w:r>
          </w:p>
        </w:tc>
      </w:tr>
      <w:tr>
        <w:trPr>
          <w:trHeight w:val="290"/>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46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7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7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spacing w:after="0"/>
              <w:rPr>
                <w:sz w:val="24"/>
                <w:szCs w:val="24"/>
                <w:color w:val="auto"/>
              </w:rPr>
            </w:pP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DCE2EF"/>
          </w:tcPr>
          <w:p>
            <w:pPr>
              <w:spacing w:after="0"/>
              <w:rPr>
                <w:sz w:val="24"/>
                <w:szCs w:val="24"/>
                <w:color w:val="auto"/>
              </w:rPr>
            </w:pPr>
          </w:p>
        </w:tc>
        <w:tc>
          <w:tcPr>
            <w:tcW w:w="17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7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166.4</w:t>
            </w: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Deferred income tax liability, net</w:t>
            </w:r>
          </w:p>
        </w:tc>
        <w:tc>
          <w:tcPr>
            <w:tcW w:w="220" w:type="dxa"/>
            <w:vAlign w:val="bottom"/>
            <w:shd w:val="clear" w:color="auto" w:fill="DCE2EF"/>
          </w:tcPr>
          <w:p>
            <w:pPr>
              <w:spacing w:after="0"/>
              <w:rPr>
                <w:sz w:val="24"/>
                <w:szCs w:val="24"/>
                <w:color w:val="auto"/>
              </w:rPr>
            </w:pPr>
          </w:p>
        </w:tc>
        <w:tc>
          <w:tcPr>
            <w:tcW w:w="17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7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31.6</w:t>
            </w:r>
          </w:p>
        </w:tc>
      </w:tr>
      <w:tr>
        <w:trPr>
          <w:trHeight w:val="257"/>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2"/>
                <w:szCs w:val="22"/>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806.2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820.5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2" w:right="239" w:bottom="1440" w:gutter="0" w:footer="0" w:header="0"/>
        </w:sectPr>
      </w:pPr>
    </w:p>
    <w:bookmarkStart w:id="13" w:name="page14"/>
    <w:bookmarkEnd w:id="13"/>
    <w:p>
      <w:pPr>
        <w:jc w:val="both"/>
        <w:ind w:right="20" w:firstLine="648"/>
        <w:spacing w:after="0" w:line="262" w:lineRule="auto"/>
        <w:rPr>
          <w:sz w:val="20"/>
          <w:szCs w:val="20"/>
          <w:color w:val="auto"/>
        </w:rPr>
      </w:pPr>
      <w:r>
        <w:rPr>
          <w:rFonts w:ascii="Arial" w:cs="Arial" w:eastAsia="Arial" w:hAnsi="Arial"/>
          <w:sz w:val="18"/>
          <w:szCs w:val="18"/>
          <w:color w:val="auto"/>
        </w:rPr>
        <w:t>The impacts of adopting Topic 606 and Topic 853 on our unaudited consolidated statements of comprehensive income for the three and nine months ended July 31, 2019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8"/>
              </w:rPr>
              <w:t>Three Months Ended July 31, 2019</w:t>
            </w:r>
          </w:p>
        </w:tc>
        <w:tc>
          <w:tcPr>
            <w:tcW w:w="140" w:type="dxa"/>
            <w:vAlign w:val="bottom"/>
          </w:tcPr>
          <w:p>
            <w:pPr>
              <w:spacing w:after="0"/>
              <w:rPr>
                <w:sz w:val="20"/>
                <w:szCs w:val="20"/>
                <w:color w:val="auto"/>
              </w:rPr>
            </w:pPr>
          </w:p>
        </w:tc>
        <w:tc>
          <w:tcPr>
            <w:tcW w:w="3480" w:type="dxa"/>
            <w:vAlign w:val="bottom"/>
            <w:gridSpan w:val="7"/>
          </w:tcPr>
          <w:p>
            <w:pPr>
              <w:jc w:val="center"/>
              <w:ind w:right="36"/>
              <w:spacing w:after="0"/>
              <w:rPr>
                <w:sz w:val="20"/>
                <w:szCs w:val="20"/>
                <w:color w:val="auto"/>
              </w:rPr>
            </w:pPr>
            <w:r>
              <w:rPr>
                <w:rFonts w:ascii="Arial" w:cs="Arial" w:eastAsia="Arial" w:hAnsi="Arial"/>
                <w:sz w:val="17"/>
                <w:szCs w:val="17"/>
                <w:b w:val="1"/>
                <w:bCs w:val="1"/>
                <w:color w:val="auto"/>
                <w:w w:val="98"/>
              </w:rPr>
              <w:t>Nine Months Ended July 31, 2019</w:t>
            </w:r>
          </w:p>
        </w:tc>
      </w:tr>
      <w:tr>
        <w:trPr>
          <w:trHeight w:val="193"/>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40"/>
              <w:spacing w:after="0" w:line="194" w:lineRule="exact"/>
              <w:rPr>
                <w:sz w:val="20"/>
                <w:szCs w:val="20"/>
                <w:color w:val="auto"/>
              </w:rPr>
            </w:pPr>
            <w:r>
              <w:rPr>
                <w:rFonts w:ascii="Arial" w:cs="Arial" w:eastAsia="Arial" w:hAnsi="Arial"/>
                <w:sz w:val="17"/>
                <w:szCs w:val="17"/>
                <w:b w:val="1"/>
                <w:bCs w:val="1"/>
                <w:color w:val="auto"/>
                <w:w w:val="97"/>
              </w:rPr>
              <w:t>Under</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60"/>
              <w:spacing w:after="0" w:line="194" w:lineRule="exact"/>
              <w:rPr>
                <w:sz w:val="20"/>
                <w:szCs w:val="20"/>
                <w:color w:val="auto"/>
              </w:rPr>
            </w:pPr>
            <w:r>
              <w:rPr>
                <w:rFonts w:ascii="Arial" w:cs="Arial" w:eastAsia="Arial" w:hAnsi="Arial"/>
                <w:sz w:val="17"/>
                <w:szCs w:val="17"/>
                <w:b w:val="1"/>
                <w:bCs w:val="1"/>
                <w:color w:val="auto"/>
                <w:w w:val="97"/>
              </w:rPr>
              <w:t>Under</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line="189" w:lineRule="exact"/>
              <w:rPr>
                <w:sz w:val="20"/>
                <w:szCs w:val="20"/>
                <w:color w:val="auto"/>
              </w:rPr>
            </w:pPr>
            <w:r>
              <w:rPr>
                <w:rFonts w:ascii="Arial" w:cs="Arial" w:eastAsia="Arial" w:hAnsi="Arial"/>
                <w:sz w:val="17"/>
                <w:szCs w:val="17"/>
                <w:b w:val="1"/>
                <w:bCs w:val="1"/>
                <w:color w:val="auto"/>
                <w:w w:val="98"/>
              </w:rPr>
              <w:t>Historical</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line="189" w:lineRule="exact"/>
              <w:rPr>
                <w:sz w:val="20"/>
                <w:szCs w:val="20"/>
                <w:color w:val="auto"/>
              </w:rPr>
            </w:pPr>
            <w:r>
              <w:rPr>
                <w:rFonts w:ascii="Arial" w:cs="Arial" w:eastAsia="Arial" w:hAnsi="Arial"/>
                <w:sz w:val="17"/>
                <w:szCs w:val="17"/>
                <w:b w:val="1"/>
                <w:bCs w:val="1"/>
                <w:color w:val="auto"/>
                <w:w w:val="99"/>
              </w:rPr>
              <w:t>Effect of</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89" w:lineRule="exact"/>
              <w:rPr>
                <w:sz w:val="20"/>
                <w:szCs w:val="20"/>
                <w:color w:val="auto"/>
              </w:rPr>
            </w:pPr>
            <w:r>
              <w:rPr>
                <w:rFonts w:ascii="Arial" w:cs="Arial" w:eastAsia="Arial" w:hAnsi="Arial"/>
                <w:sz w:val="17"/>
                <w:szCs w:val="17"/>
                <w:b w:val="1"/>
                <w:bCs w:val="1"/>
                <w:color w:val="auto"/>
                <w:w w:val="98"/>
              </w:rPr>
              <w:t>Historical</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line="189" w:lineRule="exact"/>
              <w:rPr>
                <w:sz w:val="20"/>
                <w:szCs w:val="20"/>
                <w:color w:val="auto"/>
              </w:rPr>
            </w:pPr>
            <w:r>
              <w:rPr>
                <w:rFonts w:ascii="Arial" w:cs="Arial" w:eastAsia="Arial" w:hAnsi="Arial"/>
                <w:sz w:val="17"/>
                <w:szCs w:val="17"/>
                <w:b w:val="1"/>
                <w:bCs w:val="1"/>
                <w:color w:val="auto"/>
                <w:w w:val="99"/>
              </w:rPr>
              <w:t>Effect of</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6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8"/>
              </w:rPr>
              <w:t>Guidance</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Adoption</w:t>
            </w:r>
          </w:p>
        </w:tc>
        <w:tc>
          <w:tcPr>
            <w:tcW w:w="1240" w:type="dxa"/>
            <w:vAlign w:val="bottom"/>
            <w:gridSpan w:val="3"/>
          </w:tcPr>
          <w:p>
            <w:pPr>
              <w:ind w:left="60"/>
              <w:spacing w:after="0"/>
              <w:rPr>
                <w:sz w:val="20"/>
                <w:szCs w:val="20"/>
                <w:color w:val="auto"/>
              </w:rPr>
            </w:pPr>
            <w:r>
              <w:rPr>
                <w:rFonts w:ascii="Arial" w:cs="Arial" w:eastAsia="Arial" w:hAnsi="Arial"/>
                <w:sz w:val="17"/>
                <w:szCs w:val="17"/>
                <w:b w:val="1"/>
                <w:bCs w:val="1"/>
                <w:color w:val="auto"/>
              </w:rPr>
              <w:t>As Reported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Guidance</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9"/>
              </w:rPr>
              <w:t>Adoption</w:t>
            </w:r>
          </w:p>
        </w:tc>
        <w:tc>
          <w:tcPr>
            <w:tcW w:w="1140" w:type="dxa"/>
            <w:vAlign w:val="bottom"/>
            <w:gridSpan w:val="2"/>
          </w:tcPr>
          <w:p>
            <w:pPr>
              <w:jc w:val="right"/>
              <w:spacing w:after="0"/>
              <w:rPr>
                <w:sz w:val="20"/>
                <w:szCs w:val="20"/>
                <w:color w:val="auto"/>
              </w:rPr>
            </w:pPr>
            <w:r>
              <w:rPr>
                <w:rFonts w:ascii="Arial" w:cs="Arial" w:eastAsia="Arial" w:hAnsi="Arial"/>
                <w:sz w:val="17"/>
                <w:szCs w:val="17"/>
                <w:b w:val="1"/>
                <w:bCs w:val="1"/>
                <w:color w:val="auto"/>
              </w:rPr>
              <w:t>As Reported</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17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Revenues</w:t>
            </w:r>
          </w:p>
        </w:tc>
        <w:tc>
          <w:tcPr>
            <w:tcW w:w="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1,661.0</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1,647.9</w:t>
            </w:r>
          </w:p>
        </w:tc>
        <w:tc>
          <w:tcPr>
            <w:tcW w:w="120" w:type="dxa"/>
            <w:vAlign w:val="bottom"/>
            <w:shd w:val="clear" w:color="auto" w:fill="DCE2EF"/>
          </w:tcPr>
          <w:p>
            <w:pPr>
              <w:spacing w:after="0"/>
              <w:rPr>
                <w:sz w:val="21"/>
                <w:szCs w:val="21"/>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4,887.1</w:t>
            </w:r>
          </w:p>
        </w:tc>
        <w:tc>
          <w:tcPr>
            <w:tcW w:w="12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6"/>
              <w:spacing w:after="0"/>
              <w:rPr>
                <w:sz w:val="20"/>
                <w:szCs w:val="20"/>
                <w:color w:val="auto"/>
              </w:rPr>
            </w:pPr>
            <w:r>
              <w:rPr>
                <w:rFonts w:ascii="Arial" w:cs="Arial" w:eastAsia="Arial" w:hAnsi="Arial"/>
                <w:sz w:val="17"/>
                <w:szCs w:val="17"/>
                <w:color w:val="auto"/>
              </w:rPr>
              <w:t>$</w:t>
            </w:r>
          </w:p>
        </w:tc>
        <w:tc>
          <w:tcPr>
            <w:tcW w:w="84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4,850.6</w:t>
            </w:r>
          </w:p>
        </w:tc>
      </w:tr>
      <w:tr>
        <w:trPr>
          <w:trHeight w:val="261"/>
        </w:trPr>
        <w:tc>
          <w:tcPr>
            <w:tcW w:w="4000" w:type="dxa"/>
            <w:vAlign w:val="bottom"/>
            <w:gridSpan w:val="3"/>
          </w:tcPr>
          <w:p>
            <w:pPr>
              <w:ind w:left="4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1,466.6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1,454.1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4,350.3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4,314.2</w:t>
            </w:r>
          </w:p>
        </w:tc>
      </w:tr>
      <w:tr>
        <w:trPr>
          <w:trHeight w:val="279"/>
        </w:trPr>
        <w:tc>
          <w:tcPr>
            <w:tcW w:w="400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160" w:type="dxa"/>
            <w:vAlign w:val="bottom"/>
            <w:shd w:val="clear" w:color="auto" w:fill="DCE2EF"/>
          </w:tcPr>
          <w:p>
            <w:pPr>
              <w:spacing w:after="0"/>
              <w:rPr>
                <w:sz w:val="24"/>
                <w:szCs w:val="24"/>
                <w:color w:val="auto"/>
              </w:rPr>
            </w:pPr>
          </w:p>
        </w:tc>
        <w:tc>
          <w:tcPr>
            <w:tcW w:w="102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121.9</w:t>
            </w: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84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119.8</w:t>
            </w:r>
          </w:p>
        </w:tc>
        <w:tc>
          <w:tcPr>
            <w:tcW w:w="120" w:type="dxa"/>
            <w:vAlign w:val="bottom"/>
            <w:shd w:val="clear" w:color="auto" w:fill="DCE2EF"/>
          </w:tcPr>
          <w:p>
            <w:pPr>
              <w:spacing w:after="0"/>
              <w:rPr>
                <w:sz w:val="24"/>
                <w:szCs w:val="24"/>
                <w:color w:val="auto"/>
              </w:rPr>
            </w:pPr>
          </w:p>
        </w:tc>
        <w:tc>
          <w:tcPr>
            <w:tcW w:w="140" w:type="dxa"/>
            <w:vAlign w:val="bottom"/>
            <w:shd w:val="clear" w:color="auto" w:fill="DCE2EF"/>
          </w:tcPr>
          <w:p>
            <w:pPr>
              <w:spacing w:after="0"/>
              <w:rPr>
                <w:sz w:val="24"/>
                <w:szCs w:val="24"/>
                <w:color w:val="auto"/>
              </w:rPr>
            </w:pPr>
          </w:p>
        </w:tc>
        <w:tc>
          <w:tcPr>
            <w:tcW w:w="98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347.5</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84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340.9</w:t>
            </w:r>
          </w:p>
        </w:tc>
      </w:tr>
      <w:tr>
        <w:trPr>
          <w:trHeight w:val="261"/>
        </w:trPr>
        <w:tc>
          <w:tcPr>
            <w:tcW w:w="4000" w:type="dxa"/>
            <w:vAlign w:val="bottom"/>
            <w:gridSpan w:val="3"/>
          </w:tcPr>
          <w:p>
            <w:pPr>
              <w:ind w:left="40"/>
              <w:spacing w:after="0"/>
              <w:rPr>
                <w:sz w:val="20"/>
                <w:szCs w:val="20"/>
                <w:color w:val="auto"/>
              </w:rPr>
            </w:pPr>
            <w:r>
              <w:rPr>
                <w:rFonts w:ascii="Arial" w:cs="Arial" w:eastAsia="Arial" w:hAnsi="Arial"/>
                <w:sz w:val="17"/>
                <w:szCs w:val="17"/>
                <w:color w:val="auto"/>
              </w:rPr>
              <w:t>Income tax provision</w:t>
            </w:r>
          </w:p>
        </w:tc>
        <w:tc>
          <w:tcPr>
            <w:tcW w:w="16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24.2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25.8</w:t>
            </w:r>
          </w:p>
        </w:tc>
      </w:tr>
      <w:tr>
        <w:trPr>
          <w:trHeight w:val="279"/>
        </w:trPr>
        <w:tc>
          <w:tcPr>
            <w:tcW w:w="400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DCE2EF"/>
          </w:tcPr>
          <w:p>
            <w:pPr>
              <w:spacing w:after="0"/>
              <w:rPr>
                <w:sz w:val="24"/>
                <w:szCs w:val="24"/>
                <w:color w:val="auto"/>
              </w:rPr>
            </w:pPr>
          </w:p>
        </w:tc>
        <w:tc>
          <w:tcPr>
            <w:tcW w:w="102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35.6</w:t>
            </w: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98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1.2</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84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36.8</w:t>
            </w:r>
          </w:p>
        </w:tc>
        <w:tc>
          <w:tcPr>
            <w:tcW w:w="120" w:type="dxa"/>
            <w:vAlign w:val="bottom"/>
            <w:shd w:val="clear" w:color="auto" w:fill="DCE2EF"/>
          </w:tcPr>
          <w:p>
            <w:pPr>
              <w:spacing w:after="0"/>
              <w:rPr>
                <w:sz w:val="24"/>
                <w:szCs w:val="24"/>
                <w:color w:val="auto"/>
              </w:rPr>
            </w:pPr>
          </w:p>
        </w:tc>
        <w:tc>
          <w:tcPr>
            <w:tcW w:w="140" w:type="dxa"/>
            <w:vAlign w:val="bottom"/>
            <w:shd w:val="clear" w:color="auto" w:fill="DCE2EF"/>
          </w:tcPr>
          <w:p>
            <w:pPr>
              <w:spacing w:after="0"/>
              <w:rPr>
                <w:sz w:val="24"/>
                <w:szCs w:val="24"/>
                <w:color w:val="auto"/>
              </w:rPr>
            </w:pPr>
          </w:p>
        </w:tc>
        <w:tc>
          <w:tcPr>
            <w:tcW w:w="98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74.8</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98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4.6</w:t>
            </w:r>
          </w:p>
        </w:tc>
        <w:tc>
          <w:tcPr>
            <w:tcW w:w="10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84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79.4</w:t>
            </w:r>
          </w:p>
        </w:tc>
      </w:tr>
      <w:tr>
        <w:trPr>
          <w:trHeight w:val="284"/>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400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Net income per common share — Basic</w:t>
            </w:r>
          </w:p>
        </w:tc>
        <w:tc>
          <w:tcPr>
            <w:tcW w:w="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0.53</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DCE2EF"/>
          </w:tcPr>
          <w:p>
            <w:pPr>
              <w:spacing w:after="0"/>
              <w:rPr>
                <w:sz w:val="23"/>
                <w:szCs w:val="23"/>
                <w:color w:val="auto"/>
              </w:rPr>
            </w:pPr>
          </w:p>
        </w:tc>
        <w:tc>
          <w:tcPr>
            <w:tcW w:w="280" w:type="dxa"/>
            <w:vAlign w:val="bottom"/>
            <w:shd w:val="clear" w:color="auto" w:fill="DCE2EF"/>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0.55</w:t>
            </w:r>
          </w:p>
        </w:tc>
        <w:tc>
          <w:tcPr>
            <w:tcW w:w="120" w:type="dxa"/>
            <w:vAlign w:val="bottom"/>
            <w:shd w:val="clear" w:color="auto" w:fill="DCE2EF"/>
          </w:tcPr>
          <w:p>
            <w:pPr>
              <w:spacing w:after="0"/>
              <w:rPr>
                <w:sz w:val="23"/>
                <w:szCs w:val="23"/>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DCE2EF"/>
          </w:tcPr>
          <w:p>
            <w:pPr>
              <w:spacing w:after="0"/>
              <w:rPr>
                <w:sz w:val="23"/>
                <w:szCs w:val="23"/>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0.07</w:t>
            </w: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jc w:val="right"/>
              <w:ind w:right="96"/>
              <w:spacing w:after="0"/>
              <w:rPr>
                <w:sz w:val="20"/>
                <w:szCs w:val="20"/>
                <w:color w:val="auto"/>
              </w:rPr>
            </w:pPr>
            <w:r>
              <w:rPr>
                <w:rFonts w:ascii="Arial" w:cs="Arial" w:eastAsia="Arial" w:hAnsi="Arial"/>
                <w:sz w:val="17"/>
                <w:szCs w:val="17"/>
                <w:color w:val="auto"/>
              </w:rPr>
              <w:t>$</w:t>
            </w:r>
          </w:p>
        </w:tc>
        <w:tc>
          <w:tcPr>
            <w:tcW w:w="84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1.19</w:t>
            </w:r>
          </w:p>
        </w:tc>
      </w:tr>
      <w:tr>
        <w:trPr>
          <w:trHeight w:val="253"/>
        </w:trPr>
        <w:tc>
          <w:tcPr>
            <w:tcW w:w="4000" w:type="dxa"/>
            <w:vAlign w:val="bottom"/>
            <w:gridSpan w:val="3"/>
          </w:tcPr>
          <w:p>
            <w:pPr>
              <w:ind w:left="40"/>
              <w:spacing w:after="0"/>
              <w:rPr>
                <w:sz w:val="20"/>
                <w:szCs w:val="20"/>
                <w:color w:val="auto"/>
              </w:rPr>
            </w:pPr>
            <w:r>
              <w:rPr>
                <w:rFonts w:ascii="Arial" w:cs="Arial" w:eastAsia="Arial" w:hAnsi="Arial"/>
                <w:sz w:val="17"/>
                <w:szCs w:val="17"/>
                <w:color w:val="auto"/>
              </w:rPr>
              <w:t>Net income per common share — Diluted</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0.53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0.55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0.07</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1.19</w:t>
            </w:r>
          </w:p>
        </w:tc>
      </w:tr>
    </w:tbl>
    <w:p>
      <w:pPr>
        <w:spacing w:after="0" w:line="3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were no significant impacts on our consolidated statements of cash flows other than offsetting shifts in net cash provided by operating activities between net income and various changes in working capital line items.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Disaggregation of Revenue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generate revenues under several types of contracts, as further explained below. Generally, the type of contract is determined by the nature of the services provided by each of our major service lines throughout our reportable segments; therefore, we disaggregate revenue from contracts with customers into major service lines. We have determined that disaggregating revenue into these categories best depicts how the nature, amount, timing, and uncertainty of revenue and cash flows are affected by economic factors. Our reportable segments are Business &amp; Industry (“B&amp;I”), Aviation, Technology and Manufacturing (“T&amp;M”), Education, and Technical Solutions, as described in Note 11, “Segment Information.”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w w:val="98"/>
              </w:rPr>
              <w:t>Three Months Ended July 31, 2019</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Technical</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1020" w:type="dxa"/>
            <w:vAlign w:val="bottom"/>
            <w:gridSpan w:val="2"/>
          </w:tcPr>
          <w:p>
            <w:pPr>
              <w:ind w:left="180"/>
              <w:spacing w:after="0" w:line="177" w:lineRule="exact"/>
              <w:rPr>
                <w:sz w:val="20"/>
                <w:szCs w:val="20"/>
                <w:color w:val="auto"/>
              </w:rPr>
            </w:pPr>
            <w:r>
              <w:rPr>
                <w:rFonts w:ascii="Arial" w:cs="Arial" w:eastAsia="Arial" w:hAnsi="Arial"/>
                <w:sz w:val="16"/>
                <w:szCs w:val="16"/>
                <w:b w:val="1"/>
                <w:bCs w:val="1"/>
                <w:color w:val="auto"/>
              </w:rPr>
              <w:t>B&amp;I</w:t>
            </w:r>
          </w:p>
        </w:tc>
        <w:tc>
          <w:tcPr>
            <w:tcW w:w="180" w:type="dxa"/>
            <w:vAlign w:val="bottom"/>
          </w:tcPr>
          <w:p>
            <w:pPr>
              <w:spacing w:after="0"/>
              <w:rPr>
                <w:sz w:val="15"/>
                <w:szCs w:val="15"/>
                <w:color w:val="auto"/>
              </w:rPr>
            </w:pPr>
          </w:p>
        </w:tc>
        <w:tc>
          <w:tcPr>
            <w:tcW w:w="900" w:type="dxa"/>
            <w:vAlign w:val="bottom"/>
          </w:tcPr>
          <w:p>
            <w:pPr>
              <w:jc w:val="right"/>
              <w:ind w:right="119"/>
              <w:spacing w:after="0" w:line="177" w:lineRule="exact"/>
              <w:rPr>
                <w:sz w:val="20"/>
                <w:szCs w:val="20"/>
                <w:color w:val="auto"/>
              </w:rPr>
            </w:pPr>
            <w:r>
              <w:rPr>
                <w:rFonts w:ascii="Arial" w:cs="Arial" w:eastAsia="Arial" w:hAnsi="Arial"/>
                <w:sz w:val="16"/>
                <w:szCs w:val="16"/>
                <w:b w:val="1"/>
                <w:bCs w:val="1"/>
                <w:color w:val="auto"/>
              </w:rPr>
              <w:t>Aviation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40"/>
              <w:spacing w:after="0" w:line="177" w:lineRule="exact"/>
              <w:rPr>
                <w:sz w:val="20"/>
                <w:szCs w:val="20"/>
                <w:color w:val="auto"/>
              </w:rPr>
            </w:pPr>
            <w:r>
              <w:rPr>
                <w:rFonts w:ascii="Arial" w:cs="Arial" w:eastAsia="Arial" w:hAnsi="Arial"/>
                <w:sz w:val="16"/>
                <w:szCs w:val="16"/>
                <w:b w:val="1"/>
                <w:bCs w:val="1"/>
                <w:color w:val="auto"/>
              </w:rPr>
              <w:t>T&amp;M</w:t>
            </w:r>
          </w:p>
        </w:tc>
        <w:tc>
          <w:tcPr>
            <w:tcW w:w="160" w:type="dxa"/>
            <w:vAlign w:val="bottom"/>
          </w:tcPr>
          <w:p>
            <w:pPr>
              <w:spacing w:after="0"/>
              <w:rPr>
                <w:sz w:val="15"/>
                <w:szCs w:val="15"/>
                <w:color w:val="auto"/>
              </w:rPr>
            </w:pPr>
          </w:p>
        </w:tc>
        <w:tc>
          <w:tcPr>
            <w:tcW w:w="1080" w:type="dxa"/>
            <w:vAlign w:val="bottom"/>
            <w:gridSpan w:val="2"/>
          </w:tcPr>
          <w:p>
            <w:pPr>
              <w:ind w:left="20"/>
              <w:spacing w:after="0" w:line="177" w:lineRule="exact"/>
              <w:rPr>
                <w:sz w:val="20"/>
                <w:szCs w:val="20"/>
                <w:color w:val="auto"/>
              </w:rPr>
            </w:pPr>
            <w:r>
              <w:rPr>
                <w:rFonts w:ascii="Arial" w:cs="Arial" w:eastAsia="Arial" w:hAnsi="Arial"/>
                <w:sz w:val="16"/>
                <w:szCs w:val="16"/>
                <w:b w:val="1"/>
                <w:bCs w:val="1"/>
                <w:color w:val="auto"/>
              </w:rPr>
              <w:t>Education</w:t>
            </w:r>
          </w:p>
        </w:tc>
        <w:tc>
          <w:tcPr>
            <w:tcW w:w="160" w:type="dxa"/>
            <w:vAlign w:val="bottom"/>
          </w:tcPr>
          <w:p>
            <w:pPr>
              <w:spacing w:after="0"/>
              <w:rPr>
                <w:sz w:val="15"/>
                <w:szCs w:val="15"/>
                <w:color w:val="auto"/>
              </w:rPr>
            </w:pPr>
          </w:p>
        </w:tc>
        <w:tc>
          <w:tcPr>
            <w:tcW w:w="1080" w:type="dxa"/>
            <w:vAlign w:val="bottom"/>
            <w:gridSpan w:val="2"/>
          </w:tcPr>
          <w:p>
            <w:pPr>
              <w:ind w:left="40"/>
              <w:spacing w:after="0" w:line="177" w:lineRule="exact"/>
              <w:rPr>
                <w:sz w:val="20"/>
                <w:szCs w:val="20"/>
                <w:color w:val="auto"/>
              </w:rPr>
            </w:pPr>
            <w:r>
              <w:rPr>
                <w:rFonts w:ascii="Arial" w:cs="Arial" w:eastAsia="Arial" w:hAnsi="Arial"/>
                <w:sz w:val="16"/>
                <w:szCs w:val="16"/>
                <w:b w:val="1"/>
                <w:bCs w:val="1"/>
                <w:color w:val="auto"/>
              </w:rPr>
              <w:t>Solutions</w:t>
            </w:r>
          </w:p>
        </w:tc>
        <w:tc>
          <w:tcPr>
            <w:tcW w:w="260" w:type="dxa"/>
            <w:vAlign w:val="bottom"/>
          </w:tcPr>
          <w:p>
            <w:pPr>
              <w:spacing w:after="0"/>
              <w:rPr>
                <w:sz w:val="15"/>
                <w:szCs w:val="15"/>
                <w:color w:val="auto"/>
              </w:rPr>
            </w:pPr>
          </w:p>
        </w:tc>
        <w:tc>
          <w:tcPr>
            <w:tcW w:w="880" w:type="dxa"/>
            <w:vAlign w:val="bottom"/>
          </w:tcPr>
          <w:p>
            <w:pPr>
              <w:jc w:val="right"/>
              <w:ind w:right="299"/>
              <w:spacing w:after="0" w:line="177"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60" w:type="dxa"/>
            <w:vAlign w:val="bottom"/>
            <w:tcBorders>
              <w:top w:val="single" w:sz="8" w:color="auto"/>
              <w:bottom w:val="single" w:sz="8" w:color="DCE2EF"/>
            </w:tcBorders>
          </w:tcPr>
          <w:p>
            <w:pPr>
              <w:spacing w:after="0" w:line="20" w:lineRule="exact"/>
              <w:rPr>
                <w:sz w:val="1"/>
                <w:szCs w:val="1"/>
                <w:color w:val="auto"/>
              </w:rPr>
            </w:pPr>
          </w:p>
        </w:tc>
        <w:tc>
          <w:tcPr>
            <w:tcW w:w="33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Major Service Line</w:t>
            </w:r>
          </w:p>
        </w:tc>
        <w:tc>
          <w:tcPr>
            <w:tcW w:w="280" w:type="dxa"/>
            <w:vAlign w:val="bottom"/>
            <w:shd w:val="clear" w:color="auto" w:fill="DCE2EF"/>
          </w:tcPr>
          <w:p>
            <w:pPr>
              <w:spacing w:after="0"/>
              <w:rPr>
                <w:sz w:val="22"/>
                <w:szCs w:val="22"/>
                <w:color w:val="auto"/>
              </w:rPr>
            </w:pPr>
          </w:p>
        </w:tc>
        <w:tc>
          <w:tcPr>
            <w:tcW w:w="9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900" w:type="dxa"/>
            <w:vAlign w:val="bottom"/>
            <w:shd w:val="clear" w:color="auto" w:fill="DCE2EF"/>
          </w:tcPr>
          <w:p>
            <w:pPr>
              <w:spacing w:after="0"/>
              <w:rPr>
                <w:sz w:val="22"/>
                <w:szCs w:val="22"/>
                <w:color w:val="auto"/>
              </w:rPr>
            </w:pPr>
          </w:p>
        </w:tc>
        <w:tc>
          <w:tcPr>
            <w:tcW w:w="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Janitorial</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576.9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32.4</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191.4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985.0</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398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Parking</w:t>
            </w:r>
            <w:r>
              <w:rPr>
                <w:rFonts w:ascii="Arial" w:cs="Arial" w:eastAsia="Arial" w:hAnsi="Arial"/>
                <w:sz w:val="21"/>
                <w:szCs w:val="21"/>
                <w:color w:val="auto"/>
                <w:vertAlign w:val="superscript"/>
              </w:rPr>
              <w:t>(2)</w:t>
            </w:r>
          </w:p>
        </w:tc>
        <w:tc>
          <w:tcPr>
            <w:tcW w:w="280" w:type="dxa"/>
            <w:vAlign w:val="bottom"/>
            <w:shd w:val="clear" w:color="auto" w:fill="DCE2EF"/>
          </w:tcPr>
          <w:p>
            <w:pPr>
              <w:spacing w:after="0"/>
              <w:rPr>
                <w:sz w:val="23"/>
                <w:szCs w:val="23"/>
                <w:color w:val="auto"/>
              </w:rPr>
            </w:pPr>
          </w:p>
        </w:tc>
        <w:tc>
          <w:tcPr>
            <w:tcW w:w="9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129.5</w:t>
            </w:r>
          </w:p>
        </w:tc>
        <w:tc>
          <w:tcPr>
            <w:tcW w:w="1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83.6</w:t>
            </w:r>
          </w:p>
        </w:tc>
        <w:tc>
          <w:tcPr>
            <w:tcW w:w="6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0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Facility Services</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398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Building &amp; Energy Solutions</w:t>
            </w:r>
            <w:r>
              <w:rPr>
                <w:rFonts w:ascii="Arial" w:cs="Arial" w:eastAsia="Arial" w:hAnsi="Arial"/>
                <w:sz w:val="21"/>
                <w:szCs w:val="21"/>
                <w:color w:val="auto"/>
                <w:vertAlign w:val="superscript"/>
              </w:rPr>
              <w:t>(4)</w:t>
            </w:r>
          </w:p>
        </w:tc>
        <w:tc>
          <w:tcPr>
            <w:tcW w:w="280" w:type="dxa"/>
            <w:vAlign w:val="bottom"/>
            <w:shd w:val="clear" w:color="auto" w:fill="DCE2EF"/>
          </w:tcPr>
          <w:p>
            <w:pPr>
              <w:spacing w:after="0"/>
              <w:rPr>
                <w:sz w:val="23"/>
                <w:szCs w:val="23"/>
                <w:color w:val="auto"/>
              </w:rPr>
            </w:pPr>
          </w:p>
        </w:tc>
        <w:tc>
          <w:tcPr>
            <w:tcW w:w="102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spacing w:after="0"/>
              <w:rPr>
                <w:sz w:val="23"/>
                <w:szCs w:val="23"/>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9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23"/>
                <w:szCs w:val="23"/>
                <w:color w:val="auto"/>
              </w:rPr>
            </w:pPr>
          </w:p>
        </w:tc>
        <w:tc>
          <w:tcPr>
            <w:tcW w:w="10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23"/>
                <w:szCs w:val="23"/>
                <w:color w:val="auto"/>
              </w:rPr>
            </w:pP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165.7</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270"/>
        </w:trPr>
        <w:tc>
          <w:tcPr>
            <w:tcW w:w="40" w:type="dxa"/>
            <w:vAlign w:val="bottom"/>
            <w:tcBorders>
              <w:bottom w:val="single" w:sz="8" w:color="DCE2EF"/>
            </w:tcBorders>
          </w:tcPr>
          <w:p>
            <w:pPr>
              <w:spacing w:after="0"/>
              <w:rPr>
                <w:sz w:val="23"/>
                <w:szCs w:val="23"/>
                <w:color w:val="auto"/>
              </w:rPr>
            </w:pPr>
          </w:p>
        </w:tc>
        <w:tc>
          <w:tcPr>
            <w:tcW w:w="3980" w:type="dxa"/>
            <w:vAlign w:val="bottom"/>
            <w:tcBorders>
              <w:bottom w:val="single" w:sz="8" w:color="DCE2EF"/>
            </w:tcBorders>
            <w:gridSpan w:val="2"/>
          </w:tcPr>
          <w:p>
            <w:pPr>
              <w:ind w:left="140"/>
              <w:spacing w:after="0"/>
              <w:rPr>
                <w:sz w:val="20"/>
                <w:szCs w:val="20"/>
                <w:color w:val="auto"/>
              </w:rPr>
            </w:pPr>
            <w:r>
              <w:rPr>
                <w:rFonts w:ascii="Arial" w:cs="Arial" w:eastAsia="Arial" w:hAnsi="Arial"/>
                <w:sz w:val="16"/>
                <w:szCs w:val="16"/>
                <w:color w:val="auto"/>
              </w:rPr>
              <w:t>Airline Services</w:t>
            </w:r>
            <w:r>
              <w:rPr>
                <w:rFonts w:ascii="Arial" w:cs="Arial" w:eastAsia="Arial" w:hAnsi="Arial"/>
                <w:sz w:val="21"/>
                <w:szCs w:val="21"/>
                <w:color w:val="auto"/>
                <w:vertAlign w:val="superscript"/>
              </w:rPr>
              <w:t>(5)</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DCE2E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128.9</w:t>
            </w:r>
          </w:p>
        </w:tc>
        <w:tc>
          <w:tcPr>
            <w:tcW w:w="0" w:type="dxa"/>
            <w:vAlign w:val="bottom"/>
          </w:tcPr>
          <w:p>
            <w:pPr>
              <w:spacing w:after="0"/>
              <w:rPr>
                <w:sz w:val="1"/>
                <w:szCs w:val="1"/>
                <w:color w:val="auto"/>
              </w:rPr>
            </w:pPr>
          </w:p>
        </w:tc>
      </w:tr>
      <w:tr>
        <w:trPr>
          <w:trHeight w:val="234"/>
        </w:trPr>
        <w:tc>
          <w:tcPr>
            <w:tcW w:w="40" w:type="dxa"/>
            <w:vAlign w:val="bottom"/>
            <w:shd w:val="clear" w:color="auto" w:fill="DCE2EF"/>
          </w:tcPr>
          <w:p>
            <w:pPr>
              <w:spacing w:after="0"/>
              <w:rPr>
                <w:sz w:val="20"/>
                <w:szCs w:val="20"/>
                <w:color w:val="auto"/>
              </w:rPr>
            </w:pPr>
          </w:p>
        </w:tc>
        <w:tc>
          <w:tcPr>
            <w:tcW w:w="660" w:type="dxa"/>
            <w:vAlign w:val="bottom"/>
            <w:shd w:val="clear" w:color="auto" w:fill="DCE2EF"/>
          </w:tcPr>
          <w:p>
            <w:pPr>
              <w:spacing w:after="0"/>
              <w:rPr>
                <w:sz w:val="20"/>
                <w:szCs w:val="20"/>
                <w:color w:val="auto"/>
              </w:rPr>
            </w:pPr>
          </w:p>
        </w:tc>
        <w:tc>
          <w:tcPr>
            <w:tcW w:w="3320" w:type="dxa"/>
            <w:vAlign w:val="bottom"/>
            <w:shd w:val="clear" w:color="auto" w:fill="DCE2EF"/>
          </w:tcPr>
          <w:p>
            <w:pPr>
              <w:spacing w:after="0"/>
              <w:rPr>
                <w:sz w:val="20"/>
                <w:szCs w:val="20"/>
                <w:color w:val="auto"/>
              </w:rPr>
            </w:pP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807.9</w:t>
            </w:r>
          </w:p>
        </w:tc>
        <w:tc>
          <w:tcPr>
            <w:tcW w:w="120" w:type="dxa"/>
            <w:vAlign w:val="bottom"/>
            <w:shd w:val="clear" w:color="auto" w:fill="DCE2EF"/>
          </w:tcPr>
          <w:p>
            <w:pPr>
              <w:spacing w:after="0"/>
              <w:rPr>
                <w:sz w:val="20"/>
                <w:szCs w:val="20"/>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6"/>
                <w:szCs w:val="16"/>
                <w:b w:val="1"/>
                <w:bCs w:val="1"/>
                <w:color w:val="auto"/>
              </w:rPr>
              <w:t>263.3</w:t>
            </w:r>
          </w:p>
        </w:tc>
        <w:tc>
          <w:tcPr>
            <w:tcW w:w="420" w:type="dxa"/>
            <w:vAlign w:val="bottom"/>
            <w:gridSpan w:val="3"/>
            <w:shd w:val="clear" w:color="auto" w:fill="DCE2EF"/>
          </w:tcPr>
          <w:p>
            <w:pPr>
              <w:jc w:val="right"/>
              <w:ind w:right="14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226.9</w:t>
            </w:r>
          </w:p>
        </w:tc>
        <w:tc>
          <w:tcPr>
            <w:tcW w:w="100" w:type="dxa"/>
            <w:vAlign w:val="bottom"/>
            <w:shd w:val="clear" w:color="auto" w:fill="DCE2EF"/>
          </w:tcPr>
          <w:p>
            <w:pPr>
              <w:spacing w:after="0"/>
              <w:rPr>
                <w:sz w:val="20"/>
                <w:szCs w:val="20"/>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215.4</w:t>
            </w:r>
          </w:p>
        </w:tc>
        <w:tc>
          <w:tcPr>
            <w:tcW w:w="100" w:type="dxa"/>
            <w:vAlign w:val="bottom"/>
            <w:shd w:val="clear" w:color="auto" w:fill="DCE2EF"/>
          </w:tcPr>
          <w:p>
            <w:pPr>
              <w:spacing w:after="0"/>
              <w:rPr>
                <w:sz w:val="20"/>
                <w:szCs w:val="20"/>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165.7</w:t>
            </w:r>
          </w:p>
        </w:tc>
        <w:tc>
          <w:tcPr>
            <w:tcW w:w="100" w:type="dxa"/>
            <w:vAlign w:val="bottom"/>
            <w:shd w:val="clear" w:color="auto" w:fill="DCE2EF"/>
          </w:tcPr>
          <w:p>
            <w:pPr>
              <w:spacing w:after="0"/>
              <w:rPr>
                <w:sz w:val="20"/>
                <w:szCs w:val="20"/>
                <w:color w:val="auto"/>
              </w:rPr>
            </w:pP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1,679.3</w:t>
            </w:r>
          </w:p>
        </w:tc>
        <w:tc>
          <w:tcPr>
            <w:tcW w:w="0" w:type="dxa"/>
            <w:vAlign w:val="bottom"/>
          </w:tcPr>
          <w:p>
            <w:pPr>
              <w:spacing w:after="0"/>
              <w:rPr>
                <w:sz w:val="1"/>
                <w:szCs w:val="1"/>
                <w:color w:val="auto"/>
              </w:rPr>
            </w:pPr>
          </w:p>
        </w:tc>
      </w:tr>
      <w:tr>
        <w:trPr>
          <w:trHeight w:val="20"/>
        </w:trPr>
        <w:tc>
          <w:tcPr>
            <w:tcW w:w="4020" w:type="dxa"/>
            <w:vAlign w:val="bottom"/>
            <w:tcBorders>
              <w:top w:val="single" w:sz="8" w:color="DCE2EF"/>
              <w:bottom w:val="single" w:sz="8" w:color="DCE2EF"/>
            </w:tcBorders>
            <w:gridSpan w:val="3"/>
            <w:vMerge w:val="restart"/>
          </w:tcPr>
          <w:p>
            <w:pPr>
              <w:ind w:left="40"/>
              <w:spacing w:after="0"/>
              <w:rPr>
                <w:sz w:val="20"/>
                <w:szCs w:val="20"/>
                <w:color w:val="auto"/>
              </w:rPr>
            </w:pPr>
            <w:r>
              <w:rPr>
                <w:rFonts w:ascii="Arial" w:cs="Arial" w:eastAsia="Arial" w:hAnsi="Arial"/>
                <w:sz w:val="16"/>
                <w:szCs w:val="16"/>
                <w:color w:val="auto"/>
              </w:rPr>
              <w:t>Elimination of inter-segment revenues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tcBorders>
          </w:tcPr>
          <w:p>
            <w:pPr>
              <w:spacing w:after="0" w:line="20" w:lineRule="exact"/>
              <w:rPr>
                <w:sz w:val="1"/>
                <w:szCs w:val="1"/>
                <w:color w:val="auto"/>
              </w:rPr>
            </w:pPr>
          </w:p>
        </w:tc>
        <w:tc>
          <w:tcPr>
            <w:tcW w:w="880" w:type="dxa"/>
            <w:vAlign w:val="bottom"/>
            <w:tcBorders>
              <w:top w:val="single" w:sz="8" w:color="DCE2EF"/>
              <w:bottom w:val="single" w:sz="8" w:color="DCE2EF"/>
            </w:tcBorders>
            <w:vMerge w:val="restart"/>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line="20" w:lineRule="exact"/>
              <w:rPr>
                <w:sz w:val="1"/>
                <w:szCs w:val="1"/>
                <w:color w:val="auto"/>
              </w:rPr>
            </w:pPr>
          </w:p>
        </w:tc>
      </w:tr>
      <w:tr>
        <w:trPr>
          <w:trHeight w:val="247"/>
        </w:trPr>
        <w:tc>
          <w:tcPr>
            <w:tcW w:w="4020" w:type="dxa"/>
            <w:vAlign w:val="bottom"/>
            <w:tcBorders>
              <w:bottom w:val="single" w:sz="8" w:color="DCE2EF"/>
            </w:tcBorders>
            <w:gridSpan w:val="3"/>
            <w:vMerge w:val="continue"/>
          </w:tcPr>
          <w:p>
            <w:pPr>
              <w:spacing w:after="0"/>
              <w:rPr>
                <w:sz w:val="21"/>
                <w:szCs w:val="21"/>
                <w:color w:val="auto"/>
              </w:rPr>
            </w:pPr>
          </w:p>
        </w:tc>
        <w:tc>
          <w:tcPr>
            <w:tcW w:w="280" w:type="dxa"/>
            <w:vAlign w:val="bottom"/>
            <w:tcBorders>
              <w:bottom w:val="single" w:sz="8" w:color="DCE2EF"/>
            </w:tcBorders>
          </w:tcPr>
          <w:p>
            <w:pPr>
              <w:spacing w:after="0"/>
              <w:rPr>
                <w:sz w:val="21"/>
                <w:szCs w:val="21"/>
                <w:color w:val="auto"/>
              </w:rPr>
            </w:pPr>
          </w:p>
        </w:tc>
        <w:tc>
          <w:tcPr>
            <w:tcW w:w="900" w:type="dxa"/>
            <w:vAlign w:val="bottom"/>
            <w:tcBorders>
              <w:bottom w:val="single" w:sz="8" w:color="DCE2EF"/>
            </w:tcBorders>
          </w:tcPr>
          <w:p>
            <w:pPr>
              <w:spacing w:after="0"/>
              <w:rPr>
                <w:sz w:val="21"/>
                <w:szCs w:val="21"/>
                <w:color w:val="auto"/>
              </w:rPr>
            </w:pPr>
          </w:p>
        </w:tc>
        <w:tc>
          <w:tcPr>
            <w:tcW w:w="120" w:type="dxa"/>
            <w:vAlign w:val="bottom"/>
            <w:tcBorders>
              <w:bottom w:val="single" w:sz="8" w:color="DCE2EF"/>
            </w:tcBorders>
          </w:tcPr>
          <w:p>
            <w:pPr>
              <w:spacing w:after="0"/>
              <w:rPr>
                <w:sz w:val="21"/>
                <w:szCs w:val="21"/>
                <w:color w:val="auto"/>
              </w:rPr>
            </w:pPr>
          </w:p>
        </w:tc>
        <w:tc>
          <w:tcPr>
            <w:tcW w:w="180" w:type="dxa"/>
            <w:vAlign w:val="bottom"/>
            <w:tcBorders>
              <w:bottom w:val="single" w:sz="8" w:color="DCE2EF"/>
            </w:tcBorders>
          </w:tcPr>
          <w:p>
            <w:pPr>
              <w:spacing w:after="0"/>
              <w:rPr>
                <w:sz w:val="21"/>
                <w:szCs w:val="21"/>
                <w:color w:val="auto"/>
              </w:rPr>
            </w:pPr>
          </w:p>
        </w:tc>
        <w:tc>
          <w:tcPr>
            <w:tcW w:w="900" w:type="dxa"/>
            <w:vAlign w:val="bottom"/>
            <w:tcBorders>
              <w:bottom w:val="single" w:sz="8" w:color="DCE2EF"/>
            </w:tcBorders>
          </w:tcPr>
          <w:p>
            <w:pPr>
              <w:spacing w:after="0"/>
              <w:rPr>
                <w:sz w:val="21"/>
                <w:szCs w:val="21"/>
                <w:color w:val="auto"/>
              </w:rPr>
            </w:pPr>
          </w:p>
        </w:tc>
        <w:tc>
          <w:tcPr>
            <w:tcW w:w="6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260" w:type="dxa"/>
            <w:vAlign w:val="bottom"/>
            <w:tcBorders>
              <w:bottom w:val="single" w:sz="8" w:color="DCE2EF"/>
            </w:tcBorders>
          </w:tcPr>
          <w:p>
            <w:pPr>
              <w:spacing w:after="0"/>
              <w:rPr>
                <w:sz w:val="21"/>
                <w:szCs w:val="21"/>
                <w:color w:val="auto"/>
              </w:rPr>
            </w:pPr>
          </w:p>
        </w:tc>
        <w:tc>
          <w:tcPr>
            <w:tcW w:w="88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60" w:type="dxa"/>
            <w:vAlign w:val="bottom"/>
            <w:tcBorders>
              <w:bottom w:val="single" w:sz="8" w:color="DCE2EF"/>
            </w:tcBorders>
          </w:tcPr>
          <w:p>
            <w:pPr>
              <w:spacing w:after="0"/>
              <w:rPr>
                <w:sz w:val="21"/>
                <w:szCs w:val="21"/>
                <w:color w:val="auto"/>
              </w:rPr>
            </w:pPr>
          </w:p>
        </w:tc>
        <w:tc>
          <w:tcPr>
            <w:tcW w:w="98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60" w:type="dxa"/>
            <w:vAlign w:val="bottom"/>
            <w:tcBorders>
              <w:bottom w:val="single" w:sz="8" w:color="DCE2EF"/>
            </w:tcBorders>
          </w:tcPr>
          <w:p>
            <w:pPr>
              <w:spacing w:after="0"/>
              <w:rPr>
                <w:sz w:val="21"/>
                <w:szCs w:val="21"/>
                <w:color w:val="auto"/>
              </w:rPr>
            </w:pPr>
          </w:p>
        </w:tc>
        <w:tc>
          <w:tcPr>
            <w:tcW w:w="98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2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spacing w:after="0"/>
              <w:rPr>
                <w:sz w:val="20"/>
                <w:szCs w:val="20"/>
                <w:color w:val="auto"/>
              </w:rPr>
            </w:pPr>
          </w:p>
        </w:tc>
        <w:tc>
          <w:tcPr>
            <w:tcW w:w="1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spacing w:after="0"/>
              <w:rPr>
                <w:sz w:val="20"/>
                <w:szCs w:val="20"/>
                <w:color w:val="auto"/>
              </w:rPr>
            </w:pPr>
          </w:p>
        </w:tc>
        <w:tc>
          <w:tcPr>
            <w:tcW w:w="6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spacing w:after="0"/>
              <w:rPr>
                <w:sz w:val="20"/>
                <w:szCs w:val="20"/>
                <w:color w:val="auto"/>
              </w:rPr>
            </w:pPr>
          </w:p>
        </w:tc>
        <w:tc>
          <w:tcPr>
            <w:tcW w:w="8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1,647.9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gridSpan w:val="7"/>
            <w:vMerge w:val="restart"/>
          </w:tcPr>
          <w:p>
            <w:pPr>
              <w:jc w:val="center"/>
              <w:ind w:right="40"/>
              <w:spacing w:after="0"/>
              <w:rPr>
                <w:sz w:val="20"/>
                <w:szCs w:val="20"/>
                <w:color w:val="auto"/>
              </w:rPr>
            </w:pPr>
            <w:r>
              <w:rPr>
                <w:rFonts w:ascii="Arial" w:cs="Arial" w:eastAsia="Arial" w:hAnsi="Arial"/>
                <w:sz w:val="16"/>
                <w:szCs w:val="16"/>
                <w:b w:val="1"/>
                <w:bCs w:val="1"/>
                <w:color w:val="auto"/>
                <w:w w:val="98"/>
              </w:rPr>
              <w:t>Nine Months Ended July 31, 2019</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Technical</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1020" w:type="dxa"/>
            <w:vAlign w:val="bottom"/>
            <w:gridSpan w:val="2"/>
          </w:tcPr>
          <w:p>
            <w:pPr>
              <w:ind w:left="180"/>
              <w:spacing w:after="0" w:line="177" w:lineRule="exact"/>
              <w:rPr>
                <w:sz w:val="20"/>
                <w:szCs w:val="20"/>
                <w:color w:val="auto"/>
              </w:rPr>
            </w:pPr>
            <w:r>
              <w:rPr>
                <w:rFonts w:ascii="Arial" w:cs="Arial" w:eastAsia="Arial" w:hAnsi="Arial"/>
                <w:sz w:val="16"/>
                <w:szCs w:val="16"/>
                <w:b w:val="1"/>
                <w:bCs w:val="1"/>
                <w:color w:val="auto"/>
              </w:rPr>
              <w:t>B&amp;I</w:t>
            </w:r>
          </w:p>
        </w:tc>
        <w:tc>
          <w:tcPr>
            <w:tcW w:w="180" w:type="dxa"/>
            <w:vAlign w:val="bottom"/>
          </w:tcPr>
          <w:p>
            <w:pPr>
              <w:spacing w:after="0"/>
              <w:rPr>
                <w:sz w:val="15"/>
                <w:szCs w:val="15"/>
                <w:color w:val="auto"/>
              </w:rPr>
            </w:pPr>
          </w:p>
        </w:tc>
        <w:tc>
          <w:tcPr>
            <w:tcW w:w="900" w:type="dxa"/>
            <w:vAlign w:val="bottom"/>
          </w:tcPr>
          <w:p>
            <w:pPr>
              <w:jc w:val="right"/>
              <w:ind w:right="119"/>
              <w:spacing w:after="0" w:line="177" w:lineRule="exact"/>
              <w:rPr>
                <w:sz w:val="20"/>
                <w:szCs w:val="20"/>
                <w:color w:val="auto"/>
              </w:rPr>
            </w:pPr>
            <w:r>
              <w:rPr>
                <w:rFonts w:ascii="Arial" w:cs="Arial" w:eastAsia="Arial" w:hAnsi="Arial"/>
                <w:sz w:val="16"/>
                <w:szCs w:val="16"/>
                <w:b w:val="1"/>
                <w:bCs w:val="1"/>
                <w:color w:val="auto"/>
              </w:rPr>
              <w:t>Aviation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40"/>
              <w:spacing w:after="0" w:line="177" w:lineRule="exact"/>
              <w:rPr>
                <w:sz w:val="20"/>
                <w:szCs w:val="20"/>
                <w:color w:val="auto"/>
              </w:rPr>
            </w:pPr>
            <w:r>
              <w:rPr>
                <w:rFonts w:ascii="Arial" w:cs="Arial" w:eastAsia="Arial" w:hAnsi="Arial"/>
                <w:sz w:val="16"/>
                <w:szCs w:val="16"/>
                <w:b w:val="1"/>
                <w:bCs w:val="1"/>
                <w:color w:val="auto"/>
              </w:rPr>
              <w:t>T&amp;M</w:t>
            </w:r>
          </w:p>
        </w:tc>
        <w:tc>
          <w:tcPr>
            <w:tcW w:w="160" w:type="dxa"/>
            <w:vAlign w:val="bottom"/>
          </w:tcPr>
          <w:p>
            <w:pPr>
              <w:spacing w:after="0"/>
              <w:rPr>
                <w:sz w:val="15"/>
                <w:szCs w:val="15"/>
                <w:color w:val="auto"/>
              </w:rPr>
            </w:pPr>
          </w:p>
        </w:tc>
        <w:tc>
          <w:tcPr>
            <w:tcW w:w="1080" w:type="dxa"/>
            <w:vAlign w:val="bottom"/>
            <w:gridSpan w:val="2"/>
          </w:tcPr>
          <w:p>
            <w:pPr>
              <w:ind w:left="20"/>
              <w:spacing w:after="0" w:line="177" w:lineRule="exact"/>
              <w:rPr>
                <w:sz w:val="20"/>
                <w:szCs w:val="20"/>
                <w:color w:val="auto"/>
              </w:rPr>
            </w:pPr>
            <w:r>
              <w:rPr>
                <w:rFonts w:ascii="Arial" w:cs="Arial" w:eastAsia="Arial" w:hAnsi="Arial"/>
                <w:sz w:val="16"/>
                <w:szCs w:val="16"/>
                <w:b w:val="1"/>
                <w:bCs w:val="1"/>
                <w:color w:val="auto"/>
              </w:rPr>
              <w:t>Education</w:t>
            </w:r>
          </w:p>
        </w:tc>
        <w:tc>
          <w:tcPr>
            <w:tcW w:w="160" w:type="dxa"/>
            <w:vAlign w:val="bottom"/>
          </w:tcPr>
          <w:p>
            <w:pPr>
              <w:spacing w:after="0"/>
              <w:rPr>
                <w:sz w:val="15"/>
                <w:szCs w:val="15"/>
                <w:color w:val="auto"/>
              </w:rPr>
            </w:pPr>
          </w:p>
        </w:tc>
        <w:tc>
          <w:tcPr>
            <w:tcW w:w="1080" w:type="dxa"/>
            <w:vAlign w:val="bottom"/>
            <w:gridSpan w:val="2"/>
          </w:tcPr>
          <w:p>
            <w:pPr>
              <w:ind w:left="40"/>
              <w:spacing w:after="0" w:line="177" w:lineRule="exact"/>
              <w:rPr>
                <w:sz w:val="20"/>
                <w:szCs w:val="20"/>
                <w:color w:val="auto"/>
              </w:rPr>
            </w:pPr>
            <w:r>
              <w:rPr>
                <w:rFonts w:ascii="Arial" w:cs="Arial" w:eastAsia="Arial" w:hAnsi="Arial"/>
                <w:sz w:val="16"/>
                <w:szCs w:val="16"/>
                <w:b w:val="1"/>
                <w:bCs w:val="1"/>
                <w:color w:val="auto"/>
              </w:rPr>
              <w:t>Solutions</w:t>
            </w:r>
          </w:p>
        </w:tc>
        <w:tc>
          <w:tcPr>
            <w:tcW w:w="260" w:type="dxa"/>
            <w:vAlign w:val="bottom"/>
          </w:tcPr>
          <w:p>
            <w:pPr>
              <w:spacing w:after="0"/>
              <w:rPr>
                <w:sz w:val="15"/>
                <w:szCs w:val="15"/>
                <w:color w:val="auto"/>
              </w:rPr>
            </w:pPr>
          </w:p>
        </w:tc>
        <w:tc>
          <w:tcPr>
            <w:tcW w:w="880" w:type="dxa"/>
            <w:vAlign w:val="bottom"/>
          </w:tcPr>
          <w:p>
            <w:pPr>
              <w:jc w:val="right"/>
              <w:ind w:right="299"/>
              <w:spacing w:after="0" w:line="177"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60" w:type="dxa"/>
            <w:vAlign w:val="bottom"/>
            <w:tcBorders>
              <w:top w:val="single" w:sz="8" w:color="auto"/>
              <w:bottom w:val="single" w:sz="8" w:color="DCE2EF"/>
            </w:tcBorders>
          </w:tcPr>
          <w:p>
            <w:pPr>
              <w:spacing w:after="0" w:line="20" w:lineRule="exact"/>
              <w:rPr>
                <w:sz w:val="1"/>
                <w:szCs w:val="1"/>
                <w:color w:val="auto"/>
              </w:rPr>
            </w:pPr>
          </w:p>
        </w:tc>
        <w:tc>
          <w:tcPr>
            <w:tcW w:w="33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2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Major Service Line</w:t>
            </w:r>
          </w:p>
        </w:tc>
        <w:tc>
          <w:tcPr>
            <w:tcW w:w="280" w:type="dxa"/>
            <w:vAlign w:val="bottom"/>
            <w:shd w:val="clear" w:color="auto" w:fill="DCE2EF"/>
          </w:tcPr>
          <w:p>
            <w:pPr>
              <w:spacing w:after="0"/>
              <w:rPr>
                <w:sz w:val="22"/>
                <w:szCs w:val="22"/>
                <w:color w:val="auto"/>
              </w:rPr>
            </w:pPr>
          </w:p>
        </w:tc>
        <w:tc>
          <w:tcPr>
            <w:tcW w:w="9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900" w:type="dxa"/>
            <w:vAlign w:val="bottom"/>
            <w:shd w:val="clear" w:color="auto" w:fill="DCE2EF"/>
          </w:tcPr>
          <w:p>
            <w:pPr>
              <w:spacing w:after="0"/>
              <w:rPr>
                <w:sz w:val="22"/>
                <w:szCs w:val="22"/>
                <w:color w:val="auto"/>
              </w:rPr>
            </w:pPr>
          </w:p>
        </w:tc>
        <w:tc>
          <w:tcPr>
            <w:tcW w:w="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Janitorial</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1,738.2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94.0</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554.4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566.8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2,953.4</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398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Parking</w:t>
            </w:r>
            <w:r>
              <w:rPr>
                <w:rFonts w:ascii="Arial" w:cs="Arial" w:eastAsia="Arial" w:hAnsi="Arial"/>
                <w:sz w:val="21"/>
                <w:szCs w:val="21"/>
                <w:color w:val="auto"/>
                <w:vertAlign w:val="superscript"/>
              </w:rPr>
              <w:t>(2)</w:t>
            </w:r>
          </w:p>
        </w:tc>
        <w:tc>
          <w:tcPr>
            <w:tcW w:w="280" w:type="dxa"/>
            <w:vAlign w:val="bottom"/>
            <w:shd w:val="clear" w:color="auto" w:fill="DCE2EF"/>
          </w:tcPr>
          <w:p>
            <w:pPr>
              <w:spacing w:after="0"/>
              <w:rPr>
                <w:sz w:val="23"/>
                <w:szCs w:val="23"/>
                <w:color w:val="auto"/>
              </w:rPr>
            </w:pPr>
          </w:p>
        </w:tc>
        <w:tc>
          <w:tcPr>
            <w:tcW w:w="9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383.3</w:t>
            </w:r>
          </w:p>
        </w:tc>
        <w:tc>
          <w:tcPr>
            <w:tcW w:w="1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253.7</w:t>
            </w:r>
          </w:p>
        </w:tc>
        <w:tc>
          <w:tcPr>
            <w:tcW w:w="6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0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658.8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Facility Services</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554.7</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398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Building &amp; Energy Solutions</w:t>
            </w:r>
            <w:r>
              <w:rPr>
                <w:rFonts w:ascii="Arial" w:cs="Arial" w:eastAsia="Arial" w:hAnsi="Arial"/>
                <w:sz w:val="21"/>
                <w:szCs w:val="21"/>
                <w:color w:val="auto"/>
                <w:vertAlign w:val="superscript"/>
              </w:rPr>
              <w:t>(4)</w:t>
            </w:r>
          </w:p>
        </w:tc>
        <w:tc>
          <w:tcPr>
            <w:tcW w:w="280" w:type="dxa"/>
            <w:vAlign w:val="bottom"/>
            <w:shd w:val="clear" w:color="auto" w:fill="DCE2EF"/>
          </w:tcPr>
          <w:p>
            <w:pPr>
              <w:spacing w:after="0"/>
              <w:rPr>
                <w:sz w:val="23"/>
                <w:szCs w:val="23"/>
                <w:color w:val="auto"/>
              </w:rPr>
            </w:pPr>
          </w:p>
        </w:tc>
        <w:tc>
          <w:tcPr>
            <w:tcW w:w="102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spacing w:after="0"/>
              <w:rPr>
                <w:sz w:val="23"/>
                <w:szCs w:val="23"/>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9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23"/>
                <w:szCs w:val="23"/>
                <w:color w:val="auto"/>
              </w:rPr>
            </w:pPr>
          </w:p>
        </w:tc>
        <w:tc>
          <w:tcPr>
            <w:tcW w:w="10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23"/>
                <w:szCs w:val="23"/>
                <w:color w:val="auto"/>
              </w:rPr>
            </w:pP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417.7</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417.7</w:t>
            </w:r>
          </w:p>
        </w:tc>
        <w:tc>
          <w:tcPr>
            <w:tcW w:w="0" w:type="dxa"/>
            <w:vAlign w:val="bottom"/>
          </w:tcPr>
          <w:p>
            <w:pPr>
              <w:spacing w:after="0"/>
              <w:rPr>
                <w:sz w:val="1"/>
                <w:szCs w:val="1"/>
                <w:color w:val="auto"/>
              </w:rPr>
            </w:pPr>
          </w:p>
        </w:tc>
      </w:tr>
      <w:tr>
        <w:trPr>
          <w:trHeight w:val="270"/>
        </w:trPr>
        <w:tc>
          <w:tcPr>
            <w:tcW w:w="40" w:type="dxa"/>
            <w:vAlign w:val="bottom"/>
            <w:tcBorders>
              <w:bottom w:val="single" w:sz="8" w:color="DCE2EF"/>
            </w:tcBorders>
          </w:tcPr>
          <w:p>
            <w:pPr>
              <w:spacing w:after="0"/>
              <w:rPr>
                <w:sz w:val="23"/>
                <w:szCs w:val="23"/>
                <w:color w:val="auto"/>
              </w:rPr>
            </w:pPr>
          </w:p>
        </w:tc>
        <w:tc>
          <w:tcPr>
            <w:tcW w:w="3980" w:type="dxa"/>
            <w:vAlign w:val="bottom"/>
            <w:tcBorders>
              <w:bottom w:val="single" w:sz="8" w:color="DCE2EF"/>
            </w:tcBorders>
            <w:gridSpan w:val="2"/>
          </w:tcPr>
          <w:p>
            <w:pPr>
              <w:ind w:left="140"/>
              <w:spacing w:after="0"/>
              <w:rPr>
                <w:sz w:val="20"/>
                <w:szCs w:val="20"/>
                <w:color w:val="auto"/>
              </w:rPr>
            </w:pPr>
            <w:r>
              <w:rPr>
                <w:rFonts w:ascii="Arial" w:cs="Arial" w:eastAsia="Arial" w:hAnsi="Arial"/>
                <w:sz w:val="16"/>
                <w:szCs w:val="16"/>
                <w:color w:val="auto"/>
              </w:rPr>
              <w:t>Airline Services</w:t>
            </w:r>
            <w:r>
              <w:rPr>
                <w:rFonts w:ascii="Arial" w:cs="Arial" w:eastAsia="Arial" w:hAnsi="Arial"/>
                <w:sz w:val="21"/>
                <w:szCs w:val="21"/>
                <w:color w:val="auto"/>
                <w:vertAlign w:val="superscript"/>
              </w:rPr>
              <w:t>(5)</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DCE2E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363.7</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364.2</w:t>
            </w:r>
          </w:p>
        </w:tc>
        <w:tc>
          <w:tcPr>
            <w:tcW w:w="0" w:type="dxa"/>
            <w:vAlign w:val="bottom"/>
          </w:tcPr>
          <w:p>
            <w:pPr>
              <w:spacing w:after="0"/>
              <w:rPr>
                <w:sz w:val="1"/>
                <w:szCs w:val="1"/>
                <w:color w:val="auto"/>
              </w:rPr>
            </w:pPr>
          </w:p>
        </w:tc>
      </w:tr>
      <w:tr>
        <w:trPr>
          <w:trHeight w:val="234"/>
        </w:trPr>
        <w:tc>
          <w:tcPr>
            <w:tcW w:w="40" w:type="dxa"/>
            <w:vAlign w:val="bottom"/>
            <w:shd w:val="clear" w:color="auto" w:fill="DCE2EF"/>
          </w:tcPr>
          <w:p>
            <w:pPr>
              <w:spacing w:after="0"/>
              <w:rPr>
                <w:sz w:val="20"/>
                <w:szCs w:val="20"/>
                <w:color w:val="auto"/>
              </w:rPr>
            </w:pPr>
          </w:p>
        </w:tc>
        <w:tc>
          <w:tcPr>
            <w:tcW w:w="660" w:type="dxa"/>
            <w:vAlign w:val="bottom"/>
            <w:shd w:val="clear" w:color="auto" w:fill="DCE2EF"/>
          </w:tcPr>
          <w:p>
            <w:pPr>
              <w:spacing w:after="0"/>
              <w:rPr>
                <w:sz w:val="20"/>
                <w:szCs w:val="20"/>
                <w:color w:val="auto"/>
              </w:rPr>
            </w:pPr>
          </w:p>
        </w:tc>
        <w:tc>
          <w:tcPr>
            <w:tcW w:w="3320" w:type="dxa"/>
            <w:vAlign w:val="bottom"/>
            <w:shd w:val="clear" w:color="auto" w:fill="DCE2EF"/>
          </w:tcPr>
          <w:p>
            <w:pPr>
              <w:spacing w:after="0"/>
              <w:rPr>
                <w:sz w:val="20"/>
                <w:szCs w:val="20"/>
                <w:color w:val="auto"/>
              </w:rPr>
            </w:pP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2,444.5</w:t>
            </w:r>
          </w:p>
        </w:tc>
        <w:tc>
          <w:tcPr>
            <w:tcW w:w="120" w:type="dxa"/>
            <w:vAlign w:val="bottom"/>
            <w:shd w:val="clear" w:color="auto" w:fill="DCE2EF"/>
          </w:tcPr>
          <w:p>
            <w:pPr>
              <w:spacing w:after="0"/>
              <w:rPr>
                <w:sz w:val="20"/>
                <w:szCs w:val="20"/>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6"/>
                <w:szCs w:val="16"/>
                <w:b w:val="1"/>
                <w:bCs w:val="1"/>
                <w:color w:val="auto"/>
              </w:rPr>
              <w:t>765.8</w:t>
            </w:r>
          </w:p>
        </w:tc>
        <w:tc>
          <w:tcPr>
            <w:tcW w:w="420" w:type="dxa"/>
            <w:vAlign w:val="bottom"/>
            <w:gridSpan w:val="3"/>
            <w:shd w:val="clear" w:color="auto" w:fill="DCE2EF"/>
          </w:tcPr>
          <w:p>
            <w:pPr>
              <w:jc w:val="right"/>
              <w:ind w:right="14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687.3</w:t>
            </w:r>
          </w:p>
        </w:tc>
        <w:tc>
          <w:tcPr>
            <w:tcW w:w="100" w:type="dxa"/>
            <w:vAlign w:val="bottom"/>
            <w:shd w:val="clear" w:color="auto" w:fill="DCE2EF"/>
          </w:tcPr>
          <w:p>
            <w:pPr>
              <w:spacing w:after="0"/>
              <w:rPr>
                <w:sz w:val="20"/>
                <w:szCs w:val="20"/>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633.6</w:t>
            </w:r>
          </w:p>
        </w:tc>
        <w:tc>
          <w:tcPr>
            <w:tcW w:w="100" w:type="dxa"/>
            <w:vAlign w:val="bottom"/>
            <w:shd w:val="clear" w:color="auto" w:fill="DCE2EF"/>
          </w:tcPr>
          <w:p>
            <w:pPr>
              <w:spacing w:after="0"/>
              <w:rPr>
                <w:sz w:val="20"/>
                <w:szCs w:val="20"/>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417.7</w:t>
            </w:r>
          </w:p>
        </w:tc>
        <w:tc>
          <w:tcPr>
            <w:tcW w:w="100" w:type="dxa"/>
            <w:vAlign w:val="bottom"/>
            <w:shd w:val="clear" w:color="auto" w:fill="DCE2EF"/>
          </w:tcPr>
          <w:p>
            <w:pPr>
              <w:spacing w:after="0"/>
              <w:rPr>
                <w:sz w:val="20"/>
                <w:szCs w:val="20"/>
                <w:color w:val="auto"/>
              </w:rPr>
            </w:pP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4,948.9</w:t>
            </w:r>
          </w:p>
        </w:tc>
        <w:tc>
          <w:tcPr>
            <w:tcW w:w="0" w:type="dxa"/>
            <w:vAlign w:val="bottom"/>
          </w:tcPr>
          <w:p>
            <w:pPr>
              <w:spacing w:after="0"/>
              <w:rPr>
                <w:sz w:val="1"/>
                <w:szCs w:val="1"/>
                <w:color w:val="auto"/>
              </w:rPr>
            </w:pPr>
          </w:p>
        </w:tc>
      </w:tr>
      <w:tr>
        <w:trPr>
          <w:trHeight w:val="20"/>
        </w:trPr>
        <w:tc>
          <w:tcPr>
            <w:tcW w:w="4020" w:type="dxa"/>
            <w:vAlign w:val="bottom"/>
            <w:tcBorders>
              <w:top w:val="single" w:sz="8" w:color="DCE2EF"/>
              <w:bottom w:val="single" w:sz="8" w:color="DCE2EF"/>
            </w:tcBorders>
            <w:gridSpan w:val="3"/>
            <w:vMerge w:val="restart"/>
          </w:tcPr>
          <w:p>
            <w:pPr>
              <w:ind w:left="40"/>
              <w:spacing w:after="0"/>
              <w:rPr>
                <w:sz w:val="20"/>
                <w:szCs w:val="20"/>
                <w:color w:val="auto"/>
              </w:rPr>
            </w:pPr>
            <w:r>
              <w:rPr>
                <w:rFonts w:ascii="Arial" w:cs="Arial" w:eastAsia="Arial" w:hAnsi="Arial"/>
                <w:sz w:val="16"/>
                <w:szCs w:val="16"/>
                <w:color w:val="auto"/>
              </w:rPr>
              <w:t>Elimination of inter-segment revenues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tcBorders>
          </w:tcPr>
          <w:p>
            <w:pPr>
              <w:spacing w:after="0" w:line="20" w:lineRule="exact"/>
              <w:rPr>
                <w:sz w:val="1"/>
                <w:szCs w:val="1"/>
                <w:color w:val="auto"/>
              </w:rPr>
            </w:pPr>
          </w:p>
        </w:tc>
        <w:tc>
          <w:tcPr>
            <w:tcW w:w="880" w:type="dxa"/>
            <w:vAlign w:val="bottom"/>
            <w:tcBorders>
              <w:top w:val="single" w:sz="8" w:color="DCE2EF"/>
              <w:bottom w:val="single" w:sz="8" w:color="DCE2EF"/>
            </w:tcBorders>
            <w:vMerge w:val="restart"/>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line="20" w:lineRule="exact"/>
              <w:rPr>
                <w:sz w:val="1"/>
                <w:szCs w:val="1"/>
                <w:color w:val="auto"/>
              </w:rPr>
            </w:pPr>
          </w:p>
        </w:tc>
      </w:tr>
      <w:tr>
        <w:trPr>
          <w:trHeight w:val="247"/>
        </w:trPr>
        <w:tc>
          <w:tcPr>
            <w:tcW w:w="4020" w:type="dxa"/>
            <w:vAlign w:val="bottom"/>
            <w:tcBorders>
              <w:bottom w:val="single" w:sz="8" w:color="DCE2EF"/>
            </w:tcBorders>
            <w:gridSpan w:val="3"/>
            <w:vMerge w:val="continue"/>
          </w:tcPr>
          <w:p>
            <w:pPr>
              <w:spacing w:after="0"/>
              <w:rPr>
                <w:sz w:val="21"/>
                <w:szCs w:val="21"/>
                <w:color w:val="auto"/>
              </w:rPr>
            </w:pPr>
          </w:p>
        </w:tc>
        <w:tc>
          <w:tcPr>
            <w:tcW w:w="280" w:type="dxa"/>
            <w:vAlign w:val="bottom"/>
            <w:tcBorders>
              <w:bottom w:val="single" w:sz="8" w:color="DCE2EF"/>
            </w:tcBorders>
          </w:tcPr>
          <w:p>
            <w:pPr>
              <w:spacing w:after="0"/>
              <w:rPr>
                <w:sz w:val="21"/>
                <w:szCs w:val="21"/>
                <w:color w:val="auto"/>
              </w:rPr>
            </w:pPr>
          </w:p>
        </w:tc>
        <w:tc>
          <w:tcPr>
            <w:tcW w:w="900" w:type="dxa"/>
            <w:vAlign w:val="bottom"/>
            <w:tcBorders>
              <w:bottom w:val="single" w:sz="8" w:color="DCE2EF"/>
            </w:tcBorders>
          </w:tcPr>
          <w:p>
            <w:pPr>
              <w:spacing w:after="0"/>
              <w:rPr>
                <w:sz w:val="21"/>
                <w:szCs w:val="21"/>
                <w:color w:val="auto"/>
              </w:rPr>
            </w:pPr>
          </w:p>
        </w:tc>
        <w:tc>
          <w:tcPr>
            <w:tcW w:w="120" w:type="dxa"/>
            <w:vAlign w:val="bottom"/>
            <w:tcBorders>
              <w:bottom w:val="single" w:sz="8" w:color="DCE2EF"/>
            </w:tcBorders>
          </w:tcPr>
          <w:p>
            <w:pPr>
              <w:spacing w:after="0"/>
              <w:rPr>
                <w:sz w:val="21"/>
                <w:szCs w:val="21"/>
                <w:color w:val="auto"/>
              </w:rPr>
            </w:pPr>
          </w:p>
        </w:tc>
        <w:tc>
          <w:tcPr>
            <w:tcW w:w="180" w:type="dxa"/>
            <w:vAlign w:val="bottom"/>
            <w:tcBorders>
              <w:bottom w:val="single" w:sz="8" w:color="DCE2EF"/>
            </w:tcBorders>
          </w:tcPr>
          <w:p>
            <w:pPr>
              <w:spacing w:after="0"/>
              <w:rPr>
                <w:sz w:val="21"/>
                <w:szCs w:val="21"/>
                <w:color w:val="auto"/>
              </w:rPr>
            </w:pPr>
          </w:p>
        </w:tc>
        <w:tc>
          <w:tcPr>
            <w:tcW w:w="900" w:type="dxa"/>
            <w:vAlign w:val="bottom"/>
            <w:tcBorders>
              <w:bottom w:val="single" w:sz="8" w:color="DCE2EF"/>
            </w:tcBorders>
          </w:tcPr>
          <w:p>
            <w:pPr>
              <w:spacing w:after="0"/>
              <w:rPr>
                <w:sz w:val="21"/>
                <w:szCs w:val="21"/>
                <w:color w:val="auto"/>
              </w:rPr>
            </w:pPr>
          </w:p>
        </w:tc>
        <w:tc>
          <w:tcPr>
            <w:tcW w:w="6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260" w:type="dxa"/>
            <w:vAlign w:val="bottom"/>
            <w:tcBorders>
              <w:bottom w:val="single" w:sz="8" w:color="DCE2EF"/>
            </w:tcBorders>
          </w:tcPr>
          <w:p>
            <w:pPr>
              <w:spacing w:after="0"/>
              <w:rPr>
                <w:sz w:val="21"/>
                <w:szCs w:val="21"/>
                <w:color w:val="auto"/>
              </w:rPr>
            </w:pPr>
          </w:p>
        </w:tc>
        <w:tc>
          <w:tcPr>
            <w:tcW w:w="88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60" w:type="dxa"/>
            <w:vAlign w:val="bottom"/>
            <w:tcBorders>
              <w:bottom w:val="single" w:sz="8" w:color="DCE2EF"/>
            </w:tcBorders>
          </w:tcPr>
          <w:p>
            <w:pPr>
              <w:spacing w:after="0"/>
              <w:rPr>
                <w:sz w:val="21"/>
                <w:szCs w:val="21"/>
                <w:color w:val="auto"/>
              </w:rPr>
            </w:pPr>
          </w:p>
        </w:tc>
        <w:tc>
          <w:tcPr>
            <w:tcW w:w="98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60" w:type="dxa"/>
            <w:vAlign w:val="bottom"/>
            <w:tcBorders>
              <w:bottom w:val="single" w:sz="8" w:color="DCE2EF"/>
            </w:tcBorders>
          </w:tcPr>
          <w:p>
            <w:pPr>
              <w:spacing w:after="0"/>
              <w:rPr>
                <w:sz w:val="21"/>
                <w:szCs w:val="21"/>
                <w:color w:val="auto"/>
              </w:rPr>
            </w:pPr>
          </w:p>
        </w:tc>
        <w:tc>
          <w:tcPr>
            <w:tcW w:w="98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2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spacing w:after="0"/>
              <w:rPr>
                <w:sz w:val="20"/>
                <w:szCs w:val="20"/>
                <w:color w:val="auto"/>
              </w:rPr>
            </w:pPr>
          </w:p>
        </w:tc>
        <w:tc>
          <w:tcPr>
            <w:tcW w:w="1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spacing w:after="0"/>
              <w:rPr>
                <w:sz w:val="20"/>
                <w:szCs w:val="20"/>
                <w:color w:val="auto"/>
              </w:rPr>
            </w:pPr>
          </w:p>
        </w:tc>
        <w:tc>
          <w:tcPr>
            <w:tcW w:w="6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spacing w:after="0"/>
              <w:rPr>
                <w:sz w:val="20"/>
                <w:szCs w:val="20"/>
                <w:color w:val="auto"/>
              </w:rPr>
            </w:pPr>
          </w:p>
        </w:tc>
        <w:tc>
          <w:tcPr>
            <w:tcW w:w="8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4,850.6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36"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36" w:right="239" w:bottom="1440" w:gutter="0" w:footer="0" w:header="0"/>
          <w:type w:val="continuous"/>
        </w:sectPr>
      </w:pPr>
    </w:p>
    <w:bookmarkStart w:id="14" w:name="page15"/>
    <w:bookmarkEnd w:id="14"/>
    <w:p>
      <w:pPr>
        <w:ind w:firstLine="8"/>
        <w:spacing w:after="0" w:line="210" w:lineRule="auto"/>
        <w:tabs>
          <w:tab w:leader="none" w:pos="189"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w:t>
      </w:r>
    </w:p>
    <w:p>
      <w:pPr>
        <w:spacing w:after="0" w:line="157" w:lineRule="exact"/>
        <w:rPr>
          <w:rFonts w:ascii="Arial" w:cs="Arial" w:eastAsia="Arial" w:hAnsi="Arial"/>
          <w:sz w:val="22"/>
          <w:szCs w:val="22"/>
          <w:color w:val="auto"/>
          <w:vertAlign w:val="superscript"/>
        </w:rPr>
      </w:pPr>
    </w:p>
    <w:p>
      <w:pPr>
        <w:jc w:val="both"/>
        <w:ind w:firstLine="8"/>
        <w:spacing w:after="0" w:line="230" w:lineRule="auto"/>
        <w:tabs>
          <w:tab w:leader="none" w:pos="211"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Parking arrangements provide parking and transportation services for clients at various locations, including airports and other transportation centers, commercial office buildings, educational institutions, health facilities, hotels, and stadiums and arenas. Certain of our management reimbursement, leased, and allowance location arrangements are considered service concession agreements and are accounted for under the guidance of Topic 853. For the three and nine months ended July 31, 2019, rent expense related to service concession arrangements, previously recorded within operating expenses, has been recorded as a reduction of the related parking service revenues.</w:t>
      </w:r>
    </w:p>
    <w:p>
      <w:pPr>
        <w:spacing w:after="0" w:line="159" w:lineRule="exact"/>
        <w:rPr>
          <w:rFonts w:ascii="Arial" w:cs="Arial" w:eastAsia="Arial" w:hAnsi="Arial"/>
          <w:sz w:val="22"/>
          <w:szCs w:val="22"/>
          <w:color w:val="auto"/>
          <w:vertAlign w:val="superscript"/>
        </w:rPr>
      </w:pPr>
    </w:p>
    <w:p>
      <w:pPr>
        <w:jc w:val="both"/>
        <w:ind w:firstLine="8"/>
        <w:spacing w:after="0" w:line="221" w:lineRule="auto"/>
        <w:tabs>
          <w:tab w:leader="none" w:pos="204"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Facility Services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w:t>
      </w:r>
    </w:p>
    <w:p>
      <w:pPr>
        <w:spacing w:after="0" w:line="157" w:lineRule="exact"/>
        <w:rPr>
          <w:rFonts w:ascii="Arial" w:cs="Arial" w:eastAsia="Arial" w:hAnsi="Arial"/>
          <w:sz w:val="22"/>
          <w:szCs w:val="22"/>
          <w:color w:val="auto"/>
          <w:vertAlign w:val="superscript"/>
        </w:rPr>
      </w:pPr>
    </w:p>
    <w:p>
      <w:pPr>
        <w:ind w:firstLine="8"/>
        <w:spacing w:after="0" w:line="235" w:lineRule="auto"/>
        <w:tabs>
          <w:tab w:leader="none" w:pos="17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Building &amp; Energy Solutions arrangements provide custom energy solutions, electrical, HVAC, lighting, and other general maintenance and repair services for clients in the public and private sectors. We also franchise certain operations under franchise agreements relating to our Linc Network and TEGG brands.</w:t>
      </w:r>
    </w:p>
    <w:p>
      <w:pPr>
        <w:spacing w:after="0" w:line="110"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Airline Services arrangements support airlines and airports with services such as passenger assistance, catering logistics, and airplane cabin maintenance.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Contracts with Customers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Once a contract is identified, we evaluate whether it is a combined or single contract and whether it should be accounted for as more than one performance obligation. Generally, most of our contracts are cancelable by either party without a substantive penalty, and the majority have a notification period of 30 to 60 days. If a contract includes a cancellation clause, the remaining contract term is limited to the required termination notice period.</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contract inception, we assess the services promised to our customers and identify a performance obligation for each promise to transfer to the customer a service, or a bundle of services, that is distinct. To identify the performance obligation, we consider all of our services promised in the contract, regardless of whether they are explicitly stated or are implied by customary business practices.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majority of our contracts contain multiple promises that represent an integrated bundle of services comprised of activities that may vary over time; however, these activities fulfill a single integrated performance obligation since we perform a continuous service that is substantially the same and has the same pattern of transfer to the customer. Our performance obligations are primarily satisfied over time as we provide the related services. We allocate the contract transaction price to this single performance obligation and recognize revenue as the services are performed, as further described in “Contract Types” below.</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Certain arrangements involve variable consideration (primarily per transaction fees, reimbursable expenses, and sales-based royalties). We do not estimate the variable consideration for these arrangements; rather, we recognize these variable fees in the period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47" w:right="239" w:bottom="1440" w:gutter="0" w:footer="0" w:header="0"/>
        </w:sectPr>
      </w:pPr>
    </w:p>
    <w:bookmarkStart w:id="15" w:name="page16"/>
    <w:bookmarkEnd w:id="15"/>
    <w:p>
      <w:pPr>
        <w:jc w:val="both"/>
        <w:ind w:firstLine="648"/>
        <w:spacing w:after="0" w:line="256" w:lineRule="auto"/>
        <w:rPr>
          <w:sz w:val="20"/>
          <w:szCs w:val="20"/>
          <w:color w:val="auto"/>
        </w:rPr>
      </w:pPr>
      <w:r>
        <w:rPr>
          <w:rFonts w:ascii="Arial" w:cs="Arial" w:eastAsia="Arial" w:hAnsi="Arial"/>
          <w:sz w:val="18"/>
          <w:szCs w:val="18"/>
          <w:color w:val="auto"/>
        </w:rPr>
        <w:t>We typically bill customers on a monthly basis and have the right to consideration from customers in an amount that corresponds directly with the performance obligation satisfied to date. The time between completion of the performance obligation and collection of cash is generally 30 to 60 days. Sales-based taxes are excluded from revenue.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Contracts generally can be modified to account for changes in specifications and requirements. We consider contract modifications to exist when the modification either changes the consideration, creates new performance obligations, or changes the existing scope of the contract and related performance obligations. Historically, contract modifications have been for services that are not distinct from the existing contract, since we are providing a bundle of services that are highly inter-related and are therefore treated as if they were part of that existing contract. Such modifications are generally accounted for prospectively as part of the existing contract.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Contract Types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arrangements under various contract types within our major service lines, as explained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Monthly Fixed-Price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Monthly fixed-price arrangements are contracts in which the client agrees to pay a fixed fee every month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Janitorial, Facilities Services, and Airline Services contracts are structured pursuant to this type of arrangement.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Square-Foot</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Monthly square-foot arrangements are contracts in which the client agrees to pay a fixed fee every month based on the actual square footage serviced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Janitorial contracts are structured pursuant to this type of arrangement.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Cost-Plus</w:t>
      </w:r>
    </w:p>
    <w:p>
      <w:pPr>
        <w:spacing w:after="0" w:line="18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Cost-plus arrangements are contracts in which the clients reimburse us for the agreed-upon amount of wages and benefits, payroll taxes, insurance charges, and other expenses associated with the contracted work, plus a profit margin.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Janitorial, Facilities Services, and Airline Services contracts are structured pursuant to this type of arrangement.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Tag Services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Tag work generally consists of supplemental services requested by clients outside of the standard service specification and includes cleanup after tenant moves, construction cleanup, flood cleanup, and snow removal. Because the nature of these short-term contracts involves performing one-off type services, revenue is recognized at the agreed-upon contractual amount over time as the services are provided, because the customer simultaneously receives and consumes the benefits of the services as they are performed. Certain Janitorial and Facilities Services contracts are often structured under this type of arrangement.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Transaction-Price</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Transaction-price contracts are arrangements in which customers are billed a fixed price for each transaction performed on a monthly basis (e.g., wheelchair passengers served, airplane cabins cleaned).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Airline Services contracts are structured under this type of arrangement.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4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0046AD"/>
        </w:rPr>
        <w:t>Hourly</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Hourly arrangements are contracts in which the client is billed a fixed hourly rate for each labor hour provided.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Airline Services contracts are structured under this type of arrangement.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Management Reimbursement</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management reimbursement arrangements, within our Parking service line, we manage a parking facility for a management fee and pass through the revenue and expenses associated with the facility to the owner. We measure progress toward satisfaction of the performance obligation over time as the services are provided. Under these contracts we recognize both revenues and expenses, in equal amounts, that are directly reimbursed from the property owner for operating expenses, as such expenses are incurred. Such revenues do not include gross customer collections at the managed locations because they belong to the property owners. We have determined we are the principal in these transactions, because the nature of our performance obligation is for us to provide the services on behalf of the customer and we have control of the promised services before they are transferred to the customer.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Leased Location</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leased location parking arrangements, within our Parking service line, we pay a fixed amount of rent, plus a percentage of revenues derived from monthly and transient parkers, to the property owner. We retain all revenues and we are responsible for most operating expenses incurred. We measure progress toward satisfaction of the performance obligation as the services are provided, and revenue is recognized over time because the customer simultaneously receives and consumes the benefits of the services as they are performed.</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described above and in Note 2, “Basis of Presentation and Significant Accounting Policies,” and in accordance with Topic 853, rental expense and certain other expenses under contracts that meet the definition of service concession arrangements are now recorded as a reduction of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Allowance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allowance parking arrangements, within our Parking service line, we are paid a fixed amount or hourly rate to provide parking services, and we are responsible for certain operating expenses that are specified in the contract. We measure progress toward satisfaction of the performance obligation as the services are provided, and revenue is recognized at the agreed-upon contractual rate over time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Energy Savings Contracts and Fixed-Price Repair and Refurbishment</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energy savings contracts and fixed-price repair and refurbishment arrangements, within our Building &amp; Energy Solutions service line, we agree to develop, design, engineer, and construct a project. Additionally, as part of bundled energy solutions arrangements, we guarantee the project will satisfy agreed-upon performance standards.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the cost-to-cost method, which compares the actual costs incurred to date with the current estimate of total costs to complete in order to measure the satisfaction of the performance obligation and recognize revenue as work 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 Equipment purchased for these projects is project-specific and considered a value-added element to our work. Equipment costs are incurred when title is transferred to us, typically upon delivery to the work site. Revenue for uninstalled equipment is recognized at cost and the associated margin is deferred until installation is substantially complete.</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recognize revenue over time for all of our services as we perform them, because (i) control continuously transfers to the customer as work progresses or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us.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6" w:right="239" w:bottom="1440" w:gutter="0" w:footer="0" w:header="0"/>
        </w:sectPr>
      </w:pPr>
    </w:p>
    <w:bookmarkStart w:id="17" w:name="page18"/>
    <w:bookmarkEnd w:id="17"/>
    <w:p>
      <w:pPr>
        <w:jc w:val="both"/>
        <w:ind w:firstLine="648"/>
        <w:spacing w:after="0" w:line="252" w:lineRule="auto"/>
        <w:rPr>
          <w:sz w:val="20"/>
          <w:szCs w:val="20"/>
          <w:color w:val="auto"/>
        </w:rPr>
      </w:pPr>
      <w:r>
        <w:rPr>
          <w:rFonts w:ascii="Arial" w:cs="Arial" w:eastAsia="Arial" w:hAnsi="Arial"/>
          <w:sz w:val="18"/>
          <w:szCs w:val="18"/>
          <w:color w:val="auto"/>
        </w:rPr>
        <w:t>Certain project contracts include a schedule of billings or invoices to the customer based on our job-to-date percentage of completion of specific tasks inherent in the fulfillment of our performance obligation(s) or in accordance with a fixed billing schedule. Fixed billing schedules may not precisely match the actual costs incurred. Therefore, revenue recognized may differ from amounts that can be billed or invoiced to the customer at any point during the contract, resulting in balances that are considered revenue recognized in excess of cumulative billings or cumulative billings in excess of revenue recognized. Advanced payments from our customers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Certain projects include service maintenance agreements under which existing systems are repaired and maintained for a specific period of time. We generally recognize revenue under these arrangements over time. Our service maintenance agreements are generally one-year renewable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Franchise</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franchise certain engineering services through individual and area franchises under the Linc Service and TEGG brands, which are part of ABM Technical Solutions and are included in our Building &amp; Energy Solutions service line. Initial franchise fees result from the sale of a franchise license and include the use of the name, trademarks, and proprietary methods. The franchise license is considered symbolic intellectual property, and revenue related to the sale of this right is recognized at the agreed-upon contractual amount over the term of the initial franchise agreement.</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Royalty fee revenue consists of sales-based royalties received as part of the consideration for the franchise right, which is calculated as a percentage of the franchisees’ revenue. We recognize royalty fee revenue at the agreed-upon contractual rates over time as the customer revenue is generated by the franchisees. A receivable is recognized for an estimate of the unreported royalty fees, which are reported and remitted to us in arrears.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Remaining Performance Obligations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July 31, 2019, we had $261.8 million related to performance obligations that were unsatisfied or partially unsatisfied for which we expect to recognize revenue. We expect to recognize revenue on approximately 82% of the remaining performance obligations over the next 12 months, with the remaining recognized thereafter.</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We apply the practical expedient that permits exclusion of information about the remaining performance obligations with original expected durations of one year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Costs to Obtain a Contract With a Customer</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capitalize the incremental costs of obtaining a contract with a customer, primarily commissions, as contract assets and recognize the expense on a straight-line basis over a weighted average expected customer relationship period. Upon adoption of Topic 606 on November 1, 2018, we capitalized $15.1 million of commissions related to contracts that were not completed at that date. Capitalized commissions are classified as current or noncurrent based on the timing of when we expect to recognize the expense.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4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164FA2"/>
        </w:rPr>
        <w:t>Contract Balances</w:t>
      </w:r>
    </w:p>
    <w:p>
      <w:pPr>
        <w:spacing w:after="0" w:line="3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as further explained below. The timing of revenue recognition may differ from the timing of invoicing to customers. If a contract includes a cancellation clause that allows for the termination of the contract by either party without a substantive penalty, the contract term is limited to the termination notice period.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Contract assets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balances in our contract assets and contract liabilities: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 2019</w:t>
            </w:r>
          </w:p>
        </w:tc>
        <w:tc>
          <w:tcPr>
            <w:tcW w:w="200" w:type="dxa"/>
            <w:vAlign w:val="bottom"/>
          </w:tcPr>
          <w:p>
            <w:pPr>
              <w:spacing w:after="0"/>
              <w:rPr>
                <w:sz w:val="18"/>
                <w:szCs w:val="18"/>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November 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4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64"/>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Contract assets</w:t>
            </w:r>
          </w:p>
        </w:tc>
        <w:tc>
          <w:tcPr>
            <w:tcW w:w="300" w:type="dxa"/>
            <w:vAlign w:val="bottom"/>
            <w:shd w:val="clear" w:color="auto" w:fill="DCE2EF"/>
          </w:tcPr>
          <w:p>
            <w:pPr>
              <w:spacing w:after="0"/>
              <w:rPr>
                <w:sz w:val="22"/>
                <w:szCs w:val="22"/>
                <w:color w:val="auto"/>
              </w:rPr>
            </w:pPr>
          </w:p>
        </w:tc>
        <w:tc>
          <w:tcPr>
            <w:tcW w:w="17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1860" w:type="dxa"/>
            <w:vAlign w:val="bottom"/>
            <w:shd w:val="clear" w:color="auto" w:fill="DCE2E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Billed trade receivables</w:t>
            </w:r>
            <w:r>
              <w:rPr>
                <w:rFonts w:ascii="Arial" w:cs="Arial" w:eastAsia="Arial" w:hAnsi="Arial"/>
                <w:sz w:val="21"/>
                <w:szCs w:val="21"/>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1,018.0</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918.9</w:t>
            </w:r>
          </w:p>
        </w:tc>
      </w:tr>
      <w:tr>
        <w:trPr>
          <w:trHeight w:val="270"/>
        </w:trPr>
        <w:tc>
          <w:tcPr>
            <w:tcW w:w="40" w:type="dxa"/>
            <w:vAlign w:val="bottom"/>
            <w:shd w:val="clear" w:color="auto" w:fill="DCE2EF"/>
          </w:tcPr>
          <w:p>
            <w:pPr>
              <w:spacing w:after="0"/>
              <w:rPr>
                <w:sz w:val="23"/>
                <w:szCs w:val="23"/>
                <w:color w:val="auto"/>
              </w:rPr>
            </w:pPr>
          </w:p>
        </w:tc>
        <w:tc>
          <w:tcPr>
            <w:tcW w:w="714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Unbilled trade receivables</w:t>
            </w:r>
            <w:r>
              <w:rPr>
                <w:rFonts w:ascii="Arial" w:cs="Arial" w:eastAsia="Arial" w:hAnsi="Arial"/>
                <w:sz w:val="21"/>
                <w:szCs w:val="21"/>
                <w:color w:val="auto"/>
                <w:vertAlign w:val="superscript"/>
              </w:rPr>
              <w:t>(1)</w:t>
            </w:r>
          </w:p>
        </w:tc>
        <w:tc>
          <w:tcPr>
            <w:tcW w:w="300" w:type="dxa"/>
            <w:vAlign w:val="bottom"/>
            <w:shd w:val="clear" w:color="auto" w:fill="DCE2EF"/>
          </w:tcPr>
          <w:p>
            <w:pPr>
              <w:spacing w:after="0"/>
              <w:rPr>
                <w:sz w:val="23"/>
                <w:szCs w:val="23"/>
                <w:color w:val="auto"/>
              </w:rPr>
            </w:pP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74.3</w:t>
            </w:r>
          </w:p>
        </w:tc>
      </w:tr>
      <w:tr>
        <w:trPr>
          <w:trHeight w:val="270"/>
        </w:trPr>
        <w:tc>
          <w:tcPr>
            <w:tcW w:w="40" w:type="dxa"/>
            <w:vAlign w:val="bottom"/>
          </w:tcPr>
          <w:p>
            <w:pPr>
              <w:spacing w:after="0"/>
              <w:rPr>
                <w:sz w:val="23"/>
                <w:szCs w:val="23"/>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Costs incurred in excess of amounts billed</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0"/>
        </w:trPr>
        <w:tc>
          <w:tcPr>
            <w:tcW w:w="40" w:type="dxa"/>
            <w:vAlign w:val="bottom"/>
            <w:shd w:val="clear" w:color="auto" w:fill="DCE2EF"/>
          </w:tcPr>
          <w:p>
            <w:pPr>
              <w:spacing w:after="0"/>
              <w:rPr>
                <w:sz w:val="23"/>
                <w:szCs w:val="23"/>
                <w:color w:val="auto"/>
              </w:rPr>
            </w:pPr>
          </w:p>
        </w:tc>
        <w:tc>
          <w:tcPr>
            <w:tcW w:w="714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Capitalized commissions</w:t>
            </w:r>
            <w:r>
              <w:rPr>
                <w:rFonts w:ascii="Arial" w:cs="Arial" w:eastAsia="Arial" w:hAnsi="Arial"/>
                <w:sz w:val="21"/>
                <w:szCs w:val="21"/>
                <w:color w:val="auto"/>
                <w:vertAlign w:val="superscript"/>
              </w:rPr>
              <w:t>(3)</w:t>
            </w:r>
          </w:p>
        </w:tc>
        <w:tc>
          <w:tcPr>
            <w:tcW w:w="300" w:type="dxa"/>
            <w:vAlign w:val="bottom"/>
            <w:shd w:val="clear" w:color="auto" w:fill="DCE2EF"/>
          </w:tcPr>
          <w:p>
            <w:pPr>
              <w:spacing w:after="0"/>
              <w:rPr>
                <w:sz w:val="23"/>
                <w:szCs w:val="23"/>
                <w:color w:val="auto"/>
              </w:rPr>
            </w:pP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110" w:lineRule="exact"/>
        <w:rPr>
          <w:sz w:val="20"/>
          <w:szCs w:val="20"/>
          <w:color w:val="auto"/>
        </w:rPr>
      </w:pPr>
    </w:p>
    <w:p>
      <w:pPr>
        <w:ind w:firstLine="8"/>
        <w:spacing w:after="0" w:line="263" w:lineRule="auto"/>
        <w:tabs>
          <w:tab w:leader="none" w:pos="162"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Included in trade accounts receivable, net, on the consolidated balance sheets. The fluctuation correlates directly to the execution of new customer contracts and to invoicing and collections from customers in the normal course of business.</w:t>
      </w: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Increase is primarily due to the timing of payments on our contracts measured using the cost-to-cost method of revenue recognition.</w:t>
      </w:r>
    </w:p>
    <w:p>
      <w:pPr>
        <w:spacing w:after="0" w:line="48" w:lineRule="exact"/>
        <w:rPr>
          <w:rFonts w:ascii="Arial" w:cs="Arial" w:eastAsia="Arial" w:hAnsi="Arial"/>
          <w:sz w:val="21"/>
          <w:szCs w:val="21"/>
          <w:color w:val="auto"/>
          <w:vertAlign w:val="superscript"/>
        </w:rPr>
      </w:pPr>
    </w:p>
    <w:p>
      <w:pPr>
        <w:jc w:val="both"/>
        <w:ind w:firstLine="8"/>
        <w:spacing w:after="0"/>
        <w:tabs>
          <w:tab w:leader="none" w:pos="189"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Included in other current assets and other noncurrent assets on the consolidated balance sheets. During the nine months ended July 31, 2019, we capitalized $13.0 million of new costs and amortized $6.3 million of previously capitalized costs. There was no impairment loss recorded on the costs capitalized.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Nine Months Ended</w:t>
            </w:r>
          </w:p>
        </w:tc>
      </w:tr>
      <w:tr>
        <w:trPr>
          <w:trHeight w:val="212"/>
        </w:trPr>
        <w:tc>
          <w:tcPr>
            <w:tcW w:w="9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8"/>
                <w:szCs w:val="18"/>
                <w:color w:val="auto"/>
              </w:rPr>
            </w:pP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July 31, 2019</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6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64"/>
        </w:trPr>
        <w:tc>
          <w:tcPr>
            <w:tcW w:w="93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Contract liabilities</w:t>
            </w:r>
            <w:r>
              <w:rPr>
                <w:rFonts w:ascii="Arial" w:cs="Arial" w:eastAsia="Arial" w:hAnsi="Arial"/>
                <w:sz w:val="21"/>
                <w:szCs w:val="21"/>
                <w:color w:val="auto"/>
                <w:vertAlign w:val="superscript"/>
              </w:rPr>
              <w:t>(1)</w:t>
            </w:r>
          </w:p>
        </w:tc>
        <w:tc>
          <w:tcPr>
            <w:tcW w:w="160" w:type="dxa"/>
            <w:vAlign w:val="bottom"/>
            <w:shd w:val="clear" w:color="auto" w:fill="DCE2EF"/>
          </w:tcPr>
          <w:p>
            <w:pPr>
              <w:spacing w:after="0"/>
              <w:rPr>
                <w:sz w:val="22"/>
                <w:szCs w:val="22"/>
                <w:color w:val="auto"/>
              </w:rPr>
            </w:pPr>
          </w:p>
        </w:tc>
        <w:tc>
          <w:tcPr>
            <w:tcW w:w="1900" w:type="dxa"/>
            <w:vAlign w:val="bottom"/>
            <w:shd w:val="clear" w:color="auto" w:fill="DCE2E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7"/>
        </w:trPr>
        <w:tc>
          <w:tcPr>
            <w:tcW w:w="40" w:type="dxa"/>
            <w:vAlign w:val="bottom"/>
            <w:shd w:val="clear" w:color="auto" w:fill="DCE2EF"/>
          </w:tcPr>
          <w:p>
            <w:pPr>
              <w:spacing w:after="0"/>
              <w:rPr>
                <w:sz w:val="24"/>
                <w:szCs w:val="24"/>
                <w:color w:val="auto"/>
              </w:rPr>
            </w:pPr>
          </w:p>
        </w:tc>
        <w:tc>
          <w:tcPr>
            <w:tcW w:w="93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Additional contract liabilities</w:t>
            </w:r>
          </w:p>
        </w:tc>
        <w:tc>
          <w:tcPr>
            <w:tcW w:w="160" w:type="dxa"/>
            <w:vAlign w:val="bottom"/>
            <w:shd w:val="clear" w:color="auto" w:fill="DCE2EF"/>
          </w:tcPr>
          <w:p>
            <w:pPr>
              <w:spacing w:after="0"/>
              <w:rPr>
                <w:sz w:val="24"/>
                <w:szCs w:val="24"/>
                <w:color w:val="auto"/>
              </w:rPr>
            </w:pPr>
          </w:p>
        </w:tc>
        <w:tc>
          <w:tcPr>
            <w:tcW w:w="19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294.9</w:t>
            </w:r>
          </w:p>
        </w:tc>
      </w:tr>
      <w:tr>
        <w:trPr>
          <w:trHeight w:val="304"/>
        </w:trPr>
        <w:tc>
          <w:tcPr>
            <w:tcW w:w="40" w:type="dxa"/>
            <w:vAlign w:val="bottom"/>
            <w:tcBorders>
              <w:bottom w:val="single" w:sz="8" w:color="DCE2EF"/>
            </w:tcBorders>
          </w:tcPr>
          <w:p>
            <w:pPr>
              <w:spacing w:after="0"/>
              <w:rPr>
                <w:sz w:val="24"/>
                <w:szCs w:val="24"/>
                <w:color w:val="auto"/>
              </w:rPr>
            </w:pPr>
          </w:p>
        </w:tc>
        <w:tc>
          <w:tcPr>
            <w:tcW w:w="93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Recognition of deferred revenue</w:t>
            </w: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r>
      <w:tr>
        <w:trPr>
          <w:trHeight w:val="284"/>
        </w:trPr>
        <w:tc>
          <w:tcPr>
            <w:tcW w:w="40" w:type="dxa"/>
            <w:vAlign w:val="bottom"/>
            <w:tcBorders>
              <w:bottom w:val="single" w:sz="8" w:color="DCE2EF"/>
            </w:tcBorders>
            <w:shd w:val="clear" w:color="auto" w:fill="DCE2EF"/>
          </w:tcPr>
          <w:p>
            <w:pPr>
              <w:spacing w:after="0"/>
              <w:rPr>
                <w:sz w:val="24"/>
                <w:szCs w:val="24"/>
                <w:color w:val="auto"/>
              </w:rPr>
            </w:pPr>
          </w:p>
        </w:tc>
        <w:tc>
          <w:tcPr>
            <w:tcW w:w="932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42.3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Included in other accrued liabilities on the consolidated balance sheets.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0046AD"/>
        </w:rPr>
        <w:t>4. 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may periodically engage in various restructuring activities intended to drive long-term profitable growth and increase operational efficiency, which can include streamlining and realigning our overall organizational structure and reallocating resources. These activities may result in restructuring costs related to employee severance, other project fees, external support fees, lease exit costs, and asset impairment charges. Recently, our significant restructuring activities have primarily related to integrating our acquisition of GCA Services Group (“GCA”) and implementing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 as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GCA and Other Restructuring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first quarter of 2018, we initiated a restructuring program to achieve cost synergies following the acquisition of GCA. We incurred the majority of our severance expense associated with this restructuring program in the first half of 2018. During 2019, we incurred an immaterial amount of severance and other expenses associated with our Healthcare reorganization. Additionally, we continue standardizing our financial systems and streamlining our operations by migrating and upgrading several key management platforms, including our human resources information systems, enterprise resource planning system, and labor management system. We also continue consolidating our real estate leases. As we continue to further integrate and consolidate our operational and financial processes to support the growth and capabilities of our shared services and operations, we expect to incur additional restructuring charges, primarily related to other project fees.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b w:val="1"/>
          <w:bCs w:val="1"/>
          <w:color w:val="0046AD"/>
        </w:rPr>
        <w:t>Restructuring</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fourth quarter of 2015, our Board of Directors approved a comprehensive strategy intended to have a positive transformative effect on ABM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part of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identified key priorities to differentiate ABM in the marketplace, accelerate revenue growth for certain industry groups, and improve our margin profile. We do not expect to incur significant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restructuring and related expenses in the future.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Rollforward of Restructuring and Related Liabilities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Arial" w:cs="Arial" w:eastAsia="Arial" w:hAnsi="Arial"/>
                <w:sz w:val="16"/>
                <w:szCs w:val="16"/>
                <w:b w:val="1"/>
                <w:bCs w:val="1"/>
                <w:color w:val="auto"/>
              </w:rPr>
              <w:t>Balance,</w:t>
            </w:r>
          </w:p>
        </w:tc>
      </w:tr>
      <w:tr>
        <w:trPr>
          <w:trHeight w:val="194"/>
        </w:trPr>
        <w:tc>
          <w:tcPr>
            <w:tcW w:w="37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October 31, 2018</w:t>
            </w:r>
          </w:p>
        </w:tc>
        <w:tc>
          <w:tcPr>
            <w:tcW w:w="120" w:type="dxa"/>
            <w:vAlign w:val="bottom"/>
          </w:tcPr>
          <w:p>
            <w:pPr>
              <w:spacing w:after="0"/>
              <w:rPr>
                <w:sz w:val="16"/>
                <w:szCs w:val="16"/>
                <w:color w:val="auto"/>
              </w:rPr>
            </w:pPr>
          </w:p>
        </w:tc>
        <w:tc>
          <w:tcPr>
            <w:tcW w:w="1800" w:type="dxa"/>
            <w:vAlign w:val="bottom"/>
            <w:gridSpan w:val="2"/>
          </w:tcPr>
          <w:p>
            <w:pPr>
              <w:ind w:left="20"/>
              <w:spacing w:after="0" w:line="194" w:lineRule="exact"/>
              <w:rPr>
                <w:sz w:val="20"/>
                <w:szCs w:val="20"/>
                <w:color w:val="auto"/>
              </w:rPr>
            </w:pPr>
            <w:r>
              <w:rPr>
                <w:rFonts w:ascii="Arial" w:cs="Arial" w:eastAsia="Arial" w:hAnsi="Arial"/>
                <w:sz w:val="16"/>
                <w:szCs w:val="16"/>
                <w:b w:val="1"/>
                <w:bCs w:val="1"/>
                <w:color w:val="auto"/>
              </w:rPr>
              <w:t>Costs Recognized</w:t>
            </w:r>
            <w:r>
              <w:rPr>
                <w:rFonts w:ascii="Arial" w:cs="Arial" w:eastAsia="Arial" w:hAnsi="Arial"/>
                <w:sz w:val="21"/>
                <w:szCs w:val="21"/>
                <w:b w:val="1"/>
                <w:bCs w:val="1"/>
                <w:color w:val="auto"/>
                <w:vertAlign w:val="superscript"/>
              </w:rPr>
              <w:t>(1)</w:t>
            </w:r>
          </w:p>
        </w:tc>
        <w:tc>
          <w:tcPr>
            <w:tcW w:w="320" w:type="dxa"/>
            <w:vAlign w:val="bottom"/>
          </w:tcPr>
          <w:p>
            <w:pPr>
              <w:spacing w:after="0"/>
              <w:rPr>
                <w:sz w:val="16"/>
                <w:szCs w:val="16"/>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Payments</w:t>
            </w:r>
          </w:p>
        </w:tc>
        <w:tc>
          <w:tcPr>
            <w:tcW w:w="260" w:type="dxa"/>
            <w:vAlign w:val="bottom"/>
          </w:tcPr>
          <w:p>
            <w:pPr>
              <w:spacing w:after="0"/>
              <w:rPr>
                <w:sz w:val="16"/>
                <w:szCs w:val="16"/>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July 31, 2019</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04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Employee severance</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DCE2EF"/>
          </w:tcPr>
          <w:p>
            <w:pPr>
              <w:spacing w:after="0"/>
              <w:rPr>
                <w:sz w:val="21"/>
                <w:szCs w:val="21"/>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3.0</w:t>
            </w:r>
          </w:p>
        </w:tc>
      </w:tr>
      <w:tr>
        <w:trPr>
          <w:trHeight w:val="260"/>
        </w:trPr>
        <w:tc>
          <w:tcPr>
            <w:tcW w:w="3780" w:type="dxa"/>
            <w:vAlign w:val="bottom"/>
            <w:gridSpan w:val="3"/>
          </w:tcPr>
          <w:p>
            <w:pPr>
              <w:ind w:left="40"/>
              <w:spacing w:after="0"/>
              <w:rPr>
                <w:sz w:val="20"/>
                <w:szCs w:val="20"/>
                <w:color w:val="auto"/>
              </w:rPr>
            </w:pPr>
            <w:r>
              <w:rPr>
                <w:rFonts w:ascii="Arial" w:cs="Arial" w:eastAsia="Arial" w:hAnsi="Arial"/>
                <w:sz w:val="16"/>
                <w:szCs w:val="16"/>
                <w:color w:val="auto"/>
              </w:rPr>
              <w:t>Lease exit costs and asset impairment</w:t>
            </w:r>
          </w:p>
        </w:tc>
        <w:tc>
          <w:tcPr>
            <w:tcW w:w="20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80"/>
        </w:trPr>
        <w:tc>
          <w:tcPr>
            <w:tcW w:w="37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project fees</w:t>
            </w:r>
          </w:p>
        </w:tc>
        <w:tc>
          <w:tcPr>
            <w:tcW w:w="200" w:type="dxa"/>
            <w:vAlign w:val="bottom"/>
            <w:shd w:val="clear" w:color="auto" w:fill="DCE2EF"/>
          </w:tcPr>
          <w:p>
            <w:pPr>
              <w:spacing w:after="0"/>
              <w:rPr>
                <w:sz w:val="24"/>
                <w:szCs w:val="24"/>
                <w:color w:val="auto"/>
              </w:rPr>
            </w:pPr>
          </w:p>
        </w:tc>
        <w:tc>
          <w:tcPr>
            <w:tcW w:w="16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7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15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1.4</w:t>
            </w:r>
          </w:p>
        </w:tc>
      </w:tr>
      <w:tr>
        <w:trPr>
          <w:trHeight w:val="264"/>
        </w:trPr>
        <w:tc>
          <w:tcPr>
            <w:tcW w:w="3780" w:type="dxa"/>
            <w:vAlign w:val="bottom"/>
            <w:gridSpan w:val="3"/>
          </w:tcPr>
          <w:p>
            <w:pPr>
              <w:ind w:left="40"/>
              <w:spacing w:after="0"/>
              <w:rPr>
                <w:sz w:val="20"/>
                <w:szCs w:val="20"/>
                <w:color w:val="auto"/>
              </w:rPr>
            </w:pPr>
            <w:r>
              <w:rPr>
                <w:rFonts w:ascii="Arial" w:cs="Arial" w:eastAsia="Arial" w:hAnsi="Arial"/>
                <w:sz w:val="16"/>
                <w:szCs w:val="16"/>
                <w:color w:val="auto"/>
              </w:rPr>
              <w:t>External support fees</w:t>
            </w:r>
          </w:p>
        </w:tc>
        <w:tc>
          <w:tcPr>
            <w:tcW w:w="20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240"/>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3740" w:type="dxa"/>
            <w:vAlign w:val="bottom"/>
            <w:tcBorders>
              <w:top w:val="single" w:sz="8" w:color="DCE2EF"/>
              <w:bottom w:val="single" w:sz="8" w:color="DCE2EF"/>
            </w:tcBorders>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8.6</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8.5</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20" w:type="dxa"/>
            <w:vAlign w:val="bottom"/>
            <w:tcBorders>
              <w:top w:val="single" w:sz="8" w:color="auto"/>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(9.0)</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260" w:type="dxa"/>
            <w:vAlign w:val="bottom"/>
            <w:tcBorders>
              <w:top w:val="single" w:sz="8" w:color="auto"/>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8.1</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We include these costs within corporate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Cumulative Restructuring and Related Charges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Arial" w:cs="Arial" w:eastAsia="Arial" w:hAnsi="Arial"/>
                <w:sz w:val="16"/>
                <w:szCs w:val="16"/>
                <w:b w:val="1"/>
                <w:bCs w:val="1"/>
                <w:color w:val="auto"/>
              </w:rPr>
              <w:t>External Support</w:t>
            </w: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Employee</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 Project</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26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Fees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Severance</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Fees</w:t>
            </w: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rPr>
              <w:t>Lease Exit Costs</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Impairment</w:t>
            </w:r>
          </w:p>
        </w:tc>
        <w:tc>
          <w:tcPr>
            <w:tcW w:w="30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9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2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GCA and Other</w:t>
            </w:r>
          </w:p>
        </w:tc>
        <w:tc>
          <w:tcPr>
            <w:tcW w:w="32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DCE2EF"/>
          </w:tcPr>
          <w:p>
            <w:pPr>
              <w:spacing w:after="0"/>
              <w:rPr>
                <w:sz w:val="20"/>
                <w:szCs w:val="20"/>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DCE2EF"/>
          </w:tcPr>
          <w:p>
            <w:pPr>
              <w:spacing w:after="0"/>
              <w:rPr>
                <w:sz w:val="20"/>
                <w:szCs w:val="20"/>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DCE2EF"/>
          </w:tcPr>
          <w:p>
            <w:pPr>
              <w:spacing w:after="0"/>
              <w:rPr>
                <w:sz w:val="20"/>
                <w:szCs w:val="20"/>
                <w:color w:val="auto"/>
              </w:rPr>
            </w:pPr>
          </w:p>
        </w:tc>
        <w:tc>
          <w:tcPr>
            <w:tcW w:w="56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DCE2EF"/>
          </w:tcPr>
          <w:p>
            <w:pPr>
              <w:spacing w:after="0"/>
              <w:rPr>
                <w:sz w:val="20"/>
                <w:szCs w:val="20"/>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31.8</w:t>
            </w:r>
          </w:p>
        </w:tc>
      </w:tr>
      <w:tr>
        <w:trPr>
          <w:trHeight w:val="237"/>
        </w:trPr>
        <w:tc>
          <w:tcPr>
            <w:tcW w:w="264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FF9900"/>
              </w:rPr>
              <w:t xml:space="preserve">2020 </w:t>
            </w:r>
            <w:r>
              <w:rPr>
                <w:rFonts w:ascii="Arial" w:cs="Arial" w:eastAsia="Arial" w:hAnsi="Arial"/>
                <w:sz w:val="16"/>
                <w:szCs w:val="16"/>
                <w:b w:val="1"/>
                <w:bCs w:val="1"/>
                <w:color w:val="0070C0"/>
              </w:rPr>
              <w:t>Vision</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DCE2E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DCE2E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DCE2E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DCE2E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DCE2E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66.5</w:t>
            </w:r>
          </w:p>
        </w:tc>
      </w:tr>
      <w:tr>
        <w:trPr>
          <w:trHeight w:val="240"/>
        </w:trPr>
        <w:tc>
          <w:tcPr>
            <w:tcW w:w="40" w:type="dxa"/>
            <w:vAlign w:val="bottom"/>
            <w:tcBorders>
              <w:bottom w:val="single" w:sz="8" w:color="DCE2EF"/>
            </w:tcBorders>
            <w:shd w:val="clear" w:color="auto" w:fill="DCE2EF"/>
          </w:tcPr>
          <w:p>
            <w:pPr>
              <w:spacing w:after="0"/>
              <w:rPr>
                <w:sz w:val="20"/>
                <w:szCs w:val="20"/>
                <w:color w:val="auto"/>
              </w:rPr>
            </w:pPr>
          </w:p>
        </w:tc>
        <w:tc>
          <w:tcPr>
            <w:tcW w:w="2600" w:type="dxa"/>
            <w:vAlign w:val="bottom"/>
            <w:tcBorders>
              <w:bottom w:val="single" w:sz="8" w:color="DCE2EF"/>
            </w:tcBorders>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CE2E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32.7</w:t>
            </w:r>
          </w:p>
        </w:tc>
        <w:tc>
          <w:tcPr>
            <w:tcW w:w="12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29.8</w:t>
            </w: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22.2</w:t>
            </w:r>
          </w:p>
        </w:tc>
        <w:tc>
          <w:tcPr>
            <w:tcW w:w="120" w:type="dxa"/>
            <w:vAlign w:val="bottom"/>
            <w:tcBorders>
              <w:bottom w:val="single" w:sz="8" w:color="DCE2EF"/>
            </w:tcBorders>
            <w:shd w:val="clear" w:color="auto" w:fill="DCE2EF"/>
          </w:tcPr>
          <w:p>
            <w:pPr>
              <w:spacing w:after="0"/>
              <w:rPr>
                <w:sz w:val="20"/>
                <w:szCs w:val="20"/>
                <w:color w:val="auto"/>
              </w:rPr>
            </w:pPr>
          </w:p>
        </w:tc>
        <w:tc>
          <w:tcPr>
            <w:tcW w:w="560" w:type="dxa"/>
            <w:vAlign w:val="bottom"/>
            <w:tcBorders>
              <w:bottom w:val="single" w:sz="8" w:color="auto"/>
            </w:tcBorders>
            <w:shd w:val="clear" w:color="auto" w:fill="DCE2E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8.4</w:t>
            </w:r>
          </w:p>
        </w:tc>
        <w:tc>
          <w:tcPr>
            <w:tcW w:w="10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5.2</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98.4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46AD"/>
        </w:rPr>
        <w:t>5.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5"/>
          </w:tcPr>
          <w:p>
            <w:pPr>
              <w:ind w:left="120"/>
              <w:spacing w:after="0"/>
              <w:rPr>
                <w:sz w:val="20"/>
                <w:szCs w:val="20"/>
                <w:color w:val="auto"/>
              </w:rPr>
            </w:pPr>
            <w:r>
              <w:rPr>
                <w:rFonts w:ascii="Arial" w:cs="Arial" w:eastAsia="Arial" w:hAnsi="Arial"/>
                <w:sz w:val="17"/>
                <w:szCs w:val="17"/>
                <w:b w:val="1"/>
                <w:bCs w:val="1"/>
                <w:color w:val="auto"/>
              </w:rPr>
              <w:t>Three Months Ended July 31,</w:t>
            </w:r>
          </w:p>
        </w:tc>
        <w:tc>
          <w:tcPr>
            <w:tcW w:w="280" w:type="dxa"/>
            <w:vAlign w:val="bottom"/>
          </w:tcPr>
          <w:p>
            <w:pPr>
              <w:spacing w:after="0"/>
              <w:rPr>
                <w:sz w:val="20"/>
                <w:szCs w:val="20"/>
                <w:color w:val="auto"/>
              </w:rPr>
            </w:pPr>
          </w:p>
        </w:tc>
        <w:tc>
          <w:tcPr>
            <w:tcW w:w="2800" w:type="dxa"/>
            <w:vAlign w:val="bottom"/>
            <w:gridSpan w:val="4"/>
          </w:tcPr>
          <w:p>
            <w:pPr>
              <w:jc w:val="right"/>
              <w:ind w:right="315"/>
              <w:spacing w:after="0"/>
              <w:rPr>
                <w:sz w:val="20"/>
                <w:szCs w:val="20"/>
                <w:color w:val="auto"/>
              </w:rPr>
            </w:pPr>
            <w:r>
              <w:rPr>
                <w:rFonts w:ascii="Arial" w:cs="Arial" w:eastAsia="Arial" w:hAnsi="Arial"/>
                <w:sz w:val="17"/>
                <w:szCs w:val="17"/>
                <w:b w:val="1"/>
                <w:bCs w:val="1"/>
                <w:color w:val="auto"/>
              </w:rPr>
              <w:t>Nine Months Ended July 31,</w:t>
            </w:r>
          </w:p>
        </w:tc>
      </w:tr>
      <w:tr>
        <w:trPr>
          <w:trHeight w:val="230"/>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79.4</w:t>
            </w:r>
          </w:p>
        </w:tc>
        <w:tc>
          <w:tcPr>
            <w:tcW w:w="12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87.1</w:t>
            </w:r>
          </w:p>
        </w:tc>
      </w:tr>
      <w:tr>
        <w:trPr>
          <w:trHeight w:val="264"/>
        </w:trPr>
        <w:tc>
          <w:tcPr>
            <w:tcW w:w="5160" w:type="dxa"/>
            <w:vAlign w:val="bottom"/>
            <w:gridSpan w:val="3"/>
          </w:tcPr>
          <w:p>
            <w:pPr>
              <w:ind w:left="40"/>
              <w:spacing w:after="0"/>
              <w:rPr>
                <w:sz w:val="20"/>
                <w:szCs w:val="20"/>
                <w:color w:val="auto"/>
              </w:rPr>
            </w:pPr>
            <w:r>
              <w:rPr>
                <w:rFonts w:ascii="Arial" w:cs="Arial" w:eastAsia="Arial" w:hAnsi="Arial"/>
                <w:sz w:val="17"/>
                <w:szCs w:val="17"/>
                <w:color w:val="auto"/>
              </w:rPr>
              <w:t>Income (loss) from discontinued operations, net of taxes</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w:t>
            </w:r>
          </w:p>
        </w:tc>
      </w:tr>
      <w:tr>
        <w:trPr>
          <w:trHeight w:val="241"/>
        </w:trPr>
        <w:tc>
          <w:tcPr>
            <w:tcW w:w="5160" w:type="dxa"/>
            <w:vAlign w:val="bottom"/>
            <w:tcBorders>
              <w:top w:val="single" w:sz="8" w:color="DCE2EF"/>
              <w:bottom w:val="single" w:sz="8" w:color="DCE2EF"/>
            </w:tcBorders>
            <w:gridSpan w:val="3"/>
            <w:shd w:val="clear" w:color="auto" w:fill="DCE2EF"/>
          </w:tcPr>
          <w:p>
            <w:pPr>
              <w:ind w:left="40"/>
              <w:spacing w:after="0"/>
              <w:rPr>
                <w:sz w:val="20"/>
                <w:szCs w:val="20"/>
                <w:color w:val="auto"/>
              </w:rPr>
            </w:pPr>
            <w:r>
              <w:rPr>
                <w:rFonts w:ascii="Arial" w:cs="Arial" w:eastAsia="Arial" w:hAnsi="Arial"/>
                <w:sz w:val="17"/>
                <w:szCs w:val="17"/>
                <w:b w:val="1"/>
                <w:bCs w:val="1"/>
                <w:color w:val="auto"/>
              </w:rPr>
              <w:t>Net income</w:t>
            </w:r>
          </w:p>
        </w:tc>
        <w:tc>
          <w:tcPr>
            <w:tcW w:w="240" w:type="dxa"/>
            <w:vAlign w:val="bottom"/>
            <w:tcBorders>
              <w:top w:val="single" w:sz="8" w:color="auto"/>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36.8</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33.6</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280" w:type="dxa"/>
            <w:vAlign w:val="bottom"/>
            <w:tcBorders>
              <w:top w:val="single" w:sz="8" w:color="auto"/>
              <w:bottom w:val="single" w:sz="8" w:color="auto"/>
            </w:tcBorders>
            <w:shd w:val="clear" w:color="auto" w:fill="DCE2EF"/>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79.4</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88.1</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5160" w:type="dxa"/>
            <w:vAlign w:val="bottom"/>
            <w:gridSpan w:val="3"/>
            <w:shd w:val="clear" w:color="auto" w:fill="DCE2EF"/>
          </w:tcPr>
          <w:p>
            <w:pPr>
              <w:ind w:left="40"/>
              <w:spacing w:after="0" w:line="190" w:lineRule="exact"/>
              <w:rPr>
                <w:sz w:val="20"/>
                <w:szCs w:val="20"/>
                <w:color w:val="auto"/>
              </w:rPr>
            </w:pPr>
            <w:r>
              <w:rPr>
                <w:rFonts w:ascii="Arial" w:cs="Arial" w:eastAsia="Arial" w:hAnsi="Arial"/>
                <w:sz w:val="17"/>
                <w:szCs w:val="17"/>
                <w:b w:val="1"/>
                <w:bCs w:val="1"/>
                <w:color w:val="auto"/>
              </w:rPr>
              <w:t>Weighted-average common and common equivalent shares</w:t>
            </w:r>
          </w:p>
        </w:tc>
        <w:tc>
          <w:tcPr>
            <w:tcW w:w="240" w:type="dxa"/>
            <w:vAlign w:val="bottom"/>
            <w:shd w:val="clear" w:color="auto" w:fill="DCE2EF"/>
          </w:tcPr>
          <w:p>
            <w:pPr>
              <w:spacing w:after="0"/>
              <w:rPr>
                <w:sz w:val="16"/>
                <w:szCs w:val="16"/>
                <w:color w:val="auto"/>
              </w:rPr>
            </w:pPr>
          </w:p>
        </w:tc>
        <w:tc>
          <w:tcPr>
            <w:tcW w:w="12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1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12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r>
      <w:tr>
        <w:trPr>
          <w:trHeight w:val="242"/>
        </w:trPr>
        <w:tc>
          <w:tcPr>
            <w:tcW w:w="40" w:type="dxa"/>
            <w:vAlign w:val="bottom"/>
            <w:shd w:val="clear" w:color="auto" w:fill="DCE2EF"/>
          </w:tcPr>
          <w:p>
            <w:pPr>
              <w:spacing w:after="0"/>
              <w:rPr>
                <w:sz w:val="21"/>
                <w:szCs w:val="21"/>
                <w:color w:val="auto"/>
              </w:rPr>
            </w:pPr>
          </w:p>
        </w:tc>
        <w:tc>
          <w:tcPr>
            <w:tcW w:w="5120" w:type="dxa"/>
            <w:vAlign w:val="bottom"/>
            <w:gridSpan w:val="2"/>
            <w:shd w:val="clear" w:color="auto" w:fill="DCE2EF"/>
          </w:tcPr>
          <w:p>
            <w:pPr>
              <w:ind w:left="160"/>
              <w:spacing w:after="0"/>
              <w:rPr>
                <w:sz w:val="20"/>
                <w:szCs w:val="20"/>
                <w:color w:val="auto"/>
              </w:rPr>
            </w:pPr>
            <w:r>
              <w:rPr>
                <w:rFonts w:ascii="Arial" w:cs="Arial" w:eastAsia="Arial" w:hAnsi="Arial"/>
                <w:sz w:val="17"/>
                <w:szCs w:val="17"/>
                <w:b w:val="1"/>
                <w:bCs w:val="1"/>
                <w:color w:val="auto"/>
              </w:rPr>
              <w:t>outstanding — Basic</w:t>
            </w:r>
          </w:p>
        </w:tc>
        <w:tc>
          <w:tcPr>
            <w:tcW w:w="240" w:type="dxa"/>
            <w:vAlign w:val="bottom"/>
            <w:shd w:val="clear" w:color="auto" w:fill="DCE2EF"/>
          </w:tcPr>
          <w:p>
            <w:pPr>
              <w:spacing w:after="0"/>
              <w:rPr>
                <w:sz w:val="21"/>
                <w:szCs w:val="21"/>
                <w:color w:val="auto"/>
              </w:rPr>
            </w:pP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66.6</w:t>
            </w: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spacing w:after="0"/>
              <w:rPr>
                <w:sz w:val="21"/>
                <w:szCs w:val="21"/>
                <w:color w:val="auto"/>
              </w:rPr>
            </w:pP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66.1</w:t>
            </w:r>
          </w:p>
        </w:tc>
        <w:tc>
          <w:tcPr>
            <w:tcW w:w="100" w:type="dxa"/>
            <w:vAlign w:val="bottom"/>
            <w:shd w:val="clear" w:color="auto" w:fill="DCE2EF"/>
          </w:tcPr>
          <w:p>
            <w:pPr>
              <w:spacing w:after="0"/>
              <w:rPr>
                <w:sz w:val="21"/>
                <w:szCs w:val="21"/>
                <w:color w:val="auto"/>
              </w:rPr>
            </w:pPr>
          </w:p>
        </w:tc>
        <w:tc>
          <w:tcPr>
            <w:tcW w:w="280" w:type="dxa"/>
            <w:vAlign w:val="bottom"/>
            <w:shd w:val="clear" w:color="auto" w:fill="DCE2EF"/>
          </w:tcPr>
          <w:p>
            <w:pPr>
              <w:spacing w:after="0"/>
              <w:rPr>
                <w:sz w:val="21"/>
                <w:szCs w:val="21"/>
                <w:color w:val="auto"/>
              </w:rPr>
            </w:pPr>
          </w:p>
        </w:tc>
        <w:tc>
          <w:tcPr>
            <w:tcW w:w="120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66.5</w:t>
            </w:r>
          </w:p>
        </w:tc>
        <w:tc>
          <w:tcPr>
            <w:tcW w:w="120" w:type="dxa"/>
            <w:vAlign w:val="bottom"/>
            <w:shd w:val="clear" w:color="auto" w:fill="DCE2EF"/>
          </w:tcPr>
          <w:p>
            <w:pPr>
              <w:spacing w:after="0"/>
              <w:rPr>
                <w:sz w:val="21"/>
                <w:szCs w:val="21"/>
                <w:color w:val="auto"/>
              </w:rPr>
            </w:pPr>
          </w:p>
        </w:tc>
        <w:tc>
          <w:tcPr>
            <w:tcW w:w="340" w:type="dxa"/>
            <w:vAlign w:val="bottom"/>
            <w:shd w:val="clear" w:color="auto" w:fill="DCE2EF"/>
          </w:tcPr>
          <w:p>
            <w:pPr>
              <w:spacing w:after="0"/>
              <w:rPr>
                <w:sz w:val="21"/>
                <w:szCs w:val="21"/>
                <w:color w:val="auto"/>
              </w:rPr>
            </w:pP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66.0</w:t>
            </w:r>
          </w:p>
        </w:tc>
      </w:tr>
      <w:tr>
        <w:trPr>
          <w:trHeight w:val="261"/>
        </w:trPr>
        <w:tc>
          <w:tcPr>
            <w:tcW w:w="5160" w:type="dxa"/>
            <w:vAlign w:val="bottom"/>
            <w:gridSpan w:val="3"/>
          </w:tcPr>
          <w:p>
            <w:pPr>
              <w:ind w:left="40"/>
              <w:spacing w:after="0"/>
              <w:rPr>
                <w:sz w:val="20"/>
                <w:szCs w:val="20"/>
                <w:color w:val="auto"/>
              </w:rPr>
            </w:pPr>
            <w:r>
              <w:rPr>
                <w:rFonts w:ascii="Arial" w:cs="Arial" w:eastAsia="Arial" w:hAnsi="Arial"/>
                <w:sz w:val="17"/>
                <w:szCs w:val="17"/>
                <w:color w:val="auto"/>
              </w:rPr>
              <w:t>Effect of dilutive securities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9"/>
        </w:trPr>
        <w:tc>
          <w:tcPr>
            <w:tcW w:w="40" w:type="dxa"/>
            <w:vAlign w:val="bottom"/>
            <w:shd w:val="clear" w:color="auto" w:fill="DCE2EF"/>
          </w:tcPr>
          <w:p>
            <w:pPr>
              <w:spacing w:after="0"/>
              <w:rPr>
                <w:sz w:val="24"/>
                <w:szCs w:val="24"/>
                <w:color w:val="auto"/>
              </w:rPr>
            </w:pPr>
          </w:p>
        </w:tc>
        <w:tc>
          <w:tcPr>
            <w:tcW w:w="5120" w:type="dxa"/>
            <w:vAlign w:val="bottom"/>
            <w:gridSpan w:val="2"/>
            <w:shd w:val="clear" w:color="auto" w:fill="DCE2EF"/>
          </w:tcPr>
          <w:p>
            <w:pPr>
              <w:ind w:left="340"/>
              <w:spacing w:after="0"/>
              <w:rPr>
                <w:sz w:val="20"/>
                <w:szCs w:val="20"/>
                <w:color w:val="auto"/>
              </w:rPr>
            </w:pPr>
            <w:r>
              <w:rPr>
                <w:rFonts w:ascii="Arial" w:cs="Arial" w:eastAsia="Arial" w:hAnsi="Arial"/>
                <w:sz w:val="17"/>
                <w:szCs w:val="17"/>
                <w:color w:val="auto"/>
              </w:rPr>
              <w:t>Restricted stock units</w:t>
            </w:r>
          </w:p>
        </w:tc>
        <w:tc>
          <w:tcPr>
            <w:tcW w:w="24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0.2</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0.1</w:t>
            </w:r>
          </w:p>
        </w:tc>
        <w:tc>
          <w:tcPr>
            <w:tcW w:w="10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20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0.2</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0.1</w:t>
            </w:r>
          </w:p>
        </w:tc>
      </w:tr>
      <w:tr>
        <w:trPr>
          <w:trHeight w:val="264"/>
        </w:trPr>
        <w:tc>
          <w:tcPr>
            <w:tcW w:w="40" w:type="dxa"/>
            <w:vAlign w:val="bottom"/>
            <w:tcBorders>
              <w:bottom w:val="single" w:sz="8" w:color="DCE2EF"/>
            </w:tcBorders>
          </w:tcPr>
          <w:p>
            <w:pPr>
              <w:spacing w:after="0"/>
              <w:rPr>
                <w:sz w:val="22"/>
                <w:szCs w:val="22"/>
                <w:color w:val="auto"/>
              </w:rPr>
            </w:pPr>
          </w:p>
        </w:tc>
        <w:tc>
          <w:tcPr>
            <w:tcW w:w="5120" w:type="dxa"/>
            <w:vAlign w:val="bottom"/>
            <w:tcBorders>
              <w:bottom w:val="single" w:sz="8" w:color="DCE2EF"/>
            </w:tcBorders>
            <w:gridSpan w:val="2"/>
          </w:tcPr>
          <w:p>
            <w:pPr>
              <w:ind w:left="340"/>
              <w:spacing w:after="0"/>
              <w:rPr>
                <w:sz w:val="20"/>
                <w:szCs w:val="20"/>
                <w:color w:val="auto"/>
              </w:rPr>
            </w:pPr>
            <w:r>
              <w:rPr>
                <w:rFonts w:ascii="Arial" w:cs="Arial" w:eastAsia="Arial" w:hAnsi="Arial"/>
                <w:sz w:val="17"/>
                <w:szCs w:val="17"/>
                <w:color w:val="auto"/>
              </w:rPr>
              <w:t>Stock options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DCE2E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w:t>
            </w:r>
          </w:p>
        </w:tc>
      </w:tr>
      <w:tr>
        <w:trPr>
          <w:trHeight w:val="176"/>
        </w:trPr>
        <w:tc>
          <w:tcPr>
            <w:tcW w:w="5160" w:type="dxa"/>
            <w:vAlign w:val="bottom"/>
            <w:gridSpan w:val="3"/>
            <w:shd w:val="clear" w:color="auto" w:fill="DCE2EF"/>
          </w:tcPr>
          <w:p>
            <w:pPr>
              <w:ind w:left="40"/>
              <w:spacing w:after="0" w:line="176" w:lineRule="exact"/>
              <w:rPr>
                <w:sz w:val="20"/>
                <w:szCs w:val="20"/>
                <w:color w:val="auto"/>
              </w:rPr>
            </w:pPr>
            <w:r>
              <w:rPr>
                <w:rFonts w:ascii="Arial" w:cs="Arial" w:eastAsia="Arial" w:hAnsi="Arial"/>
                <w:sz w:val="17"/>
                <w:szCs w:val="17"/>
                <w:b w:val="1"/>
                <w:bCs w:val="1"/>
                <w:color w:val="auto"/>
              </w:rPr>
              <w:t>Weighted-average common and common equivalent shares</w:t>
            </w:r>
          </w:p>
        </w:tc>
        <w:tc>
          <w:tcPr>
            <w:tcW w:w="240" w:type="dxa"/>
            <w:vAlign w:val="bottom"/>
            <w:shd w:val="clear" w:color="auto" w:fill="DCE2EF"/>
          </w:tcPr>
          <w:p>
            <w:pPr>
              <w:spacing w:after="0"/>
              <w:rPr>
                <w:sz w:val="15"/>
                <w:szCs w:val="15"/>
                <w:color w:val="auto"/>
              </w:rPr>
            </w:pPr>
          </w:p>
        </w:tc>
        <w:tc>
          <w:tcPr>
            <w:tcW w:w="12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11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80" w:type="dxa"/>
            <w:vAlign w:val="bottom"/>
            <w:shd w:val="clear" w:color="auto" w:fill="DCE2EF"/>
          </w:tcPr>
          <w:p>
            <w:pPr>
              <w:spacing w:after="0"/>
              <w:rPr>
                <w:sz w:val="15"/>
                <w:szCs w:val="15"/>
                <w:color w:val="auto"/>
              </w:rPr>
            </w:pPr>
          </w:p>
        </w:tc>
        <w:tc>
          <w:tcPr>
            <w:tcW w:w="12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1140" w:type="dxa"/>
            <w:vAlign w:val="bottom"/>
            <w:shd w:val="clear" w:color="auto" w:fill="DCE2EF"/>
          </w:tcPr>
          <w:p>
            <w:pPr>
              <w:spacing w:after="0"/>
              <w:rPr>
                <w:sz w:val="15"/>
                <w:szCs w:val="15"/>
                <w:color w:val="auto"/>
              </w:rPr>
            </w:pPr>
          </w:p>
        </w:tc>
      </w:tr>
      <w:tr>
        <w:trPr>
          <w:trHeight w:val="227"/>
        </w:trPr>
        <w:tc>
          <w:tcPr>
            <w:tcW w:w="40" w:type="dxa"/>
            <w:vAlign w:val="bottom"/>
            <w:tcBorders>
              <w:bottom w:val="single" w:sz="8" w:color="DCE2EF"/>
            </w:tcBorders>
            <w:shd w:val="clear" w:color="auto" w:fill="DCE2EF"/>
          </w:tcPr>
          <w:p>
            <w:pPr>
              <w:spacing w:after="0"/>
              <w:rPr>
                <w:sz w:val="19"/>
                <w:szCs w:val="19"/>
                <w:color w:val="auto"/>
              </w:rPr>
            </w:pPr>
          </w:p>
        </w:tc>
        <w:tc>
          <w:tcPr>
            <w:tcW w:w="5120" w:type="dxa"/>
            <w:vAlign w:val="bottom"/>
            <w:tcBorders>
              <w:bottom w:val="single" w:sz="8" w:color="DCE2EF"/>
            </w:tcBorders>
            <w:gridSpan w:val="2"/>
            <w:shd w:val="clear" w:color="auto" w:fill="DCE2EF"/>
          </w:tcPr>
          <w:p>
            <w:pPr>
              <w:ind w:left="160"/>
              <w:spacing w:after="0"/>
              <w:rPr>
                <w:sz w:val="20"/>
                <w:szCs w:val="20"/>
                <w:color w:val="auto"/>
              </w:rPr>
            </w:pPr>
            <w:r>
              <w:rPr>
                <w:rFonts w:ascii="Arial" w:cs="Arial" w:eastAsia="Arial" w:hAnsi="Arial"/>
                <w:sz w:val="17"/>
                <w:szCs w:val="17"/>
                <w:b w:val="1"/>
                <w:bCs w:val="1"/>
                <w:color w:val="auto"/>
              </w:rPr>
              <w:t>outstanding — Diluted</w:t>
            </w:r>
          </w:p>
        </w:tc>
        <w:tc>
          <w:tcPr>
            <w:tcW w:w="240" w:type="dxa"/>
            <w:vAlign w:val="bottom"/>
            <w:tcBorders>
              <w:bottom w:val="single" w:sz="8" w:color="auto"/>
            </w:tcBorders>
            <w:shd w:val="clear" w:color="auto" w:fill="DCE2EF"/>
          </w:tcPr>
          <w:p>
            <w:pPr>
              <w:spacing w:after="0"/>
              <w:rPr>
                <w:sz w:val="19"/>
                <w:szCs w:val="19"/>
                <w:color w:val="auto"/>
              </w:rPr>
            </w:pPr>
          </w:p>
        </w:tc>
        <w:tc>
          <w:tcPr>
            <w:tcW w:w="124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67.0</w:t>
            </w:r>
          </w:p>
        </w:tc>
        <w:tc>
          <w:tcPr>
            <w:tcW w:w="100" w:type="dxa"/>
            <w:vAlign w:val="bottom"/>
            <w:tcBorders>
              <w:bottom w:val="single" w:sz="8" w:color="DCE2EF"/>
            </w:tcBorders>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66.3</w:t>
            </w:r>
          </w:p>
        </w:tc>
        <w:tc>
          <w:tcPr>
            <w:tcW w:w="100" w:type="dxa"/>
            <w:vAlign w:val="bottom"/>
            <w:tcBorders>
              <w:bottom w:val="single" w:sz="8" w:color="DCE2EF"/>
            </w:tcBorders>
            <w:shd w:val="clear" w:color="auto" w:fill="DCE2EF"/>
          </w:tcPr>
          <w:p>
            <w:pPr>
              <w:spacing w:after="0"/>
              <w:rPr>
                <w:sz w:val="19"/>
                <w:szCs w:val="19"/>
                <w:color w:val="auto"/>
              </w:rPr>
            </w:pPr>
          </w:p>
        </w:tc>
        <w:tc>
          <w:tcPr>
            <w:tcW w:w="28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66.8</w:t>
            </w:r>
          </w:p>
        </w:tc>
        <w:tc>
          <w:tcPr>
            <w:tcW w:w="120" w:type="dxa"/>
            <w:vAlign w:val="bottom"/>
            <w:tcBorders>
              <w:bottom w:val="single" w:sz="8" w:color="DCE2EF"/>
            </w:tcBorders>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4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66.3</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7"/>
                <w:szCs w:val="17"/>
                <w:b w:val="1"/>
                <w:bCs w:val="1"/>
                <w:color w:val="auto"/>
              </w:rPr>
              <w:t>Net income per common share — Basic</w:t>
            </w:r>
          </w:p>
        </w:tc>
        <w:tc>
          <w:tcPr>
            <w:tcW w:w="240" w:type="dxa"/>
            <w:vAlign w:val="bottom"/>
            <w:shd w:val="clear" w:color="auto" w:fill="DCE2EF"/>
          </w:tcPr>
          <w:p>
            <w:pPr>
              <w:spacing w:after="0"/>
              <w:rPr>
                <w:sz w:val="23"/>
                <w:szCs w:val="23"/>
                <w:color w:val="auto"/>
              </w:rPr>
            </w:pPr>
          </w:p>
        </w:tc>
        <w:tc>
          <w:tcPr>
            <w:tcW w:w="12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6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80" w:type="dxa"/>
            <w:vAlign w:val="bottom"/>
            <w:shd w:val="clear" w:color="auto" w:fill="DCE2EF"/>
          </w:tcPr>
          <w:p>
            <w:pPr>
              <w:spacing w:after="0"/>
              <w:rPr>
                <w:sz w:val="23"/>
                <w:szCs w:val="23"/>
                <w:color w:val="auto"/>
              </w:rPr>
            </w:pPr>
          </w:p>
        </w:tc>
        <w:tc>
          <w:tcPr>
            <w:tcW w:w="120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spacing w:after="0"/>
              <w:rPr>
                <w:sz w:val="23"/>
                <w:szCs w:val="23"/>
                <w:color w:val="auto"/>
              </w:rPr>
            </w:pPr>
          </w:p>
        </w:tc>
      </w:tr>
      <w:tr>
        <w:trPr>
          <w:trHeight w:val="261"/>
        </w:trPr>
        <w:tc>
          <w:tcPr>
            <w:tcW w:w="40" w:type="dxa"/>
            <w:vAlign w:val="bottom"/>
          </w:tcPr>
          <w:p>
            <w:pPr>
              <w:spacing w:after="0"/>
              <w:rPr>
                <w:sz w:val="22"/>
                <w:szCs w:val="22"/>
                <w:color w:val="auto"/>
              </w:rPr>
            </w:pPr>
          </w:p>
        </w:tc>
        <w:tc>
          <w:tcPr>
            <w:tcW w:w="5120" w:type="dxa"/>
            <w:vAlign w:val="bottom"/>
            <w:gridSpan w:val="2"/>
          </w:tcPr>
          <w:p>
            <w:pPr>
              <w:ind w:left="3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22"/>
                <w:szCs w:val="22"/>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0.51</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22"/>
                <w:szCs w:val="22"/>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1.32</w:t>
            </w:r>
          </w:p>
        </w:tc>
      </w:tr>
      <w:tr>
        <w:trPr>
          <w:trHeight w:val="272"/>
        </w:trPr>
        <w:tc>
          <w:tcPr>
            <w:tcW w:w="4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40"/>
              <w:spacing w:after="0"/>
              <w:rPr>
                <w:sz w:val="20"/>
                <w:szCs w:val="20"/>
                <w:color w:val="auto"/>
              </w:rPr>
            </w:pPr>
            <w:r>
              <w:rPr>
                <w:rFonts w:ascii="Arial" w:cs="Arial" w:eastAsia="Arial" w:hAnsi="Arial"/>
                <w:sz w:val="17"/>
                <w:szCs w:val="17"/>
                <w:color w:val="auto"/>
              </w:rPr>
              <w:t>Income from discontinued operations</w:t>
            </w:r>
          </w:p>
        </w:tc>
        <w:tc>
          <w:tcPr>
            <w:tcW w:w="240" w:type="dxa"/>
            <w:vAlign w:val="bottom"/>
            <w:shd w:val="clear" w:color="auto" w:fill="DCE2EF"/>
          </w:tcPr>
          <w:p>
            <w:pPr>
              <w:spacing w:after="0"/>
              <w:rPr>
                <w:sz w:val="23"/>
                <w:szCs w:val="23"/>
                <w:color w:val="auto"/>
              </w:rPr>
            </w:pPr>
          </w:p>
        </w:tc>
        <w:tc>
          <w:tcPr>
            <w:tcW w:w="1340" w:type="dxa"/>
            <w:vAlign w:val="bottom"/>
            <w:gridSpan w:val="2"/>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DCE2EF"/>
          </w:tcPr>
          <w:p>
            <w:pPr>
              <w:spacing w:after="0"/>
              <w:rPr>
                <w:sz w:val="23"/>
                <w:szCs w:val="23"/>
                <w:color w:val="auto"/>
              </w:rPr>
            </w:pPr>
          </w:p>
        </w:tc>
        <w:tc>
          <w:tcPr>
            <w:tcW w:w="1260" w:type="dxa"/>
            <w:vAlign w:val="bottom"/>
            <w:gridSpan w:val="2"/>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DCE2EF"/>
          </w:tcPr>
          <w:p>
            <w:pPr>
              <w:spacing w:after="0"/>
              <w:rPr>
                <w:sz w:val="23"/>
                <w:szCs w:val="23"/>
                <w:color w:val="auto"/>
              </w:rPr>
            </w:pPr>
          </w:p>
        </w:tc>
        <w:tc>
          <w:tcPr>
            <w:tcW w:w="1320" w:type="dxa"/>
            <w:vAlign w:val="bottom"/>
            <w:gridSpan w:val="2"/>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0.02</w:t>
            </w:r>
          </w:p>
        </w:tc>
      </w:tr>
      <w:tr>
        <w:trPr>
          <w:trHeight w:val="281"/>
        </w:trPr>
        <w:tc>
          <w:tcPr>
            <w:tcW w:w="40" w:type="dxa"/>
            <w:vAlign w:val="bottom"/>
            <w:tcBorders>
              <w:bottom w:val="single" w:sz="8" w:color="DCE2EF"/>
            </w:tcBorders>
          </w:tcPr>
          <w:p>
            <w:pPr>
              <w:spacing w:after="0"/>
              <w:rPr>
                <w:sz w:val="24"/>
                <w:szCs w:val="24"/>
                <w:color w:val="auto"/>
              </w:rPr>
            </w:pPr>
          </w:p>
        </w:tc>
        <w:tc>
          <w:tcPr>
            <w:tcW w:w="5120" w:type="dxa"/>
            <w:vAlign w:val="bottom"/>
            <w:tcBorders>
              <w:bottom w:val="single" w:sz="8" w:color="DCE2EF"/>
            </w:tcBorders>
            <w:gridSpan w:val="2"/>
          </w:tcPr>
          <w:p>
            <w:pPr>
              <w:ind w:left="340"/>
              <w:spacing w:after="0"/>
              <w:rPr>
                <w:sz w:val="20"/>
                <w:szCs w:val="20"/>
                <w:color w:val="auto"/>
              </w:rPr>
            </w:pPr>
            <w:r>
              <w:rPr>
                <w:rFonts w:ascii="Arial" w:cs="Arial" w:eastAsia="Arial" w:hAnsi="Arial"/>
                <w:sz w:val="17"/>
                <w:szCs w:val="17"/>
                <w:color w:val="auto"/>
              </w:rPr>
              <w:t>Net income</w:t>
            </w: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0.55</w:t>
            </w:r>
          </w:p>
        </w:tc>
        <w:tc>
          <w:tcPr>
            <w:tcW w:w="100" w:type="dxa"/>
            <w:vAlign w:val="bottom"/>
            <w:tcBorders>
              <w:bottom w:val="single" w:sz="8" w:color="DCE2E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0.51</w:t>
            </w:r>
          </w:p>
        </w:tc>
        <w:tc>
          <w:tcPr>
            <w:tcW w:w="100" w:type="dxa"/>
            <w:vAlign w:val="bottom"/>
            <w:tcBorders>
              <w:bottom w:val="single" w:sz="8" w:color="DCE2E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1.19</w:t>
            </w:r>
          </w:p>
        </w:tc>
        <w:tc>
          <w:tcPr>
            <w:tcW w:w="120" w:type="dxa"/>
            <w:vAlign w:val="bottom"/>
            <w:tcBorders>
              <w:bottom w:val="single" w:sz="8" w:color="DCE2E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1.33</w:t>
            </w:r>
          </w:p>
        </w:tc>
      </w:tr>
      <w:tr>
        <w:trPr>
          <w:trHeight w:val="280"/>
        </w:trPr>
        <w:tc>
          <w:tcPr>
            <w:tcW w:w="40" w:type="dxa"/>
            <w:vAlign w:val="bottom"/>
            <w:shd w:val="clear" w:color="auto" w:fill="DCE2EF"/>
          </w:tcPr>
          <w:p>
            <w:pPr>
              <w:spacing w:after="0"/>
              <w:rPr>
                <w:sz w:val="24"/>
                <w:szCs w:val="24"/>
                <w:color w:val="auto"/>
              </w:rPr>
            </w:pPr>
          </w:p>
        </w:tc>
        <w:tc>
          <w:tcPr>
            <w:tcW w:w="2240" w:type="dxa"/>
            <w:vAlign w:val="bottom"/>
            <w:shd w:val="clear" w:color="auto" w:fill="DCE2EF"/>
          </w:tcPr>
          <w:p>
            <w:pPr>
              <w:spacing w:after="0"/>
              <w:rPr>
                <w:sz w:val="24"/>
                <w:szCs w:val="24"/>
                <w:color w:val="auto"/>
              </w:rPr>
            </w:pPr>
          </w:p>
        </w:tc>
        <w:tc>
          <w:tcPr>
            <w:tcW w:w="288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2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2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r>
      <w:tr>
        <w:trPr>
          <w:trHeight w:val="261"/>
        </w:trPr>
        <w:tc>
          <w:tcPr>
            <w:tcW w:w="516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income per common share — Diluted</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9"/>
        </w:trPr>
        <w:tc>
          <w:tcPr>
            <w:tcW w:w="40" w:type="dxa"/>
            <w:vAlign w:val="bottom"/>
            <w:shd w:val="clear" w:color="auto" w:fill="DCE2EF"/>
          </w:tcPr>
          <w:p>
            <w:pPr>
              <w:spacing w:after="0"/>
              <w:rPr>
                <w:sz w:val="24"/>
                <w:szCs w:val="24"/>
                <w:color w:val="auto"/>
              </w:rPr>
            </w:pPr>
          </w:p>
        </w:tc>
        <w:tc>
          <w:tcPr>
            <w:tcW w:w="5120" w:type="dxa"/>
            <w:vAlign w:val="bottom"/>
            <w:gridSpan w:val="2"/>
            <w:shd w:val="clear" w:color="auto" w:fill="DCE2EF"/>
          </w:tcPr>
          <w:p>
            <w:pPr>
              <w:ind w:left="3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0.51</w:t>
            </w:r>
          </w:p>
        </w:tc>
        <w:tc>
          <w:tcPr>
            <w:tcW w:w="100" w:type="dxa"/>
            <w:vAlign w:val="bottom"/>
            <w:shd w:val="clear" w:color="auto" w:fill="DCE2EF"/>
          </w:tcPr>
          <w:p>
            <w:pPr>
              <w:spacing w:after="0"/>
              <w:rPr>
                <w:sz w:val="24"/>
                <w:szCs w:val="24"/>
                <w:color w:val="auto"/>
              </w:rPr>
            </w:pPr>
          </w:p>
        </w:tc>
        <w:tc>
          <w:tcPr>
            <w:tcW w:w="280" w:type="dxa"/>
            <w:vAlign w:val="bottom"/>
            <w:shd w:val="clear" w:color="auto" w:fill="DCE2EF"/>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1.31</w:t>
            </w:r>
          </w:p>
        </w:tc>
      </w:tr>
      <w:tr>
        <w:trPr>
          <w:trHeight w:val="264"/>
        </w:trPr>
        <w:tc>
          <w:tcPr>
            <w:tcW w:w="40" w:type="dxa"/>
            <w:vAlign w:val="bottom"/>
          </w:tcPr>
          <w:p>
            <w:pPr>
              <w:spacing w:after="0"/>
              <w:rPr>
                <w:sz w:val="22"/>
                <w:szCs w:val="22"/>
                <w:color w:val="auto"/>
              </w:rPr>
            </w:pPr>
          </w:p>
        </w:tc>
        <w:tc>
          <w:tcPr>
            <w:tcW w:w="5120" w:type="dxa"/>
            <w:vAlign w:val="bottom"/>
            <w:gridSpan w:val="2"/>
          </w:tcPr>
          <w:p>
            <w:pPr>
              <w:ind w:left="340"/>
              <w:spacing w:after="0"/>
              <w:rPr>
                <w:sz w:val="20"/>
                <w:szCs w:val="20"/>
                <w:color w:val="auto"/>
              </w:rPr>
            </w:pPr>
            <w:r>
              <w:rPr>
                <w:rFonts w:ascii="Arial" w:cs="Arial" w:eastAsia="Arial" w:hAnsi="Arial"/>
                <w:sz w:val="17"/>
                <w:szCs w:val="17"/>
                <w:color w:val="auto"/>
              </w:rPr>
              <w:t>Income from discontinued operations</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0.02</w:t>
            </w:r>
          </w:p>
        </w:tc>
      </w:tr>
      <w:tr>
        <w:trPr>
          <w:trHeight w:val="241"/>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512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7"/>
                <w:szCs w:val="17"/>
                <w:color w:val="auto"/>
              </w:rPr>
              <w:t>Net income</w:t>
            </w:r>
          </w:p>
        </w:tc>
        <w:tc>
          <w:tcPr>
            <w:tcW w:w="240" w:type="dxa"/>
            <w:vAlign w:val="bottom"/>
            <w:tcBorders>
              <w:top w:val="single" w:sz="8" w:color="auto"/>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0.55</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0.51</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280" w:type="dxa"/>
            <w:vAlign w:val="bottom"/>
            <w:tcBorders>
              <w:top w:val="single" w:sz="8" w:color="auto"/>
              <w:bottom w:val="single" w:sz="8" w:color="auto"/>
            </w:tcBorders>
            <w:shd w:val="clear" w:color="auto" w:fill="DCE2EF"/>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1.19</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1.33</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July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b w:val="1"/>
                <w:bCs w:val="1"/>
                <w:color w:val="auto"/>
              </w:rPr>
              <w:t>Nine Months Ended July 31,</w:t>
            </w:r>
          </w:p>
        </w:tc>
        <w:tc>
          <w:tcPr>
            <w:tcW w:w="360" w:type="dxa"/>
            <w:vAlign w:val="bottom"/>
            <w:tcBorders>
              <w:bottom w:val="single" w:sz="8" w:color="auto"/>
            </w:tcBorders>
          </w:tcPr>
          <w:p>
            <w:pPr>
              <w:spacing w:after="0"/>
              <w:rPr>
                <w:sz w:val="20"/>
                <w:szCs w:val="20"/>
                <w:color w:val="auto"/>
              </w:rPr>
            </w:pPr>
          </w:p>
        </w:tc>
      </w:tr>
      <w:tr>
        <w:trPr>
          <w:trHeight w:val="230"/>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auto"/>
              </w:rPr>
              <w:t>2019</w:t>
            </w:r>
          </w:p>
        </w:tc>
        <w:tc>
          <w:tcPr>
            <w:tcW w:w="170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2018</w:t>
            </w:r>
          </w:p>
        </w:tc>
        <w:tc>
          <w:tcPr>
            <w:tcW w:w="1500" w:type="dxa"/>
            <w:vAlign w:val="bottom"/>
            <w:gridSpan w:val="3"/>
          </w:tcPr>
          <w:p>
            <w:pPr>
              <w:jc w:val="right"/>
              <w:ind w:right="15"/>
              <w:spacing w:after="0"/>
              <w:rPr>
                <w:sz w:val="20"/>
                <w:szCs w:val="20"/>
                <w:color w:val="auto"/>
              </w:rPr>
            </w:pPr>
            <w:r>
              <w:rPr>
                <w:rFonts w:ascii="Arial" w:cs="Arial" w:eastAsia="Arial" w:hAnsi="Arial"/>
                <w:sz w:val="17"/>
                <w:szCs w:val="17"/>
                <w:b w:val="1"/>
                <w:bCs w:val="1"/>
                <w:color w:val="auto"/>
              </w:rPr>
              <w:t>2019</w:t>
            </w:r>
          </w:p>
        </w:tc>
        <w:tc>
          <w:tcPr>
            <w:tcW w:w="166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2018</w:t>
            </w:r>
          </w:p>
        </w:tc>
        <w:tc>
          <w:tcPr>
            <w:tcW w:w="36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420" w:type="dxa"/>
            <w:vAlign w:val="bottom"/>
            <w:tcBorders>
              <w:bottom w:val="single" w:sz="8" w:color="DCE2E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7"/>
                <w:szCs w:val="17"/>
                <w:b w:val="1"/>
                <w:bCs w:val="1"/>
                <w:color w:val="auto"/>
              </w:rPr>
              <w:t>Anti-dilutive</w:t>
            </w:r>
          </w:p>
        </w:tc>
        <w:tc>
          <w:tcPr>
            <w:tcW w:w="1040" w:type="dxa"/>
            <w:vAlign w:val="bottom"/>
            <w:shd w:val="clear" w:color="auto" w:fill="DCE2EF"/>
          </w:tcPr>
          <w:p>
            <w:pPr>
              <w:spacing w:after="0"/>
              <w:rPr>
                <w:sz w:val="21"/>
                <w:szCs w:val="21"/>
                <w:color w:val="auto"/>
              </w:rPr>
            </w:pPr>
          </w:p>
        </w:tc>
        <w:tc>
          <w:tcPr>
            <w:tcW w:w="4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0.1</w:t>
            </w:r>
          </w:p>
        </w:tc>
        <w:tc>
          <w:tcPr>
            <w:tcW w:w="120" w:type="dxa"/>
            <w:vAlign w:val="bottom"/>
            <w:shd w:val="clear" w:color="auto" w:fill="DCE2EF"/>
          </w:tcPr>
          <w:p>
            <w:pPr>
              <w:spacing w:after="0"/>
              <w:rPr>
                <w:sz w:val="21"/>
                <w:szCs w:val="21"/>
                <w:color w:val="auto"/>
              </w:rPr>
            </w:pPr>
          </w:p>
        </w:tc>
        <w:tc>
          <w:tcPr>
            <w:tcW w:w="1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0.5</w:t>
            </w:r>
          </w:p>
        </w:tc>
        <w:tc>
          <w:tcPr>
            <w:tcW w:w="100" w:type="dxa"/>
            <w:vAlign w:val="bottom"/>
            <w:shd w:val="clear" w:color="auto" w:fill="DCE2EF"/>
          </w:tcPr>
          <w:p>
            <w:pPr>
              <w:spacing w:after="0"/>
              <w:rPr>
                <w:sz w:val="21"/>
                <w:szCs w:val="21"/>
                <w:color w:val="auto"/>
              </w:rPr>
            </w:pPr>
          </w:p>
        </w:tc>
        <w:tc>
          <w:tcPr>
            <w:tcW w:w="1040" w:type="dxa"/>
            <w:vAlign w:val="bottom"/>
            <w:shd w:val="clear" w:color="auto" w:fill="DCE2EF"/>
          </w:tcPr>
          <w:p>
            <w:pPr>
              <w:spacing w:after="0"/>
              <w:rPr>
                <w:sz w:val="21"/>
                <w:szCs w:val="21"/>
                <w:color w:val="auto"/>
              </w:rPr>
            </w:pPr>
          </w:p>
        </w:tc>
        <w:tc>
          <w:tcPr>
            <w:tcW w:w="4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0.3</w:t>
            </w:r>
          </w:p>
        </w:tc>
        <w:tc>
          <w:tcPr>
            <w:tcW w:w="100" w:type="dxa"/>
            <w:vAlign w:val="bottom"/>
            <w:shd w:val="clear" w:color="auto" w:fill="DCE2EF"/>
          </w:tcPr>
          <w:p>
            <w:pPr>
              <w:spacing w:after="0"/>
              <w:rPr>
                <w:sz w:val="21"/>
                <w:szCs w:val="21"/>
                <w:color w:val="auto"/>
              </w:rPr>
            </w:pPr>
          </w:p>
        </w:tc>
        <w:tc>
          <w:tcPr>
            <w:tcW w:w="1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0.4</w:t>
            </w: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046AD"/>
        </w:rPr>
        <w:t>6.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Hierarchy of Our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62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26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31, 2019</w:t>
            </w:r>
          </w:p>
        </w:tc>
        <w:tc>
          <w:tcPr>
            <w:tcW w:w="200" w:type="dxa"/>
            <w:vAlign w:val="bottom"/>
          </w:tcPr>
          <w:p>
            <w:pPr>
              <w:spacing w:after="0"/>
              <w:rPr>
                <w:sz w:val="16"/>
                <w:szCs w:val="16"/>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562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5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DCE2EF"/>
          </w:tcPr>
          <w:p>
            <w:pPr>
              <w:spacing w:after="0"/>
              <w:rPr>
                <w:sz w:val="21"/>
                <w:szCs w:val="21"/>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39.1</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27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(3)</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15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Credit facility</w:t>
            </w:r>
            <w:r>
              <w:rPr>
                <w:rFonts w:ascii="Arial" w:cs="Arial" w:eastAsia="Arial" w:hAnsi="Arial"/>
                <w:sz w:val="21"/>
                <w:szCs w:val="21"/>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932.1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949.0</w:t>
            </w:r>
          </w:p>
        </w:tc>
      </w:tr>
      <w:tr>
        <w:trPr>
          <w:trHeight w:val="27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rate swap (liabilities) assets</w:t>
            </w:r>
            <w:r>
              <w:rPr>
                <w:rFonts w:ascii="Arial" w:cs="Arial" w:eastAsia="Arial" w:hAnsi="Arial"/>
                <w:sz w:val="21"/>
                <w:szCs w:val="21"/>
                <w:color w:val="auto"/>
                <w:vertAlign w:val="superscript"/>
              </w:rPr>
              <w:t>(5)</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w:t>
            </w:r>
          </w:p>
        </w:tc>
      </w:tr>
      <w:tr>
        <w:trPr>
          <w:trHeight w:val="32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Investments in auction rate securities</w:t>
            </w:r>
            <w:r>
              <w:rPr>
                <w:rFonts w:ascii="Arial" w:cs="Arial" w:eastAsia="Arial" w:hAnsi="Arial"/>
                <w:sz w:val="21"/>
                <w:szCs w:val="21"/>
                <w:color w:val="auto"/>
                <w:vertAlign w:val="superscript"/>
              </w:rPr>
              <w:t>(6)</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5.0</w:t>
            </w:r>
          </w:p>
        </w:tc>
      </w:tr>
    </w:tbl>
    <w:p>
      <w:pPr>
        <w:spacing w:after="0" w:line="168"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102" w:lineRule="exact"/>
        <w:rPr>
          <w:rFonts w:ascii="Arial" w:cs="Arial" w:eastAsia="Arial" w:hAnsi="Arial"/>
          <w:sz w:val="21"/>
          <w:szCs w:val="21"/>
          <w:color w:val="auto"/>
          <w:vertAlign w:val="superscript"/>
        </w:rPr>
      </w:pPr>
    </w:p>
    <w:p>
      <w:pPr>
        <w:jc w:val="both"/>
        <w:ind w:firstLine="8"/>
        <w:spacing w:after="0" w:line="411" w:lineRule="auto"/>
        <w:tabs>
          <w:tab w:leader="none" w:pos="176"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7, “Insurance,” for further information.</w:t>
      </w:r>
    </w:p>
    <w:p>
      <w:pPr>
        <w:spacing w:after="0" w:line="5" w:lineRule="exact"/>
        <w:rPr>
          <w:rFonts w:ascii="Arial" w:cs="Arial" w:eastAsia="Arial" w:hAnsi="Arial"/>
          <w:sz w:val="19"/>
          <w:szCs w:val="19"/>
          <w:color w:val="auto"/>
          <w:vertAlign w:val="superscript"/>
        </w:rPr>
      </w:pPr>
    </w:p>
    <w:p>
      <w:pPr>
        <w:jc w:val="both"/>
        <w:ind w:firstLine="8"/>
        <w:spacing w:after="0" w:line="437" w:lineRule="auto"/>
        <w:tabs>
          <w:tab w:leader="none" w:pos="162"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5" w:lineRule="exact"/>
        <w:rPr>
          <w:rFonts w:ascii="Arial" w:cs="Arial" w:eastAsia="Arial" w:hAnsi="Arial"/>
          <w:sz w:val="18"/>
          <w:szCs w:val="18"/>
          <w:color w:val="auto"/>
          <w:vertAlign w:val="superscript"/>
        </w:rPr>
      </w:pPr>
    </w:p>
    <w:p>
      <w:pPr>
        <w:ind w:firstLine="8"/>
        <w:spacing w:after="0" w:line="263" w:lineRule="auto"/>
        <w:tabs>
          <w:tab w:leader="none" w:pos="162"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gross outstanding borrowings under our syndicated line of credit and term loan. Due to variable interest rates, the carrying value of outstanding borrowings under our line of credit and term loan approximates the fair value. See Note 8, “Credit Facility,” for further information.</w:t>
      </w:r>
    </w:p>
    <w:p>
      <w:pPr>
        <w:spacing w:after="0" w:line="82" w:lineRule="exact"/>
        <w:rPr>
          <w:rFonts w:ascii="Arial" w:cs="Arial" w:eastAsia="Arial" w:hAnsi="Arial"/>
          <w:sz w:val="18"/>
          <w:szCs w:val="18"/>
          <w:color w:val="auto"/>
          <w:vertAlign w:val="superscript"/>
        </w:rPr>
      </w:pPr>
    </w:p>
    <w:p>
      <w:pPr>
        <w:jc w:val="both"/>
        <w:ind w:firstLine="8"/>
        <w:spacing w:after="0" w:line="358" w:lineRule="auto"/>
        <w:tabs>
          <w:tab w:leader="none" w:pos="162"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At July 31, 2019 and October 31, 2018, our interest rate swaps are included in “Other noncurrent liabilities” and “Other noncurrent assets,” respectively, on the accompanying unaudited consolidated balance sheets. See Note 8, “Credit Facility,” for further information.</w:t>
      </w:r>
    </w:p>
    <w:p>
      <w:pPr>
        <w:spacing w:after="0" w:line="24" w:lineRule="exact"/>
        <w:rPr>
          <w:rFonts w:ascii="Arial" w:cs="Arial" w:eastAsia="Arial" w:hAnsi="Arial"/>
          <w:sz w:val="18"/>
          <w:szCs w:val="18"/>
          <w:color w:val="auto"/>
          <w:vertAlign w:val="superscript"/>
        </w:rPr>
      </w:pPr>
    </w:p>
    <w:p>
      <w:pPr>
        <w:jc w:val="both"/>
        <w:ind w:right="20" w:firstLine="8"/>
        <w:spacing w:after="0" w:line="268" w:lineRule="auto"/>
        <w:tabs>
          <w:tab w:leader="none" w:pos="162"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fair value of investments in auction rate securities is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w:t>
      </w:r>
    </w:p>
    <w:p>
      <w:pPr>
        <w:spacing w:after="0" w:line="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At July 31, 2019 and October 31, 2018, we held an investment in one auction rate security that had an original principal amount, amortized cost, and fair value of $5.0 million that is included in “Other investments” on the accompanying unaudited consolidated balance sheets. This auction rate security is a debt instrument with a stated maturity in 2050. The interest rate for this security is designed to be reset through Dutch auctions approximately every thirty days; however, auctions for this security have not occurred since August 2007. At July 31, 2019 and October 31, 2018, there were no unrealized gains or losses on our auction rate security included in AOCI.</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nine months ended July 31, 2019, we had no transfers of assets or liabilities between any of the above hierarchy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Non-Financial Assets Measured at Fair Value on a Non-Recurring Basis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 which are subject to fair value adjustments in specific circumstances. These assets can include: goodwill; intangible assets; property, plant and equipment; and long-lived assets that have been reduced to fair value when they are held for sale.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2" w:right="239" w:bottom="1440" w:gutter="0" w:footer="0" w:header="0"/>
        </w:sectPr>
      </w:pPr>
    </w:p>
    <w:bookmarkStart w:id="22" w:name="page23"/>
    <w:bookmarkEnd w:id="22"/>
    <w:p>
      <w:pPr>
        <w:jc w:val="both"/>
        <w:ind w:firstLine="648"/>
        <w:spacing w:after="0" w:line="252" w:lineRule="auto"/>
        <w:rPr>
          <w:sz w:val="20"/>
          <w:szCs w:val="20"/>
          <w:color w:val="auto"/>
        </w:rPr>
      </w:pPr>
      <w:r>
        <w:rPr>
          <w:rFonts w:ascii="Arial" w:cs="Arial" w:eastAsia="Arial" w:hAnsi="Arial"/>
          <w:sz w:val="18"/>
          <w:szCs w:val="18"/>
          <w:color w:val="auto"/>
        </w:rPr>
        <w:t>In connection with the reorganization of our Healthcare business, we performed a goodwill impairment test on the underlying reporting unit immediately before the reorganization. We estimated the fair value of goodwill using the income and market approaches, which utilize expected cash flows using Level 3 inputs. This analysis required the exercise of significant judgments, including the identification of reporting units as well as the evaluation of recent indicators of market activity, future cash flow estimates, discount rates, and other factors. As a result of this analysis, we concluded that the estimated fair value of the Healthcare reporting unit substantially exceeded its carrying value immediately before the reorganization and that no further evaluation of impairment was necessary.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7.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2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Actuarial Reviews Performed During 2019</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performed interim actuarial review updates during the first and second quarters of 2019 on the majority of our casualty insurance programs that considered changes in claims development and claims payment activity for the respective periods analyzed (the “Interim Reviews”). These updates were abbreviated in nature based on actual versus expected development during the periods analyzed and relied on the key assumptions in the comprehensive actuarial review performed during 2018 (most notably loss development patterns, trend assumptions, and underlying expected loss costs).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three months ended July 31, 2019, we performed our annual comprehensive actuarial review of the majority of our casualty insurance programs, evaluating all changes made to claims reserves and claims payment activity for the period commencing November 1, 2018 and ending April 30, 2019 (the “Actuarial Review”). The Actuarial Review was comprehensive in nature and was based on loss development patterns, trend assumptions, and underlying expected loss costs during the period analyzed. The Actuarial Review and Interim Reviews excluded claims relating to certain previously acquired businesses, which we expect to evaluate during the fourth quarter of 2019.</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Actuarial Review continues to demonstrate that the changes we have made to our risk management program are positively impacting the frequency and severity of claims; however, there is some flattening of claims frequency reductions as compared to prior periods. The claims management strategies and programs that we have implemented have resulted in better than anticipated improvements in early identification of certain claims that may potentially develop adversely. Furthermore, we continue to focus on ensuring the establishment of reserves consistent with known fact patterns. However, the Actuarial Review showed unfavorable developments relative to our estimates of ultimate losses related to certain prior claim years regarding our general liability, property damage, workers’ compensation, and automobile liability programs.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44" w:right="239" w:bottom="1440" w:gutter="0" w:footer="0" w:header="0"/>
        </w:sectPr>
      </w:pPr>
    </w:p>
    <w:bookmarkStart w:id="23" w:name="page24"/>
    <w:bookmarkEnd w:id="23"/>
    <w:p>
      <w:pPr>
        <w:jc w:val="both"/>
        <w:ind w:firstLine="648"/>
        <w:spacing w:after="0" w:line="254" w:lineRule="auto"/>
        <w:rPr>
          <w:sz w:val="20"/>
          <w:szCs w:val="20"/>
          <w:color w:val="auto"/>
        </w:rPr>
      </w:pPr>
      <w:r>
        <w:rPr>
          <w:rFonts w:ascii="Arial" w:cs="Arial" w:eastAsia="Arial" w:hAnsi="Arial"/>
          <w:sz w:val="18"/>
          <w:szCs w:val="18"/>
          <w:color w:val="auto"/>
        </w:rPr>
        <w:t>Based on the results of the Actuarial Review, at July 31, 2019 we decreased our total reserves for prior periods by $3.0 million. Together with the $5.0 million increase we recorded during the first half of 2019, the net increase to our reserves for claims related to prior periods was $2.0 million for the nine months ended July 31, 2019. This adjustment was $8.0 million lower than the total adjustment related to prior year claims of $10.0 million during the nine months ended July 31, 2018.</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fourth quarter of 2019, we expect to perform an update to our Actuarial Review for our significant insurance programs that will use updated claims data and consider changes in claims development and claims payment activity for the periods analyzed. This review will be abbreviated in nature based on actual versus expected development during the periods analyzed and will rely on the key assumptions in the Actuarial Review (most notably loss development patterns, trend assumptions, and underlying expected loss costs) and will include claims related to certain previously acquired businesses. This review may lead to further adjustments to our insurance reserves.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80" w:type="dxa"/>
            <w:vAlign w:val="bottom"/>
            <w:gridSpan w:val="3"/>
          </w:tcPr>
          <w:p>
            <w:pPr>
              <w:spacing w:after="0"/>
              <w:rPr>
                <w:sz w:val="20"/>
                <w:szCs w:val="20"/>
                <w:color w:val="auto"/>
              </w:rPr>
            </w:pPr>
            <w:r>
              <w:rPr>
                <w:rFonts w:ascii="Arial" w:cs="Arial" w:eastAsia="Arial" w:hAnsi="Arial"/>
                <w:sz w:val="18"/>
                <w:szCs w:val="18"/>
                <w:b w:val="1"/>
                <w:bCs w:val="1"/>
                <w:color w:val="0046AD"/>
              </w:rPr>
              <w:t>Insurance Related Balances and Activity</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73"/>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 2019</w:t>
            </w:r>
          </w:p>
        </w:tc>
        <w:tc>
          <w:tcPr>
            <w:tcW w:w="220" w:type="dxa"/>
            <w:vAlign w:val="bottom"/>
          </w:tcPr>
          <w:p>
            <w:pPr>
              <w:spacing w:after="0"/>
              <w:rPr>
                <w:sz w:val="24"/>
                <w:szCs w:val="24"/>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4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claim reserves, excluding medical and dental</w:t>
            </w: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510.1</w:t>
            </w:r>
          </w:p>
        </w:tc>
        <w:tc>
          <w:tcPr>
            <w:tcW w:w="12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501.4</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Medical and dental claim reserves</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7"/>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recoverables</w:t>
            </w:r>
          </w:p>
        </w:tc>
        <w:tc>
          <w:tcPr>
            <w:tcW w:w="300" w:type="dxa"/>
            <w:vAlign w:val="bottom"/>
            <w:shd w:val="clear" w:color="auto" w:fill="DCE2EF"/>
          </w:tcPr>
          <w:p>
            <w:pPr>
              <w:spacing w:after="0"/>
              <w:rPr>
                <w:sz w:val="24"/>
                <w:szCs w:val="24"/>
                <w:color w:val="auto"/>
              </w:rPr>
            </w:pP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73.7</w:t>
            </w:r>
          </w:p>
        </w:tc>
      </w:tr>
    </w:tbl>
    <w:p>
      <w:pPr>
        <w:spacing w:after="0" w:line="3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July 31, 2019 and October 31, 2018, insurance recoverables are included in both “Other current assets” and “Other noncurrent assets” on the accompanying unaudited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 2019</w:t>
            </w:r>
          </w:p>
        </w:tc>
        <w:tc>
          <w:tcPr>
            <w:tcW w:w="220" w:type="dxa"/>
            <w:vAlign w:val="bottom"/>
          </w:tcPr>
          <w:p>
            <w:pPr>
              <w:spacing w:after="0"/>
              <w:rPr>
                <w:sz w:val="18"/>
                <w:szCs w:val="18"/>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4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Standby letters of credit</w:t>
            </w: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144.1</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89.2</w:t>
            </w:r>
          </w:p>
        </w:tc>
      </w:tr>
      <w:tr>
        <w:trPr>
          <w:trHeight w:val="270"/>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Restricted insurance deposits</w:t>
            </w:r>
          </w:p>
        </w:tc>
        <w:tc>
          <w:tcPr>
            <w:tcW w:w="300" w:type="dxa"/>
            <w:vAlign w:val="bottom"/>
            <w:tcBorders>
              <w:bottom w:val="single" w:sz="8" w:color="auto"/>
            </w:tcBorders>
            <w:shd w:val="clear" w:color="auto" w:fill="DCE2EF"/>
          </w:tcPr>
          <w:p>
            <w:pPr>
              <w:spacing w:after="0"/>
              <w:rPr>
                <w:sz w:val="23"/>
                <w:szCs w:val="23"/>
                <w:color w:val="auto"/>
              </w:rPr>
            </w:pPr>
          </w:p>
        </w:tc>
        <w:tc>
          <w:tcPr>
            <w:tcW w:w="17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0.6</w:t>
            </w:r>
          </w:p>
        </w:tc>
      </w:tr>
      <w:tr>
        <w:trPr>
          <w:trHeight w:val="257"/>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8.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In accordance with the terms of the Credit Facility, the line of credit was reduced to $800.0 million on September 1, 2018. The Credit Facility also provides for the issuance of up to $ 300.0 million for standby letters of credit and the issuance of up to $75.0 million in swingline advances. The obligations under the Credit Facility are secured on a first-priority basis by a lien on substantially all of our assets and properties, subject to certain exceptions.</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Borrowings under the Credit Facility bear interest at a rate equal to 1-month LIBOR plus a spread that is based upon our leverage ratio. The spread ranges from 1.00% to 2.25% for Eurocurrency loans and 0.00% to 1.25% for base rate loans. At July 31, 2019, the weighted average interest rate on our outstanding borrowings was 4.32%. We also pay a commitment fee, based on our leverage ratio, ranging from 0.200% to 0.350% on the average daily unused portion of the line of credit that is paid quarterly in arrears. For purposes of this calculation, irrevocable standby letters of credit, which are issued primarily in conjunction with our insurance programs, and cash borrowings are included as outstanding under the line of credit.</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Credit Facility, as amended, contains certain covenants, including a maximum leverage ratio of 4.00 to 1.0, which steps down to 3.50 to 1.0 by July 2021, and a minimum fixed charge coverage ratio of 1.50 to 1.0, as well as other financial and non-financial covenants. In the event of a material acquisition, as defined in the Credit Facility, we may elect to increase the leverage ratio to 3.75 to 1.0 for a total of four fiscal quarters, provided the leverage ratio had already been reduced to 3.50 to 1.0. Our borrowing capacity is subject to, and limited by, compliance with the covenants described above. At July 31, 2019, we were in compliance with these covenants.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44" w:right="239" w:bottom="1440" w:gutter="0" w:footer="0" w:header="0"/>
        </w:sectPr>
      </w:pPr>
    </w:p>
    <w:bookmarkStart w:id="24" w:name="page25"/>
    <w:bookmarkEnd w:id="24"/>
    <w:p>
      <w:pPr>
        <w:jc w:val="both"/>
        <w:ind w:firstLine="648"/>
        <w:spacing w:after="0" w:line="253" w:lineRule="auto"/>
        <w:rPr>
          <w:sz w:val="20"/>
          <w:szCs w:val="20"/>
          <w:color w:val="auto"/>
        </w:rPr>
      </w:pPr>
      <w:r>
        <w:rPr>
          <w:rFonts w:ascii="Arial" w:cs="Arial" w:eastAsia="Arial" w:hAnsi="Arial"/>
          <w:sz w:val="18"/>
          <w:szCs w:val="18"/>
          <w:color w:val="auto"/>
        </w:rPr>
        <w:t>The Credit Facility also includes customary events of default, including failure to pay principal, interest, or fees when due, failure to comply with covenants, the occurrence of certain material judgments, or a change in control of the Company. If certain events of default occur, including certain cross-defaults, insolvency, change in control, or violation of specific covenants, the lenders can terminate or suspend our access to the Credit Facility, declare all amounts outstanding (including all accrued interest and unpaid fees) to be immediately due and payable, and require that we cash collateralize the outstanding standby letters of credit.</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Total deferred financing costs related to the Credit Facility were $18.7 million, consisting of $ 13.4 million related to the term loan and $5.2 million related to the line of credit, which are being amortized to interest expense over the term of the Credit Facility.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60" w:type="dxa"/>
            <w:vAlign w:val="bottom"/>
            <w:gridSpan w:val="3"/>
          </w:tcPr>
          <w:p>
            <w:pPr>
              <w:spacing w:after="0"/>
              <w:rPr>
                <w:sz w:val="20"/>
                <w:szCs w:val="20"/>
                <w:color w:val="auto"/>
              </w:rPr>
            </w:pPr>
            <w:r>
              <w:rPr>
                <w:rFonts w:ascii="Arial" w:cs="Arial" w:eastAsia="Arial" w:hAnsi="Arial"/>
                <w:sz w:val="18"/>
                <w:szCs w:val="18"/>
                <w:b w:val="1"/>
                <w:bCs w:val="1"/>
                <w:color w:val="0046AD"/>
              </w:rPr>
              <w:t>Credit Facility Information</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9"/>
        </w:trPr>
        <w:tc>
          <w:tcPr>
            <w:tcW w:w="7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64"/>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DCE2EF"/>
          </w:tcPr>
          <w:p>
            <w:pPr>
              <w:spacing w:after="0"/>
              <w:rPr>
                <w:sz w:val="22"/>
                <w:szCs w:val="22"/>
                <w:color w:val="auto"/>
              </w:rPr>
            </w:pPr>
          </w:p>
        </w:tc>
        <w:tc>
          <w:tcPr>
            <w:tcW w:w="17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7120" w:type="dxa"/>
            <w:vAlign w:val="bottom"/>
            <w:gridSpan w:val="2"/>
          </w:tcPr>
          <w:p>
            <w:pPr>
              <w:ind w:left="240"/>
              <w:spacing w:after="0"/>
              <w:rPr>
                <w:sz w:val="20"/>
                <w:szCs w:val="20"/>
                <w:color w:val="auto"/>
              </w:rPr>
            </w:pPr>
            <w:r>
              <w:rPr>
                <w:rFonts w:ascii="Arial" w:cs="Arial" w:eastAsia="Arial" w:hAnsi="Arial"/>
                <w:sz w:val="18"/>
                <w:szCs w:val="18"/>
                <w:color w:val="auto"/>
              </w:rPr>
              <w:t>Gross term loan</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0"/>
        </w:trPr>
        <w:tc>
          <w:tcPr>
            <w:tcW w:w="40" w:type="dxa"/>
            <w:vAlign w:val="bottom"/>
            <w:shd w:val="clear" w:color="auto" w:fill="DCE2EF"/>
          </w:tcPr>
          <w:p>
            <w:pPr>
              <w:spacing w:after="0"/>
              <w:rPr>
                <w:sz w:val="23"/>
                <w:szCs w:val="23"/>
                <w:color w:val="auto"/>
              </w:rPr>
            </w:pPr>
          </w:p>
        </w:tc>
        <w:tc>
          <w:tcPr>
            <w:tcW w:w="71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Unamortized deferred financing costs</w:t>
            </w:r>
          </w:p>
        </w:tc>
        <w:tc>
          <w:tcPr>
            <w:tcW w:w="300" w:type="dxa"/>
            <w:vAlign w:val="bottom"/>
            <w:tcBorders>
              <w:bottom w:val="single" w:sz="8" w:color="auto"/>
            </w:tcBorders>
            <w:shd w:val="clear" w:color="auto" w:fill="DCE2EF"/>
          </w:tcPr>
          <w:p>
            <w:pPr>
              <w:spacing w:after="0"/>
              <w:rPr>
                <w:sz w:val="23"/>
                <w:szCs w:val="23"/>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40" w:type="dxa"/>
            <w:vAlign w:val="bottom"/>
            <w:tcBorders>
              <w:bottom w:val="single" w:sz="8" w:color="DCE2EF"/>
            </w:tcBorders>
          </w:tcPr>
          <w:p>
            <w:pPr>
              <w:spacing w:after="0"/>
              <w:rPr>
                <w:sz w:val="21"/>
                <w:szCs w:val="21"/>
                <w:color w:val="auto"/>
              </w:rPr>
            </w:pPr>
          </w:p>
        </w:tc>
        <w:tc>
          <w:tcPr>
            <w:tcW w:w="7120" w:type="dxa"/>
            <w:vAlign w:val="bottom"/>
            <w:tcBorders>
              <w:bottom w:val="single" w:sz="8" w:color="DCE2EF"/>
            </w:tcBorders>
            <w:gridSpan w:val="2"/>
          </w:tcPr>
          <w:p>
            <w:pPr>
              <w:ind w:left="460"/>
              <w:spacing w:after="0"/>
              <w:rPr>
                <w:sz w:val="20"/>
                <w:szCs w:val="20"/>
                <w:color w:val="auto"/>
              </w:rPr>
            </w:pPr>
            <w:r>
              <w:rPr>
                <w:rFonts w:ascii="Arial" w:cs="Arial" w:eastAsia="Arial" w:hAnsi="Arial"/>
                <w:sz w:val="18"/>
                <w:szCs w:val="18"/>
                <w:color w:val="auto"/>
              </w:rPr>
              <w:t>Current portion of term loan</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DCE2E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r>
      <w:tr>
        <w:trPr>
          <w:trHeight w:val="324"/>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64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78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spacing w:after="0"/>
              <w:rPr>
                <w:sz w:val="24"/>
                <w:szCs w:val="24"/>
                <w:color w:val="auto"/>
              </w:rPr>
            </w:pP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71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Gross term loan</w:t>
            </w:r>
          </w:p>
        </w:tc>
        <w:tc>
          <w:tcPr>
            <w:tcW w:w="30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695.0</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740.0</w:t>
            </w:r>
          </w:p>
        </w:tc>
      </w:tr>
      <w:tr>
        <w:trPr>
          <w:trHeight w:val="264"/>
        </w:trPr>
        <w:tc>
          <w:tcPr>
            <w:tcW w:w="40" w:type="dxa"/>
            <w:vAlign w:val="bottom"/>
            <w:tcBorders>
              <w:bottom w:val="single" w:sz="8" w:color="DCE2EF"/>
            </w:tcBorders>
          </w:tcPr>
          <w:p>
            <w:pPr>
              <w:spacing w:after="0"/>
              <w:rPr>
                <w:sz w:val="22"/>
                <w:szCs w:val="22"/>
                <w:color w:val="auto"/>
              </w:rPr>
            </w:pPr>
          </w:p>
        </w:tc>
        <w:tc>
          <w:tcPr>
            <w:tcW w:w="71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Unamortized deferred financing costs</w:t>
            </w: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DCE2E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7"/>
        </w:trPr>
        <w:tc>
          <w:tcPr>
            <w:tcW w:w="40" w:type="dxa"/>
            <w:vAlign w:val="bottom"/>
            <w:shd w:val="clear" w:color="auto" w:fill="DCE2EF"/>
          </w:tcPr>
          <w:p>
            <w:pPr>
              <w:spacing w:after="0"/>
              <w:rPr>
                <w:sz w:val="22"/>
                <w:szCs w:val="22"/>
                <w:color w:val="auto"/>
              </w:rPr>
            </w:pPr>
          </w:p>
        </w:tc>
        <w:tc>
          <w:tcPr>
            <w:tcW w:w="7120" w:type="dxa"/>
            <w:vAlign w:val="bottom"/>
            <w:gridSpan w:val="2"/>
            <w:shd w:val="clear" w:color="auto" w:fill="DCE2EF"/>
          </w:tcPr>
          <w:p>
            <w:pPr>
              <w:ind w:left="460"/>
              <w:spacing w:after="0"/>
              <w:rPr>
                <w:sz w:val="20"/>
                <w:szCs w:val="20"/>
                <w:color w:val="auto"/>
              </w:rPr>
            </w:pPr>
            <w:r>
              <w:rPr>
                <w:rFonts w:ascii="Arial" w:cs="Arial" w:eastAsia="Arial" w:hAnsi="Arial"/>
                <w:sz w:val="18"/>
                <w:szCs w:val="18"/>
                <w:color w:val="auto"/>
              </w:rPr>
              <w:t>Total noncurrent portion of term loan</w:t>
            </w:r>
          </w:p>
        </w:tc>
        <w:tc>
          <w:tcPr>
            <w:tcW w:w="300" w:type="dxa"/>
            <w:vAlign w:val="bottom"/>
            <w:shd w:val="clear" w:color="auto" w:fill="DCE2EF"/>
          </w:tcPr>
          <w:p>
            <w:pPr>
              <w:spacing w:after="0"/>
              <w:rPr>
                <w:sz w:val="22"/>
                <w:szCs w:val="22"/>
                <w:color w:val="auto"/>
              </w:rPr>
            </w:pP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690.2</w:t>
            </w: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733.1</w:t>
            </w:r>
          </w:p>
        </w:tc>
      </w:tr>
      <w:tr>
        <w:trPr>
          <w:trHeight w:val="270"/>
        </w:trPr>
        <w:tc>
          <w:tcPr>
            <w:tcW w:w="40" w:type="dxa"/>
            <w:vAlign w:val="bottom"/>
            <w:tcBorders>
              <w:bottom w:val="single" w:sz="8" w:color="DCE2EF"/>
            </w:tcBorders>
          </w:tcPr>
          <w:p>
            <w:pPr>
              <w:spacing w:after="0"/>
              <w:rPr>
                <w:sz w:val="23"/>
                <w:szCs w:val="23"/>
                <w:color w:val="auto"/>
              </w:rPr>
            </w:pPr>
          </w:p>
        </w:tc>
        <w:tc>
          <w:tcPr>
            <w:tcW w:w="71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Line of credit</w:t>
            </w:r>
            <w:r>
              <w:rPr>
                <w:rFonts w:ascii="Arial" w:cs="Arial" w:eastAsia="Arial" w:hAnsi="Arial"/>
                <w:sz w:val="21"/>
                <w:szCs w:val="21"/>
                <w:color w:val="auto"/>
                <w:vertAlign w:val="superscript"/>
              </w:rPr>
              <w:t>(1)(2)</w:t>
            </w:r>
          </w:p>
        </w:tc>
        <w:tc>
          <w:tcPr>
            <w:tcW w:w="3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DCE2E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169.0</w:t>
            </w: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712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shd w:val="clear" w:color="auto" w:fill="DCE2E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872.2</w:t>
            </w:r>
          </w:p>
        </w:tc>
        <w:tc>
          <w:tcPr>
            <w:tcW w:w="10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8890</wp:posOffset>
            </wp:positionV>
            <wp:extent cx="269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180" w:hanging="172"/>
        <w:spacing w:after="0" w:line="222"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Standby letters of credit amounted to $152.4 million at July 31, 2019.</w:t>
      </w:r>
    </w:p>
    <w:p>
      <w:pPr>
        <w:spacing w:after="0" w:line="76" w:lineRule="exact"/>
        <w:rPr>
          <w:rFonts w:ascii="Arial" w:cs="Arial" w:eastAsia="Arial" w:hAnsi="Arial"/>
          <w:sz w:val="21"/>
          <w:szCs w:val="21"/>
          <w:color w:val="auto"/>
          <w:vertAlign w:val="superscript"/>
        </w:rPr>
      </w:pPr>
    </w:p>
    <w:p>
      <w:pPr>
        <w:ind w:left="180" w:hanging="172"/>
        <w:spacing w:after="0" w:line="219"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At July 31, 2019, we had borrowing capacity of $457.0 million; however, covenant restrictions limited our borrowing capacity to $261.5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Term Loan Maturities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three and nine months ended July 31, 2019, we made principal payments under the term loan of $10.0 million and $30.0 million, respectively. As of July 31, 2019, the following principal payments are required under the term loan.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840" w:type="dxa"/>
            <w:vAlign w:val="bottom"/>
            <w:tcBorders>
              <w:bottom w:val="single" w:sz="8" w:color="DCE2E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Debt maturities</w:t>
            </w:r>
          </w:p>
        </w:tc>
        <w:tc>
          <w:tcPr>
            <w:tcW w:w="900" w:type="dxa"/>
            <w:vAlign w:val="bottom"/>
            <w:shd w:val="clear" w:color="auto" w:fill="DCE2E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DCE2EF"/>
          </w:tcPr>
          <w:p>
            <w:pPr>
              <w:spacing w:after="0"/>
              <w:rPr>
                <w:sz w:val="21"/>
                <w:szCs w:val="21"/>
                <w:color w:val="auto"/>
              </w:rPr>
            </w:pPr>
          </w:p>
        </w:tc>
        <w:tc>
          <w:tcPr>
            <w:tcW w:w="900" w:type="dxa"/>
            <w:vAlign w:val="bottom"/>
            <w:shd w:val="clear" w:color="auto" w:fill="DCE2EF"/>
          </w:tcPr>
          <w:p>
            <w:pPr>
              <w:jc w:val="right"/>
              <w:ind w:right="6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6"/>
              </w:rPr>
              <w:t>60.0</w:t>
            </w:r>
          </w:p>
        </w:tc>
        <w:tc>
          <w:tcPr>
            <w:tcW w:w="12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560.0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these arrangements, we typically pay a fixed interest rate in exchange for LIBOR-based variable interest throughout the life of the agreement. We initially report the mark-to-market gain or loss on a derivative as a component of AOCI and subsequently reclassify the gain or loss into earnings when the hedged transactions occur and affect earnings. Interest payables and receivables under the swap agreements are accrued and recorded as adjustments to interest expense. All of our interest rate swaps have been designated and accounted for as cash flow hedges from inception. See Note 6, “Fair Value of Financial Instruments,” regarding the valuation of our interest rate swaps.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4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Notional Amounts</w:t>
            </w:r>
          </w:p>
        </w:tc>
        <w:tc>
          <w:tcPr>
            <w:tcW w:w="120" w:type="dxa"/>
            <w:vAlign w:val="bottom"/>
            <w:tcBorders>
              <w:bottom w:val="single" w:sz="8" w:color="DCE2EF"/>
            </w:tcBorders>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Fixed Interest Rates</w:t>
            </w:r>
          </w:p>
        </w:tc>
        <w:tc>
          <w:tcPr>
            <w:tcW w:w="100" w:type="dxa"/>
            <w:vAlign w:val="bottom"/>
            <w:tcBorders>
              <w:bottom w:val="single" w:sz="8" w:color="DCE2EF"/>
            </w:tcBorders>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Effective Dates</w:t>
            </w:r>
          </w:p>
        </w:tc>
        <w:tc>
          <w:tcPr>
            <w:tcW w:w="100" w:type="dxa"/>
            <w:vAlign w:val="bottom"/>
            <w:tcBorders>
              <w:bottom w:val="single" w:sz="8" w:color="DCE2EF"/>
            </w:tcBorders>
          </w:tcPr>
          <w:p>
            <w:pPr>
              <w:spacing w:after="0"/>
              <w:rPr>
                <w:sz w:val="21"/>
                <w:szCs w:val="21"/>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 Dates</w:t>
            </w:r>
          </w:p>
        </w:tc>
      </w:tr>
      <w:tr>
        <w:trPr>
          <w:trHeight w:val="257"/>
        </w:trPr>
        <w:tc>
          <w:tcPr>
            <w:tcW w:w="3000" w:type="dxa"/>
            <w:vAlign w:val="bottom"/>
            <w:gridSpan w:val="2"/>
            <w:shd w:val="clear" w:color="auto" w:fill="DCE2EF"/>
          </w:tcPr>
          <w:p>
            <w:pPr>
              <w:jc w:val="center"/>
              <w:ind w:right="140"/>
              <w:spacing w:after="0"/>
              <w:rPr>
                <w:sz w:val="20"/>
                <w:szCs w:val="20"/>
                <w:color w:val="auto"/>
              </w:rPr>
            </w:pPr>
            <w:r>
              <w:rPr>
                <w:rFonts w:ascii="Arial" w:cs="Arial" w:eastAsia="Arial" w:hAnsi="Arial"/>
                <w:sz w:val="18"/>
                <w:szCs w:val="18"/>
                <w:color w:val="auto"/>
                <w:w w:val="99"/>
              </w:rPr>
              <w:t>$ 90.0 million</w:t>
            </w:r>
          </w:p>
        </w:tc>
        <w:tc>
          <w:tcPr>
            <w:tcW w:w="27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DCE2EF"/>
          </w:tcPr>
          <w:p>
            <w:pPr>
              <w:spacing w:after="0"/>
              <w:rPr>
                <w:sz w:val="22"/>
                <w:szCs w:val="22"/>
                <w:color w:val="auto"/>
              </w:rPr>
            </w:pPr>
          </w:p>
        </w:tc>
        <w:tc>
          <w:tcPr>
            <w:tcW w:w="284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April 30, 2021</w:t>
            </w:r>
          </w:p>
        </w:tc>
      </w:tr>
      <w:tr>
        <w:trPr>
          <w:trHeight w:val="263"/>
        </w:trPr>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$ 90.0 million</w:t>
            </w:r>
          </w:p>
        </w:tc>
        <w:tc>
          <w:tcPr>
            <w:tcW w:w="274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tcPr>
          <w:p>
            <w:pPr>
              <w:jc w:val="center"/>
              <w:spacing w:after="0"/>
              <w:rPr>
                <w:sz w:val="20"/>
                <w:szCs w:val="20"/>
                <w:color w:val="auto"/>
              </w:rPr>
            </w:pPr>
            <w:r>
              <w:rPr>
                <w:rFonts w:ascii="Arial" w:cs="Arial" w:eastAsia="Arial" w:hAnsi="Arial"/>
                <w:sz w:val="18"/>
                <w:szCs w:val="18"/>
                <w:color w:val="auto"/>
              </w:rPr>
              <w:t>October 31, 2021</w:t>
            </w:r>
          </w:p>
        </w:tc>
      </w:tr>
      <w:tr>
        <w:trPr>
          <w:trHeight w:val="277"/>
        </w:trPr>
        <w:tc>
          <w:tcPr>
            <w:tcW w:w="300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DCE2EF"/>
          </w:tcPr>
          <w:p>
            <w:pPr>
              <w:spacing w:after="0"/>
              <w:rPr>
                <w:sz w:val="24"/>
                <w:szCs w:val="24"/>
                <w:color w:val="auto"/>
              </w:rPr>
            </w:pPr>
          </w:p>
        </w:tc>
        <w:tc>
          <w:tcPr>
            <w:tcW w:w="284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April 30, 2022</w:t>
            </w:r>
          </w:p>
        </w:tc>
      </w:tr>
      <w:tr>
        <w:trPr>
          <w:trHeight w:val="257"/>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4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September 1, 2022</w:t>
            </w: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July 31, 2019 and October 31, 2018, amounts recorded in AOCI for interest rate swaps were $4.8 million, net of taxes of $ 2.2 million, and $ 17.8 million, net of taxes of $7.1 million, respectively. These amounts included the gain associated with the interest rate swaps we terminated in 2018, which is being amortized to interest expense as interest payments are made over the term of our Credit Facility. During the three and nine months ended July 31, 2019, we amortized $1.0 million, net of taxes of $0.4 million, and $3.1 million, net of taxes of $ 1.2 million, respectively, of this gain to interest expense. At July 31, 2019, the total amount expected to be reclassified from AOCI to earnings during the next twelve months was $1.1 million, net of taxes of $0.5 million.</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July 31, 2019, these letters of credit and surety bonds totaled $152.4 million and $607.7 million, respectively. Included in the total amount of surety bonds is $1.3 million of bonds with an effective date starting after July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July 31, 2019, total guarantees were $175.5 million and extend through 2038. We accrue for the estimated cost of guarantees when it is probable that a liability has been incurred and the amount can be reasonably estimated. Historically, we have not incurred any material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2021. Annual revenues relating to the underlying contracts are approximately $35 million. Should the joint venture be unable to perform under these contracts, the joint venture partners would be jointly and severally liable for any losses incurred by the client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Tax Audits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paid on their behalf, in some cases we are entitled to seek a refund of that amount of sales tax from the applicable state.</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Sales tax laws and regulations enacted by the various states are subject to interpretation, and our compliance with such laws is routinely subject to audit and review by such states. Audit risk is concentrated in several states, and these states are conducting ongoing audits. The outcomes of ongoing and any future audits and changes in the states’ interpretation of the sales tax laws and regulations could materially adversely impact our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Legal Matters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July 31, 2019, the total amount accrued for all probable litigation losses where a reasonable estimate of the loss could be made was $12.1 million. This $12.1 million includes an accrual of $5.4 million in connection with the Castro case, which was previously accrued and is discussed further below.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9" w:right="239" w:bottom="1440" w:gutter="0" w:footer="0" w:header="0"/>
        </w:sectPr>
      </w:pPr>
    </w:p>
    <w:bookmarkStart w:id="26" w:name="page27"/>
    <w:bookmarkEnd w:id="26"/>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$5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Certain Legal Proceedings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88"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There is also a claim for penalties under the California Labor Code Private Attorneys General Act (“PAGA”).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 The case was remitted to the trial court for further proceedings on class certification, discovery, dispositive motions, and trial.</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20, 2018, the trial court entered an order defining four certified subclasses of janitors who were employed by the legacy ABM janitorial companies in California at any time between April 7, 2002 and April 30, 2013, on claims based on previous automatic deduction practices for meal breaks, unpaid meal premiums, unpaid split shift premiums, and unreimbursed business expenses, such as mileage reimbursement for use of personal vehicles to travel between worksites. On February 1, 2019, the Superior Court held that the discovery related to PAGA claims allegedly arising after April 30, 2013 would be stayed until after the class and PAGA claims accruing prior to April 30, 2013 had been tried. The parties engaged in mediation in July 2019, which did not result in settlement of the case. This matter has been set for trial on May 26, 2020. Prior to trial, we will have the opportunity to move for summary judgment, seek decertification of the classes, or engage in further mediation, if we deem such actions appropriate. We expect to engage in one or more such activities in upcoming quarters.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44" w:right="239" w:bottom="1440" w:gutter="0" w:footer="0" w:header="0"/>
        </w:sectPr>
      </w:pPr>
    </w:p>
    <w:bookmarkStart w:id="27" w:name="page28"/>
    <w:bookmarkEnd w:id="27"/>
    <w:p>
      <w:pPr>
        <w:ind w:left="660"/>
        <w:spacing w:after="0" w:line="282" w:lineRule="auto"/>
        <w:rPr>
          <w:sz w:val="20"/>
          <w:szCs w:val="20"/>
          <w:color w:val="auto"/>
        </w:rPr>
      </w:pPr>
      <w:r>
        <w:rPr>
          <w:rFonts w:ascii="Arial" w:cs="Arial" w:eastAsia="Arial" w:hAnsi="Arial"/>
          <w:sz w:val="18"/>
          <w:szCs w:val="18"/>
          <w:i w:val="1"/>
          <w:iCs w:val="1"/>
          <w:color w:val="auto"/>
        </w:rPr>
        <w:t xml:space="preserve">Hussein and Hirsi v. Air Serv Corporation filed on January 20, 2016, in the United States District Court for the Western District of Washington at Seattle (the “Hussein case”) </w:t>
      </w:r>
      <w:r>
        <w:rPr>
          <w:rFonts w:ascii="Arial" w:cs="Arial" w:eastAsia="Arial" w:hAnsi="Arial"/>
          <w:sz w:val="18"/>
          <w:szCs w:val="18"/>
          <w:color w:val="auto"/>
        </w:rPr>
        <w:t>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Isse et al. v. Air Serv Corporation filed on February 7, 2017, in the Superior Court of Washington for King County (the “Isse case”)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was a certified class action involving a class of certain hourly Air Serv employees at Seattle-Tacoma International Airport in SeaTac, Washington. The plaintiffs alleged that Air Serv violated a minimum wage requirement in an ordinance applicable to certain employers in the local city of SeaTac (the “Ordinance”). Plaintiffs sought retroactive wages, double damages, interest, and attorneys’ fees. This matter was removed to federal court. In a separate lawsuit brought by Filo Foods, LLC, Alaska Airlines, and several other employers at SeaTac Airport, the King County Superior Court (the “Superior Court”) issued a decision that invalidated the Ordinance as it applied to workers at SeaTac Airport. Subsequently, the Washington Supreme Court reversed the Superior Court’s decision. On February 7, 2017,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was filed against Air Serv on behalf of 60 individual plaintiffs (who would otherwise be members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who alleged failure to comply with both the minimum wage provision and the sick and safe time provision of the Ordinance.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sought retroactive wages and sick benefits, double damages for wages and sick benefits, interest, and attorneys’ fees.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later expanded to approximately 220 individual plaintiffs.</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In mediations on November 2 and 3, 2017, and without admitting liability in either matter, we agreed to settle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and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cases for a combined total of $8.3 million, inclusive of damages, interest, attorneys’ fees, and employer payroll taxes. On December 8, 2017, the Superior Court approved the settlement agreement for the 220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and we subsequently made a settlement payment of $4.5 million to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in January 2018.</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On July 30, 2018, the United States District Court for the Western District of Washington at Seattle preliminarily approved the settlement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At the final approval hearing on December 4, 2018, the court (i) accepted opt-out notices from 78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members (the “opt-out members”) indicating their intent to participate in separate lawsuits (leaving 386 class members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(ii) directed the parties to recalculate the settlement amount by deducting the settlement funds attributable to the 78 opt-out members, and (iii) requested other minor changes, but indicated that the court intended to grant final approval of the settlement with these changes. On December 20, 2018, the court issued its order granting final approval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action settlement in the amount of $2.1 million. The </w:t>
      </w:r>
      <w:r>
        <w:rPr>
          <w:rFonts w:ascii="Arial" w:cs="Arial" w:eastAsia="Arial" w:hAnsi="Arial"/>
          <w:sz w:val="18"/>
          <w:szCs w:val="18"/>
          <w:i w:val="1"/>
          <w:iCs w:val="1"/>
          <w:color w:val="auto"/>
        </w:rPr>
        <w:t xml:space="preserve">Hussein </w:t>
      </w:r>
      <w:r>
        <w:rPr>
          <w:rFonts w:ascii="Arial" w:cs="Arial" w:eastAsia="Arial" w:hAnsi="Arial"/>
          <w:sz w:val="18"/>
          <w:szCs w:val="18"/>
          <w:color w:val="auto"/>
        </w:rPr>
        <w:t>settlement funds were distributed to the class on March 6, 2019. In January 2019, we reached a tentative agreement to resolve the</w:t>
      </w:r>
      <w:r>
        <w:rPr>
          <w:rFonts w:ascii="Arial" w:cs="Arial" w:eastAsia="Arial" w:hAnsi="Arial"/>
          <w:sz w:val="18"/>
          <w:szCs w:val="18"/>
          <w:i w:val="1"/>
          <w:iCs w:val="1"/>
          <w:color w:val="auto"/>
        </w:rPr>
        <w:t xml:space="preserve"> </w:t>
      </w:r>
      <w:r>
        <w:rPr>
          <w:rFonts w:ascii="Arial" w:cs="Arial" w:eastAsia="Arial" w:hAnsi="Arial"/>
          <w:sz w:val="18"/>
          <w:szCs w:val="18"/>
          <w:color w:val="auto"/>
        </w:rPr>
        <w:t>claims of the opt-out members for $1.2 million. On March 22, 2019, the court approved the settlement for the opt-out members, and we subsequently made a settlement payment of $1.2 million to the opt-out members in May 2019. These matters are now concluded.</w:t>
      </w:r>
    </w:p>
    <w:p>
      <w:pPr>
        <w:spacing w:after="0" w:line="195"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Castro and Marmolejo v. ABM Industries, Inc., et al., filed on October 24, 2014, pending in the United States District Court for the Northern District of California (the “Castro case”)</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October 24, 2014, Plaintiff Marley Castro filed a class action lawsuit alleging that ABM did not reimburse janitorial employees in California for using their personal cell phones for work-related purposes, in violation of California Labor Code section 2802. On January 23, 2015, Plaintiff Lucia Marmolejo was added to the case as a named plaintiff. On October 27, 2017, plaintiffs moved for class certification seeking to represent a class of all employees who were, are, or will be employed by ABM in the State of California with the Employee Master Job Description Code “Cleaner” (hereafter referred to as “Cleaner Employees”) beginning from October 24, 2010. ABM filed its opposition to class certification on November 27, 2017. On January 26, 2018, the district court granted plaintiffs’ motion for class certification. The court rejected plaintiffs’ proposed class, instead certifying three classes that the court formulated on its own: (1) all employees who were, are, or will be employed by ABM in the State of California as Cleaner Employees who used a personal cell phone to punch in and out of the EPAY system and who (a) worked at an ABM facility that did not provide a biometric clock and (b) were not offered an ABM-provided cell phone during the period beginning on January 1, 2012, through the date of notice to the Class Members that a class has been certified in this action; (2) all employees who were, are, or will be employed by ABM in the State of California as Cleaner Employees who used a personal cell phone to report unusual or suspicious circumstances to supervisors and were not offered (a) an ABM-provided cell phone or (b) a two-way radio during the period beginning four years prior to the filing of the original complaint, October 24, 2014, through the date of notice to the Class Members that a class has been certified in this action; and (3) all employees who were, are, or will be employed by ABM in the State of California as Cleaner Employees who used a personal cell phone to respond to communications from supervisors and were not offered (a) an ABM-provided cell phone or (b) a two-way radio during the period beginning four years prior to the filing of the original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complaint, October 24, 2014, through the date of notice to the Class Members that a class has been certified in this action.</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February 9, 2018, ABM filed a petition for permission to appeal the district court’s order granting class certification with the United States Court of Appeals for the Ninth Circuit, which was denied on April 30, 2018. On March 20, 2018, ABM moved to compel arbitration of the claims of certain class members pursuant to the terms of three collective bargaining agreements. In response to that motion, on May 14, 2018, the district court modified the class definition to exclude all claims arising after the operative date(s) of the applicable collective bargaining agreements (which is June 1, 2016 for one agreement and May 1, 2016 for the other two agreements). However, the district court denied the motion to compel arbitration as to claims that arose prior to the operative date(s) of the applicable collective bargaining agreements. ABM has appealed to the Ninth Circuit the district court’s order denying the motion to compel arbitration with respect to the periods preceding the operative dates of the collective bargaining agreements.</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After a court-ordered mediation held on October 15, 2018, the parties agreed to a class action settlement of $5.4 million, subject to court approval. The plaintiffs’ motion for preliminary approval of the settlement was filed on January 4, 2019, and the court held a hearing on the motion on February 12, 2019. On February 14, 2019, the court granted preliminary approval of the settlement. The court granted final approval of the settlement on September 3, 2019, and we expect to fund the settlement on or before September 24, 2019. In connection with the settlement, we modified our existing written policies for California to expressly confirm that ABM service workers are not required to use personal cell phones for work purposes and began centralizing the process and implementing technology for such employees to request reimbursement for personal cell phone use due to work.</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10.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December 22, 2017, the Tax Act was enacted into law, which, among other provisions, reduced the federal corporate income tax rate from 35% to 21% and required companies to pay a one-time transition tax on the deemed repatriation of indefinitely reinvested earnings of international subsidiaries. Our U.S. statutory federal tax rate for fiscal 2019 and future years was reduced to 21% from our blended rate of 23.3% in fiscal 2018. Other provisions under the Tax Act became effective for us in fiscal 2019, including limitations on deductibility of interest and executive compensation as well as a new minimum tax on Global Intangible Low-Taxed Income (“GILTI”), which we have elected to account for as a period cost.</w:t>
      </w:r>
    </w:p>
    <w:p>
      <w:pPr>
        <w:spacing w:after="0" w:line="20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Following the enactment of the Tax Act, the SEC issued guidance that allowed us to record provisional amounts during a measurement period not to exceed one year from the enactment date. During the first quarter of 2018, we remeasured certain deferred tax assets and liabilities based on the new tax rates at which they were expected to reverse in the future and recorded a provisional one-time tax benefit of $28.7 million related to this remeasurement. In addition, we recorded a provisional expense of $7.0 million for the one-time transition tax on the deemed repatriation of indefinitely reinvested earnings of our international subsidiaries. We completed our analysis of the impacts of these provisions under the Tax Act as of October 31, 2018, and recorded adjustments during the fourth quarter of 2018 that (i) increased the benefit to $29.6 million for the remeasurement of certain deferred tax assets and liabilities and (ii) decreased the expense to $4.5 million for the one-time transition tax on the deemed repatriation of indefinitely reinvested earnings of our international subsidiaries. We plan to reinvest our foreign earnings to fund future non-U.S. growth and expansion, and we do not anticipate remitting such earnings to the United States. While U.S. federal tax expense has been recognized as a result of the Tax Act, no deferred tax liabilities with respect to federal and state income taxes or foreign withholding taxes have been recognized.</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quarterly tax provision is calculated using an estimated annual tax rate that is adjusted for discrete items occurring during the period to arrive at our effective tax rate. During the three and nine months ended July 31, 2019, we had effective tax rates of 18.9% and 24.5%, respectively, resulting in provisions for taxes of $8.5 million and $25.8 million, respectively. Our effective tax rate for the three months ended July 31, 2019 was impacted by the following discrete items: a $2.0 million benefit from an expiring statute of limitations and a $0.5 million benefit from certain credits. Our effective tax rate for the nine months ended July 31, 2019 was impacted by the following discrete items: a $2.0 million benefit from an expiring statute of limitations; a $1.4 million provision for reserves; a $1.3 million provision related to the Work Opportunity Tax Credit (“WOTC”); and a $1.1 million benefit from the vesting of share-based compensation awards.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82" w:right="239" w:bottom="1440" w:gutter="0" w:footer="0" w:header="0"/>
        </w:sectPr>
      </w:pPr>
    </w:p>
    <w:bookmarkStart w:id="29" w:name="page30"/>
    <w:bookmarkEnd w:id="29"/>
    <w:p>
      <w:pPr>
        <w:jc w:val="both"/>
        <w:ind w:firstLine="648"/>
        <w:spacing w:after="0" w:line="252" w:lineRule="auto"/>
        <w:rPr>
          <w:sz w:val="20"/>
          <w:szCs w:val="20"/>
          <w:color w:val="auto"/>
        </w:rPr>
      </w:pPr>
      <w:r>
        <w:rPr>
          <w:rFonts w:ascii="Arial" w:cs="Arial" w:eastAsia="Arial" w:hAnsi="Arial"/>
          <w:sz w:val="18"/>
          <w:szCs w:val="18"/>
          <w:color w:val="auto"/>
        </w:rPr>
        <w:t>During the three and nine months ended July 31, 2018, we had effective tax rates of 6.6% and (17.1)%, respectively, resulting in a provision for tax of $2.4 million and a benefit from tax of $12.7 million, respectively. Our effective tax rate for the three months ended July 31, 2018 was impacted by the following discrete items: a $4.2 million benefit from an expiring statute of limitations and a $1.6 million benefit from the vesting of share-based compensation awards. Our effective tax rate for the nine months ended July 31, 2018 was impacted by the following discrete items: a $21.5 million benefit related to the Tax Act enactment; a $4.1 million benefit from an expiring statute of limitations; a $3.1 million benefit from the vesting of share-based compensation awards; a $2.6 million benefit for energy efficient government buildings; and a $1.5 million provision for certain tax credits, including WOTC.</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11.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current reportable segments consist of B&amp;I, Aviation, T&amp;M, Education, and Technical Solutions, as further described below. Refer to Note 2, “Basis of Presentation and Significant Accounting Policies,” for information related to the modification in our presentation of inter-segment revenues and the reorganization of our Healthcare business into our other industry groups, primarily B&amp;I.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24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24455"/>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REPORTABLE SEGMENTS AND DESCRIPTIONS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3220" w:type="dxa"/>
            <w:vAlign w:val="bottom"/>
            <w:tcBorders>
              <w:top w:val="single" w:sz="8" w:color="auto"/>
              <w:right w:val="single" w:sz="8" w:color="auto"/>
            </w:tcBorders>
          </w:tcPr>
          <w:p>
            <w:pPr>
              <w:spacing w:after="0"/>
              <w:rPr>
                <w:sz w:val="24"/>
                <w:szCs w:val="24"/>
                <w:color w:val="auto"/>
              </w:rPr>
            </w:pPr>
          </w:p>
        </w:tc>
        <w:tc>
          <w:tcPr>
            <w:tcW w:w="8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B&amp;I, our largest reportable segment, encompasses janitorial, facilities engineering, and parking</w:t>
            </w:r>
          </w:p>
        </w:tc>
        <w:tc>
          <w:tcPr>
            <w:tcW w:w="0" w:type="dxa"/>
            <w:vAlign w:val="bottom"/>
          </w:tcPr>
          <w:p>
            <w:pPr>
              <w:spacing w:after="0"/>
              <w:rPr>
                <w:sz w:val="1"/>
                <w:szCs w:val="1"/>
                <w:color w:val="auto"/>
              </w:rPr>
            </w:pPr>
          </w:p>
        </w:tc>
      </w:tr>
      <w:tr>
        <w:trPr>
          <w:trHeight w:val="203"/>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B&amp;I</w:t>
            </w:r>
          </w:p>
        </w:tc>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services for commercial real estate properties, sports and entertainment venues, and traditional</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hospitals and non-acute healthcare facilities. B&amp;I also provides vehicle maintenance and other</w:t>
            </w:r>
          </w:p>
        </w:tc>
        <w:tc>
          <w:tcPr>
            <w:tcW w:w="0" w:type="dxa"/>
            <w:vAlign w:val="bottom"/>
          </w:tcPr>
          <w:p>
            <w:pPr>
              <w:spacing w:after="0"/>
              <w:rPr>
                <w:sz w:val="1"/>
                <w:szCs w:val="1"/>
                <w:color w:val="auto"/>
              </w:rPr>
            </w:pPr>
          </w:p>
        </w:tc>
      </w:tr>
      <w:tr>
        <w:trPr>
          <w:trHeight w:val="94"/>
        </w:trPr>
        <w:tc>
          <w:tcPr>
            <w:tcW w:w="3220" w:type="dxa"/>
            <w:vAlign w:val="bottom"/>
            <w:tcBorders>
              <w:right w:val="single" w:sz="8" w:color="auto"/>
            </w:tcBorders>
          </w:tcPr>
          <w:p>
            <w:pPr>
              <w:spacing w:after="0"/>
              <w:rPr>
                <w:sz w:val="8"/>
                <w:szCs w:val="8"/>
                <w:color w:val="auto"/>
              </w:rPr>
            </w:pPr>
          </w:p>
        </w:tc>
        <w:tc>
          <w:tcPr>
            <w:tcW w:w="8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220" w:type="dxa"/>
            <w:vAlign w:val="bottom"/>
            <w:tcBorders>
              <w:right w:val="single" w:sz="8" w:color="auto"/>
            </w:tcBorders>
          </w:tcPr>
          <w:p>
            <w:pPr>
              <w:spacing w:after="0"/>
              <w:rPr>
                <w:sz w:val="18"/>
                <w:szCs w:val="18"/>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services to rental car providers.</w:t>
            </w:r>
          </w:p>
        </w:tc>
        <w:tc>
          <w:tcPr>
            <w:tcW w:w="0" w:type="dxa"/>
            <w:vAlign w:val="bottom"/>
          </w:tcPr>
          <w:p>
            <w:pPr>
              <w:spacing w:after="0"/>
              <w:rPr>
                <w:sz w:val="1"/>
                <w:szCs w:val="1"/>
                <w:color w:val="auto"/>
              </w:rPr>
            </w:pPr>
          </w:p>
        </w:tc>
      </w:tr>
      <w:tr>
        <w:trPr>
          <w:trHeight w:val="122"/>
        </w:trPr>
        <w:tc>
          <w:tcPr>
            <w:tcW w:w="3220" w:type="dxa"/>
            <w:vAlign w:val="bottom"/>
            <w:tcBorders>
              <w:bottom w:val="single" w:sz="8" w:color="auto"/>
              <w:right w:val="single" w:sz="8" w:color="auto"/>
            </w:tcBorders>
          </w:tcPr>
          <w:p>
            <w:pPr>
              <w:spacing w:after="0"/>
              <w:rPr>
                <w:sz w:val="10"/>
                <w:szCs w:val="10"/>
                <w:color w:val="auto"/>
              </w:rPr>
            </w:pPr>
          </w:p>
        </w:tc>
        <w:tc>
          <w:tcPr>
            <w:tcW w:w="8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Aviation</w:t>
            </w:r>
          </w:p>
        </w:tc>
        <w:tc>
          <w:tcPr>
            <w:tcW w:w="8200" w:type="dxa"/>
            <w:vAlign w:val="bottom"/>
          </w:tcPr>
          <w:p>
            <w:pPr>
              <w:ind w:left="20"/>
              <w:spacing w:after="0"/>
              <w:rPr>
                <w:sz w:val="20"/>
                <w:szCs w:val="20"/>
                <w:color w:val="auto"/>
              </w:rPr>
            </w:pPr>
            <w:r>
              <w:rPr>
                <w:rFonts w:ascii="Arial" w:cs="Arial" w:eastAsia="Arial" w:hAnsi="Arial"/>
                <w:sz w:val="18"/>
                <w:szCs w:val="18"/>
                <w:color w:val="auto"/>
              </w:rPr>
              <w:t>Aviation supports airlines and airports with services ranging from parking and janitorial to passenger</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rPr>
                <w:sz w:val="20"/>
                <w:szCs w:val="20"/>
                <w:color w:val="auto"/>
              </w:rPr>
            </w:pPr>
            <w:r>
              <w:rPr>
                <w:rFonts w:ascii="Arial" w:cs="Arial" w:eastAsia="Arial" w:hAnsi="Arial"/>
                <w:sz w:val="18"/>
                <w:szCs w:val="18"/>
                <w:color w:val="auto"/>
              </w:rPr>
              <w:t>assistance, catering logistics, air cabin maintenance, and transportation.</w:t>
            </w:r>
          </w:p>
        </w:tc>
        <w:tc>
          <w:tcPr>
            <w:tcW w:w="0" w:type="dxa"/>
            <w:vAlign w:val="bottom"/>
          </w:tcPr>
          <w:p>
            <w:pPr>
              <w:spacing w:after="0"/>
              <w:rPr>
                <w:sz w:val="1"/>
                <w:szCs w:val="1"/>
                <w:color w:val="auto"/>
              </w:rPr>
            </w:pPr>
          </w:p>
        </w:tc>
      </w:tr>
      <w:tr>
        <w:trPr>
          <w:trHeight w:val="108"/>
        </w:trPr>
        <w:tc>
          <w:tcPr>
            <w:tcW w:w="3220" w:type="dxa"/>
            <w:vAlign w:val="bottom"/>
            <w:tcBorders>
              <w:right w:val="single" w:sz="8" w:color="auto"/>
            </w:tcBorders>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Borders>
              <w:bottom w:val="single" w:sz="8" w:color="auto"/>
              <w:right w:val="single" w:sz="8" w:color="auto"/>
            </w:tcBorders>
          </w:tcPr>
          <w:p>
            <w:pPr>
              <w:spacing w:after="0"/>
              <w:rPr>
                <w:sz w:val="10"/>
                <w:szCs w:val="10"/>
                <w:color w:val="auto"/>
              </w:rPr>
            </w:pPr>
          </w:p>
        </w:tc>
        <w:tc>
          <w:tcPr>
            <w:tcW w:w="8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T&amp;M</w:t>
            </w:r>
          </w:p>
        </w:tc>
        <w:tc>
          <w:tcPr>
            <w:tcW w:w="8200" w:type="dxa"/>
            <w:vAlign w:val="bottom"/>
          </w:tcPr>
          <w:p>
            <w:pPr>
              <w:ind w:left="20"/>
              <w:spacing w:after="0"/>
              <w:rPr>
                <w:sz w:val="20"/>
                <w:szCs w:val="20"/>
                <w:color w:val="auto"/>
              </w:rPr>
            </w:pPr>
            <w:r>
              <w:rPr>
                <w:rFonts w:ascii="Arial" w:cs="Arial" w:eastAsia="Arial" w:hAnsi="Arial"/>
                <w:sz w:val="18"/>
                <w:szCs w:val="18"/>
                <w:color w:val="auto"/>
              </w:rPr>
              <w:t>T&amp;M provides janitorial, facilities engineering, and parking services to industrial and high-tech</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rPr>
                <w:sz w:val="20"/>
                <w:szCs w:val="20"/>
                <w:color w:val="auto"/>
              </w:rPr>
            </w:pPr>
            <w:r>
              <w:rPr>
                <w:rFonts w:ascii="Arial" w:cs="Arial" w:eastAsia="Arial" w:hAnsi="Arial"/>
                <w:sz w:val="18"/>
                <w:szCs w:val="18"/>
                <w:color w:val="auto"/>
              </w:rPr>
              <w:t>manufacturing facilities.</w:t>
            </w:r>
          </w:p>
        </w:tc>
        <w:tc>
          <w:tcPr>
            <w:tcW w:w="0" w:type="dxa"/>
            <w:vAlign w:val="bottom"/>
          </w:tcPr>
          <w:p>
            <w:pPr>
              <w:spacing w:after="0"/>
              <w:rPr>
                <w:sz w:val="1"/>
                <w:szCs w:val="1"/>
                <w:color w:val="auto"/>
              </w:rPr>
            </w:pPr>
          </w:p>
        </w:tc>
      </w:tr>
      <w:tr>
        <w:trPr>
          <w:trHeight w:val="108"/>
        </w:trPr>
        <w:tc>
          <w:tcPr>
            <w:tcW w:w="3220" w:type="dxa"/>
            <w:vAlign w:val="bottom"/>
            <w:tcBorders>
              <w:right w:val="single" w:sz="8" w:color="auto"/>
            </w:tcBorders>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Borders>
              <w:bottom w:val="single" w:sz="8" w:color="auto"/>
              <w:right w:val="single" w:sz="8" w:color="auto"/>
            </w:tcBorders>
          </w:tcPr>
          <w:p>
            <w:pPr>
              <w:spacing w:after="0"/>
              <w:rPr>
                <w:sz w:val="10"/>
                <w:szCs w:val="10"/>
                <w:color w:val="auto"/>
              </w:rPr>
            </w:pPr>
          </w:p>
        </w:tc>
        <w:tc>
          <w:tcPr>
            <w:tcW w:w="8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Education</w:t>
            </w:r>
          </w:p>
        </w:tc>
        <w:tc>
          <w:tcPr>
            <w:tcW w:w="8200" w:type="dxa"/>
            <w:vAlign w:val="bottom"/>
          </w:tcPr>
          <w:p>
            <w:pPr>
              <w:ind w:left="20"/>
              <w:spacing w:after="0"/>
              <w:rPr>
                <w:sz w:val="20"/>
                <w:szCs w:val="20"/>
                <w:color w:val="auto"/>
              </w:rPr>
            </w:pPr>
            <w:r>
              <w:rPr>
                <w:rFonts w:ascii="Arial" w:cs="Arial" w:eastAsia="Arial" w:hAnsi="Arial"/>
                <w:sz w:val="18"/>
                <w:szCs w:val="18"/>
                <w:color w:val="auto"/>
              </w:rPr>
              <w:t>Education delivers janitorial, custodial, landscaping and grounds, facilities engineering, and parking</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rPr>
                <w:sz w:val="20"/>
                <w:szCs w:val="20"/>
                <w:color w:val="auto"/>
              </w:rPr>
            </w:pPr>
            <w:r>
              <w:rPr>
                <w:rFonts w:ascii="Arial" w:cs="Arial" w:eastAsia="Arial" w:hAnsi="Arial"/>
                <w:sz w:val="18"/>
                <w:szCs w:val="18"/>
                <w:color w:val="auto"/>
              </w:rPr>
              <w:t>services for public school districts, private schools, colleges, and universities.</w:t>
            </w:r>
          </w:p>
        </w:tc>
        <w:tc>
          <w:tcPr>
            <w:tcW w:w="0" w:type="dxa"/>
            <w:vAlign w:val="bottom"/>
          </w:tcPr>
          <w:p>
            <w:pPr>
              <w:spacing w:after="0"/>
              <w:rPr>
                <w:sz w:val="1"/>
                <w:szCs w:val="1"/>
                <w:color w:val="auto"/>
              </w:rPr>
            </w:pPr>
          </w:p>
        </w:tc>
      </w:tr>
      <w:tr>
        <w:trPr>
          <w:trHeight w:val="108"/>
        </w:trPr>
        <w:tc>
          <w:tcPr>
            <w:tcW w:w="3220" w:type="dxa"/>
            <w:vAlign w:val="bottom"/>
            <w:tcBorders>
              <w:right w:val="single" w:sz="8" w:color="auto"/>
            </w:tcBorders>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Borders>
              <w:bottom w:val="single" w:sz="8" w:color="auto"/>
              <w:right w:val="single" w:sz="8" w:color="auto"/>
            </w:tcBorders>
          </w:tcPr>
          <w:p>
            <w:pPr>
              <w:spacing w:after="0"/>
              <w:rPr>
                <w:sz w:val="10"/>
                <w:szCs w:val="10"/>
                <w:color w:val="auto"/>
              </w:rPr>
            </w:pPr>
          </w:p>
        </w:tc>
        <w:tc>
          <w:tcPr>
            <w:tcW w:w="8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Technical Solutions</w:t>
            </w:r>
          </w:p>
        </w:tc>
        <w:tc>
          <w:tcPr>
            <w:tcW w:w="8200" w:type="dxa"/>
            <w:vAlign w:val="bottom"/>
          </w:tcPr>
          <w:p>
            <w:pPr>
              <w:ind w:left="20"/>
              <w:spacing w:after="0"/>
              <w:rPr>
                <w:sz w:val="20"/>
                <w:szCs w:val="20"/>
                <w:color w:val="auto"/>
              </w:rPr>
            </w:pPr>
            <w:r>
              <w:rPr>
                <w:rFonts w:ascii="Arial" w:cs="Arial" w:eastAsia="Arial" w:hAnsi="Arial"/>
                <w:sz w:val="18"/>
                <w:szCs w:val="18"/>
                <w:color w:val="auto"/>
              </w:rPr>
              <w:t>Technical Solutions specializes in mechanical and electrical services. These services can also be</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rPr>
                <w:sz w:val="20"/>
                <w:szCs w:val="20"/>
                <w:color w:val="auto"/>
              </w:rPr>
            </w:pPr>
            <w:r>
              <w:rPr>
                <w:rFonts w:ascii="Arial" w:cs="Arial" w:eastAsia="Arial" w:hAnsi="Arial"/>
                <w:sz w:val="18"/>
                <w:szCs w:val="18"/>
                <w:color w:val="auto"/>
              </w:rPr>
              <w:t>leveraged for cross-selling across all of our industry groups, both domestically and internationally.</w:t>
            </w:r>
          </w:p>
        </w:tc>
        <w:tc>
          <w:tcPr>
            <w:tcW w:w="0" w:type="dxa"/>
            <w:vAlign w:val="bottom"/>
          </w:tcPr>
          <w:p>
            <w:pPr>
              <w:spacing w:after="0"/>
              <w:rPr>
                <w:sz w:val="1"/>
                <w:szCs w:val="1"/>
                <w:color w:val="auto"/>
              </w:rPr>
            </w:pPr>
          </w:p>
        </w:tc>
      </w:tr>
      <w:tr>
        <w:trPr>
          <w:trHeight w:val="108"/>
        </w:trPr>
        <w:tc>
          <w:tcPr>
            <w:tcW w:w="3220" w:type="dxa"/>
            <w:vAlign w:val="bottom"/>
            <w:tcBorders>
              <w:right w:val="single" w:sz="8" w:color="auto"/>
            </w:tcBorders>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Borders>
              <w:bottom w:val="single" w:sz="8" w:color="auto"/>
              <w:right w:val="single" w:sz="8" w:color="auto"/>
            </w:tcBorders>
          </w:tcPr>
          <w:p>
            <w:pPr>
              <w:spacing w:after="0"/>
              <w:rPr>
                <w:sz w:val="10"/>
                <w:szCs w:val="10"/>
                <w:color w:val="auto"/>
              </w:rPr>
            </w:pPr>
          </w:p>
        </w:tc>
        <w:tc>
          <w:tcPr>
            <w:tcW w:w="8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7"/>
        </w:trPr>
        <w:tc>
          <w:tcPr>
            <w:tcW w:w="3220" w:type="dxa"/>
            <w:vAlign w:val="bottom"/>
          </w:tcPr>
          <w:p>
            <w:pPr>
              <w:spacing w:after="0"/>
              <w:rPr>
                <w:sz w:val="24"/>
                <w:szCs w:val="24"/>
                <w:color w:val="auto"/>
              </w:rPr>
            </w:pPr>
          </w:p>
        </w:tc>
        <w:tc>
          <w:tcPr>
            <w:tcW w:w="8200" w:type="dxa"/>
            <w:vAlign w:val="bottom"/>
          </w:tcPr>
          <w:p>
            <w:pPr>
              <w:ind w:left="24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July 31,</w:t>
            </w:r>
          </w:p>
        </w:tc>
        <w:tc>
          <w:tcPr>
            <w:tcW w:w="280" w:type="dxa"/>
            <w:vAlign w:val="bottom"/>
          </w:tcPr>
          <w:p>
            <w:pPr>
              <w:spacing w:after="0"/>
              <w:rPr>
                <w:sz w:val="19"/>
                <w:szCs w:val="19"/>
                <w:color w:val="auto"/>
              </w:rPr>
            </w:pPr>
          </w:p>
        </w:tc>
        <w:tc>
          <w:tcPr>
            <w:tcW w:w="27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 July 31,</w:t>
            </w:r>
          </w:p>
        </w:tc>
      </w:tr>
      <w:tr>
        <w:trPr>
          <w:trHeight w:val="230"/>
        </w:trPr>
        <w:tc>
          <w:tcPr>
            <w:tcW w:w="51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4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80" w:type="dxa"/>
            <w:vAlign w:val="bottom"/>
            <w:shd w:val="clear" w:color="auto" w:fill="DCE2EF"/>
          </w:tcPr>
          <w:p>
            <w:pPr>
              <w:spacing w:after="0"/>
              <w:rPr>
                <w:sz w:val="22"/>
                <w:szCs w:val="22"/>
                <w:color w:val="auto"/>
              </w:rPr>
            </w:pPr>
          </w:p>
        </w:tc>
        <w:tc>
          <w:tcPr>
            <w:tcW w:w="11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807.9</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822.6</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2,444.5</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2,446.0</w:t>
            </w: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263.3</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260.5</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765.8</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769.7</w:t>
            </w: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231.0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687.3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691.0</w:t>
            </w: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215.4</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215.9</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633.6</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637.8</w:t>
            </w: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360.3</w:t>
            </w:r>
          </w:p>
        </w:tc>
      </w:tr>
      <w:tr>
        <w:trPr>
          <w:trHeight w:val="273"/>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Elimination of inter-segment revenues</w:t>
            </w:r>
          </w:p>
        </w:tc>
        <w:tc>
          <w:tcPr>
            <w:tcW w:w="28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DCE2EF"/>
          </w:tcPr>
          <w:p>
            <w:pPr>
              <w:spacing w:after="0"/>
              <w:rPr>
                <w:sz w:val="23"/>
                <w:szCs w:val="23"/>
                <w:color w:val="auto"/>
              </w:rPr>
            </w:pPr>
          </w:p>
        </w:tc>
        <w:tc>
          <w:tcPr>
            <w:tcW w:w="280" w:type="dxa"/>
            <w:vAlign w:val="bottom"/>
            <w:tcBorders>
              <w:bottom w:val="single" w:sz="8" w:color="auto"/>
            </w:tcBorders>
            <w:shd w:val="clear" w:color="auto" w:fill="DCE2EF"/>
          </w:tcPr>
          <w:p>
            <w:pPr>
              <w:spacing w:after="0"/>
              <w:rPr>
                <w:sz w:val="23"/>
                <w:szCs w:val="23"/>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(98.3)</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(111.4)</w:t>
            </w:r>
          </w:p>
        </w:tc>
      </w:tr>
      <w:tr>
        <w:trPr>
          <w:trHeight w:val="277"/>
        </w:trPr>
        <w:tc>
          <w:tcPr>
            <w:tcW w:w="40" w:type="dxa"/>
            <w:vAlign w:val="bottom"/>
            <w:tcBorders>
              <w:bottom w:val="single" w:sz="8" w:color="DCE2EF"/>
            </w:tcBorders>
          </w:tcPr>
          <w:p>
            <w:pPr>
              <w:spacing w:after="0"/>
              <w:rPr>
                <w:sz w:val="24"/>
                <w:szCs w:val="24"/>
                <w:color w:val="auto"/>
              </w:rPr>
            </w:pPr>
          </w:p>
        </w:tc>
        <w:tc>
          <w:tcPr>
            <w:tcW w:w="700" w:type="dxa"/>
            <w:vAlign w:val="bottom"/>
            <w:tcBorders>
              <w:bottom w:val="single" w:sz="8" w:color="DCE2EF"/>
            </w:tcBorders>
          </w:tcPr>
          <w:p>
            <w:pPr>
              <w:spacing w:after="0"/>
              <w:rPr>
                <w:sz w:val="24"/>
                <w:szCs w:val="24"/>
                <w:color w:val="auto"/>
              </w:rPr>
            </w:pPr>
          </w:p>
        </w:tc>
        <w:tc>
          <w:tcPr>
            <w:tcW w:w="4400" w:type="dxa"/>
            <w:vAlign w:val="bottom"/>
            <w:tcBorders>
              <w:bottom w:val="single" w:sz="8" w:color="DCE2E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1,647.9</w:t>
            </w:r>
          </w:p>
        </w:tc>
        <w:tc>
          <w:tcPr>
            <w:tcW w:w="120" w:type="dxa"/>
            <w:vAlign w:val="bottom"/>
            <w:tcBorders>
              <w:bottom w:val="single" w:sz="8" w:color="DCE2E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1,624.3</w:t>
            </w:r>
          </w:p>
        </w:tc>
        <w:tc>
          <w:tcPr>
            <w:tcW w:w="120" w:type="dxa"/>
            <w:vAlign w:val="bottom"/>
            <w:tcBorders>
              <w:bottom w:val="single" w:sz="8" w:color="DCE2E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4,850.6</w:t>
            </w:r>
          </w:p>
        </w:tc>
        <w:tc>
          <w:tcPr>
            <w:tcW w:w="120" w:type="dxa"/>
            <w:vAlign w:val="bottom"/>
            <w:tcBorders>
              <w:bottom w:val="single" w:sz="8" w:color="DCE2E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4,793.5</w:t>
            </w:r>
          </w:p>
        </w:tc>
      </w:tr>
      <w:tr>
        <w:trPr>
          <w:trHeight w:val="257"/>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28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80" w:type="dxa"/>
            <w:vAlign w:val="bottom"/>
            <w:shd w:val="clear" w:color="auto" w:fill="DCE2EF"/>
          </w:tcPr>
          <w:p>
            <w:pPr>
              <w:spacing w:after="0"/>
              <w:rPr>
                <w:sz w:val="22"/>
                <w:szCs w:val="22"/>
                <w:color w:val="auto"/>
              </w:rPr>
            </w:pPr>
          </w:p>
        </w:tc>
        <w:tc>
          <w:tcPr>
            <w:tcW w:w="11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131.2</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114.8</w:t>
            </w: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20.6</w:t>
            </w: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49.8</w:t>
            </w: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32.1</w:t>
            </w: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28.8</w:t>
            </w: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Government Services</w:t>
            </w:r>
          </w:p>
        </w:tc>
        <w:tc>
          <w:tcPr>
            <w:tcW w:w="280" w:type="dxa"/>
            <w:vAlign w:val="bottom"/>
            <w:shd w:val="clear" w:color="auto" w:fill="DCE2EF"/>
          </w:tcPr>
          <w:p>
            <w:pPr>
              <w:spacing w:after="0"/>
              <w:rPr>
                <w:sz w:val="24"/>
                <w:szCs w:val="24"/>
                <w:color w:val="auto"/>
              </w:rPr>
            </w:pPr>
          </w:p>
        </w:tc>
        <w:tc>
          <w:tcPr>
            <w:tcW w:w="136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4"/>
                <w:szCs w:val="24"/>
                <w:color w:val="auto"/>
              </w:rPr>
            </w:pPr>
          </w:p>
        </w:tc>
        <w:tc>
          <w:tcPr>
            <w:tcW w:w="124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DCE2EF"/>
          </w:tcPr>
          <w:p>
            <w:pPr>
              <w:spacing w:after="0"/>
              <w:rPr>
                <w:sz w:val="24"/>
                <w:szCs w:val="24"/>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(127.3)</w:t>
            </w:r>
          </w:p>
        </w:tc>
      </w:tr>
      <w:tr>
        <w:trPr>
          <w:trHeight w:val="228"/>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Adjustment for income from unconsolidated affiliates, included in</w:t>
            </w:r>
          </w:p>
        </w:tc>
        <w:tc>
          <w:tcPr>
            <w:tcW w:w="280" w:type="dxa"/>
            <w:vAlign w:val="bottom"/>
            <w:shd w:val="clear" w:color="auto" w:fill="DCE2EF"/>
          </w:tcPr>
          <w:p>
            <w:pPr>
              <w:spacing w:after="0"/>
              <w:rPr>
                <w:sz w:val="19"/>
                <w:szCs w:val="19"/>
                <w:color w:val="auto"/>
              </w:rPr>
            </w:pPr>
          </w:p>
        </w:tc>
        <w:tc>
          <w:tcPr>
            <w:tcW w:w="12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11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20" w:type="dxa"/>
            <w:vAlign w:val="bottom"/>
            <w:shd w:val="clear" w:color="auto" w:fill="DCE2EF"/>
          </w:tcPr>
          <w:p>
            <w:pPr>
              <w:spacing w:after="0"/>
              <w:rPr>
                <w:sz w:val="19"/>
                <w:szCs w:val="19"/>
                <w:color w:val="auto"/>
              </w:rPr>
            </w:pPr>
          </w:p>
        </w:tc>
      </w:tr>
      <w:tr>
        <w:trPr>
          <w:trHeight w:val="214"/>
        </w:trPr>
        <w:tc>
          <w:tcPr>
            <w:tcW w:w="4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Aviation</w:t>
            </w:r>
          </w:p>
        </w:tc>
        <w:tc>
          <w:tcPr>
            <w:tcW w:w="280" w:type="dxa"/>
            <w:vAlign w:val="bottom"/>
            <w:shd w:val="clear" w:color="auto" w:fill="DCE2EF"/>
          </w:tcPr>
          <w:p>
            <w:pPr>
              <w:spacing w:after="0"/>
              <w:rPr>
                <w:sz w:val="18"/>
                <w:szCs w:val="18"/>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w:t>
            </w:r>
          </w:p>
        </w:tc>
      </w:tr>
      <w:tr>
        <w:trPr>
          <w:trHeight w:val="218"/>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Adjustment for tax deductions for energy efficient government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40" w:type="dxa"/>
            <w:vAlign w:val="bottom"/>
            <w:tcBorders>
              <w:bottom w:val="single" w:sz="8" w:color="DCE2EF"/>
            </w:tcBorders>
          </w:tcPr>
          <w:p>
            <w:pPr>
              <w:spacing w:after="0"/>
              <w:rPr>
                <w:sz w:val="18"/>
                <w:szCs w:val="18"/>
                <w:color w:val="auto"/>
              </w:rPr>
            </w:pPr>
          </w:p>
        </w:tc>
        <w:tc>
          <w:tcPr>
            <w:tcW w:w="5100" w:type="dxa"/>
            <w:vAlign w:val="bottom"/>
            <w:tcBorders>
              <w:bottom w:val="single" w:sz="8" w:color="DCE2EF"/>
            </w:tcBorders>
            <w:gridSpan w:val="2"/>
          </w:tcPr>
          <w:p>
            <w:pPr>
              <w:ind w:left="160"/>
              <w:spacing w:after="0"/>
              <w:rPr>
                <w:sz w:val="20"/>
                <w:szCs w:val="20"/>
                <w:color w:val="auto"/>
              </w:rPr>
            </w:pPr>
            <w:r>
              <w:rPr>
                <w:rFonts w:ascii="Arial" w:cs="Arial" w:eastAsia="Arial" w:hAnsi="Arial"/>
                <w:sz w:val="16"/>
                <w:szCs w:val="16"/>
                <w:color w:val="auto"/>
              </w:rPr>
              <w:t>buildings, included in Technical Solutions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DCE2E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50"/>
        </w:trPr>
        <w:tc>
          <w:tcPr>
            <w:tcW w:w="40" w:type="dxa"/>
            <w:vAlign w:val="bottom"/>
            <w:shd w:val="clear" w:color="auto" w:fill="DCE2EF"/>
          </w:tcPr>
          <w:p>
            <w:pPr>
              <w:spacing w:after="0"/>
              <w:rPr>
                <w:sz w:val="21"/>
                <w:szCs w:val="21"/>
                <w:color w:val="auto"/>
              </w:rPr>
            </w:pPr>
          </w:p>
        </w:tc>
        <w:tc>
          <w:tcPr>
            <w:tcW w:w="700" w:type="dxa"/>
            <w:vAlign w:val="bottom"/>
            <w:shd w:val="clear" w:color="auto" w:fill="DCE2EF"/>
          </w:tcPr>
          <w:p>
            <w:pPr>
              <w:spacing w:after="0"/>
              <w:rPr>
                <w:sz w:val="21"/>
                <w:szCs w:val="21"/>
                <w:color w:val="auto"/>
              </w:rPr>
            </w:pPr>
          </w:p>
        </w:tc>
        <w:tc>
          <w:tcPr>
            <w:tcW w:w="4400" w:type="dxa"/>
            <w:vAlign w:val="bottom"/>
            <w:shd w:val="clear" w:color="auto" w:fill="DCE2EF"/>
          </w:tcPr>
          <w:p>
            <w:pPr>
              <w:spacing w:after="0"/>
              <w:rPr>
                <w:sz w:val="21"/>
                <w:szCs w:val="21"/>
                <w:color w:val="auto"/>
              </w:rPr>
            </w:pPr>
          </w:p>
        </w:tc>
        <w:tc>
          <w:tcPr>
            <w:tcW w:w="28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57.3</w:t>
            </w:r>
          </w:p>
        </w:tc>
        <w:tc>
          <w:tcPr>
            <w:tcW w:w="120" w:type="dxa"/>
            <w:vAlign w:val="bottom"/>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spacing w:after="0"/>
              <w:rPr>
                <w:sz w:val="21"/>
                <w:szCs w:val="21"/>
                <w:color w:val="auto"/>
              </w:rPr>
            </w:pPr>
          </w:p>
        </w:tc>
        <w:tc>
          <w:tcPr>
            <w:tcW w:w="11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DCE2EF"/>
          </w:tcPr>
          <w:p>
            <w:pPr>
              <w:spacing w:after="0"/>
              <w:rPr>
                <w:sz w:val="21"/>
                <w:szCs w:val="21"/>
                <w:color w:val="auto"/>
              </w:rPr>
            </w:pPr>
          </w:p>
        </w:tc>
        <w:tc>
          <w:tcPr>
            <w:tcW w:w="280" w:type="dxa"/>
            <w:vAlign w:val="bottom"/>
            <w:tcBorders>
              <w:bottom w:val="single" w:sz="8" w:color="auto"/>
            </w:tcBorders>
            <w:shd w:val="clear" w:color="auto" w:fill="DCE2EF"/>
          </w:tcPr>
          <w:p>
            <w:pPr>
              <w:spacing w:after="0"/>
              <w:rPr>
                <w:sz w:val="21"/>
                <w:szCs w:val="21"/>
                <w:color w:val="auto"/>
              </w:rPr>
            </w:pPr>
          </w:p>
        </w:tc>
        <w:tc>
          <w:tcPr>
            <w:tcW w:w="11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142.1</w:t>
            </w:r>
          </w:p>
        </w:tc>
        <w:tc>
          <w:tcPr>
            <w:tcW w:w="120" w:type="dxa"/>
            <w:vAlign w:val="bottom"/>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spacing w:after="0"/>
              <w:rPr>
                <w:sz w:val="21"/>
                <w:szCs w:val="21"/>
                <w:color w:val="auto"/>
              </w:rPr>
            </w:pPr>
          </w:p>
        </w:tc>
        <w:tc>
          <w:tcPr>
            <w:tcW w:w="11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112.9</w:t>
            </w:r>
          </w:p>
        </w:tc>
      </w:tr>
      <w:tr>
        <w:trPr>
          <w:trHeight w:val="247"/>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w:t>
            </w:r>
          </w:p>
        </w:tc>
        <w:tc>
          <w:tcPr>
            <w:tcW w:w="28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DCE2EF"/>
          </w:tcPr>
          <w:p>
            <w:pPr>
              <w:spacing w:after="0"/>
              <w:rPr>
                <w:sz w:val="24"/>
                <w:szCs w:val="24"/>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DCE2EF"/>
          </w:tcPr>
          <w:p>
            <w:pPr>
              <w:spacing w:after="0"/>
              <w:rPr>
                <w:sz w:val="24"/>
                <w:szCs w:val="24"/>
                <w:color w:val="auto"/>
              </w:rPr>
            </w:pPr>
          </w:p>
        </w:tc>
        <w:tc>
          <w:tcPr>
            <w:tcW w:w="280" w:type="dxa"/>
            <w:vAlign w:val="bottom"/>
            <w:tcBorders>
              <w:bottom w:val="single" w:sz="8" w:color="auto"/>
            </w:tcBorders>
            <w:shd w:val="clear" w:color="auto" w:fill="DCE2EF"/>
          </w:tcPr>
          <w:p>
            <w:pPr>
              <w:spacing w:after="0"/>
              <w:rPr>
                <w:sz w:val="24"/>
                <w:szCs w:val="24"/>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(39.2)</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(41.0)</w:t>
            </w:r>
          </w:p>
        </w:tc>
      </w:tr>
      <w:tr>
        <w:trPr>
          <w:trHeight w:val="23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actuarial adjustments to self-insurance reserves, and direct acquisition costs.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2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0046AD"/>
        </w:rPr>
        <w:t>ITEM 2. MANAGEMENT’S DISCUSSION AND ANALYSIS OF FINANCIAL CONDITION AND RESULTS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2018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 which ends on October 31.</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Effective November 1, 2018, we adopted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606) </w:t>
      </w:r>
      <w:r>
        <w:rPr>
          <w:rFonts w:ascii="Arial" w:cs="Arial" w:eastAsia="Arial" w:hAnsi="Arial"/>
          <w:sz w:val="18"/>
          <w:szCs w:val="18"/>
          <w:color w:val="auto"/>
        </w:rPr>
        <w:t>and ASU 2017-10</w:t>
      </w:r>
      <w:r>
        <w:rPr>
          <w:rFonts w:ascii="Arial" w:cs="Arial" w:eastAsia="Arial" w:hAnsi="Arial"/>
          <w:sz w:val="18"/>
          <w:szCs w:val="18"/>
          <w:i w:val="1"/>
          <w:iCs w:val="1"/>
          <w:color w:val="auto"/>
        </w:rPr>
        <w:t xml:space="preserve">, Service Concession Arrangements (Topic 853): Determining the Customer of the Operation Services </w:t>
      </w:r>
      <w:r>
        <w:rPr>
          <w:rFonts w:ascii="Arial" w:cs="Arial" w:eastAsia="Arial" w:hAnsi="Arial"/>
          <w:sz w:val="18"/>
          <w:szCs w:val="18"/>
          <w:color w:val="auto"/>
        </w:rPr>
        <w:t>using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retrospective approach with a cumulative-effect adjustment to retained earnings as of the beginning of 2019; prior period financial statements are not adjusted. Refer to Note 2, “Basis of Presentation and Significant Accounting Policies,” and Note 3, “Revenue,” in the Financial Statements for additional information regarding the impact of adoption.</w:t>
      </w: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ABM is a leading provider of integrated facility services, customized by industry, with a mission to </w:t>
      </w:r>
      <w:r>
        <w:rPr>
          <w:rFonts w:ascii="Arial" w:cs="Arial" w:eastAsia="Arial" w:hAnsi="Arial"/>
          <w:sz w:val="18"/>
          <w:szCs w:val="18"/>
          <w:b w:val="1"/>
          <w:bCs w:val="1"/>
          <w:color w:val="006EBF"/>
        </w:rPr>
        <w:t>make a difference, every person,</w:t>
      </w:r>
      <w:r>
        <w:rPr>
          <w:rFonts w:ascii="Arial" w:cs="Arial" w:eastAsia="Arial" w:hAnsi="Arial"/>
          <w:sz w:val="18"/>
          <w:szCs w:val="18"/>
          <w:color w:val="auto"/>
        </w:rPr>
        <w:t xml:space="preserve"> </w:t>
      </w:r>
      <w:r>
        <w:rPr>
          <w:rFonts w:ascii="Arial" w:cs="Arial" w:eastAsia="Arial" w:hAnsi="Arial"/>
          <w:sz w:val="18"/>
          <w:szCs w:val="18"/>
          <w:b w:val="1"/>
          <w:bCs w:val="1"/>
          <w:color w:val="006EBF"/>
        </w:rPr>
        <w:t>every day</w:t>
      </w:r>
      <w:r>
        <w:rPr>
          <w:rFonts w:ascii="Arial" w:cs="Arial" w:eastAsia="Arial" w:hAnsi="Arial"/>
          <w:sz w:val="18"/>
          <w:szCs w:val="18"/>
          <w:color w:val="000000"/>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b w:val="1"/>
          <w:bCs w:val="1"/>
          <w:color w:val="0046AD"/>
        </w:rPr>
        <w:t>Developments in 2019</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2015, we announced a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We continue focusing on several key initiatives across our organization to sustain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strategy and profitably deliver leading industry-based facility solutions. We are targeting significant investments in our information technology infrastructure to help simplify our operating environment, drive productivity, and create consistency and efficiency across our organization. We continue upgrading several key platforms, including our human resources information systems, enterprise resource planning system, and labor management system. We are also utilizing technology to help improve processes company-wide, including account planning, labor management, payroll, and procurement. We continue to centralize many of our back-office functions through our Enterprise Services Center in Sugar Land, Texas to help drive consistency in practice and support operating efficiency. In addition, by consolidating purchasing activities we have been able to leverage our scale, increase our purchasing power, and identify preferred suppliers, which has enabled cost saving opportunities in supplies and materials procurement.</w:t>
      </w: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Developments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Economic Labor Outlook</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economy continues to demonstrate positive underlying fundamentals, with expanding gross domestic product growth and improving employment conditions, which have led to historically low levels of both unemployment and underemployment across the country. These factors have contributed to the lower availability of qualified labor for our business and higher turnover in certain markets, as our employees have more job opportunities both inside and outside our industry. This in turn has caused, and may continue to cause, higher labor and related personnel costs.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0046AD"/>
        </w:rPr>
        <w:t>Restructuring and Related Costs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may periodically engage in various restructuring activities intended to drive long-term profitable growth and increase operational efficiency, which can include streamlining and realigning our overall organizational structure and reallocating resources. These activities may result in restructuring costs related to employee severance, other project fees, external support fees, lease exit costs, and asset impairment charges. Recently, our significant restructuring activities have primarily related to integrating our acquisition of GCA Services Group (“GCA”) and implementing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GCA and Other Restructuring</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first quarter of 2018, we initiated a restructuring program to achieve cost synergies following the acquisition of GCA. We incurred the majority of our severance expense associated with this restructuring program in the first half of 2018. During 2019, we incurred an immaterial amount of severance and other expenses associated with our Healthcare reorganization. Additionally, we continue standardizing our financial systems and streamlining our operations by migrating and upgrading several key management platforms, including our human resources information systems, enterprise resource planning system, and labor management system. We also continue consolidating our real estate leases. As we continue to further integrate and consolidate our operational and financial processes to support the growth and capabilities of our shared services and operations, we expect to incur additional restructuring charges, primarily related to other project fees.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0"/>
                <w:szCs w:val="20"/>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Nine Months Ended</w:t>
            </w: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43"/>
        </w:trPr>
        <w:tc>
          <w:tcPr>
            <w:tcW w:w="39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1"/>
                <w:szCs w:val="21"/>
                <w:color w:val="auto"/>
              </w:rPr>
            </w:pPr>
          </w:p>
        </w:tc>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July 31, 2019</w:t>
            </w:r>
          </w:p>
        </w:tc>
        <w:tc>
          <w:tcPr>
            <w:tcW w:w="240" w:type="dxa"/>
            <w:vAlign w:val="bottom"/>
          </w:tcPr>
          <w:p>
            <w:pPr>
              <w:spacing w:after="0"/>
              <w:rPr>
                <w:sz w:val="21"/>
                <w:szCs w:val="21"/>
                <w:color w:val="auto"/>
              </w:rPr>
            </w:pP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July 31, 2019</w:t>
            </w:r>
          </w:p>
        </w:tc>
        <w:tc>
          <w:tcPr>
            <w:tcW w:w="420" w:type="dxa"/>
            <w:vAlign w:val="bottom"/>
          </w:tcPr>
          <w:p>
            <w:pPr>
              <w:spacing w:after="0"/>
              <w:rPr>
                <w:sz w:val="21"/>
                <w:szCs w:val="21"/>
                <w:color w:val="auto"/>
              </w:rPr>
            </w:pPr>
          </w:p>
        </w:tc>
        <w:tc>
          <w:tcPr>
            <w:tcW w:w="1980" w:type="dxa"/>
            <w:vAlign w:val="bottom"/>
          </w:tcPr>
          <w:p>
            <w:pPr>
              <w:jc w:val="right"/>
              <w:ind w:right="63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24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39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Employee severance</w:t>
            </w: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DCE2EF"/>
          </w:tcPr>
          <w:p>
            <w:pPr>
              <w:spacing w:after="0"/>
              <w:rPr>
                <w:sz w:val="21"/>
                <w:szCs w:val="21"/>
                <w:color w:val="auto"/>
              </w:rPr>
            </w:pPr>
          </w:p>
        </w:tc>
        <w:tc>
          <w:tcPr>
            <w:tcW w:w="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CE2EF"/>
          </w:tcPr>
          <w:p>
            <w:pPr>
              <w:spacing w:after="0"/>
              <w:rPr>
                <w:sz w:val="21"/>
                <w:szCs w:val="21"/>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16.9</w:t>
            </w:r>
          </w:p>
        </w:tc>
      </w:tr>
      <w:tr>
        <w:trPr>
          <w:trHeight w:val="26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Other project fees</w:t>
            </w:r>
          </w:p>
        </w:tc>
        <w:tc>
          <w:tcPr>
            <w:tcW w:w="22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7"/>
        </w:trPr>
        <w:tc>
          <w:tcPr>
            <w:tcW w:w="39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External support fees</w:t>
            </w:r>
          </w:p>
        </w:tc>
        <w:tc>
          <w:tcPr>
            <w:tcW w:w="220" w:type="dxa"/>
            <w:vAlign w:val="bottom"/>
            <w:shd w:val="clear" w:color="auto" w:fill="DCE2EF"/>
          </w:tcPr>
          <w:p>
            <w:pPr>
              <w:spacing w:after="0"/>
              <w:rPr>
                <w:sz w:val="24"/>
                <w:szCs w:val="24"/>
                <w:color w:val="auto"/>
              </w:rPr>
            </w:pPr>
          </w:p>
        </w:tc>
        <w:tc>
          <w:tcPr>
            <w:tcW w:w="21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2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2.8</w:t>
            </w:r>
          </w:p>
        </w:tc>
      </w:tr>
      <w:tr>
        <w:trPr>
          <w:trHeight w:val="264"/>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Lease exit costs and asset impairment</w:t>
            </w:r>
          </w:p>
        </w:tc>
        <w:tc>
          <w:tcPr>
            <w:tcW w:w="220" w:type="dxa"/>
            <w:vAlign w:val="bottom"/>
          </w:tcPr>
          <w:p>
            <w:pPr>
              <w:spacing w:after="0"/>
              <w:rPr>
                <w:sz w:val="22"/>
                <w:szCs w:val="22"/>
                <w:color w:val="auto"/>
              </w:rPr>
            </w:pP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57"/>
        </w:trPr>
        <w:tc>
          <w:tcPr>
            <w:tcW w:w="3980" w:type="dxa"/>
            <w:vAlign w:val="bottom"/>
            <w:tcBorders>
              <w:top w:val="single" w:sz="8" w:color="DCE2EF"/>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top w:val="single" w:sz="8" w:color="DCE2EF"/>
              <w:bottom w:val="single" w:sz="8" w:color="DCE2EF"/>
            </w:tcBorders>
            <w:shd w:val="clear" w:color="auto" w:fill="DCE2EF"/>
          </w:tcPr>
          <w:p>
            <w:pPr>
              <w:spacing w:after="0"/>
              <w:rPr>
                <w:sz w:val="22"/>
                <w:szCs w:val="22"/>
                <w:color w:val="auto"/>
              </w:rPr>
            </w:pPr>
          </w:p>
        </w:tc>
        <w:tc>
          <w:tcPr>
            <w:tcW w:w="240" w:type="dxa"/>
            <w:vAlign w:val="bottom"/>
            <w:tcBorders>
              <w:top w:val="single" w:sz="8" w:color="auto"/>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top w:val="single" w:sz="8" w:color="auto"/>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top w:val="single" w:sz="8" w:color="DCE2EF"/>
              <w:bottom w:val="single" w:sz="8" w:color="DCE2EF"/>
            </w:tcBorders>
            <w:shd w:val="clear" w:color="auto" w:fill="DCE2EF"/>
          </w:tcPr>
          <w:p>
            <w:pPr>
              <w:spacing w:after="0"/>
              <w:rPr>
                <w:sz w:val="22"/>
                <w:szCs w:val="22"/>
                <w:color w:val="auto"/>
              </w:rPr>
            </w:pPr>
          </w:p>
        </w:tc>
        <w:tc>
          <w:tcPr>
            <w:tcW w:w="420" w:type="dxa"/>
            <w:vAlign w:val="bottom"/>
            <w:tcBorders>
              <w:top w:val="single" w:sz="8" w:color="auto"/>
              <w:bottom w:val="single" w:sz="8" w:color="auto"/>
            </w:tcBorders>
            <w:shd w:val="clear" w:color="auto" w:fill="DCE2E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b w:val="1"/>
                <w:bCs w:val="1"/>
                <w:color w:val="auto"/>
              </w:rPr>
              <w:t>31.8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0046AD"/>
        </w:rPr>
        <w:t>Segment Reporting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current reportable segments consist of Business &amp; Industry (“B&amp;I”), Aviation, Technology &amp; Manufacturing (“T&amp;M”), Education, and Technical Solutions, as further described below. Effective November 1, 2018, we have modified the presentation of inter-segment revenues, which are recorded at cost with no associated intercompany profit or loss and are eliminated in consolidation. Additionally, during the third quarter of 2019, we made changes to our operating structure to better align the services and expertise of our Healthcare business with our other industry groups, allowing us to leverage our existing branch network to support the long-term growth of this business. As a result, our former Healthcare portfolio is now included primarily in our Business &amp; Industry segment. Our prior period segment data has been reclassified to conform with our current period presentation. These changes had no impact on our previously reported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3224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22453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REPORTABLE SEGMENTS AND DESCRIPTIONS</w:t>
      </w:r>
    </w:p>
    <w:p>
      <w:pPr>
        <w:spacing w:after="0" w:line="126" w:lineRule="exact"/>
        <w:rPr>
          <w:sz w:val="20"/>
          <w:szCs w:val="20"/>
          <w:color w:val="auto"/>
        </w:rPr>
      </w:pPr>
    </w:p>
    <w:p>
      <w:pPr>
        <w:jc w:val="both"/>
        <w:ind w:left="3240" w:right="40"/>
        <w:spacing w:after="0" w:line="239" w:lineRule="auto"/>
        <w:rPr>
          <w:sz w:val="20"/>
          <w:szCs w:val="20"/>
          <w:color w:val="auto"/>
        </w:rPr>
      </w:pPr>
      <w:r>
        <w:rPr>
          <w:rFonts w:ascii="Arial" w:cs="Arial" w:eastAsia="Arial" w:hAnsi="Arial"/>
          <w:sz w:val="18"/>
          <w:szCs w:val="18"/>
          <w:color w:val="auto"/>
        </w:rPr>
        <w:t>B&amp;I, our largest reportable segment, encompasses janitorial, facilities engineering, and parking services for commercial real estate properties, sports and entertainment venues, and traditional hospitals and non-acute healthcare facilities. B&amp;I also provides vehicle maintenance and other services to rental car providers.</w:t>
      </w:r>
    </w:p>
    <w:p>
      <w:pPr>
        <w:spacing w:after="0" w:line="337"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Aviation supports airlines and airports with services ranging from parking and janitorial to passenger assistance, catering logistics, air cabin maintenance, and transportation.</w:t>
      </w:r>
    </w:p>
    <w:p>
      <w:pPr>
        <w:spacing w:after="0" w:line="200" w:lineRule="exact"/>
        <w:rPr>
          <w:sz w:val="20"/>
          <w:szCs w:val="20"/>
          <w:color w:val="auto"/>
        </w:rPr>
      </w:pPr>
    </w:p>
    <w:p>
      <w:pPr>
        <w:spacing w:after="0" w:line="335"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T&amp;M provides janitorial, facilities engineering, and parking services to industrial and high-tech manufacturing facilities.</w:t>
      </w:r>
    </w:p>
    <w:p>
      <w:pPr>
        <w:spacing w:after="0" w:line="200" w:lineRule="exact"/>
        <w:rPr>
          <w:sz w:val="20"/>
          <w:szCs w:val="20"/>
          <w:color w:val="auto"/>
        </w:rPr>
      </w:pPr>
    </w:p>
    <w:p>
      <w:pPr>
        <w:spacing w:after="0" w:line="335"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Education delivers janitorial, custodial, landscaping and grounds, facilities engineering, and parking services for public school districts, private schools, colleges, and universities.</w:t>
      </w:r>
    </w:p>
    <w:p>
      <w:pPr>
        <w:spacing w:after="0" w:line="200" w:lineRule="exact"/>
        <w:rPr>
          <w:sz w:val="20"/>
          <w:szCs w:val="20"/>
          <w:color w:val="auto"/>
        </w:rPr>
      </w:pPr>
    </w:p>
    <w:p>
      <w:pPr>
        <w:spacing w:after="0" w:line="335"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Technical Solutions specializes in mechanical and electrical services. These services can also be leveraged for cross-selling across all of our industry groups, both domestically and internationally.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2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0046AD"/>
        </w:rPr>
        <w:t>Insurance</w:t>
      </w:r>
    </w:p>
    <w:p>
      <w:pPr>
        <w:spacing w:after="0" w:line="2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 This year, the actuarial reviews performed indicate the changes we have made to our risk management program are positively impacting the frequency and severity of claims; however, there is some flattening of claims frequency reductions as compared to prior periods. The claims management strategies and programs that we have implemented have resulted in better than anticipated improvements in early identification of certain claims that may potentially develop adversely. Furthermore, we continue to focus on ensuring the establishment of reserves consistent with known fact patterns. The actuarial reviews also showed unfavorable developments relative to our estimates of ultimate losses related to certain prior claim years regarding our general liability, property damage, workers’ compensation, and automobile liability programs.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the results of the actuarial reviews, at July 31, 2019 we decreased our total reserves for prior periods by $3.0 million. Together with the $5.0 million increase we recorded during the first half of 2019, the net increase to our reserves for claims related to prior periods was $2.0 million for the nine months ended July 31, 2019. This adjustment was $8.0 million lower than the total adjustment related to prior year claims of $10.0 million during the nine months ended July 31, 2018.</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fourth quarter of 2019, we expect to perform an update to our most recent actuarial review for our significant insurance programs that will use updated claims data and consider changes in claims development and claims payment activity for the periods analyzed. This review will be abbreviated in nature based on actual versus expected development during the periods analyzed and will rely on the key assumptions in the annual comprehensive actuarial review we performed during the third quarter (most notably loss development patterns, trend assumptions, and underlying expected loss costs) and will include claims related to certain previously acquired businesses. This review may lead to further adjustments to our insurance reserves.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Key Financial Highlights</w:t>
      </w:r>
    </w:p>
    <w:p>
      <w:pPr>
        <w:spacing w:after="0" w:line="193" w:lineRule="exact"/>
        <w:rPr>
          <w:sz w:val="20"/>
          <w:szCs w:val="20"/>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Revenues increased by $23.6 million, or 1.5%, during the three months ended July 31, 2019, as compared to the three months ended July 31, 2018, primarily due to organic growth in our U.S. Technical Solutions business.</w:t>
      </w:r>
    </w:p>
    <w:p>
      <w:pPr>
        <w:spacing w:after="0" w:line="88"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profit increased by $9.2 million, or 19.0%, during the three months ended July 31, 2019, as compared to the three months ended July 31, 2018. The increase in operating profit is primarily attributable to improved margins within B&amp;I and the contribution of higher project revenues in our U.S. Technical Solutions business, as well as a lower self-insurance adjustment related to prior year claims.</w:t>
      </w:r>
    </w:p>
    <w:p>
      <w:pPr>
        <w:spacing w:after="0" w:line="96"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had a provision for tax of $25.8 million during the nine months ended July 31, 2019, as compared to a benefit from tax of $12.7 million during the nine months ended July 31, 2018. The 2018 period benefited primarily from a net discrete tax benefit of $21.5 million related to the Tax Cuts and Jobs Act (the “Tax Act”).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cash provided by operating activities was $114.0 million during the nine months ended July 31, 2019.</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Dividends of $35.8 million were paid to shareholders, and dividends totaling $0.540 per common share were declared during the nine months ended July 31, 2019.</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July 31, 2019, total outstanding borrowings under our credit facility were $932.1 million, and we had up to $457.0 million of borrowing capacity under our credit facility; however, covenant restrictions limited our actual borrowing capacity to $261.5 million.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1" w:right="239" w:bottom="1440" w:gutter="0" w:footer="0" w:header="0"/>
        </w:sectPr>
      </w:pPr>
    </w:p>
    <w:bookmarkStart w:id="35" w:name="page36"/>
    <w:bookmarkEnd w:id="35"/>
    <w:p>
      <w:pPr>
        <w:ind w:left="40"/>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right="3820"/>
        <w:spacing w:after="0" w:line="456" w:lineRule="auto"/>
        <w:rPr>
          <w:sz w:val="20"/>
          <w:szCs w:val="20"/>
          <w:color w:val="auto"/>
        </w:rPr>
      </w:pPr>
      <w:r>
        <w:rPr>
          <w:rFonts w:ascii="Arial" w:cs="Arial" w:eastAsia="Arial" w:hAnsi="Arial"/>
          <w:sz w:val="18"/>
          <w:szCs w:val="18"/>
          <w:b w:val="1"/>
          <w:bCs w:val="1"/>
          <w:i w:val="1"/>
          <w:iCs w:val="1"/>
          <w:color w:val="0046AD"/>
        </w:rPr>
        <w:t>Three Months Ended July 31, 2019 Compared with the Three Months Ended July 31, 2018 Consolidated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July 31,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3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4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60" w:type="dxa"/>
            <w:vAlign w:val="bottom"/>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1,647.9</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1,624.3</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23.6</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1.5%</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1,454.1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1,446.7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0.5%</w:t>
            </w: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Gross margin</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11.8%</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10.9%</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83 bps</w:t>
            </w:r>
          </w:p>
        </w:tc>
        <w:tc>
          <w:tcPr>
            <w:tcW w:w="1340" w:type="dxa"/>
            <w:vAlign w:val="bottom"/>
            <w:shd w:val="clear" w:color="auto" w:fill="DCE2EF"/>
          </w:tcPr>
          <w:p>
            <w:pPr>
              <w:spacing w:after="0"/>
              <w:rPr>
                <w:sz w:val="24"/>
                <w:szCs w:val="24"/>
                <w:color w:val="auto"/>
              </w:rPr>
            </w:pP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119.8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8.9%</w:t>
            </w:r>
          </w:p>
        </w:tc>
      </w:tr>
      <w:tr>
        <w:trPr>
          <w:trHeight w:val="28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Restructuring and related expenses</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3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(31.8)%</w:t>
            </w:r>
          </w:p>
        </w:tc>
      </w:tr>
      <w:tr>
        <w:trPr>
          <w:trHeight w:val="264"/>
        </w:trPr>
        <w:tc>
          <w:tcPr>
            <w:tcW w:w="53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34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w w:val="99"/>
              </w:rPr>
              <w:t>(10.6)%</w:t>
            </w:r>
          </w:p>
        </w:tc>
      </w:tr>
      <w:tr>
        <w:trPr>
          <w:trHeight w:val="257"/>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Operating profit</w:t>
            </w:r>
          </w:p>
        </w:tc>
        <w:tc>
          <w:tcPr>
            <w:tcW w:w="360" w:type="dxa"/>
            <w:vAlign w:val="bottom"/>
            <w:shd w:val="clear" w:color="auto" w:fill="DCE2EF"/>
          </w:tcPr>
          <w:p>
            <w:pPr>
              <w:spacing w:after="0"/>
              <w:rPr>
                <w:sz w:val="22"/>
                <w:szCs w:val="22"/>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57.3</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9.2</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19.0%</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99"/>
              </w:rPr>
              <w:t>(27.7)%</w:t>
            </w:r>
          </w:p>
        </w:tc>
      </w:tr>
      <w:tr>
        <w:trPr>
          <w:trHeight w:val="273"/>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shd w:val="clear" w:color="auto" w:fill="DCE2EF"/>
          </w:tcPr>
          <w:p>
            <w:pPr>
              <w:spacing w:after="0"/>
              <w:rPr>
                <w:sz w:val="23"/>
                <w:szCs w:val="23"/>
                <w:color w:val="auto"/>
              </w:rPr>
            </w:pPr>
          </w:p>
        </w:tc>
        <w:tc>
          <w:tcPr>
            <w:tcW w:w="12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9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w:t>
            </w:r>
          </w:p>
        </w:tc>
      </w:tr>
      <w:tr>
        <w:trPr>
          <w:trHeight w:val="247"/>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6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24.6%</w:t>
            </w:r>
          </w:p>
        </w:tc>
      </w:tr>
      <w:tr>
        <w:trPr>
          <w:trHeight w:val="273"/>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tax provision</w:t>
            </w:r>
          </w:p>
        </w:tc>
        <w:tc>
          <w:tcPr>
            <w:tcW w:w="360" w:type="dxa"/>
            <w:vAlign w:val="bottom"/>
            <w:tcBorders>
              <w:bottom w:val="single" w:sz="8" w:color="auto"/>
            </w:tcBorders>
            <w:shd w:val="clear" w:color="auto" w:fill="DCE2EF"/>
          </w:tcPr>
          <w:p>
            <w:pPr>
              <w:spacing w:after="0"/>
              <w:rPr>
                <w:sz w:val="23"/>
                <w:szCs w:val="23"/>
                <w:color w:val="auto"/>
              </w:rPr>
            </w:pPr>
          </w:p>
        </w:tc>
        <w:tc>
          <w:tcPr>
            <w:tcW w:w="12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9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6.1</w:t>
            </w:r>
          </w:p>
        </w:tc>
        <w:tc>
          <w:tcPr>
            <w:tcW w:w="1340" w:type="dxa"/>
            <w:vAlign w:val="bottom"/>
            <w:shd w:val="clear" w:color="auto" w:fill="DCE2EF"/>
          </w:tcPr>
          <w:p>
            <w:pPr>
              <w:ind w:left="560"/>
              <w:spacing w:after="0"/>
              <w:rPr>
                <w:sz w:val="20"/>
                <w:szCs w:val="20"/>
                <w:color w:val="auto"/>
              </w:rPr>
            </w:pPr>
            <w:r>
              <w:rPr>
                <w:rFonts w:ascii="Arial" w:cs="Arial" w:eastAsia="Arial" w:hAnsi="Arial"/>
                <w:sz w:val="16"/>
                <w:szCs w:val="16"/>
                <w:color w:val="auto"/>
              </w:rPr>
              <w:t>NM*</w:t>
            </w:r>
          </w:p>
        </w:tc>
      </w:tr>
      <w:tr>
        <w:trPr>
          <w:trHeight w:val="247"/>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36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8.3%</w:t>
            </w:r>
          </w:p>
        </w:tc>
      </w:tr>
      <w:tr>
        <w:trPr>
          <w:trHeight w:val="28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(loss) from discontinued operations, net of taxes</w:t>
            </w:r>
          </w:p>
        </w:tc>
        <w:tc>
          <w:tcPr>
            <w:tcW w:w="360" w:type="dxa"/>
            <w:vAlign w:val="bottom"/>
            <w:tcBorders>
              <w:bottom w:val="single" w:sz="8" w:color="auto"/>
            </w:tcBorders>
            <w:shd w:val="clear" w:color="auto" w:fill="DCE2EF"/>
          </w:tcPr>
          <w:p>
            <w:pPr>
              <w:spacing w:after="0"/>
              <w:rPr>
                <w:sz w:val="24"/>
                <w:szCs w:val="24"/>
                <w:color w:val="auto"/>
              </w:rPr>
            </w:pPr>
          </w:p>
        </w:tc>
        <w:tc>
          <w:tcPr>
            <w:tcW w:w="1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DCE2EF"/>
          </w:tcPr>
          <w:p>
            <w:pPr>
              <w:spacing w:after="0"/>
              <w:rPr>
                <w:sz w:val="24"/>
                <w:szCs w:val="24"/>
                <w:color w:val="auto"/>
              </w:rPr>
            </w:pPr>
          </w:p>
        </w:tc>
        <w:tc>
          <w:tcPr>
            <w:tcW w:w="380" w:type="dxa"/>
            <w:vAlign w:val="bottom"/>
            <w:tcBorders>
              <w:bottom w:val="single" w:sz="8" w:color="auto"/>
            </w:tcBorders>
            <w:shd w:val="clear" w:color="auto" w:fill="DCE2EF"/>
          </w:tcPr>
          <w:p>
            <w:pPr>
              <w:spacing w:after="0"/>
              <w:rPr>
                <w:sz w:val="24"/>
                <w:szCs w:val="24"/>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24"/>
                <w:szCs w:val="24"/>
                <w:color w:val="auto"/>
              </w:rPr>
            </w:pPr>
          </w:p>
        </w:tc>
        <w:tc>
          <w:tcPr>
            <w:tcW w:w="300" w:type="dxa"/>
            <w:vAlign w:val="bottom"/>
            <w:tcBorders>
              <w:bottom w:val="single" w:sz="8" w:color="auto"/>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0.3</w:t>
            </w:r>
          </w:p>
        </w:tc>
        <w:tc>
          <w:tcPr>
            <w:tcW w:w="1340" w:type="dxa"/>
            <w:vAlign w:val="bottom"/>
            <w:shd w:val="clear" w:color="auto" w:fill="DCE2EF"/>
          </w:tcPr>
          <w:p>
            <w:pPr>
              <w:ind w:left="560"/>
              <w:spacing w:after="0"/>
              <w:rPr>
                <w:sz w:val="20"/>
                <w:szCs w:val="20"/>
                <w:color w:val="auto"/>
              </w:rPr>
            </w:pPr>
            <w:r>
              <w:rPr>
                <w:rFonts w:ascii="Arial" w:cs="Arial" w:eastAsia="Arial" w:hAnsi="Arial"/>
                <w:sz w:val="16"/>
                <w:szCs w:val="16"/>
                <w:color w:val="auto"/>
              </w:rPr>
              <w:t>NM*</w:t>
            </w:r>
          </w:p>
        </w:tc>
      </w:tr>
      <w:tr>
        <w:trPr>
          <w:trHeight w:val="244"/>
        </w:trPr>
        <w:tc>
          <w:tcPr>
            <w:tcW w:w="53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DCE2E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DCE2E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34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rPr>
              <w:t>9.3%</w:t>
            </w:r>
          </w:p>
        </w:tc>
      </w:tr>
      <w:tr>
        <w:trPr>
          <w:trHeight w:val="27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shd w:val="clear" w:color="auto" w:fill="DCE2EF"/>
          </w:tcPr>
          <w:p>
            <w:pPr>
              <w:spacing w:after="0"/>
              <w:rPr>
                <w:sz w:val="23"/>
                <w:szCs w:val="23"/>
                <w:color w:val="auto"/>
              </w:rPr>
            </w:pPr>
          </w:p>
        </w:tc>
        <w:tc>
          <w:tcPr>
            <w:tcW w:w="128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940" w:type="dxa"/>
            <w:vAlign w:val="bottom"/>
            <w:shd w:val="clear" w:color="auto" w:fill="DCE2EF"/>
          </w:tcPr>
          <w:p>
            <w:pPr>
              <w:spacing w:after="0"/>
              <w:rPr>
                <w:sz w:val="23"/>
                <w:szCs w:val="23"/>
                <w:color w:val="auto"/>
              </w:rPr>
            </w:pPr>
          </w:p>
        </w:tc>
        <w:tc>
          <w:tcPr>
            <w:tcW w:w="1340" w:type="dxa"/>
            <w:vAlign w:val="bottom"/>
            <w:shd w:val="clear" w:color="auto" w:fill="DCE2E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260" w:type="dxa"/>
            <w:vAlign w:val="bottom"/>
            <w:gridSpan w:val="2"/>
          </w:tcPr>
          <w:p>
            <w:pPr>
              <w:ind w:left="320"/>
              <w:spacing w:after="0"/>
              <w:rPr>
                <w:sz w:val="20"/>
                <w:szCs w:val="20"/>
                <w:color w:val="auto"/>
              </w:rPr>
            </w:pPr>
            <w:r>
              <w:rPr>
                <w:rFonts w:ascii="Arial" w:cs="Arial" w:eastAsia="Arial" w:hAnsi="Arial"/>
                <w:sz w:val="16"/>
                <w:szCs w:val="16"/>
                <w:color w:val="auto"/>
              </w:rPr>
              <w:t>Interest rate swaps</w:t>
            </w:r>
          </w:p>
        </w:tc>
        <w:tc>
          <w:tcPr>
            <w:tcW w:w="36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Foreign currency translation</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1.9</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29.3%</w:t>
            </w:r>
          </w:p>
        </w:tc>
      </w:tr>
      <w:tr>
        <w:trPr>
          <w:trHeight w:val="264"/>
        </w:trPr>
        <w:tc>
          <w:tcPr>
            <w:tcW w:w="40" w:type="dxa"/>
            <w:vAlign w:val="bottom"/>
            <w:tcBorders>
              <w:bottom w:val="single" w:sz="8" w:color="DCE2EF"/>
            </w:tcBorders>
          </w:tcPr>
          <w:p>
            <w:pPr>
              <w:spacing w:after="0"/>
              <w:rPr>
                <w:sz w:val="22"/>
                <w:szCs w:val="22"/>
                <w:color w:val="auto"/>
              </w:rPr>
            </w:pPr>
          </w:p>
        </w:tc>
        <w:tc>
          <w:tcPr>
            <w:tcW w:w="5260" w:type="dxa"/>
            <w:vAlign w:val="bottom"/>
            <w:tcBorders>
              <w:bottom w:val="single" w:sz="8" w:color="DCE2EF"/>
            </w:tcBorders>
            <w:gridSpan w:val="2"/>
          </w:tcPr>
          <w:p>
            <w:pPr>
              <w:ind w:left="340"/>
              <w:spacing w:after="0"/>
              <w:rPr>
                <w:sz w:val="20"/>
                <w:szCs w:val="20"/>
                <w:color w:val="auto"/>
              </w:rPr>
            </w:pPr>
            <w:r>
              <w:rPr>
                <w:rFonts w:ascii="Arial" w:cs="Arial" w:eastAsia="Arial" w:hAnsi="Arial"/>
                <w:sz w:val="16"/>
                <w:szCs w:val="16"/>
                <w:color w:val="auto"/>
              </w:rPr>
              <w:t>Income tax benefit</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340" w:type="dxa"/>
            <w:vAlign w:val="bottom"/>
            <w:tcBorders>
              <w:bottom w:val="single" w:sz="8" w:color="DCE2EF"/>
            </w:tcBorders>
          </w:tcPr>
          <w:p>
            <w:pPr>
              <w:ind w:left="560"/>
              <w:spacing w:after="0"/>
              <w:rPr>
                <w:sz w:val="20"/>
                <w:szCs w:val="20"/>
                <w:color w:val="auto"/>
              </w:rPr>
            </w:pPr>
            <w:r>
              <w:rPr>
                <w:rFonts w:ascii="Arial" w:cs="Arial" w:eastAsia="Arial" w:hAnsi="Arial"/>
                <w:sz w:val="16"/>
                <w:szCs w:val="16"/>
                <w:color w:val="auto"/>
              </w:rPr>
              <w:t>NM*</w:t>
            </w:r>
          </w:p>
        </w:tc>
      </w:tr>
      <w:tr>
        <w:trPr>
          <w:trHeight w:val="240"/>
        </w:trPr>
        <w:tc>
          <w:tcPr>
            <w:tcW w:w="530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60" w:type="dxa"/>
            <w:vAlign w:val="bottom"/>
            <w:tcBorders>
              <w:bottom w:val="single" w:sz="8" w:color="auto"/>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auto"/>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1.8</w:t>
            </w:r>
          </w:p>
        </w:tc>
        <w:tc>
          <w:tcPr>
            <w:tcW w:w="134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6.8%</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Revenues increased by $23.6 million, or 1.5%, during the three months ended July 31, 2019, as compared to the three months ended July 31, 2018. The increase in revenues was attributable to organic growth, primarily in our U.S. Technical Solutions business. This increase was partially offset by the loss of certain accounts in our U.S. B&amp;I business, our U.K. Technical Solutions business, and T&amp;M, and fluctuations in foreign currency exchange rates negatively affected our U.K. businesses. Additionally, during the three months ended July 31, 2019 we reclassified $ 12.5 million of rent expense related to service concession arrangements, primarily within Aviation, that was previously recorded as an operating expense but is now recorded as a reduction of revenues following the adoption of Topic 853.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$7.4 million, or 0.5%, during the three months ended July 31, 2019, as compared to the three months ended July 31, 2018. This increase was partially offset by the reclassification of $12.5 million of rent expense related to service concession arrangements to revenue, as noted above. Gross margin increased by 83 bps to 11.8% in the three months ended July 31, 2019 from 10.9% in the three months ended July 31, 2018. The increase in gross margin was primarily associated with improved margins within our U.S. B&amp;I business and the impact of Topic 606 within our Technical Solutions business, as well as a lower self-insurance adjustment related to prior year claims.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$9.8 million, or 8.9%, during the three months ended July 31, 2019, as compared to the three months ended July 31, 2018.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$4.7 million increase in technology investments and related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$3.9 million reserve for an anticipated union pension settlement;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absence of a $2.7 million reimbursement of previously expensed legal settlement costs in the prior year;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$2.5 million reserve established for a non-recurring adjustment related to a client account.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$1.9 million decrease in legal settlement costs;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$1.5 million decrease in compensation and related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Restructuring and related expenses decreased by $ 0.9 million, or 31.8%, during the three months ended July 31, 2019, as compared to the three months ended July 31, 2018. The decrease was due to restructuring expenses incurred in the prior year following the acquisition of GCA, primarily severance, partially offset by other restructuring expenses incurred in the current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effective tax rates on income from continuing operations for the three months ended July 31, 2019 and July 31, 2018 were 18.9% and 6.6%, respectively. Our effective tax rate for the three months ended July 31, 2019 was impacted by the following discrete items: a $2.0 million benefit from an expiring statute of limitations and a $0.5 million benefit from certain credits. Our effective tax rate for the three months ended July 31, 2018 was impacted by the following discrete items: a $4.2 million benefit from an expiring statute of limitations and a $1.6 million benefit from the vesting of share-based compensation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unrealized loss on interest rate swaps increased by $4.5 million during the three months ended July 31, 2019, as compared to the three months ended July 31, 2018, primarily due to underlying changes in the fair value of the interest rate swaps.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Foreign currency translation loss decreased by $1.9 million during the three months ended July 31, 2019, as compared to the three months ended July 31, 2018. This decrease was due to fluctuations in the exchange rate between the U.S. Dollar (“USD”) and the Great Britain Pound (“GBP”). Future gains and losses on foreign currency translation will be dependent upon changes in the relative value of foreign currencies to the USD and the extent of our foreign assets and liabilities.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July 31,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0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2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4"/>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42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1360" w:type="dxa"/>
            <w:vAlign w:val="bottom"/>
            <w:shd w:val="clear" w:color="auto" w:fill="DCE2EF"/>
          </w:tcPr>
          <w:p>
            <w:pPr>
              <w:spacing w:after="0"/>
              <w:rPr>
                <w:sz w:val="22"/>
                <w:szCs w:val="22"/>
                <w:color w:val="auto"/>
              </w:rPr>
            </w:pPr>
          </w:p>
        </w:tc>
      </w:tr>
      <w:tr>
        <w:trPr>
          <w:trHeight w:val="260"/>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807.9</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822.6</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(14.7)</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rPr>
              <w:t>(1.8)%</w:t>
            </w:r>
          </w:p>
        </w:tc>
      </w:tr>
      <w:tr>
        <w:trPr>
          <w:trHeight w:val="280"/>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263.3</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260.5</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2.8</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8"/>
              </w:rPr>
              <w:t>1.1%</w:t>
            </w:r>
          </w:p>
        </w:tc>
      </w:tr>
      <w:tr>
        <w:trPr>
          <w:trHeight w:val="260"/>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226.9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231.0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rPr>
              <w:t>(1.8)%</w:t>
            </w:r>
          </w:p>
        </w:tc>
      </w:tr>
      <w:tr>
        <w:trPr>
          <w:trHeight w:val="280"/>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215.4</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215.9</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(0.3)%</w:t>
            </w:r>
          </w:p>
        </w:tc>
      </w:tr>
      <w:tr>
        <w:trPr>
          <w:trHeight w:val="260"/>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165.7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130.3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35.4</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27.2%</w:t>
            </w:r>
          </w:p>
        </w:tc>
      </w:tr>
      <w:tr>
        <w:trPr>
          <w:trHeight w:val="273"/>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Elimination of inter-segment revenues</w:t>
            </w:r>
          </w:p>
        </w:tc>
        <w:tc>
          <w:tcPr>
            <w:tcW w:w="420" w:type="dxa"/>
            <w:vAlign w:val="bottom"/>
            <w:tcBorders>
              <w:bottom w:val="single" w:sz="8" w:color="auto"/>
            </w:tcBorders>
            <w:shd w:val="clear" w:color="auto" w:fill="DCE2EF"/>
          </w:tcPr>
          <w:p>
            <w:pPr>
              <w:spacing w:after="0"/>
              <w:rPr>
                <w:sz w:val="23"/>
                <w:szCs w:val="23"/>
                <w:color w:val="auto"/>
              </w:rPr>
            </w:pPr>
          </w:p>
        </w:tc>
        <w:tc>
          <w:tcPr>
            <w:tcW w:w="134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DCE2EF"/>
          </w:tcPr>
          <w:p>
            <w:pPr>
              <w:spacing w:after="0"/>
              <w:rPr>
                <w:sz w:val="23"/>
                <w:szCs w:val="23"/>
                <w:color w:val="auto"/>
              </w:rPr>
            </w:pPr>
          </w:p>
        </w:tc>
        <w:tc>
          <w:tcPr>
            <w:tcW w:w="420" w:type="dxa"/>
            <w:vAlign w:val="bottom"/>
            <w:tcBorders>
              <w:bottom w:val="single" w:sz="8" w:color="auto"/>
            </w:tcBorders>
            <w:shd w:val="clear" w:color="auto" w:fill="DCE2EF"/>
          </w:tcPr>
          <w:p>
            <w:pPr>
              <w:spacing w:after="0"/>
              <w:rPr>
                <w:sz w:val="23"/>
                <w:szCs w:val="23"/>
                <w:color w:val="auto"/>
              </w:rPr>
            </w:pPr>
          </w:p>
        </w:tc>
        <w:tc>
          <w:tcPr>
            <w:tcW w:w="134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94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4.7</w:t>
            </w:r>
          </w:p>
        </w:tc>
        <w:tc>
          <w:tcPr>
            <w:tcW w:w="13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12.9%</w:t>
            </w:r>
          </w:p>
        </w:tc>
      </w:tr>
      <w:tr>
        <w:trPr>
          <w:trHeight w:val="280"/>
        </w:trPr>
        <w:tc>
          <w:tcPr>
            <w:tcW w:w="40" w:type="dxa"/>
            <w:vAlign w:val="bottom"/>
            <w:tcBorders>
              <w:bottom w:val="single" w:sz="8" w:color="DCE2EF"/>
            </w:tcBorders>
          </w:tcPr>
          <w:p>
            <w:pPr>
              <w:spacing w:after="0"/>
              <w:rPr>
                <w:sz w:val="24"/>
                <w:szCs w:val="24"/>
                <w:color w:val="auto"/>
              </w:rPr>
            </w:pPr>
          </w:p>
        </w:tc>
        <w:tc>
          <w:tcPr>
            <w:tcW w:w="820" w:type="dxa"/>
            <w:vAlign w:val="bottom"/>
            <w:tcBorders>
              <w:bottom w:val="single" w:sz="8" w:color="DCE2EF"/>
            </w:tcBorders>
          </w:tcPr>
          <w:p>
            <w:pPr>
              <w:spacing w:after="0"/>
              <w:rPr>
                <w:sz w:val="24"/>
                <w:szCs w:val="24"/>
                <w:color w:val="auto"/>
              </w:rPr>
            </w:pPr>
          </w:p>
        </w:tc>
        <w:tc>
          <w:tcPr>
            <w:tcW w:w="4220" w:type="dxa"/>
            <w:vAlign w:val="bottom"/>
            <w:tcBorders>
              <w:bottom w:val="single" w:sz="8" w:color="DCE2E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1,647.9</w:t>
            </w:r>
          </w:p>
        </w:tc>
        <w:tc>
          <w:tcPr>
            <w:tcW w:w="100" w:type="dxa"/>
            <w:vAlign w:val="bottom"/>
            <w:tcBorders>
              <w:bottom w:val="single" w:sz="8" w:color="DCE2E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1,624.3</w:t>
            </w:r>
          </w:p>
        </w:tc>
        <w:tc>
          <w:tcPr>
            <w:tcW w:w="120" w:type="dxa"/>
            <w:vAlign w:val="bottom"/>
            <w:tcBorders>
              <w:bottom w:val="single" w:sz="8" w:color="DCE2E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23.6</w:t>
            </w:r>
          </w:p>
        </w:tc>
        <w:tc>
          <w:tcPr>
            <w:tcW w:w="136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w w:val="98"/>
              </w:rPr>
              <w:t>1.5%</w:t>
            </w:r>
          </w:p>
        </w:tc>
      </w:tr>
      <w:tr>
        <w:trPr>
          <w:trHeight w:val="254"/>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42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42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1360" w:type="dxa"/>
            <w:vAlign w:val="bottom"/>
            <w:shd w:val="clear" w:color="auto" w:fill="DCE2EF"/>
          </w:tcPr>
          <w:p>
            <w:pPr>
              <w:spacing w:after="0"/>
              <w:rPr>
                <w:sz w:val="22"/>
                <w:szCs w:val="22"/>
                <w:color w:val="auto"/>
              </w:rPr>
            </w:pPr>
          </w:p>
        </w:tc>
      </w:tr>
      <w:tr>
        <w:trPr>
          <w:trHeight w:val="260"/>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12.8%</w:t>
            </w:r>
          </w:p>
        </w:tc>
      </w:tr>
      <w:tr>
        <w:trPr>
          <w:trHeight w:val="280"/>
        </w:trPr>
        <w:tc>
          <w:tcPr>
            <w:tcW w:w="40" w:type="dxa"/>
            <w:vAlign w:val="bottom"/>
            <w:shd w:val="clear" w:color="auto" w:fill="DCE2EF"/>
          </w:tcPr>
          <w:p>
            <w:pPr>
              <w:spacing w:after="0"/>
              <w:rPr>
                <w:sz w:val="24"/>
                <w:szCs w:val="24"/>
                <w:color w:val="auto"/>
              </w:rPr>
            </w:pPr>
          </w:p>
        </w:tc>
        <w:tc>
          <w:tcPr>
            <w:tcW w:w="504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4.9%</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4"/>
                <w:szCs w:val="14"/>
                <w:i w:val="1"/>
                <w:iCs w:val="1"/>
                <w:color w:val="auto"/>
              </w:rPr>
              <w:t>72 bps</w:t>
            </w:r>
          </w:p>
        </w:tc>
        <w:tc>
          <w:tcPr>
            <w:tcW w:w="1360" w:type="dxa"/>
            <w:vAlign w:val="bottom"/>
            <w:shd w:val="clear" w:color="auto" w:fill="DCE2EF"/>
          </w:tcPr>
          <w:p>
            <w:pPr>
              <w:spacing w:after="0"/>
              <w:rPr>
                <w:sz w:val="24"/>
                <w:szCs w:val="24"/>
                <w:color w:val="auto"/>
              </w:rPr>
            </w:pPr>
          </w:p>
        </w:tc>
      </w:tr>
      <w:tr>
        <w:trPr>
          <w:trHeight w:val="260"/>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(11.7)%</w:t>
            </w:r>
          </w:p>
        </w:tc>
      </w:tr>
      <w:tr>
        <w:trPr>
          <w:trHeight w:val="280"/>
        </w:trPr>
        <w:tc>
          <w:tcPr>
            <w:tcW w:w="40" w:type="dxa"/>
            <w:vAlign w:val="bottom"/>
            <w:shd w:val="clear" w:color="auto" w:fill="DCE2EF"/>
          </w:tcPr>
          <w:p>
            <w:pPr>
              <w:spacing w:after="0"/>
              <w:rPr>
                <w:sz w:val="24"/>
                <w:szCs w:val="24"/>
                <w:color w:val="auto"/>
              </w:rPr>
            </w:pPr>
          </w:p>
        </w:tc>
        <w:tc>
          <w:tcPr>
            <w:tcW w:w="504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3.3%</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3.7%</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4"/>
                <w:szCs w:val="14"/>
                <w:i w:val="1"/>
                <w:iCs w:val="1"/>
                <w:color w:val="auto"/>
              </w:rPr>
              <w:t>(47) bps</w:t>
            </w:r>
          </w:p>
        </w:tc>
        <w:tc>
          <w:tcPr>
            <w:tcW w:w="1360" w:type="dxa"/>
            <w:vAlign w:val="bottom"/>
            <w:shd w:val="clear" w:color="auto" w:fill="DCE2EF"/>
          </w:tcPr>
          <w:p>
            <w:pPr>
              <w:spacing w:after="0"/>
              <w:rPr>
                <w:sz w:val="24"/>
                <w:szCs w:val="24"/>
                <w:color w:val="auto"/>
              </w:rPr>
            </w:pPr>
          </w:p>
        </w:tc>
      </w:tr>
      <w:tr>
        <w:trPr>
          <w:trHeight w:val="260"/>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0.6%</w:t>
            </w:r>
          </w:p>
        </w:tc>
      </w:tr>
      <w:tr>
        <w:trPr>
          <w:trHeight w:val="280"/>
        </w:trPr>
        <w:tc>
          <w:tcPr>
            <w:tcW w:w="40" w:type="dxa"/>
            <w:vAlign w:val="bottom"/>
            <w:shd w:val="clear" w:color="auto" w:fill="DCE2EF"/>
          </w:tcPr>
          <w:p>
            <w:pPr>
              <w:spacing w:after="0"/>
              <w:rPr>
                <w:sz w:val="24"/>
                <w:szCs w:val="24"/>
                <w:color w:val="auto"/>
              </w:rPr>
            </w:pPr>
          </w:p>
        </w:tc>
        <w:tc>
          <w:tcPr>
            <w:tcW w:w="504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7.5%</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4"/>
                <w:szCs w:val="14"/>
                <w:i w:val="1"/>
                <w:iCs w:val="1"/>
                <w:color w:val="auto"/>
              </w:rPr>
              <w:t>17 bps</w:t>
            </w:r>
          </w:p>
        </w:tc>
        <w:tc>
          <w:tcPr>
            <w:tcW w:w="1360" w:type="dxa"/>
            <w:vAlign w:val="bottom"/>
            <w:shd w:val="clear" w:color="auto" w:fill="DCE2EF"/>
          </w:tcPr>
          <w:p>
            <w:pPr>
              <w:spacing w:after="0"/>
              <w:rPr>
                <w:sz w:val="24"/>
                <w:szCs w:val="24"/>
                <w:color w:val="auto"/>
              </w:rPr>
            </w:pPr>
          </w:p>
        </w:tc>
      </w:tr>
      <w:tr>
        <w:trPr>
          <w:trHeight w:val="260"/>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Education</w:t>
            </w: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4.0%</w:t>
            </w:r>
          </w:p>
        </w:tc>
      </w:tr>
      <w:tr>
        <w:trPr>
          <w:trHeight w:val="280"/>
        </w:trPr>
        <w:tc>
          <w:tcPr>
            <w:tcW w:w="40" w:type="dxa"/>
            <w:vAlign w:val="bottom"/>
            <w:shd w:val="clear" w:color="auto" w:fill="DCE2EF"/>
          </w:tcPr>
          <w:p>
            <w:pPr>
              <w:spacing w:after="0"/>
              <w:rPr>
                <w:sz w:val="24"/>
                <w:szCs w:val="24"/>
                <w:color w:val="auto"/>
              </w:rPr>
            </w:pPr>
          </w:p>
        </w:tc>
        <w:tc>
          <w:tcPr>
            <w:tcW w:w="504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5.8%</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5.6%</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4"/>
                <w:szCs w:val="14"/>
                <w:i w:val="1"/>
                <w:iCs w:val="1"/>
                <w:color w:val="auto"/>
              </w:rPr>
              <w:t>24 bps</w:t>
            </w:r>
          </w:p>
        </w:tc>
        <w:tc>
          <w:tcPr>
            <w:tcW w:w="1360" w:type="dxa"/>
            <w:vAlign w:val="bottom"/>
            <w:shd w:val="clear" w:color="auto" w:fill="DCE2EF"/>
          </w:tcPr>
          <w:p>
            <w:pPr>
              <w:spacing w:after="0"/>
              <w:rPr>
                <w:sz w:val="24"/>
                <w:szCs w:val="24"/>
                <w:color w:val="auto"/>
              </w:rPr>
            </w:pPr>
          </w:p>
        </w:tc>
      </w:tr>
      <w:tr>
        <w:trPr>
          <w:trHeight w:val="260"/>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4.8</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37.1%</w:t>
            </w:r>
          </w:p>
        </w:tc>
      </w:tr>
      <w:tr>
        <w:trPr>
          <w:trHeight w:val="280"/>
        </w:trPr>
        <w:tc>
          <w:tcPr>
            <w:tcW w:w="40" w:type="dxa"/>
            <w:vAlign w:val="bottom"/>
            <w:shd w:val="clear" w:color="auto" w:fill="DCE2EF"/>
          </w:tcPr>
          <w:p>
            <w:pPr>
              <w:spacing w:after="0"/>
              <w:rPr>
                <w:sz w:val="24"/>
                <w:szCs w:val="24"/>
                <w:color w:val="auto"/>
              </w:rPr>
            </w:pPr>
          </w:p>
        </w:tc>
        <w:tc>
          <w:tcPr>
            <w:tcW w:w="504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10.8%</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10.0%</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4"/>
                <w:szCs w:val="14"/>
                <w:i w:val="1"/>
                <w:iCs w:val="1"/>
                <w:color w:val="auto"/>
              </w:rPr>
              <w:t>79 bps</w:t>
            </w:r>
          </w:p>
        </w:tc>
        <w:tc>
          <w:tcPr>
            <w:tcW w:w="1360" w:type="dxa"/>
            <w:vAlign w:val="bottom"/>
            <w:shd w:val="clear" w:color="auto" w:fill="DCE2EF"/>
          </w:tcPr>
          <w:p>
            <w:pPr>
              <w:spacing w:after="0"/>
              <w:rPr>
                <w:sz w:val="24"/>
                <w:szCs w:val="24"/>
                <w:color w:val="auto"/>
              </w:rPr>
            </w:pPr>
          </w:p>
        </w:tc>
      </w:tr>
      <w:tr>
        <w:trPr>
          <w:trHeight w:val="260"/>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42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rPr>
              <w:t>(1.9)%</w:t>
            </w:r>
          </w:p>
        </w:tc>
      </w:tr>
      <w:tr>
        <w:trPr>
          <w:trHeight w:val="228"/>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Adjustment for income from unconsolidated affiliates, included in</w:t>
            </w:r>
          </w:p>
        </w:tc>
        <w:tc>
          <w:tcPr>
            <w:tcW w:w="42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2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940" w:type="dxa"/>
            <w:vAlign w:val="bottom"/>
            <w:shd w:val="clear" w:color="auto" w:fill="DCE2EF"/>
          </w:tcPr>
          <w:p>
            <w:pPr>
              <w:spacing w:after="0"/>
              <w:rPr>
                <w:sz w:val="19"/>
                <w:szCs w:val="19"/>
                <w:color w:val="auto"/>
              </w:rPr>
            </w:pPr>
          </w:p>
        </w:tc>
        <w:tc>
          <w:tcPr>
            <w:tcW w:w="1360" w:type="dxa"/>
            <w:vAlign w:val="bottom"/>
            <w:shd w:val="clear" w:color="auto" w:fill="DCE2EF"/>
          </w:tcPr>
          <w:p>
            <w:pPr>
              <w:spacing w:after="0"/>
              <w:rPr>
                <w:sz w:val="19"/>
                <w:szCs w:val="19"/>
                <w:color w:val="auto"/>
              </w:rPr>
            </w:pPr>
          </w:p>
        </w:tc>
      </w:tr>
      <w:tr>
        <w:trPr>
          <w:trHeight w:val="214"/>
        </w:trPr>
        <w:tc>
          <w:tcPr>
            <w:tcW w:w="40" w:type="dxa"/>
            <w:vAlign w:val="bottom"/>
            <w:shd w:val="clear" w:color="auto" w:fill="DCE2EF"/>
          </w:tcPr>
          <w:p>
            <w:pPr>
              <w:spacing w:after="0"/>
              <w:rPr>
                <w:sz w:val="18"/>
                <w:szCs w:val="18"/>
                <w:color w:val="auto"/>
              </w:rPr>
            </w:pPr>
          </w:p>
        </w:tc>
        <w:tc>
          <w:tcPr>
            <w:tcW w:w="504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18"/>
                <w:szCs w:val="18"/>
                <w:color w:val="auto"/>
              </w:rPr>
            </w:pPr>
          </w:p>
        </w:tc>
        <w:tc>
          <w:tcPr>
            <w:tcW w:w="13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(0.7)</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3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(0.9)</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0.2</w:t>
            </w:r>
          </w:p>
        </w:tc>
        <w:tc>
          <w:tcPr>
            <w:tcW w:w="13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20.2%</w:t>
            </w:r>
          </w:p>
        </w:tc>
      </w:tr>
      <w:tr>
        <w:trPr>
          <w:trHeight w:val="218"/>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Adjustment for tax deductions for energy efficient government</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8"/>
        </w:trPr>
        <w:tc>
          <w:tcPr>
            <w:tcW w:w="40" w:type="dxa"/>
            <w:vAlign w:val="bottom"/>
            <w:tcBorders>
              <w:bottom w:val="single" w:sz="8" w:color="DCE2EF"/>
            </w:tcBorders>
          </w:tcPr>
          <w:p>
            <w:pPr>
              <w:spacing w:after="0"/>
              <w:rPr>
                <w:sz w:val="18"/>
                <w:szCs w:val="18"/>
                <w:color w:val="auto"/>
              </w:rPr>
            </w:pPr>
          </w:p>
        </w:tc>
        <w:tc>
          <w:tcPr>
            <w:tcW w:w="5040" w:type="dxa"/>
            <w:vAlign w:val="bottom"/>
            <w:tcBorders>
              <w:bottom w:val="single" w:sz="8" w:color="DCE2EF"/>
            </w:tcBorders>
            <w:gridSpan w:val="2"/>
          </w:tcPr>
          <w:p>
            <w:pPr>
              <w:ind w:left="160"/>
              <w:spacing w:after="0"/>
              <w:rPr>
                <w:sz w:val="20"/>
                <w:szCs w:val="20"/>
                <w:color w:val="auto"/>
              </w:rPr>
            </w:pPr>
            <w:r>
              <w:rPr>
                <w:rFonts w:ascii="Arial" w:cs="Arial" w:eastAsia="Arial" w:hAnsi="Arial"/>
                <w:sz w:val="16"/>
                <w:szCs w:val="16"/>
                <w:color w:val="auto"/>
              </w:rPr>
              <w:t>buildings, included in Technical Solutions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DCE2E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0.4</w:t>
            </w:r>
          </w:p>
        </w:tc>
        <w:tc>
          <w:tcPr>
            <w:tcW w:w="136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40"/>
        </w:trPr>
        <w:tc>
          <w:tcPr>
            <w:tcW w:w="4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422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auto"/>
            </w:tcBorders>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auto"/>
            </w:tcBorders>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9.2</w:t>
            </w:r>
          </w:p>
        </w:tc>
        <w:tc>
          <w:tcPr>
            <w:tcW w:w="136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19.0%</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*Not meaningful</w:t>
            </w: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41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807.9</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822.6</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DCE2EF"/>
          </w:tcPr>
          <w:p>
            <w:pPr>
              <w:jc w:val="right"/>
              <w:ind w:right="314"/>
              <w:spacing w:after="0"/>
              <w:rPr>
                <w:sz w:val="20"/>
                <w:szCs w:val="20"/>
                <w:color w:val="auto"/>
              </w:rPr>
            </w:pPr>
            <w:r>
              <w:rPr>
                <w:rFonts w:ascii="Arial" w:cs="Arial" w:eastAsia="Arial" w:hAnsi="Arial"/>
                <w:sz w:val="18"/>
                <w:szCs w:val="18"/>
                <w:color w:val="auto"/>
              </w:rPr>
              <w:t>(14.7)</w:t>
            </w:r>
          </w:p>
        </w:tc>
        <w:tc>
          <w:tcPr>
            <w:tcW w:w="15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(1.8)%</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color w:val="auto"/>
              </w:rPr>
              <w:t>5.2</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12.8%</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4.9%</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72 bps</w:t>
            </w:r>
          </w:p>
        </w:tc>
        <w:tc>
          <w:tcPr>
            <w:tcW w:w="156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B&amp;I revenues decreased by $14.7 million, or 1.8%, during the three months ended July 31, 2019, as compared to the three months ended July 31, 2018. The decrease was primarily attributable to the loss of certain accounts in our U.S. business, including the exit from certain lower margin or underperforming accounts, and a negative impact from fluctuations in foreign currency exchange rates related to our U.K. business. This decrease was partially offset by the targeted expansion of certain key clients within our U.S. business. Management reimbursement revenues for this segment totaled $70.9 million and $69.7 million for the three months ended July 31, 2019 and 2018, respectively.</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$5.2 million, or 12.8%, during the three months ended July 31, 2019, as compared to the three months ended July 31, 2018. Operating profit margin increased by 72 bps to 5.6% in the three months ended July 31, 2019 from 4.9% in the three months ended July 31, 2018. The increase in operating profit margin was primarily associated with the exit from certain lower margin or underperforming accounts, higher margins on certain accounts in our U.S. business, and improvements in our labor management processes. While labor challenges are present in certain areas of our B&amp;I business, it is our most mature business and has the highest proportion of unionized labor.</w:t>
      </w:r>
    </w:p>
    <w:p>
      <w:pPr>
        <w:sectPr>
          <w:pgSz w:w="11900" w:h="16838" w:orient="portrait"/>
          <w:cols w:equalWidth="0" w:num="1">
            <w:col w:w="11420"/>
          </w:cols>
          <w:pgMar w:left="240" w:top="360" w:right="239"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360" w:right="2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8"/>
                <w:szCs w:val="18"/>
                <w:color w:val="auto"/>
              </w:rPr>
              <w:t>2.8</w:t>
            </w:r>
          </w:p>
        </w:tc>
        <w:tc>
          <w:tcPr>
            <w:tcW w:w="1580" w:type="dxa"/>
            <w:vAlign w:val="bottom"/>
            <w:shd w:val="clear" w:color="auto" w:fill="DCE2EF"/>
          </w:tcPr>
          <w:p>
            <w:pPr>
              <w:jc w:val="right"/>
              <w:ind w:right="610"/>
              <w:spacing w:after="0"/>
              <w:rPr>
                <w:sz w:val="20"/>
                <w:szCs w:val="20"/>
                <w:color w:val="auto"/>
              </w:rPr>
            </w:pPr>
            <w:r>
              <w:rPr>
                <w:rFonts w:ascii="Arial" w:cs="Arial" w:eastAsia="Arial" w:hAnsi="Arial"/>
                <w:sz w:val="18"/>
                <w:szCs w:val="18"/>
                <w:color w:val="auto"/>
              </w:rPr>
              <w:t>1.1%</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0" w:type="dxa"/>
            <w:vAlign w:val="bottom"/>
          </w:tcPr>
          <w:p>
            <w:pPr>
              <w:jc w:val="right"/>
              <w:ind w:right="294"/>
              <w:spacing w:after="0"/>
              <w:rPr>
                <w:sz w:val="20"/>
                <w:szCs w:val="20"/>
                <w:color w:val="auto"/>
              </w:rPr>
            </w:pPr>
            <w:r>
              <w:rPr>
                <w:rFonts w:ascii="Arial" w:cs="Arial" w:eastAsia="Arial" w:hAnsi="Arial"/>
                <w:sz w:val="18"/>
                <w:szCs w:val="18"/>
                <w:color w:val="auto"/>
              </w:rPr>
              <w:t>(1.1)</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(11.7)%</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3.3%</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3.7%</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(47) bps</w:t>
            </w:r>
          </w:p>
        </w:tc>
        <w:tc>
          <w:tcPr>
            <w:tcW w:w="158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Aviation revenues increased by $2.8 million, or 1.1%, during the three months ended July 31, 2019, as compared to the three months ended July 31, 2018. The increase was attributable to organic growth, primarily new contract wins in our U.K. business, as well as the expansion of catering logistics accounts in our U.S. business, partially offset by the loss of certain cabin cleaning, passenger services, and facility services accounts and by a negative impact from fluctuations in foreign currency exchange rates related to our U.K. business. Additionally, during the three months ended July 31, 2019 we reclassified $ 12.0 million of rent expense related to service concession arrangements that was previously recorded as an operating expense but is now recorded as a reduction of revenues following the adoption of Topic 853. Management reimbursement revenues for this segment totaled $24.4 million and $23.8 million for the three months ended July 31, 2019 and 2018, respectively.</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$1.1 million, or 11.7%, during the three months ended July 31, 2019, as compared to the three months ended July 31, 2018. Operating profit margin decreased by 47 bps to 3.3% in the three months ended July 31, 2019 from 3.7% in the three months ended July 31, 2018. The decrease in operating profit margin was primarily attributable to operational issues on certain accounts, including higher labor costs due to a tight labor market. This decrease was partially offset by higher margins on certain new contracts, including contract wins in our U.K. business.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226.9</w:t>
            </w:r>
          </w:p>
        </w:tc>
        <w:tc>
          <w:tcPr>
            <w:tcW w:w="120" w:type="dxa"/>
            <w:vAlign w:val="bottom"/>
            <w:shd w:val="clear" w:color="auto" w:fill="DCE2EF"/>
          </w:tcPr>
          <w:p>
            <w:pPr>
              <w:spacing w:after="0"/>
              <w:rPr>
                <w:sz w:val="22"/>
                <w:szCs w:val="22"/>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94"/>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DCE2EF"/>
          </w:tcPr>
          <w:p>
            <w:pPr>
              <w:spacing w:after="0"/>
              <w:rPr>
                <w:sz w:val="22"/>
                <w:szCs w:val="22"/>
                <w:color w:val="auto"/>
              </w:rPr>
            </w:pPr>
          </w:p>
        </w:tc>
        <w:tc>
          <w:tcPr>
            <w:tcW w:w="54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DCE2EF"/>
          </w:tcPr>
          <w:p>
            <w:pPr>
              <w:jc w:val="right"/>
              <w:ind w:right="314"/>
              <w:spacing w:after="0"/>
              <w:rPr>
                <w:sz w:val="20"/>
                <w:szCs w:val="20"/>
                <w:color w:val="auto"/>
              </w:rPr>
            </w:pPr>
            <w:r>
              <w:rPr>
                <w:rFonts w:ascii="Arial" w:cs="Arial" w:eastAsia="Arial" w:hAnsi="Arial"/>
                <w:sz w:val="18"/>
                <w:szCs w:val="18"/>
                <w:color w:val="auto"/>
              </w:rPr>
              <w:t>(4.1)</w:t>
            </w:r>
          </w:p>
        </w:tc>
        <w:tc>
          <w:tcPr>
            <w:tcW w:w="158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(1.8)%</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color w:val="auto"/>
              </w:rPr>
              <w:t>0.1</w:t>
            </w: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0.6%</w:t>
            </w:r>
          </w:p>
        </w:tc>
      </w:tr>
      <w:tr>
        <w:trPr>
          <w:trHeight w:val="277"/>
        </w:trPr>
        <w:tc>
          <w:tcPr>
            <w:tcW w:w="2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7.5%</w:t>
            </w:r>
          </w:p>
        </w:tc>
        <w:tc>
          <w:tcPr>
            <w:tcW w:w="12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w:t>
            </w:r>
          </w:p>
        </w:tc>
        <w:tc>
          <w:tcPr>
            <w:tcW w:w="100" w:type="dxa"/>
            <w:vAlign w:val="bottom"/>
            <w:shd w:val="clear" w:color="auto" w:fill="DCE2EF"/>
          </w:tcPr>
          <w:p>
            <w:pPr>
              <w:spacing w:after="0"/>
              <w:rPr>
                <w:sz w:val="24"/>
                <w:szCs w:val="24"/>
                <w:color w:val="auto"/>
              </w:rPr>
            </w:pPr>
          </w:p>
        </w:tc>
        <w:tc>
          <w:tcPr>
            <w:tcW w:w="540" w:type="dxa"/>
            <w:vAlign w:val="bottom"/>
            <w:shd w:val="clear" w:color="auto" w:fill="DCE2EF"/>
          </w:tcPr>
          <w:p>
            <w:pPr>
              <w:spacing w:after="0"/>
              <w:rPr>
                <w:sz w:val="24"/>
                <w:szCs w:val="24"/>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17 bps</w:t>
            </w:r>
          </w:p>
        </w:tc>
        <w:tc>
          <w:tcPr>
            <w:tcW w:w="158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T&amp;M revenues decreased by $4.1 million, or 1.8%, during the three months ended July 31, 2019, as compared to the three months ended July 31, 2018. The decrease was primarily related to the loss of certain accounts, partially offset by new business and the expansion of certain accounts.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slightly by $0.1 million, or 0.6%, during the three months ended July 31, 2019, as compared to the three months ended July 31, 2018. Operating profit margin increased by 17 bps to 7.5% in the three months ended July 31, 2019 from 7.3% in the three months ended July 31, 2018. The increase in operating profit margin was primarily attributable to lower reserves established for client receivables and the loss of a low margin account in the prior year, partially offset by lower initial margins on certain new accounts.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Education</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DCE2EF"/>
          </w:tcPr>
          <w:p>
            <w:pPr>
              <w:jc w:val="right"/>
              <w:ind w:right="314"/>
              <w:spacing w:after="0"/>
              <w:rPr>
                <w:sz w:val="20"/>
                <w:szCs w:val="20"/>
                <w:color w:val="auto"/>
              </w:rPr>
            </w:pPr>
            <w:r>
              <w:rPr>
                <w:rFonts w:ascii="Arial" w:cs="Arial" w:eastAsia="Arial" w:hAnsi="Arial"/>
                <w:sz w:val="18"/>
                <w:szCs w:val="18"/>
                <w:color w:val="auto"/>
              </w:rPr>
              <w:t>(0.5)</w:t>
            </w:r>
          </w:p>
        </w:tc>
        <w:tc>
          <w:tcPr>
            <w:tcW w:w="15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(0.3)%</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color w:val="auto"/>
              </w:rPr>
              <w:t>0.5</w:t>
            </w: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4.0%</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5.8%</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24 bps</w:t>
            </w:r>
          </w:p>
        </w:tc>
        <w:tc>
          <w:tcPr>
            <w:tcW w:w="156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Education revenues decreased slightly by $0.5 million, or 0.3%, during the three months ended July 31, 2019, as compared to the three months ended July 31, 2018. The decrease was attributable to the loss of certain accounts, partially offset by new business, including the expansion of certain accounts that primarily occurred in the current year.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7" w:right="239" w:bottom="1440" w:gutter="0" w:footer="0" w:header="0"/>
        </w:sectPr>
      </w:pPr>
    </w:p>
    <w:bookmarkStart w:id="39" w:name="page40"/>
    <w:bookmarkEnd w:id="39"/>
    <w:p>
      <w:pPr>
        <w:jc w:val="both"/>
        <w:ind w:firstLine="648"/>
        <w:spacing w:after="0" w:line="252" w:lineRule="auto"/>
        <w:rPr>
          <w:sz w:val="20"/>
          <w:szCs w:val="20"/>
          <w:color w:val="auto"/>
        </w:rPr>
      </w:pPr>
      <w:r>
        <w:rPr>
          <w:rFonts w:ascii="Arial" w:cs="Arial" w:eastAsia="Arial" w:hAnsi="Arial"/>
          <w:sz w:val="18"/>
          <w:szCs w:val="18"/>
          <w:color w:val="auto"/>
        </w:rPr>
        <w:t>Operating profit increased by $0.5 million, or 4.0%, during the three months ended July 31, 2019, as compared to the three months ended July 31, 2018. Operating profit margin increased by 24 bps to 5.8% in the three months ended July 31, 2019 from 5.6% in the three months ended July 31, 2018. The increase in operating profit margin was primarily attributable to the management of overhead and selling, general and administrative expenses due to the timing of certain synergies and lower reserves established for client receivables, including collections of previously written off receivables. The increase was partially offset by changes in contract mix due to the loss of certain accounts and an increase in direct labor and related personnel costs driven by a challenging labor environment.</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Technical Solutions</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July 31,</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DCE2EF"/>
          </w:tcPr>
          <w:p>
            <w:pPr>
              <w:spacing w:after="0"/>
              <w:rPr>
                <w:sz w:val="22"/>
                <w:szCs w:val="22"/>
                <w:color w:val="auto"/>
              </w:rPr>
            </w:pPr>
          </w:p>
        </w:tc>
        <w:tc>
          <w:tcPr>
            <w:tcW w:w="720" w:type="dxa"/>
            <w:vAlign w:val="bottom"/>
            <w:shd w:val="clear" w:color="auto" w:fill="DCE2EF"/>
          </w:tcPr>
          <w:p>
            <w:pPr>
              <w:jc w:val="right"/>
              <w:ind w:right="4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8"/>
                <w:szCs w:val="18"/>
                <w:color w:val="auto"/>
              </w:rPr>
              <w:t>35.4</w:t>
            </w:r>
          </w:p>
        </w:tc>
        <w:tc>
          <w:tcPr>
            <w:tcW w:w="132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27.2%</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4.8</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37.1%</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10.8%</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10.0%</w:t>
            </w:r>
          </w:p>
        </w:tc>
        <w:tc>
          <w:tcPr>
            <w:tcW w:w="100" w:type="dxa"/>
            <w:vAlign w:val="bottom"/>
            <w:shd w:val="clear" w:color="auto" w:fill="DCE2EF"/>
          </w:tcPr>
          <w:p>
            <w:pPr>
              <w:spacing w:after="0"/>
              <w:rPr>
                <w:sz w:val="24"/>
                <w:szCs w:val="24"/>
                <w:color w:val="auto"/>
              </w:rPr>
            </w:pPr>
          </w:p>
        </w:tc>
        <w:tc>
          <w:tcPr>
            <w:tcW w:w="720" w:type="dxa"/>
            <w:vAlign w:val="bottom"/>
            <w:shd w:val="clear" w:color="auto" w:fill="DCE2EF"/>
          </w:tcPr>
          <w:p>
            <w:pPr>
              <w:spacing w:after="0"/>
              <w:rPr>
                <w:sz w:val="24"/>
                <w:szCs w:val="24"/>
                <w:color w:val="auto"/>
              </w:rPr>
            </w:pP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4"/>
                <w:szCs w:val="14"/>
                <w:i w:val="1"/>
                <w:iCs w:val="1"/>
                <w:color w:val="auto"/>
              </w:rPr>
              <w:t>79 bps</w:t>
            </w:r>
          </w:p>
        </w:tc>
        <w:tc>
          <w:tcPr>
            <w:tcW w:w="132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Technical Solutions revenues increased by $35.4 million, or 27.2%, during the three months ended July 31, 2019, as compared to the three months ended July 31, 2018. This increase was primarily attributable to growth in our U.S. business related to bundled energy solutions (“BES”) projects and power projects, partially offset by the contraction of certain accounts in our U.K. business and a negative impact from fluctuations in foreign currency exchange rates related to our U.K. business.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$4.8 million, or 37.1%, during the three months ended July 31, 2019, as compared to the three months ended July 31, 2018. Operating profit margin increased by 79 bps to 10.8% in the three months ended July 31, 2019 from 10.0% in the three months ended July 31, 2018. The increase in operating profit margin was primarily attributable to the contribution of higher project revenues, lower sales commission expense in the current year due to the deferral of commissions following the adoption of Topic 606, and lower amortization expense following the impairment recognized in our U.K. business at the end of 2018. The increase was partially offset by a higher volume of lower margin power projects in our U.S. business in the current year compared to higher margin BES projects in the prior year and the loss of certain higher margin contracts in our U.K. business.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Corporate</w:t>
            </w: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37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Increase</w:t>
            </w:r>
          </w:p>
        </w:tc>
        <w:tc>
          <w:tcPr>
            <w:tcW w:w="130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Corporate expenses</w:t>
            </w:r>
          </w:p>
        </w:tc>
        <w:tc>
          <w:tcPr>
            <w:tcW w:w="1260" w:type="dxa"/>
            <w:vAlign w:val="bottom"/>
            <w:shd w:val="clear" w:color="auto" w:fill="DCE2EF"/>
          </w:tcPr>
          <w:p>
            <w:pPr>
              <w:jc w:val="right"/>
              <w:ind w:right="1030"/>
              <w:spacing w:after="0"/>
              <w:rPr>
                <w:sz w:val="20"/>
                <w:szCs w:val="20"/>
                <w:color w:val="auto"/>
              </w:rPr>
            </w:pPr>
            <w:r>
              <w:rPr>
                <w:rFonts w:ascii="Arial" w:cs="Arial" w:eastAsia="Arial" w:hAnsi="Arial"/>
                <w:sz w:val="18"/>
                <w:szCs w:val="18"/>
                <w:color w:val="auto"/>
              </w:rPr>
              <w:t>$</w:t>
            </w:r>
          </w:p>
        </w:tc>
        <w:tc>
          <w:tcPr>
            <w:tcW w:w="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DCE2EF"/>
          </w:tcPr>
          <w:p>
            <w:pPr>
              <w:spacing w:after="0"/>
              <w:rPr>
                <w:sz w:val="22"/>
                <w:szCs w:val="22"/>
                <w:color w:val="auto"/>
              </w:rPr>
            </w:pPr>
          </w:p>
        </w:tc>
        <w:tc>
          <w:tcPr>
            <w:tcW w:w="1280" w:type="dxa"/>
            <w:vAlign w:val="bottom"/>
            <w:shd w:val="clear" w:color="auto" w:fill="DCE2E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DCE2EF"/>
          </w:tcPr>
          <w:p>
            <w:pPr>
              <w:spacing w:after="0"/>
              <w:rPr>
                <w:sz w:val="22"/>
                <w:szCs w:val="22"/>
                <w:color w:val="auto"/>
              </w:rPr>
            </w:pPr>
          </w:p>
        </w:tc>
        <w:tc>
          <w:tcPr>
            <w:tcW w:w="800" w:type="dxa"/>
            <w:vAlign w:val="bottom"/>
            <w:shd w:val="clear" w:color="auto" w:fill="DCE2EF"/>
          </w:tcPr>
          <w:p>
            <w:pPr>
              <w:jc w:val="right"/>
              <w:ind w:right="5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650"/>
              <w:spacing w:after="0"/>
              <w:rPr>
                <w:sz w:val="20"/>
                <w:szCs w:val="20"/>
                <w:color w:val="auto"/>
              </w:rPr>
            </w:pPr>
            <w:r>
              <w:rPr>
                <w:rFonts w:ascii="Arial" w:cs="Arial" w:eastAsia="Arial" w:hAnsi="Arial"/>
                <w:sz w:val="18"/>
                <w:szCs w:val="18"/>
                <w:color w:val="auto"/>
              </w:rPr>
              <w:t>0.8</w:t>
            </w:r>
          </w:p>
        </w:tc>
        <w:tc>
          <w:tcPr>
            <w:tcW w:w="1300" w:type="dxa"/>
            <w:vAlign w:val="bottom"/>
            <w:shd w:val="clear" w:color="auto" w:fill="DCE2EF"/>
          </w:tcPr>
          <w:p>
            <w:pPr>
              <w:jc w:val="right"/>
              <w:ind w:right="610"/>
              <w:spacing w:after="0"/>
              <w:rPr>
                <w:sz w:val="20"/>
                <w:szCs w:val="20"/>
                <w:color w:val="auto"/>
              </w:rPr>
            </w:pPr>
            <w:r>
              <w:rPr>
                <w:rFonts w:ascii="Arial" w:cs="Arial" w:eastAsia="Arial" w:hAnsi="Arial"/>
                <w:sz w:val="18"/>
                <w:szCs w:val="18"/>
                <w:color w:val="auto"/>
              </w:rPr>
              <w:t>1.9%</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increased slightly by $ 0.8 million, or 1.9%, during the three months ended July 31, 2019, as compared to the three months ended July 31, 2018. The slight increase in corporate expenses was primarily related to:</w:t>
      </w:r>
    </w:p>
    <w:p>
      <w:pPr>
        <w:spacing w:after="0" w:line="14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$4.7 million increase in technology investments and related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$3.9 million reserve for an anticipated union pension settlement;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absence of a $2.7 million reimbursement of previously expensed legal settlement costs received in the prior year;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$2.5 million reserve established for a non-recurring adjustment related to a client account.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Offsetting these increases were:</w:t>
      </w:r>
    </w:p>
    <w:p>
      <w:pPr>
        <w:spacing w:after="0" w:line="171" w:lineRule="exact"/>
        <w:rPr>
          <w:sz w:val="20"/>
          <w:szCs w:val="20"/>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$9.0 million decrease in self-insurance reserve adjustments related to prior year claims as a result of an actuarial review completed in the three months ended July 31, 2019;</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$1.8 million decrease in legal settlement costs;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$0.9 million decrease in restructuring and related expenses as a result of restructuring expenses incurred in the prior year following the acquisition of GCA, partially offset by other restructuring expenses incurred in the current year.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44" w:right="239"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Nine Months Ended July 31, 2019 Compared with the Nine Months Ended July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Consolidated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40" w:type="dxa"/>
            <w:vAlign w:val="bottom"/>
            <w:gridSpan w:val="5"/>
          </w:tcPr>
          <w:p>
            <w:pPr>
              <w:ind w:left="240"/>
              <w:spacing w:after="0"/>
              <w:rPr>
                <w:sz w:val="20"/>
                <w:szCs w:val="20"/>
                <w:color w:val="auto"/>
              </w:rPr>
            </w:pPr>
            <w:r>
              <w:rPr>
                <w:rFonts w:ascii="Arial" w:cs="Arial" w:eastAsia="Arial" w:hAnsi="Arial"/>
                <w:sz w:val="16"/>
                <w:szCs w:val="16"/>
                <w:b w:val="1"/>
                <w:bCs w:val="1"/>
                <w:color w:val="auto"/>
              </w:rPr>
              <w:t>Nine Months Ended July 31,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6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8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4,850.6</w:t>
            </w:r>
          </w:p>
        </w:tc>
        <w:tc>
          <w:tcPr>
            <w:tcW w:w="100" w:type="dxa"/>
            <w:vAlign w:val="bottom"/>
            <w:shd w:val="clear" w:color="auto" w:fill="DCE2EF"/>
          </w:tcPr>
          <w:p>
            <w:pPr>
              <w:spacing w:after="0"/>
              <w:rPr>
                <w:sz w:val="22"/>
                <w:szCs w:val="22"/>
                <w:color w:val="auto"/>
              </w:rPr>
            </w:pPr>
          </w:p>
        </w:tc>
        <w:tc>
          <w:tcPr>
            <w:tcW w:w="360" w:type="dxa"/>
            <w:vAlign w:val="bottom"/>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4,793.5</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57.1</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1.2%</w:t>
            </w:r>
          </w:p>
        </w:tc>
      </w:tr>
      <w:tr>
        <w:trPr>
          <w:trHeight w:val="260"/>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4,314.2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4,281.8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32.4</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0.8%</w:t>
            </w:r>
          </w:p>
        </w:tc>
      </w:tr>
      <w:tr>
        <w:trPr>
          <w:trHeight w:val="280"/>
        </w:trPr>
        <w:tc>
          <w:tcPr>
            <w:tcW w:w="40" w:type="dxa"/>
            <w:vAlign w:val="bottom"/>
            <w:shd w:val="clear" w:color="auto" w:fill="DCE2EF"/>
          </w:tcPr>
          <w:p>
            <w:pPr>
              <w:spacing w:after="0"/>
              <w:rPr>
                <w:sz w:val="24"/>
                <w:szCs w:val="24"/>
                <w:color w:val="auto"/>
              </w:rPr>
            </w:pPr>
          </w:p>
        </w:tc>
        <w:tc>
          <w:tcPr>
            <w:tcW w:w="56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Gross margin</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11.1%</w:t>
            </w:r>
          </w:p>
        </w:tc>
        <w:tc>
          <w:tcPr>
            <w:tcW w:w="10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10.7%</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38 bps</w:t>
            </w:r>
          </w:p>
        </w:tc>
        <w:tc>
          <w:tcPr>
            <w:tcW w:w="1240" w:type="dxa"/>
            <w:vAlign w:val="bottom"/>
            <w:shd w:val="clear" w:color="auto" w:fill="DCE2EF"/>
          </w:tcPr>
          <w:p>
            <w:pPr>
              <w:spacing w:after="0"/>
              <w:rPr>
                <w:sz w:val="24"/>
                <w:szCs w:val="24"/>
                <w:color w:val="auto"/>
              </w:rPr>
            </w:pPr>
          </w:p>
        </w:tc>
      </w:tr>
      <w:tr>
        <w:trPr>
          <w:trHeight w:val="260"/>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340.9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326.8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4.3%</w:t>
            </w:r>
          </w:p>
        </w:tc>
      </w:tr>
      <w:tr>
        <w:trPr>
          <w:trHeight w:val="280"/>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Restructuring and related expenses</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(14.0)</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(62.2)%</w:t>
            </w:r>
          </w:p>
        </w:tc>
      </w:tr>
      <w:tr>
        <w:trPr>
          <w:trHeight w:val="264"/>
        </w:trPr>
        <w:tc>
          <w:tcPr>
            <w:tcW w:w="566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4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rPr>
              <w:t>(9.3)%</w:t>
            </w:r>
          </w:p>
        </w:tc>
      </w:tr>
      <w:tr>
        <w:trPr>
          <w:trHeight w:val="257"/>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Operating profit</w:t>
            </w:r>
          </w:p>
        </w:tc>
        <w:tc>
          <w:tcPr>
            <w:tcW w:w="340" w:type="dxa"/>
            <w:vAlign w:val="bottom"/>
            <w:shd w:val="clear" w:color="auto" w:fill="DCE2EF"/>
          </w:tcPr>
          <w:p>
            <w:pPr>
              <w:spacing w:after="0"/>
              <w:rPr>
                <w:sz w:val="22"/>
                <w:szCs w:val="22"/>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142.1</w:t>
            </w:r>
          </w:p>
        </w:tc>
        <w:tc>
          <w:tcPr>
            <w:tcW w:w="10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112.9</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29.2</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25.9%</w:t>
            </w:r>
          </w:p>
        </w:tc>
      </w:tr>
      <w:tr>
        <w:trPr>
          <w:trHeight w:val="260"/>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rPr>
              <w:t>(4.5)%</w:t>
            </w:r>
          </w:p>
        </w:tc>
      </w:tr>
      <w:tr>
        <w:trPr>
          <w:trHeight w:val="273"/>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shd w:val="clear" w:color="auto" w:fill="DCE2EF"/>
          </w:tcPr>
          <w:p>
            <w:pPr>
              <w:spacing w:after="0"/>
              <w:rPr>
                <w:sz w:val="23"/>
                <w:szCs w:val="23"/>
                <w:color w:val="auto"/>
              </w:rPr>
            </w:pPr>
          </w:p>
        </w:tc>
        <w:tc>
          <w:tcPr>
            <w:tcW w:w="13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1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DCE2EF"/>
          </w:tcPr>
          <w:p>
            <w:pPr>
              <w:spacing w:after="0"/>
              <w:rPr>
                <w:sz w:val="23"/>
                <w:szCs w:val="23"/>
                <w:color w:val="auto"/>
              </w:rPr>
            </w:pPr>
          </w:p>
        </w:tc>
        <w:tc>
          <w:tcPr>
            <w:tcW w:w="260" w:type="dxa"/>
            <w:vAlign w:val="bottom"/>
            <w:tcBorders>
              <w:bottom w:val="single" w:sz="8" w:color="auto"/>
            </w:tcBorders>
            <w:shd w:val="clear" w:color="auto" w:fill="DCE2EF"/>
          </w:tcPr>
          <w:p>
            <w:pPr>
              <w:spacing w:after="0"/>
              <w:rPr>
                <w:sz w:val="23"/>
                <w:szCs w:val="23"/>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12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(4.4)%</w:t>
            </w:r>
          </w:p>
        </w:tc>
      </w:tr>
      <w:tr>
        <w:trPr>
          <w:trHeight w:val="247"/>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41.6%</w:t>
            </w:r>
          </w:p>
        </w:tc>
      </w:tr>
      <w:tr>
        <w:trPr>
          <w:trHeight w:val="273"/>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tax (provision) benefit</w:t>
            </w:r>
          </w:p>
        </w:tc>
        <w:tc>
          <w:tcPr>
            <w:tcW w:w="340" w:type="dxa"/>
            <w:vAlign w:val="bottom"/>
            <w:tcBorders>
              <w:bottom w:val="single" w:sz="8" w:color="auto"/>
            </w:tcBorders>
            <w:shd w:val="clear" w:color="auto" w:fill="DCE2EF"/>
          </w:tcPr>
          <w:p>
            <w:pPr>
              <w:spacing w:after="0"/>
              <w:rPr>
                <w:sz w:val="23"/>
                <w:szCs w:val="23"/>
                <w:color w:val="auto"/>
              </w:rPr>
            </w:pPr>
          </w:p>
        </w:tc>
        <w:tc>
          <w:tcPr>
            <w:tcW w:w="13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1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DCE2EF"/>
          </w:tcPr>
          <w:p>
            <w:pPr>
              <w:spacing w:after="0"/>
              <w:rPr>
                <w:sz w:val="23"/>
                <w:szCs w:val="23"/>
                <w:color w:val="auto"/>
              </w:rPr>
            </w:pPr>
          </w:p>
        </w:tc>
        <w:tc>
          <w:tcPr>
            <w:tcW w:w="260" w:type="dxa"/>
            <w:vAlign w:val="bottom"/>
            <w:tcBorders>
              <w:bottom w:val="single" w:sz="8" w:color="auto"/>
            </w:tcBorders>
            <w:shd w:val="clear" w:color="auto" w:fill="DCE2EF"/>
          </w:tcPr>
          <w:p>
            <w:pPr>
              <w:spacing w:after="0"/>
              <w:rPr>
                <w:sz w:val="23"/>
                <w:szCs w:val="23"/>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(38.5)</w:t>
            </w:r>
          </w:p>
        </w:tc>
        <w:tc>
          <w:tcPr>
            <w:tcW w:w="1240" w:type="dxa"/>
            <w:vAlign w:val="bottom"/>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47"/>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rPr>
              <w:t>(8.7)%</w:t>
            </w:r>
          </w:p>
        </w:tc>
      </w:tr>
      <w:tr>
        <w:trPr>
          <w:trHeight w:val="280"/>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discontinued operations, net of taxes</w:t>
            </w:r>
          </w:p>
        </w:tc>
        <w:tc>
          <w:tcPr>
            <w:tcW w:w="340" w:type="dxa"/>
            <w:vAlign w:val="bottom"/>
            <w:shd w:val="clear" w:color="auto" w:fill="DCE2EF"/>
          </w:tcPr>
          <w:p>
            <w:pPr>
              <w:spacing w:after="0"/>
              <w:rPr>
                <w:sz w:val="24"/>
                <w:szCs w:val="24"/>
                <w:color w:val="auto"/>
              </w:rPr>
            </w:pPr>
          </w:p>
        </w:tc>
        <w:tc>
          <w:tcPr>
            <w:tcW w:w="1400" w:type="dxa"/>
            <w:vAlign w:val="bottom"/>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44"/>
        </w:trPr>
        <w:tc>
          <w:tcPr>
            <w:tcW w:w="566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79.4</w:t>
            </w:r>
          </w:p>
        </w:tc>
        <w:tc>
          <w:tcPr>
            <w:tcW w:w="100" w:type="dxa"/>
            <w:vAlign w:val="bottom"/>
            <w:tcBorders>
              <w:bottom w:val="single" w:sz="8" w:color="DCE2E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DCE2E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4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rPr>
              <w:t>(9.8)%</w:t>
            </w:r>
          </w:p>
        </w:tc>
      </w:tr>
      <w:tr>
        <w:trPr>
          <w:trHeight w:val="270"/>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comprehensive income (loss)</w:t>
            </w:r>
          </w:p>
        </w:tc>
        <w:tc>
          <w:tcPr>
            <w:tcW w:w="340" w:type="dxa"/>
            <w:vAlign w:val="bottom"/>
            <w:shd w:val="clear" w:color="auto" w:fill="DCE2EF"/>
          </w:tcPr>
          <w:p>
            <w:pPr>
              <w:spacing w:after="0"/>
              <w:rPr>
                <w:sz w:val="23"/>
                <w:szCs w:val="23"/>
                <w:color w:val="auto"/>
              </w:rPr>
            </w:pPr>
          </w:p>
        </w:tc>
        <w:tc>
          <w:tcPr>
            <w:tcW w:w="130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18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spacing w:after="0"/>
              <w:rPr>
                <w:sz w:val="23"/>
                <w:szCs w:val="23"/>
                <w:color w:val="auto"/>
              </w:rPr>
            </w:pPr>
          </w:p>
        </w:tc>
        <w:tc>
          <w:tcPr>
            <w:tcW w:w="1240" w:type="dxa"/>
            <w:vAlign w:val="bottom"/>
            <w:shd w:val="clear" w:color="auto" w:fill="DCE2E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620" w:type="dxa"/>
            <w:vAlign w:val="bottom"/>
            <w:gridSpan w:val="2"/>
          </w:tcPr>
          <w:p>
            <w:pPr>
              <w:ind w:left="320"/>
              <w:spacing w:after="0"/>
              <w:rPr>
                <w:sz w:val="20"/>
                <w:szCs w:val="20"/>
                <w:color w:val="auto"/>
              </w:rPr>
            </w:pPr>
            <w:r>
              <w:rPr>
                <w:rFonts w:ascii="Arial" w:cs="Arial" w:eastAsia="Arial" w:hAnsi="Arial"/>
                <w:sz w:val="16"/>
                <w:szCs w:val="16"/>
                <w:color w:val="auto"/>
              </w:rPr>
              <w:t>Interest rate swaps</w:t>
            </w:r>
          </w:p>
        </w:tc>
        <w:tc>
          <w:tcPr>
            <w:tcW w:w="34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w:t>
            </w:r>
          </w:p>
        </w:tc>
        <w:tc>
          <w:tcPr>
            <w:tcW w:w="1240" w:type="dxa"/>
            <w:vAlign w:val="bottom"/>
          </w:tcPr>
          <w:p>
            <w:pPr>
              <w:ind w:left="520"/>
              <w:spacing w:after="0"/>
              <w:rPr>
                <w:sz w:val="20"/>
                <w:szCs w:val="20"/>
                <w:color w:val="auto"/>
              </w:rPr>
            </w:pPr>
            <w:r>
              <w:rPr>
                <w:rFonts w:ascii="Arial" w:cs="Arial" w:eastAsia="Arial" w:hAnsi="Arial"/>
                <w:sz w:val="16"/>
                <w:szCs w:val="16"/>
                <w:color w:val="auto"/>
              </w:rPr>
              <w:t>NM*</w:t>
            </w:r>
          </w:p>
        </w:tc>
      </w:tr>
      <w:tr>
        <w:trPr>
          <w:trHeight w:val="280"/>
        </w:trPr>
        <w:tc>
          <w:tcPr>
            <w:tcW w:w="40" w:type="dxa"/>
            <w:vAlign w:val="bottom"/>
            <w:shd w:val="clear" w:color="auto" w:fill="DCE2EF"/>
          </w:tcPr>
          <w:p>
            <w:pPr>
              <w:spacing w:after="0"/>
              <w:rPr>
                <w:sz w:val="24"/>
                <w:szCs w:val="24"/>
                <w:color w:val="auto"/>
              </w:rPr>
            </w:pPr>
          </w:p>
        </w:tc>
        <w:tc>
          <w:tcPr>
            <w:tcW w:w="56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Foreign currency translation</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(60.3)%</w:t>
            </w:r>
          </w:p>
        </w:tc>
      </w:tr>
      <w:tr>
        <w:trPr>
          <w:trHeight w:val="264"/>
        </w:trPr>
        <w:tc>
          <w:tcPr>
            <w:tcW w:w="40" w:type="dxa"/>
            <w:vAlign w:val="bottom"/>
            <w:tcBorders>
              <w:bottom w:val="single" w:sz="8" w:color="DCE2EF"/>
            </w:tcBorders>
          </w:tcPr>
          <w:p>
            <w:pPr>
              <w:spacing w:after="0"/>
              <w:rPr>
                <w:sz w:val="22"/>
                <w:szCs w:val="22"/>
                <w:color w:val="auto"/>
              </w:rPr>
            </w:pPr>
          </w:p>
        </w:tc>
        <w:tc>
          <w:tcPr>
            <w:tcW w:w="5620" w:type="dxa"/>
            <w:vAlign w:val="bottom"/>
            <w:tcBorders>
              <w:bottom w:val="single" w:sz="8" w:color="DCE2EF"/>
            </w:tcBorders>
            <w:gridSpan w:val="2"/>
          </w:tcPr>
          <w:p>
            <w:pPr>
              <w:ind w:left="34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w:t>
            </w:r>
          </w:p>
        </w:tc>
        <w:tc>
          <w:tcPr>
            <w:tcW w:w="1240" w:type="dxa"/>
            <w:vAlign w:val="bottom"/>
            <w:tcBorders>
              <w:bottom w:val="single" w:sz="8" w:color="DCE2EF"/>
            </w:tcBorders>
          </w:tcPr>
          <w:p>
            <w:pPr>
              <w:ind w:left="520"/>
              <w:spacing w:after="0"/>
              <w:rPr>
                <w:sz w:val="20"/>
                <w:szCs w:val="20"/>
                <w:color w:val="auto"/>
              </w:rPr>
            </w:pPr>
            <w:r>
              <w:rPr>
                <w:rFonts w:ascii="Arial" w:cs="Arial" w:eastAsia="Arial" w:hAnsi="Arial"/>
                <w:sz w:val="16"/>
                <w:szCs w:val="16"/>
                <w:color w:val="auto"/>
              </w:rPr>
              <w:t>NM*</w:t>
            </w:r>
          </w:p>
        </w:tc>
      </w:tr>
      <w:tr>
        <w:trPr>
          <w:trHeight w:val="240"/>
        </w:trPr>
        <w:tc>
          <w:tcPr>
            <w:tcW w:w="566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auto"/>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102.6</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(38.6)</w:t>
            </w:r>
          </w:p>
        </w:tc>
        <w:tc>
          <w:tcPr>
            <w:tcW w:w="124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(37.6)%</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Revenues increased by $57.1 million, or 1.2%, during the nine months ended July 31, 2019, as compared to the nine months ended July 31, 2018. The increase in revenues was attributable to organic growth, primarily in our U.S. Technical Solutions business. This increase was partially offset by the loss of certain accounts in our U.S. B&amp;I business, our U.K. Technical Solutions business, Education, T&amp;M, and Aviation. Additionally, during the nine months ended July 31, 2019 we reclassified $36.1 million of rent expense related to service concession arrangements, primarily within Aviation, that was previously recorded as an operating expense but is now recorded as a reduction of revenues following the adoption of Topic 853.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$32.4 million, or 0.8%, during the nine months ended July 31, 2019, as compared to the nine months ended July 31, 2018. The increase was partially offset by the reclassification of $36.1 million of rent expense related to service concession arrangements to revenue, as noted above. Gross margin increased by 38 bps to 11.1% in the nine months ended July 31, 2019 from 10.7% in the nine months ended July 31, 2018. The increase in gross margin was primarily associated with improved margins within our U.S. B&amp;I business and T&amp;M, the impact of Topic 606 within our Technical Solutions business, and a lower self-insurance adjustment related to prior year claims.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$14.1 million, or 4.3%, during the nine months ended July 31, 2019, as compared to the nine months ended July 31, 2018.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$14.4 million increase in technology investments and related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a $7.0 million reimbursement of previously expensed legal settlement costs received in the prior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$3.9 million reserve for an anticipated union pension settlement;</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a $3.4 million benefit in the prior year resulting from actuarial evaluations performed on our medical and dental self-insurance plans;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$2.5 million reserve established for a non-recurring adjustment related to a client account.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Offsetting this increase was:</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$7.3 million decrease in compensation and related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$6.9 million decrease in legal settlement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Restructuring and related expenses decreased by $14.0 million, or 62.2%, during the nine months ended July 31, 2019, as compared to the nine months ended July 31, 2018. The decrease was due to restructuring expenses incurred in the prior year following the acquisition of GCA, primarily severance, partially offset by other restructuring expenses incurred in the current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effective tax rates on income from continuing operations for the nine months ended July 31, 2019 and July 31, 2018 were 24.5% and (17.1)%, respectively. Our effective tax rate for the nine months ended July 31, 2019 was impacted by the following discrete items: a $2.0 million benefit from an expiring statute of limitations; a $1.4 million provision for reserves; a $1.3 million provision related to the Work Opportunity Tax Credit (“WOTC”); and a $1.1 million benefit from the vesting of share-based compensation awards. Our effective tax rate for the nine months ended July 31, 2018 was impacted by the following discrete items: a $21.5 million benefit related to the Tax Act enactment; a $4.1 million benefit from an expiring statute of limitations; a $3.1 million benefit from the vesting of share-based compensation awards; a $2.6 million benefit for energy efficient government buildings; and a $1.5 million provision for certain tax credits, including WOTC.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nine months ended July 31, 2019, we recognized as a component of our comprehensive income a loss of $17.9 million related to our interest rate swaps, compared to a gain of $22.0 million during the nine months ended July 31, 2018, primarily due to underlying changes in the fair value of the interest rate swaps. Additionally, during the current period we amortized $3.1 million, net of taxes of $1.2 million, of the gain we realized in 2018 from the termination of our prior interest rate swaps, as compared to $0.9 million, net of taxes of $0.3 million, amortized during the 2018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Foreign currency translation loss increased by $0.9 million during the nine months ended July 31, 2019, as compared to the nine months ended July 31, 2018. This increase was due to fluctuations in the exchange rate between the USD and the GBP. Future gains and losses on foreign currency translation will be dependent upon changes in the relative value of foreign currencies to the USD and the extent of our foreign assets and liabilities.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2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528"/>
              <w:spacing w:after="0"/>
              <w:rPr>
                <w:sz w:val="20"/>
                <w:szCs w:val="20"/>
                <w:color w:val="auto"/>
              </w:rPr>
            </w:pPr>
            <w:r>
              <w:rPr>
                <w:rFonts w:ascii="Arial" w:cs="Arial" w:eastAsia="Arial" w:hAnsi="Arial"/>
                <w:sz w:val="16"/>
                <w:szCs w:val="16"/>
                <w:b w:val="1"/>
                <w:bCs w:val="1"/>
                <w:color w:val="auto"/>
              </w:rPr>
              <w:t>Nine Months Ended July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54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gridSpan w:val="2"/>
          </w:tcPr>
          <w:p>
            <w:pPr>
              <w:jc w:val="right"/>
              <w:ind w:right="568"/>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2"/>
          </w:tcPr>
          <w:p>
            <w:pPr>
              <w:ind w:left="380"/>
              <w:spacing w:after="0"/>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DCE2EF"/>
            </w:tcBorders>
          </w:tcPr>
          <w:p>
            <w:pPr>
              <w:spacing w:after="0" w:line="20" w:lineRule="exact"/>
              <w:rPr>
                <w:sz w:val="1"/>
                <w:szCs w:val="1"/>
                <w:color w:val="auto"/>
              </w:rPr>
            </w:pPr>
          </w:p>
        </w:tc>
        <w:tc>
          <w:tcPr>
            <w:tcW w:w="106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DCE2EF"/>
          </w:tcPr>
          <w:p>
            <w:pPr>
              <w:spacing w:after="0"/>
              <w:rPr>
                <w:sz w:val="22"/>
                <w:szCs w:val="22"/>
                <w:color w:val="auto"/>
              </w:rPr>
            </w:pPr>
          </w:p>
        </w:tc>
        <w:tc>
          <w:tcPr>
            <w:tcW w:w="1060" w:type="dxa"/>
            <w:vAlign w:val="bottom"/>
            <w:shd w:val="clear" w:color="auto" w:fill="DCE2EF"/>
          </w:tcPr>
          <w:p>
            <w:pPr>
              <w:spacing w:after="0"/>
              <w:rPr>
                <w:sz w:val="22"/>
                <w:szCs w:val="22"/>
                <w:color w:val="auto"/>
              </w:rPr>
            </w:pPr>
          </w:p>
        </w:tc>
        <w:tc>
          <w:tcPr>
            <w:tcW w:w="4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c>
          <w:tcPr>
            <w:tcW w:w="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6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1060" w:type="dxa"/>
            <w:vAlign w:val="bottom"/>
            <w:shd w:val="clear" w:color="auto" w:fill="DCE2EF"/>
          </w:tcPr>
          <w:p>
            <w:pPr>
              <w:spacing w:after="0"/>
              <w:rPr>
                <w:sz w:val="22"/>
                <w:szCs w:val="22"/>
                <w:color w:val="auto"/>
              </w:rPr>
            </w:pPr>
          </w:p>
        </w:tc>
        <w:tc>
          <w:tcPr>
            <w:tcW w:w="146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22"/>
                <w:szCs w:val="22"/>
                <w:color w:val="auto"/>
              </w:rPr>
            </w:pPr>
          </w:p>
        </w:tc>
        <w:tc>
          <w:tcPr>
            <w:tcW w:w="14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2,444.5</w:t>
            </w:r>
          </w:p>
        </w:tc>
        <w:tc>
          <w:tcPr>
            <w:tcW w:w="7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2,446.0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765.8</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769.7</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(3.9)</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687.3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691.0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633.6</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637.8</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417.7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360.3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57.4</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73"/>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Elimination of inter-segment revenues</w:t>
            </w:r>
          </w:p>
        </w:tc>
        <w:tc>
          <w:tcPr>
            <w:tcW w:w="420" w:type="dxa"/>
            <w:vAlign w:val="bottom"/>
            <w:shd w:val="clear" w:color="auto" w:fill="DCE2EF"/>
          </w:tcPr>
          <w:p>
            <w:pPr>
              <w:spacing w:after="0"/>
              <w:rPr>
                <w:sz w:val="23"/>
                <w:szCs w:val="23"/>
                <w:color w:val="auto"/>
              </w:rPr>
            </w:pPr>
          </w:p>
        </w:tc>
        <w:tc>
          <w:tcPr>
            <w:tcW w:w="1060" w:type="dxa"/>
            <w:vAlign w:val="bottom"/>
            <w:shd w:val="clear" w:color="auto" w:fill="DCE2EF"/>
          </w:tcPr>
          <w:p>
            <w:pPr>
              <w:spacing w:after="0"/>
              <w:rPr>
                <w:sz w:val="23"/>
                <w:szCs w:val="23"/>
                <w:color w:val="auto"/>
              </w:rPr>
            </w:pPr>
          </w:p>
        </w:tc>
        <w:tc>
          <w:tcPr>
            <w:tcW w:w="400" w:type="dxa"/>
            <w:vAlign w:val="bottom"/>
            <w:tcBorders>
              <w:bottom w:val="single" w:sz="8" w:color="auto"/>
            </w:tcBorders>
            <w:shd w:val="clear" w:color="auto" w:fill="DCE2EF"/>
          </w:tcPr>
          <w:p>
            <w:pPr>
              <w:spacing w:after="0"/>
              <w:rPr>
                <w:sz w:val="23"/>
                <w:szCs w:val="23"/>
                <w:color w:val="auto"/>
              </w:rPr>
            </w:pPr>
          </w:p>
        </w:tc>
        <w:tc>
          <w:tcPr>
            <w:tcW w:w="100" w:type="dxa"/>
            <w:vAlign w:val="bottom"/>
            <w:tcBorders>
              <w:bottom w:val="single" w:sz="8" w:color="auto"/>
            </w:tcBorders>
            <w:shd w:val="clear" w:color="auto" w:fill="DCE2EF"/>
          </w:tcPr>
          <w:p>
            <w:pPr>
              <w:spacing w:after="0"/>
              <w:rPr>
                <w:sz w:val="23"/>
                <w:szCs w:val="23"/>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(98.3)</w:t>
            </w:r>
          </w:p>
        </w:tc>
        <w:tc>
          <w:tcPr>
            <w:tcW w:w="20" w:type="dxa"/>
            <w:vAlign w:val="bottom"/>
            <w:tcBorders>
              <w:bottom w:val="single" w:sz="8" w:color="auto"/>
            </w:tcBorders>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620" w:type="dxa"/>
            <w:vAlign w:val="bottom"/>
            <w:tcBorders>
              <w:bottom w:val="single" w:sz="8" w:color="auto"/>
            </w:tcBorders>
            <w:shd w:val="clear" w:color="auto" w:fill="DCE2EF"/>
          </w:tcPr>
          <w:p>
            <w:pPr>
              <w:spacing w:after="0"/>
              <w:rPr>
                <w:sz w:val="23"/>
                <w:szCs w:val="23"/>
                <w:color w:val="auto"/>
              </w:rPr>
            </w:pPr>
          </w:p>
        </w:tc>
        <w:tc>
          <w:tcPr>
            <w:tcW w:w="1020" w:type="dxa"/>
            <w:vAlign w:val="bottom"/>
            <w:tcBorders>
              <w:bottom w:val="single" w:sz="8" w:color="auto"/>
            </w:tcBorders>
            <w:gridSpan w:val="2"/>
            <w:shd w:val="clear" w:color="auto" w:fill="DCE2EF"/>
          </w:tcPr>
          <w:p>
            <w:pPr>
              <w:jc w:val="right"/>
              <w:ind w:right="28"/>
              <w:spacing w:after="0"/>
              <w:rPr>
                <w:sz w:val="20"/>
                <w:szCs w:val="20"/>
                <w:color w:val="auto"/>
              </w:rPr>
            </w:pPr>
            <w:r>
              <w:rPr>
                <w:rFonts w:ascii="Arial" w:cs="Arial" w:eastAsia="Arial" w:hAnsi="Arial"/>
                <w:sz w:val="16"/>
                <w:szCs w:val="16"/>
                <w:color w:val="auto"/>
              </w:rPr>
              <w:t>(111.4)</w:t>
            </w:r>
          </w:p>
        </w:tc>
        <w:tc>
          <w:tcPr>
            <w:tcW w:w="120" w:type="dxa"/>
            <w:vAlign w:val="bottom"/>
            <w:shd w:val="clear" w:color="auto" w:fill="DCE2EF"/>
          </w:tcPr>
          <w:p>
            <w:pPr>
              <w:spacing w:after="0"/>
              <w:rPr>
                <w:sz w:val="23"/>
                <w:szCs w:val="23"/>
                <w:color w:val="auto"/>
              </w:rPr>
            </w:pPr>
          </w:p>
        </w:tc>
        <w:tc>
          <w:tcPr>
            <w:tcW w:w="180" w:type="dxa"/>
            <w:vAlign w:val="bottom"/>
            <w:tcBorders>
              <w:bottom w:val="single" w:sz="8" w:color="auto"/>
            </w:tcBorders>
            <w:shd w:val="clear" w:color="auto" w:fill="DCE2EF"/>
          </w:tcPr>
          <w:p>
            <w:pPr>
              <w:spacing w:after="0"/>
              <w:rPr>
                <w:sz w:val="23"/>
                <w:szCs w:val="23"/>
                <w:color w:val="auto"/>
              </w:rPr>
            </w:pPr>
          </w:p>
        </w:tc>
        <w:tc>
          <w:tcPr>
            <w:tcW w:w="106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13.1</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4,850.6</w:t>
            </w:r>
          </w:p>
        </w:tc>
        <w:tc>
          <w:tcPr>
            <w:tcW w:w="7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4,793.5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57.1</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w w:val="98"/>
              </w:rPr>
              <w:t>1.2%</w:t>
            </w:r>
          </w:p>
        </w:tc>
        <w:tc>
          <w:tcPr>
            <w:tcW w:w="0" w:type="dxa"/>
            <w:vAlign w:val="bottom"/>
          </w:tcPr>
          <w:p>
            <w:pPr>
              <w:spacing w:after="0"/>
              <w:rPr>
                <w:sz w:val="1"/>
                <w:szCs w:val="1"/>
                <w:color w:val="auto"/>
              </w:rPr>
            </w:pPr>
          </w:p>
        </w:tc>
      </w:tr>
      <w:tr>
        <w:trPr>
          <w:trHeight w:val="254"/>
        </w:trPr>
        <w:tc>
          <w:tcPr>
            <w:tcW w:w="3700" w:type="dxa"/>
            <w:vAlign w:val="bottom"/>
            <w:tcBorders>
              <w:top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420" w:type="dxa"/>
            <w:vAlign w:val="bottom"/>
            <w:tcBorders>
              <w:top w:val="single" w:sz="8" w:color="DCE2EF"/>
            </w:tcBorders>
            <w:shd w:val="clear" w:color="auto" w:fill="DCE2EF"/>
          </w:tcPr>
          <w:p>
            <w:pPr>
              <w:spacing w:after="0"/>
              <w:rPr>
                <w:sz w:val="22"/>
                <w:szCs w:val="22"/>
                <w:color w:val="auto"/>
              </w:rPr>
            </w:pPr>
          </w:p>
        </w:tc>
        <w:tc>
          <w:tcPr>
            <w:tcW w:w="1060" w:type="dxa"/>
            <w:vAlign w:val="bottom"/>
            <w:tcBorders>
              <w:top w:val="single" w:sz="8" w:color="DCE2EF"/>
            </w:tcBorders>
            <w:shd w:val="clear" w:color="auto" w:fill="DCE2EF"/>
          </w:tcPr>
          <w:p>
            <w:pPr>
              <w:spacing w:after="0"/>
              <w:rPr>
                <w:sz w:val="22"/>
                <w:szCs w:val="22"/>
                <w:color w:val="auto"/>
              </w:rPr>
            </w:pPr>
          </w:p>
        </w:tc>
        <w:tc>
          <w:tcPr>
            <w:tcW w:w="400" w:type="dxa"/>
            <w:vAlign w:val="bottom"/>
            <w:tcBorders>
              <w:top w:val="single" w:sz="8" w:color="auto"/>
            </w:tcBorders>
            <w:shd w:val="clear" w:color="auto" w:fill="DCE2EF"/>
          </w:tcPr>
          <w:p>
            <w:pPr>
              <w:spacing w:after="0"/>
              <w:rPr>
                <w:sz w:val="22"/>
                <w:szCs w:val="22"/>
                <w:color w:val="auto"/>
              </w:rPr>
            </w:pPr>
          </w:p>
        </w:tc>
        <w:tc>
          <w:tcPr>
            <w:tcW w:w="100" w:type="dxa"/>
            <w:vAlign w:val="bottom"/>
            <w:tcBorders>
              <w:top w:val="single" w:sz="8" w:color="auto"/>
            </w:tcBorders>
            <w:shd w:val="clear" w:color="auto" w:fill="DCE2EF"/>
          </w:tcPr>
          <w:p>
            <w:pPr>
              <w:spacing w:after="0"/>
              <w:rPr>
                <w:sz w:val="22"/>
                <w:szCs w:val="22"/>
                <w:color w:val="auto"/>
              </w:rPr>
            </w:pPr>
          </w:p>
        </w:tc>
        <w:tc>
          <w:tcPr>
            <w:tcW w:w="1120" w:type="dxa"/>
            <w:vAlign w:val="bottom"/>
            <w:tcBorders>
              <w:top w:val="single" w:sz="8" w:color="auto"/>
            </w:tcBorders>
            <w:shd w:val="clear" w:color="auto" w:fill="DCE2EF"/>
          </w:tcPr>
          <w:p>
            <w:pPr>
              <w:spacing w:after="0"/>
              <w:rPr>
                <w:sz w:val="22"/>
                <w:szCs w:val="22"/>
                <w:color w:val="auto"/>
              </w:rPr>
            </w:pPr>
          </w:p>
        </w:tc>
        <w:tc>
          <w:tcPr>
            <w:tcW w:w="20" w:type="dxa"/>
            <w:vAlign w:val="bottom"/>
            <w:tcBorders>
              <w:top w:val="single" w:sz="8" w:color="auto"/>
            </w:tcBorders>
            <w:shd w:val="clear" w:color="auto" w:fill="DCE2EF"/>
          </w:tcPr>
          <w:p>
            <w:pPr>
              <w:spacing w:after="0"/>
              <w:rPr>
                <w:sz w:val="22"/>
                <w:szCs w:val="22"/>
                <w:color w:val="auto"/>
              </w:rPr>
            </w:pPr>
          </w:p>
        </w:tc>
        <w:tc>
          <w:tcPr>
            <w:tcW w:w="120" w:type="dxa"/>
            <w:vAlign w:val="bottom"/>
            <w:tcBorders>
              <w:top w:val="single" w:sz="8" w:color="DCE2EF"/>
            </w:tcBorders>
            <w:shd w:val="clear" w:color="auto" w:fill="DCE2EF"/>
          </w:tcPr>
          <w:p>
            <w:pPr>
              <w:spacing w:after="0"/>
              <w:rPr>
                <w:sz w:val="22"/>
                <w:szCs w:val="22"/>
                <w:color w:val="auto"/>
              </w:rPr>
            </w:pPr>
          </w:p>
        </w:tc>
        <w:tc>
          <w:tcPr>
            <w:tcW w:w="620" w:type="dxa"/>
            <w:vAlign w:val="bottom"/>
            <w:tcBorders>
              <w:top w:val="single" w:sz="8" w:color="auto"/>
            </w:tcBorders>
            <w:shd w:val="clear" w:color="auto" w:fill="DCE2EF"/>
          </w:tcPr>
          <w:p>
            <w:pPr>
              <w:spacing w:after="0"/>
              <w:rPr>
                <w:sz w:val="22"/>
                <w:szCs w:val="22"/>
                <w:color w:val="auto"/>
              </w:rPr>
            </w:pPr>
          </w:p>
        </w:tc>
        <w:tc>
          <w:tcPr>
            <w:tcW w:w="100" w:type="dxa"/>
            <w:vAlign w:val="bottom"/>
            <w:tcBorders>
              <w:top w:val="single" w:sz="8" w:color="auto"/>
            </w:tcBorders>
            <w:shd w:val="clear" w:color="auto" w:fill="DCE2EF"/>
          </w:tcPr>
          <w:p>
            <w:pPr>
              <w:spacing w:after="0"/>
              <w:rPr>
                <w:sz w:val="22"/>
                <w:szCs w:val="22"/>
                <w:color w:val="auto"/>
              </w:rPr>
            </w:pPr>
          </w:p>
        </w:tc>
        <w:tc>
          <w:tcPr>
            <w:tcW w:w="920" w:type="dxa"/>
            <w:vAlign w:val="bottom"/>
            <w:tcBorders>
              <w:top w:val="single" w:sz="8" w:color="auto"/>
            </w:tcBorders>
            <w:shd w:val="clear" w:color="auto" w:fill="DCE2EF"/>
          </w:tcPr>
          <w:p>
            <w:pPr>
              <w:spacing w:after="0"/>
              <w:rPr>
                <w:sz w:val="22"/>
                <w:szCs w:val="22"/>
                <w:color w:val="auto"/>
              </w:rPr>
            </w:pPr>
          </w:p>
        </w:tc>
        <w:tc>
          <w:tcPr>
            <w:tcW w:w="120" w:type="dxa"/>
            <w:vAlign w:val="bottom"/>
            <w:tcBorders>
              <w:top w:val="single" w:sz="8" w:color="DCE2EF"/>
            </w:tcBorders>
            <w:shd w:val="clear" w:color="auto" w:fill="DCE2EF"/>
          </w:tcPr>
          <w:p>
            <w:pPr>
              <w:spacing w:after="0"/>
              <w:rPr>
                <w:sz w:val="22"/>
                <w:szCs w:val="22"/>
                <w:color w:val="auto"/>
              </w:rPr>
            </w:pPr>
          </w:p>
        </w:tc>
        <w:tc>
          <w:tcPr>
            <w:tcW w:w="180" w:type="dxa"/>
            <w:vAlign w:val="bottom"/>
            <w:tcBorders>
              <w:top w:val="single" w:sz="8" w:color="auto"/>
            </w:tcBorders>
            <w:shd w:val="clear" w:color="auto" w:fill="DCE2EF"/>
          </w:tcPr>
          <w:p>
            <w:pPr>
              <w:spacing w:after="0"/>
              <w:rPr>
                <w:sz w:val="22"/>
                <w:szCs w:val="22"/>
                <w:color w:val="auto"/>
              </w:rPr>
            </w:pPr>
          </w:p>
        </w:tc>
        <w:tc>
          <w:tcPr>
            <w:tcW w:w="1060" w:type="dxa"/>
            <w:vAlign w:val="bottom"/>
            <w:tcBorders>
              <w:top w:val="single" w:sz="8" w:color="auto"/>
            </w:tcBorders>
            <w:shd w:val="clear" w:color="auto" w:fill="DCE2EF"/>
          </w:tcPr>
          <w:p>
            <w:pPr>
              <w:spacing w:after="0"/>
              <w:rPr>
                <w:sz w:val="22"/>
                <w:szCs w:val="22"/>
                <w:color w:val="auto"/>
              </w:rPr>
            </w:pPr>
          </w:p>
        </w:tc>
        <w:tc>
          <w:tcPr>
            <w:tcW w:w="1460" w:type="dxa"/>
            <w:vAlign w:val="bottom"/>
            <w:tcBorders>
              <w:top w:val="single" w:sz="8" w:color="DCE2EF"/>
            </w:tcBorders>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22"/>
                <w:szCs w:val="22"/>
                <w:color w:val="auto"/>
              </w:rPr>
            </w:pPr>
          </w:p>
        </w:tc>
        <w:tc>
          <w:tcPr>
            <w:tcW w:w="14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131.2</w:t>
            </w:r>
          </w:p>
        </w:tc>
        <w:tc>
          <w:tcPr>
            <w:tcW w:w="7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114.8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16.4</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80"/>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5.4%</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41"/>
              <w:spacing w:after="0"/>
              <w:rPr>
                <w:sz w:val="20"/>
                <w:szCs w:val="20"/>
                <w:color w:val="auto"/>
              </w:rPr>
            </w:pPr>
            <w:r>
              <w:rPr>
                <w:rFonts w:ascii="Arial" w:cs="Arial" w:eastAsia="Arial" w:hAnsi="Arial"/>
                <w:sz w:val="14"/>
                <w:szCs w:val="14"/>
                <w:i w:val="1"/>
                <w:iCs w:val="1"/>
                <w:color w:val="auto"/>
              </w:rPr>
              <w:t>68 bps</w:t>
            </w:r>
          </w:p>
        </w:tc>
        <w:tc>
          <w:tcPr>
            <w:tcW w:w="146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17.2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w w:val="99"/>
              </w:rPr>
              <w:t>(16.3)%</w:t>
            </w:r>
          </w:p>
        </w:tc>
        <w:tc>
          <w:tcPr>
            <w:tcW w:w="0" w:type="dxa"/>
            <w:vAlign w:val="bottom"/>
          </w:tcPr>
          <w:p>
            <w:pPr>
              <w:spacing w:after="0"/>
              <w:rPr>
                <w:sz w:val="1"/>
                <w:szCs w:val="1"/>
                <w:color w:val="auto"/>
              </w:rPr>
            </w:pPr>
          </w:p>
        </w:tc>
      </w:tr>
      <w:tr>
        <w:trPr>
          <w:trHeight w:val="280"/>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2.3%</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2.7%</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41"/>
              <w:spacing w:after="0"/>
              <w:rPr>
                <w:sz w:val="20"/>
                <w:szCs w:val="20"/>
                <w:color w:val="auto"/>
              </w:rPr>
            </w:pPr>
            <w:r>
              <w:rPr>
                <w:rFonts w:ascii="Arial" w:cs="Arial" w:eastAsia="Arial" w:hAnsi="Arial"/>
                <w:sz w:val="14"/>
                <w:szCs w:val="14"/>
                <w:i w:val="1"/>
                <w:iCs w:val="1"/>
                <w:color w:val="auto"/>
              </w:rPr>
              <w:t>(42) bps</w:t>
            </w:r>
          </w:p>
        </w:tc>
        <w:tc>
          <w:tcPr>
            <w:tcW w:w="146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54.4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w w:val="98"/>
              </w:rPr>
              <w:t>9.2%</w:t>
            </w:r>
          </w:p>
        </w:tc>
        <w:tc>
          <w:tcPr>
            <w:tcW w:w="0" w:type="dxa"/>
            <w:vAlign w:val="bottom"/>
          </w:tcPr>
          <w:p>
            <w:pPr>
              <w:spacing w:after="0"/>
              <w:rPr>
                <w:sz w:val="1"/>
                <w:szCs w:val="1"/>
                <w:color w:val="auto"/>
              </w:rPr>
            </w:pPr>
          </w:p>
        </w:tc>
      </w:tr>
      <w:tr>
        <w:trPr>
          <w:trHeight w:val="280"/>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7.9%</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7.2%</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41"/>
              <w:spacing w:after="0"/>
              <w:rPr>
                <w:sz w:val="20"/>
                <w:szCs w:val="20"/>
                <w:color w:val="auto"/>
              </w:rPr>
            </w:pPr>
            <w:r>
              <w:rPr>
                <w:rFonts w:ascii="Arial" w:cs="Arial" w:eastAsia="Arial" w:hAnsi="Arial"/>
                <w:sz w:val="14"/>
                <w:szCs w:val="14"/>
                <w:i w:val="1"/>
                <w:iCs w:val="1"/>
                <w:color w:val="auto"/>
              </w:rPr>
              <w:t>70 bps</w:t>
            </w:r>
          </w:p>
        </w:tc>
        <w:tc>
          <w:tcPr>
            <w:tcW w:w="146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Education</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33.4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w w:val="98"/>
              </w:rPr>
              <w:t>4.0%</w:t>
            </w:r>
          </w:p>
        </w:tc>
        <w:tc>
          <w:tcPr>
            <w:tcW w:w="0" w:type="dxa"/>
            <w:vAlign w:val="bottom"/>
          </w:tcPr>
          <w:p>
            <w:pPr>
              <w:spacing w:after="0"/>
              <w:rPr>
                <w:sz w:val="1"/>
                <w:szCs w:val="1"/>
                <w:color w:val="auto"/>
              </w:rPr>
            </w:pPr>
          </w:p>
        </w:tc>
      </w:tr>
      <w:tr>
        <w:trPr>
          <w:trHeight w:val="280"/>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5.3%</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5.0%</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41"/>
              <w:spacing w:after="0"/>
              <w:rPr>
                <w:sz w:val="20"/>
                <w:szCs w:val="20"/>
                <w:color w:val="auto"/>
              </w:rPr>
            </w:pPr>
            <w:r>
              <w:rPr>
                <w:rFonts w:ascii="Arial" w:cs="Arial" w:eastAsia="Arial" w:hAnsi="Arial"/>
                <w:sz w:val="14"/>
                <w:szCs w:val="14"/>
                <w:i w:val="1"/>
                <w:iCs w:val="1"/>
                <w:color w:val="auto"/>
              </w:rPr>
              <w:t>24 bps</w:t>
            </w:r>
          </w:p>
        </w:tc>
        <w:tc>
          <w:tcPr>
            <w:tcW w:w="146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35.3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6.5</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80"/>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8.4%</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8.0%</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41"/>
              <w:spacing w:after="0"/>
              <w:rPr>
                <w:sz w:val="20"/>
                <w:szCs w:val="20"/>
                <w:color w:val="auto"/>
              </w:rPr>
            </w:pPr>
            <w:r>
              <w:rPr>
                <w:rFonts w:ascii="Arial" w:cs="Arial" w:eastAsia="Arial" w:hAnsi="Arial"/>
                <w:sz w:val="14"/>
                <w:szCs w:val="14"/>
                <w:i w:val="1"/>
                <w:iCs w:val="1"/>
                <w:color w:val="auto"/>
              </w:rPr>
              <w:t>45 bps</w:t>
            </w:r>
          </w:p>
        </w:tc>
        <w:tc>
          <w:tcPr>
            <w:tcW w:w="146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Government Services</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0.7</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80"/>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4"/>
                <w:szCs w:val="14"/>
                <w:i w:val="1"/>
                <w:iCs w:val="1"/>
                <w:color w:val="auto"/>
              </w:rPr>
              <w:t>NM*</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88"/>
              <w:spacing w:after="0"/>
              <w:rPr>
                <w:sz w:val="20"/>
                <w:szCs w:val="20"/>
                <w:color w:val="auto"/>
              </w:rPr>
            </w:pPr>
            <w:r>
              <w:rPr>
                <w:rFonts w:ascii="Arial" w:cs="Arial" w:eastAsia="Arial" w:hAnsi="Arial"/>
                <w:sz w:val="14"/>
                <w:szCs w:val="14"/>
                <w:i w:val="1"/>
                <w:iCs w:val="1"/>
                <w:color w:val="auto"/>
              </w:rPr>
              <w:t>NM*</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41"/>
              <w:spacing w:after="0"/>
              <w:rPr>
                <w:sz w:val="20"/>
                <w:szCs w:val="20"/>
                <w:color w:val="auto"/>
              </w:rPr>
            </w:pPr>
            <w:r>
              <w:rPr>
                <w:rFonts w:ascii="Arial" w:cs="Arial" w:eastAsia="Arial" w:hAnsi="Arial"/>
                <w:sz w:val="14"/>
                <w:szCs w:val="14"/>
                <w:i w:val="1"/>
                <w:iCs w:val="1"/>
                <w:color w:val="auto"/>
              </w:rPr>
              <w:t>NM*</w:t>
            </w:r>
          </w:p>
        </w:tc>
        <w:tc>
          <w:tcPr>
            <w:tcW w:w="146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w w:val="98"/>
              </w:rPr>
              <w:t>0.2%</w:t>
            </w:r>
          </w:p>
        </w:tc>
        <w:tc>
          <w:tcPr>
            <w:tcW w:w="0" w:type="dxa"/>
            <w:vAlign w:val="bottom"/>
          </w:tcPr>
          <w:p>
            <w:pPr>
              <w:spacing w:after="0"/>
              <w:rPr>
                <w:sz w:val="1"/>
                <w:szCs w:val="1"/>
                <w:color w:val="auto"/>
              </w:rPr>
            </w:pPr>
          </w:p>
        </w:tc>
      </w:tr>
      <w:tr>
        <w:trPr>
          <w:trHeight w:val="228"/>
        </w:trPr>
        <w:tc>
          <w:tcPr>
            <w:tcW w:w="5680" w:type="dxa"/>
            <w:vAlign w:val="bottom"/>
            <w:gridSpan w:val="7"/>
            <w:shd w:val="clear" w:color="auto" w:fill="DCE2EF"/>
          </w:tcPr>
          <w:p>
            <w:pPr>
              <w:ind w:left="40"/>
              <w:spacing w:after="0"/>
              <w:rPr>
                <w:sz w:val="20"/>
                <w:szCs w:val="20"/>
                <w:color w:val="auto"/>
              </w:rPr>
            </w:pPr>
            <w:r>
              <w:rPr>
                <w:rFonts w:ascii="Arial" w:cs="Arial" w:eastAsia="Arial" w:hAnsi="Arial"/>
                <w:sz w:val="16"/>
                <w:szCs w:val="16"/>
                <w:color w:val="auto"/>
              </w:rPr>
              <w:t>Adjustment for income from unconsolidated affiliates, included in</w:t>
            </w:r>
          </w:p>
        </w:tc>
        <w:tc>
          <w:tcPr>
            <w:tcW w:w="112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6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9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DCE2EF"/>
          </w:tcPr>
          <w:p>
            <w:pPr>
              <w:spacing w:after="0"/>
              <w:rPr>
                <w:sz w:val="18"/>
                <w:szCs w:val="18"/>
                <w:color w:val="auto"/>
              </w:rPr>
            </w:pPr>
          </w:p>
        </w:tc>
        <w:tc>
          <w:tcPr>
            <w:tcW w:w="366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18"/>
                <w:szCs w:val="18"/>
                <w:color w:val="auto"/>
              </w:rPr>
            </w:pPr>
          </w:p>
        </w:tc>
        <w:tc>
          <w:tcPr>
            <w:tcW w:w="106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620" w:type="dxa"/>
            <w:vAlign w:val="bottom"/>
            <w:shd w:val="clear" w:color="auto" w:fill="DCE2EF"/>
          </w:tcPr>
          <w:p>
            <w:pPr>
              <w:spacing w:after="0"/>
              <w:rPr>
                <w:sz w:val="18"/>
                <w:szCs w:val="18"/>
                <w:color w:val="auto"/>
              </w:rPr>
            </w:pPr>
          </w:p>
        </w:tc>
        <w:tc>
          <w:tcPr>
            <w:tcW w:w="1020" w:type="dxa"/>
            <w:vAlign w:val="bottom"/>
            <w:gridSpan w:val="2"/>
            <w:shd w:val="clear" w:color="auto" w:fill="DCE2EF"/>
          </w:tcPr>
          <w:p>
            <w:pPr>
              <w:jc w:val="right"/>
              <w:ind w:right="28"/>
              <w:spacing w:after="0"/>
              <w:rPr>
                <w:sz w:val="20"/>
                <w:szCs w:val="20"/>
                <w:color w:val="auto"/>
              </w:rPr>
            </w:pPr>
            <w:r>
              <w:rPr>
                <w:rFonts w:ascii="Arial" w:cs="Arial" w:eastAsia="Arial" w:hAnsi="Arial"/>
                <w:sz w:val="16"/>
                <w:szCs w:val="16"/>
                <w:color w:val="auto"/>
              </w:rPr>
              <w:t>(2.5)</w:t>
            </w:r>
          </w:p>
        </w:tc>
        <w:tc>
          <w:tcPr>
            <w:tcW w:w="1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0.1</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w w:val="98"/>
              </w:rPr>
              <w:t>4.9%</w:t>
            </w:r>
          </w:p>
        </w:tc>
        <w:tc>
          <w:tcPr>
            <w:tcW w:w="0" w:type="dxa"/>
            <w:vAlign w:val="bottom"/>
          </w:tcPr>
          <w:p>
            <w:pPr>
              <w:spacing w:after="0"/>
              <w:rPr>
                <w:sz w:val="1"/>
                <w:szCs w:val="1"/>
                <w:color w:val="auto"/>
              </w:rPr>
            </w:pPr>
          </w:p>
        </w:tc>
      </w:tr>
      <w:tr>
        <w:trPr>
          <w:trHeight w:val="218"/>
        </w:trPr>
        <w:tc>
          <w:tcPr>
            <w:tcW w:w="5680" w:type="dxa"/>
            <w:vAlign w:val="bottom"/>
            <w:gridSpan w:val="7"/>
          </w:tcPr>
          <w:p>
            <w:pPr>
              <w:ind w:left="40"/>
              <w:spacing w:after="0"/>
              <w:rPr>
                <w:sz w:val="20"/>
                <w:szCs w:val="20"/>
                <w:color w:val="auto"/>
              </w:rPr>
            </w:pPr>
            <w:r>
              <w:rPr>
                <w:rFonts w:ascii="Arial" w:cs="Arial" w:eastAsia="Arial" w:hAnsi="Arial"/>
                <w:sz w:val="16"/>
                <w:szCs w:val="16"/>
                <w:color w:val="auto"/>
              </w:rPr>
              <w:t>Adjustment for tax deductions for energy efficient government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DCE2EF"/>
            </w:tcBorders>
          </w:tcPr>
          <w:p>
            <w:pPr>
              <w:spacing w:after="0"/>
              <w:rPr>
                <w:sz w:val="18"/>
                <w:szCs w:val="18"/>
                <w:color w:val="auto"/>
              </w:rPr>
            </w:pPr>
          </w:p>
        </w:tc>
        <w:tc>
          <w:tcPr>
            <w:tcW w:w="3660" w:type="dxa"/>
            <w:vAlign w:val="bottom"/>
            <w:tcBorders>
              <w:bottom w:val="single" w:sz="8" w:color="DCE2EF"/>
            </w:tcBorders>
            <w:gridSpan w:val="2"/>
          </w:tcPr>
          <w:p>
            <w:pPr>
              <w:ind w:left="160"/>
              <w:spacing w:after="0"/>
              <w:rPr>
                <w:sz w:val="20"/>
                <w:szCs w:val="20"/>
                <w:color w:val="auto"/>
              </w:rPr>
            </w:pPr>
            <w:r>
              <w:rPr>
                <w:rFonts w:ascii="Arial" w:cs="Arial" w:eastAsia="Arial" w:hAnsi="Arial"/>
                <w:sz w:val="16"/>
                <w:szCs w:val="16"/>
                <w:color w:val="auto"/>
              </w:rPr>
              <w:t>buildings, included in Technical Solutions</w:t>
            </w:r>
          </w:p>
        </w:tc>
        <w:tc>
          <w:tcPr>
            <w:tcW w:w="420" w:type="dxa"/>
            <w:vAlign w:val="bottom"/>
            <w:tcBorders>
              <w:bottom w:val="single" w:sz="8" w:color="DCE2EF"/>
            </w:tcBorders>
          </w:tcPr>
          <w:p>
            <w:pPr>
              <w:spacing w:after="0"/>
              <w:rPr>
                <w:sz w:val="18"/>
                <w:szCs w:val="18"/>
                <w:color w:val="auto"/>
              </w:rPr>
            </w:pPr>
          </w:p>
        </w:tc>
        <w:tc>
          <w:tcPr>
            <w:tcW w:w="1060" w:type="dxa"/>
            <w:vAlign w:val="bottom"/>
            <w:tcBorders>
              <w:bottom w:val="single" w:sz="8" w:color="DCE2E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DCE2E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w:t>
            </w:r>
          </w:p>
        </w:tc>
        <w:tc>
          <w:tcPr>
            <w:tcW w:w="1460" w:type="dxa"/>
            <w:vAlign w:val="bottom"/>
            <w:tcBorders>
              <w:bottom w:val="single" w:sz="8" w:color="DCE2EF"/>
            </w:tcBorders>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0"/>
        </w:trPr>
        <w:tc>
          <w:tcPr>
            <w:tcW w:w="40" w:type="dxa"/>
            <w:vAlign w:val="bottom"/>
            <w:shd w:val="clear" w:color="auto" w:fill="DCE2EF"/>
          </w:tcPr>
          <w:p>
            <w:pPr>
              <w:spacing w:after="0"/>
              <w:rPr>
                <w:sz w:val="20"/>
                <w:szCs w:val="20"/>
                <w:color w:val="auto"/>
              </w:rPr>
            </w:pPr>
          </w:p>
        </w:tc>
        <w:tc>
          <w:tcPr>
            <w:tcW w:w="820" w:type="dxa"/>
            <w:vAlign w:val="bottom"/>
            <w:shd w:val="clear" w:color="auto" w:fill="DCE2EF"/>
          </w:tcPr>
          <w:p>
            <w:pPr>
              <w:spacing w:after="0"/>
              <w:rPr>
                <w:sz w:val="20"/>
                <w:szCs w:val="20"/>
                <w:color w:val="auto"/>
              </w:rPr>
            </w:pPr>
          </w:p>
        </w:tc>
        <w:tc>
          <w:tcPr>
            <w:tcW w:w="2840" w:type="dxa"/>
            <w:vAlign w:val="bottom"/>
            <w:shd w:val="clear" w:color="auto" w:fill="DCE2EF"/>
          </w:tcPr>
          <w:p>
            <w:pPr>
              <w:spacing w:after="0"/>
              <w:rPr>
                <w:sz w:val="20"/>
                <w:szCs w:val="20"/>
                <w:color w:val="auto"/>
              </w:rPr>
            </w:pPr>
          </w:p>
        </w:tc>
        <w:tc>
          <w:tcPr>
            <w:tcW w:w="420" w:type="dxa"/>
            <w:vAlign w:val="bottom"/>
            <w:shd w:val="clear" w:color="auto" w:fill="DCE2EF"/>
          </w:tcPr>
          <w:p>
            <w:pPr>
              <w:spacing w:after="0"/>
              <w:rPr>
                <w:sz w:val="20"/>
                <w:szCs w:val="20"/>
                <w:color w:val="auto"/>
              </w:rPr>
            </w:pPr>
          </w:p>
        </w:tc>
        <w:tc>
          <w:tcPr>
            <w:tcW w:w="1460" w:type="dxa"/>
            <w:vAlign w:val="bottom"/>
            <w:gridSpan w:val="2"/>
            <w:shd w:val="clear" w:color="auto" w:fill="DCE2E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20"/>
                <w:szCs w:val="20"/>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142.1</w:t>
            </w:r>
          </w:p>
        </w:tc>
        <w:tc>
          <w:tcPr>
            <w:tcW w:w="760" w:type="dxa"/>
            <w:vAlign w:val="bottom"/>
            <w:gridSpan w:val="3"/>
            <w:shd w:val="clear" w:color="auto" w:fill="DCE2EF"/>
          </w:tcPr>
          <w:p>
            <w:pPr>
              <w:jc w:val="right"/>
              <w:ind w:right="5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112.9</w:t>
            </w:r>
          </w:p>
        </w:tc>
        <w:tc>
          <w:tcPr>
            <w:tcW w:w="300" w:type="dxa"/>
            <w:vAlign w:val="bottom"/>
            <w:gridSpan w:val="2"/>
            <w:shd w:val="clear" w:color="auto" w:fill="DCE2E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29.2</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0"/>
        </w:trPr>
        <w:tc>
          <w:tcPr>
            <w:tcW w:w="3700" w:type="dxa"/>
            <w:vAlign w:val="bottom"/>
            <w:tcBorders>
              <w:top w:val="single" w:sz="8" w:color="DCE2EF"/>
              <w:bottom w:val="single" w:sz="8" w:color="DCE2EF"/>
            </w:tcBorders>
            <w:gridSpan w:val="3"/>
            <w:vMerge w:val="restart"/>
          </w:tcPr>
          <w:p>
            <w:pPr>
              <w:ind w:left="40"/>
              <w:spacing w:after="0"/>
              <w:rPr>
                <w:sz w:val="20"/>
                <w:szCs w:val="20"/>
                <w:color w:val="auto"/>
              </w:rPr>
            </w:pPr>
            <w:r>
              <w:rPr>
                <w:rFonts w:ascii="Arial" w:cs="Arial" w:eastAsia="Arial" w:hAnsi="Arial"/>
                <w:sz w:val="16"/>
                <w:szCs w:val="16"/>
                <w:color w:val="auto"/>
              </w:rPr>
              <w:t>*Not meaningful</w:t>
            </w:r>
          </w:p>
        </w:tc>
        <w:tc>
          <w:tcPr>
            <w:tcW w:w="420" w:type="dxa"/>
            <w:vAlign w:val="bottom"/>
            <w:tcBorders>
              <w:top w:val="single" w:sz="8" w:color="DCE2EF"/>
            </w:tcBorders>
          </w:tcPr>
          <w:p>
            <w:pPr>
              <w:spacing w:after="0" w:line="20" w:lineRule="exact"/>
              <w:rPr>
                <w:sz w:val="1"/>
                <w:szCs w:val="1"/>
                <w:color w:val="auto"/>
              </w:rPr>
            </w:pPr>
          </w:p>
        </w:tc>
        <w:tc>
          <w:tcPr>
            <w:tcW w:w="106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7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Pr>
          <w:p>
            <w:pPr>
              <w:spacing w:after="0"/>
              <w:rPr>
                <w:sz w:val="19"/>
                <w:szCs w:val="19"/>
                <w:color w:val="auto"/>
              </w:rPr>
            </w:pPr>
          </w:p>
        </w:tc>
        <w:tc>
          <w:tcPr>
            <w:tcW w:w="1060" w:type="dxa"/>
            <w:vAlign w:val="bottom"/>
          </w:tcPr>
          <w:p>
            <w:pPr>
              <w:ind w:left="32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20" w:type="dxa"/>
            <w:vAlign w:val="bottom"/>
            <w:gridSpan w:val="4"/>
          </w:tcPr>
          <w:p>
            <w:pPr>
              <w:ind w:left="6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DCE2EF"/>
          </w:tcPr>
          <w:p>
            <w:pPr>
              <w:jc w:val="right"/>
              <w:ind w:right="160"/>
              <w:spacing w:after="0"/>
              <w:rPr>
                <w:sz w:val="20"/>
                <w:szCs w:val="20"/>
                <w:color w:val="auto"/>
              </w:rPr>
            </w:pPr>
            <w:r>
              <w:rPr>
                <w:rFonts w:ascii="Arial" w:cs="Arial" w:eastAsia="Arial" w:hAnsi="Arial"/>
                <w:sz w:val="18"/>
                <w:szCs w:val="18"/>
                <w:color w:val="auto"/>
              </w:rPr>
              <w:t>2,444.5</w:t>
            </w:r>
          </w:p>
        </w:tc>
        <w:tc>
          <w:tcPr>
            <w:tcW w:w="100" w:type="dxa"/>
            <w:vAlign w:val="bottom"/>
            <w:shd w:val="clear" w:color="auto" w:fill="DCE2EF"/>
          </w:tcPr>
          <w:p>
            <w:pPr>
              <w:spacing w:after="0"/>
              <w:rPr>
                <w:sz w:val="22"/>
                <w:szCs w:val="22"/>
                <w:color w:val="auto"/>
              </w:rPr>
            </w:pPr>
          </w:p>
        </w:tc>
        <w:tc>
          <w:tcPr>
            <w:tcW w:w="1120" w:type="dxa"/>
            <w:vAlign w:val="bottom"/>
            <w:shd w:val="clear" w:color="auto" w:fill="DCE2EF"/>
          </w:tcPr>
          <w:p>
            <w:pPr>
              <w:jc w:val="right"/>
              <w:ind w:right="92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DCE2EF"/>
          </w:tcPr>
          <w:p>
            <w:pPr>
              <w:jc w:val="right"/>
              <w:ind w:right="160"/>
              <w:spacing w:after="0"/>
              <w:rPr>
                <w:sz w:val="20"/>
                <w:szCs w:val="20"/>
                <w:color w:val="auto"/>
              </w:rPr>
            </w:pPr>
            <w:r>
              <w:rPr>
                <w:rFonts w:ascii="Arial" w:cs="Arial" w:eastAsia="Arial" w:hAnsi="Arial"/>
                <w:sz w:val="18"/>
                <w:szCs w:val="18"/>
                <w:color w:val="auto"/>
                <w:w w:val="96"/>
              </w:rPr>
              <w:t>2,446.0</w:t>
            </w:r>
          </w:p>
        </w:tc>
        <w:tc>
          <w:tcPr>
            <w:tcW w:w="1020" w:type="dxa"/>
            <w:vAlign w:val="bottom"/>
            <w:gridSpan w:val="2"/>
            <w:shd w:val="clear" w:color="auto" w:fill="DCE2EF"/>
          </w:tcPr>
          <w:p>
            <w:pPr>
              <w:jc w:val="right"/>
              <w:ind w:right="708"/>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1060" w:type="dxa"/>
            <w:vAlign w:val="bottom"/>
            <w:shd w:val="clear" w:color="auto" w:fill="DCE2EF"/>
          </w:tcPr>
          <w:p>
            <w:pPr>
              <w:jc w:val="right"/>
              <w:ind w:right="421"/>
              <w:spacing w:after="0"/>
              <w:rPr>
                <w:sz w:val="20"/>
                <w:szCs w:val="20"/>
                <w:color w:val="auto"/>
              </w:rPr>
            </w:pPr>
            <w:r>
              <w:rPr>
                <w:rFonts w:ascii="Arial" w:cs="Arial" w:eastAsia="Arial" w:hAnsi="Arial"/>
                <w:sz w:val="18"/>
                <w:szCs w:val="18"/>
                <w:color w:val="auto"/>
              </w:rPr>
              <w:t>(1.5)</w:t>
            </w:r>
          </w:p>
        </w:tc>
        <w:tc>
          <w:tcPr>
            <w:tcW w:w="1460" w:type="dxa"/>
            <w:vAlign w:val="bottom"/>
            <w:shd w:val="clear" w:color="auto" w:fill="DCE2EF"/>
          </w:tcPr>
          <w:p>
            <w:pPr>
              <w:jc w:val="right"/>
              <w:ind w:right="55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1"/>
              <w:spacing w:after="0"/>
              <w:rPr>
                <w:sz w:val="20"/>
                <w:szCs w:val="20"/>
                <w:color w:val="auto"/>
              </w:rPr>
            </w:pPr>
            <w:r>
              <w:rPr>
                <w:rFonts w:ascii="Arial" w:cs="Arial" w:eastAsia="Arial" w:hAnsi="Arial"/>
                <w:sz w:val="18"/>
                <w:szCs w:val="18"/>
                <w:color w:val="auto"/>
              </w:rPr>
              <w:t>16.4</w:t>
            </w:r>
          </w:p>
        </w:tc>
        <w:tc>
          <w:tcPr>
            <w:tcW w:w="1460" w:type="dxa"/>
            <w:vAlign w:val="bottom"/>
          </w:tcPr>
          <w:p>
            <w:pPr>
              <w:jc w:val="right"/>
              <w:ind w:right="558"/>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460" w:type="dxa"/>
            <w:vAlign w:val="bottom"/>
            <w:gridSpan w:val="2"/>
            <w:shd w:val="clear" w:color="auto" w:fill="DCE2EF"/>
          </w:tcPr>
          <w:p>
            <w:pPr>
              <w:ind w:left="1100"/>
              <w:spacing w:after="0"/>
              <w:rPr>
                <w:sz w:val="20"/>
                <w:szCs w:val="20"/>
                <w:color w:val="auto"/>
              </w:rPr>
            </w:pPr>
            <w:r>
              <w:rPr>
                <w:rFonts w:ascii="Arial" w:cs="Arial" w:eastAsia="Arial" w:hAnsi="Arial"/>
                <w:sz w:val="14"/>
                <w:szCs w:val="14"/>
                <w:i w:val="1"/>
                <w:iCs w:val="1"/>
                <w:color w:val="auto"/>
              </w:rPr>
              <w:t>5.4%</w:t>
            </w: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spacing w:after="0"/>
              <w:rPr>
                <w:sz w:val="24"/>
                <w:szCs w:val="24"/>
                <w:color w:val="auto"/>
              </w:rPr>
            </w:pPr>
          </w:p>
        </w:tc>
        <w:tc>
          <w:tcPr>
            <w:tcW w:w="760" w:type="dxa"/>
            <w:vAlign w:val="bottom"/>
            <w:gridSpan w:val="3"/>
            <w:shd w:val="clear" w:color="auto" w:fill="DCE2EF"/>
          </w:tcPr>
          <w:p>
            <w:pPr>
              <w:jc w:val="right"/>
              <w:ind w:right="40"/>
              <w:spacing w:after="0"/>
              <w:rPr>
                <w:sz w:val="20"/>
                <w:szCs w:val="20"/>
                <w:color w:val="auto"/>
              </w:rPr>
            </w:pPr>
            <w:r>
              <w:rPr>
                <w:rFonts w:ascii="Arial" w:cs="Arial" w:eastAsia="Arial" w:hAnsi="Arial"/>
                <w:sz w:val="14"/>
                <w:szCs w:val="14"/>
                <w:i w:val="1"/>
                <w:iCs w:val="1"/>
                <w:color w:val="auto"/>
              </w:rPr>
              <w:t>4.7%</w:t>
            </w:r>
          </w:p>
        </w:tc>
        <w:tc>
          <w:tcPr>
            <w:tcW w:w="10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481"/>
              <w:spacing w:after="0"/>
              <w:rPr>
                <w:sz w:val="20"/>
                <w:szCs w:val="20"/>
                <w:color w:val="auto"/>
              </w:rPr>
            </w:pPr>
            <w:r>
              <w:rPr>
                <w:rFonts w:ascii="Arial" w:cs="Arial" w:eastAsia="Arial" w:hAnsi="Arial"/>
                <w:sz w:val="14"/>
                <w:szCs w:val="14"/>
                <w:i w:val="1"/>
                <w:iCs w:val="1"/>
                <w:color w:val="auto"/>
              </w:rPr>
              <w:t>68 bps</w:t>
            </w:r>
          </w:p>
        </w:tc>
        <w:tc>
          <w:tcPr>
            <w:tcW w:w="146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B&amp;I revenues decreased slightly by $1.5 million during the nine months ended July 31, 2019, as compared to the nine months ended July 31, 2018. The decrease was primarily attributable to the loss of certain accounts in our U.S. business, including the exit from certain lower margin or underperforming accounts, and a negative impact from fluctuations in foreign currency exchange rates related to our U.K. business. The decrease was partially offset by organic growth, including the expansion of a contract that started in 2018 in our U.K. business and the targeted expansion of certain key clients within our U.S. business. Management reimbursement revenues for this segment totaled $211.2 million and $206.1 million for the nine months ended July 31, 2019 and 2018, respectively.</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0" w:right="239" w:bottom="1440" w:gutter="0" w:footer="0" w:header="0"/>
        </w:sectPr>
      </w:pPr>
    </w:p>
    <w:bookmarkStart w:id="43" w:name="page44"/>
    <w:bookmarkEnd w:id="43"/>
    <w:p>
      <w:pPr>
        <w:jc w:val="both"/>
        <w:ind w:firstLine="648"/>
        <w:spacing w:after="0" w:line="252" w:lineRule="auto"/>
        <w:rPr>
          <w:sz w:val="20"/>
          <w:szCs w:val="20"/>
          <w:color w:val="auto"/>
        </w:rPr>
      </w:pPr>
      <w:r>
        <w:rPr>
          <w:rFonts w:ascii="Arial" w:cs="Arial" w:eastAsia="Arial" w:hAnsi="Arial"/>
          <w:sz w:val="18"/>
          <w:szCs w:val="18"/>
          <w:color w:val="auto"/>
        </w:rPr>
        <w:t>Operating profit increased by $16.4 million, or 14.3%, during the nine months ended July 31, 2019, as compared to the nine months ended July 31, 2018. Operating profit margin increased by 68 bps to 5.4% in the nine months ended July 31, 2019 from 4.7% in the nine months ended July 31, 2018. The increase in operating profit margin was primarily associated with higher margins on certain accounts in our U.S. business, improvements in our labor management processes, and a decrease in unemployment taxes in certain states. This increase was partially offset by the absence of a non-recurring positive adjustment related to a client account in the prior year and a provision for the settlement of a union health and welfare benefits audit. While labor challenges are present in certain areas of our B&amp;I business, it is our most mature business and has the highest proportion of unionized labor.</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284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765.8</w:t>
            </w:r>
          </w:p>
        </w:tc>
        <w:tc>
          <w:tcPr>
            <w:tcW w:w="10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769.7</w:t>
            </w:r>
          </w:p>
        </w:tc>
        <w:tc>
          <w:tcPr>
            <w:tcW w:w="100" w:type="dxa"/>
            <w:vAlign w:val="bottom"/>
            <w:tcBorders>
              <w:bottom w:val="single" w:sz="8" w:color="DCE2EF"/>
            </w:tcBorders>
            <w:shd w:val="clear" w:color="auto" w:fill="DCE2EF"/>
          </w:tcPr>
          <w:p>
            <w:pPr>
              <w:spacing w:after="0"/>
              <w:rPr>
                <w:sz w:val="21"/>
                <w:szCs w:val="21"/>
                <w:color w:val="auto"/>
              </w:rPr>
            </w:pPr>
          </w:p>
        </w:tc>
        <w:tc>
          <w:tcPr>
            <w:tcW w:w="660" w:type="dxa"/>
            <w:vAlign w:val="bottom"/>
            <w:tcBorders>
              <w:bottom w:val="single" w:sz="8" w:color="DCE2EF"/>
            </w:tcBorders>
            <w:shd w:val="clear" w:color="auto" w:fill="DCE2EF"/>
          </w:tcPr>
          <w:p>
            <w:pPr>
              <w:jc w:val="right"/>
              <w:ind w:right="4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DCE2EF"/>
            </w:tcBorders>
            <w:shd w:val="clear" w:color="auto" w:fill="DCE2EF"/>
          </w:tcPr>
          <w:p>
            <w:pPr>
              <w:jc w:val="right"/>
              <w:ind w:right="534"/>
              <w:spacing w:after="0"/>
              <w:rPr>
                <w:sz w:val="20"/>
                <w:szCs w:val="20"/>
                <w:color w:val="auto"/>
              </w:rPr>
            </w:pPr>
            <w:r>
              <w:rPr>
                <w:rFonts w:ascii="Arial" w:cs="Arial" w:eastAsia="Arial" w:hAnsi="Arial"/>
                <w:sz w:val="18"/>
                <w:szCs w:val="18"/>
                <w:color w:val="auto"/>
              </w:rPr>
              <w:t>(3.9)</w:t>
            </w:r>
          </w:p>
        </w:tc>
        <w:tc>
          <w:tcPr>
            <w:tcW w:w="1340" w:type="dxa"/>
            <w:vAlign w:val="bottom"/>
            <w:tcBorders>
              <w:bottom w:val="single" w:sz="8" w:color="DCE2EF"/>
            </w:tcBorders>
            <w:shd w:val="clear" w:color="auto" w:fill="DCE2EF"/>
          </w:tcPr>
          <w:p>
            <w:pPr>
              <w:jc w:val="right"/>
              <w:ind w:right="550"/>
              <w:spacing w:after="0"/>
              <w:rPr>
                <w:sz w:val="20"/>
                <w:szCs w:val="20"/>
                <w:color w:val="auto"/>
              </w:rPr>
            </w:pPr>
            <w:r>
              <w:rPr>
                <w:rFonts w:ascii="Arial" w:cs="Arial" w:eastAsia="Arial" w:hAnsi="Arial"/>
                <w:sz w:val="18"/>
                <w:szCs w:val="18"/>
                <w:color w:val="auto"/>
              </w:rPr>
              <w:t>(0.5)%</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40" w:type="dxa"/>
            <w:vAlign w:val="bottom"/>
          </w:tcPr>
          <w:p>
            <w:pPr>
              <w:jc w:val="right"/>
              <w:ind w:right="534"/>
              <w:spacing w:after="0"/>
              <w:rPr>
                <w:sz w:val="20"/>
                <w:szCs w:val="20"/>
                <w:color w:val="auto"/>
              </w:rPr>
            </w:pPr>
            <w:r>
              <w:rPr>
                <w:rFonts w:ascii="Arial" w:cs="Arial" w:eastAsia="Arial" w:hAnsi="Arial"/>
                <w:sz w:val="18"/>
                <w:szCs w:val="18"/>
                <w:color w:val="auto"/>
              </w:rPr>
              <w:t>(3.4)</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(16.3)%</w:t>
            </w:r>
          </w:p>
        </w:tc>
      </w:tr>
      <w:tr>
        <w:trPr>
          <w:trHeight w:val="250"/>
        </w:trPr>
        <w:tc>
          <w:tcPr>
            <w:tcW w:w="4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2.3%</w:t>
            </w:r>
          </w:p>
        </w:tc>
        <w:tc>
          <w:tcPr>
            <w:tcW w:w="100" w:type="dxa"/>
            <w:vAlign w:val="bottom"/>
            <w:shd w:val="clear" w:color="auto" w:fill="DCE2EF"/>
          </w:tcPr>
          <w:p>
            <w:pPr>
              <w:spacing w:after="0"/>
              <w:rPr>
                <w:sz w:val="21"/>
                <w:szCs w:val="21"/>
                <w:color w:val="auto"/>
              </w:rPr>
            </w:pP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2.7%</w:t>
            </w:r>
          </w:p>
        </w:tc>
        <w:tc>
          <w:tcPr>
            <w:tcW w:w="100" w:type="dxa"/>
            <w:vAlign w:val="bottom"/>
            <w:shd w:val="clear" w:color="auto" w:fill="DCE2EF"/>
          </w:tcPr>
          <w:p>
            <w:pPr>
              <w:spacing w:after="0"/>
              <w:rPr>
                <w:sz w:val="21"/>
                <w:szCs w:val="21"/>
                <w:color w:val="auto"/>
              </w:rPr>
            </w:pPr>
          </w:p>
        </w:tc>
        <w:tc>
          <w:tcPr>
            <w:tcW w:w="660" w:type="dxa"/>
            <w:vAlign w:val="bottom"/>
            <w:shd w:val="clear" w:color="auto" w:fill="DCE2EF"/>
          </w:tcPr>
          <w:p>
            <w:pPr>
              <w:spacing w:after="0"/>
              <w:rPr>
                <w:sz w:val="21"/>
                <w:szCs w:val="21"/>
                <w:color w:val="auto"/>
              </w:rPr>
            </w:pPr>
          </w:p>
        </w:tc>
        <w:tc>
          <w:tcPr>
            <w:tcW w:w="1740" w:type="dxa"/>
            <w:vAlign w:val="bottom"/>
            <w:shd w:val="clear" w:color="auto" w:fill="DCE2EF"/>
          </w:tcPr>
          <w:p>
            <w:pPr>
              <w:jc w:val="right"/>
              <w:ind w:right="594"/>
              <w:spacing w:after="0"/>
              <w:rPr>
                <w:sz w:val="20"/>
                <w:szCs w:val="20"/>
                <w:color w:val="auto"/>
              </w:rPr>
            </w:pPr>
            <w:r>
              <w:rPr>
                <w:rFonts w:ascii="Arial" w:cs="Arial" w:eastAsia="Arial" w:hAnsi="Arial"/>
                <w:sz w:val="14"/>
                <w:szCs w:val="14"/>
                <w:i w:val="1"/>
                <w:iCs w:val="1"/>
                <w:color w:val="auto"/>
              </w:rPr>
              <w:t>(42) bps</w:t>
            </w:r>
          </w:p>
        </w:tc>
        <w:tc>
          <w:tcPr>
            <w:tcW w:w="134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660" w:type="dxa"/>
            <w:vAlign w:val="bottom"/>
            <w:shd w:val="clear" w:color="auto" w:fill="DCE2EF"/>
          </w:tcPr>
          <w:p>
            <w:pPr>
              <w:spacing w:after="0"/>
              <w:rPr>
                <w:sz w:val="2"/>
                <w:szCs w:val="2"/>
                <w:color w:val="auto"/>
              </w:rPr>
            </w:pPr>
          </w:p>
        </w:tc>
        <w:tc>
          <w:tcPr>
            <w:tcW w:w="174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Aviation revenues decreased by $3.9 million, or 0.5%, during the nine months ended July 31, 2019, as compared to the nine months ended July 31, 2018. During the nine months ended July 31, 2019, we reclassified $34.9 million of rent expense related to service concession arrangements that was previously recorded as an operating expense but is now recorded as a reduction of revenues following the adoption of Topic 853. The decrease in revenue was also attributable to the loss of certain passenger services, facility services, and cabin cleaning accounts and a negative impact from fluctuations in foreign currency exchange rates related to our U.K. business. This decrease was partially offset by organic growth, primarily new contract wins in our U.K. business, as well as the expansion of catering logistics accounts in our U.S. business. Management reimbursement revenues for this segment totaled $72.0 million and $76.9 million for the nine months ended July 31, 2019 and 2018, respectively.</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$3.4 million, or 16.3%, during the nine months ended July 31, 2019, as compared to the nine months ended July 31, 2018. Operating profit margin decreased by 42 bps to 2.3% in the nine months ended July 31, 2019 from 2.7% in the nine months ended July 31, 2018. The decrease in operating profit margin was primarily attributable to operational issues on certain accounts, including higher labor costs due to a tight labor market. This decrease was partially offset by higher margins on certain new contracts, including contract wins in our U.K. business.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284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687.3</w:t>
            </w:r>
          </w:p>
        </w:tc>
        <w:tc>
          <w:tcPr>
            <w:tcW w:w="12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CE2EF"/>
            </w:tcBorders>
            <w:shd w:val="clear" w:color="auto" w:fill="DCE2EF"/>
          </w:tcPr>
          <w:p>
            <w:pPr>
              <w:jc w:val="right"/>
              <w:ind w:right="94"/>
              <w:spacing w:after="0"/>
              <w:rPr>
                <w:sz w:val="20"/>
                <w:szCs w:val="20"/>
                <w:color w:val="auto"/>
              </w:rPr>
            </w:pPr>
            <w:r>
              <w:rPr>
                <w:rFonts w:ascii="Arial" w:cs="Arial" w:eastAsia="Arial" w:hAnsi="Arial"/>
                <w:sz w:val="18"/>
                <w:szCs w:val="18"/>
                <w:color w:val="auto"/>
              </w:rPr>
              <w:t>691.0</w:t>
            </w:r>
          </w:p>
        </w:tc>
        <w:tc>
          <w:tcPr>
            <w:tcW w:w="100" w:type="dxa"/>
            <w:vAlign w:val="bottom"/>
            <w:tcBorders>
              <w:bottom w:val="single" w:sz="8" w:color="DCE2EF"/>
            </w:tcBorders>
            <w:shd w:val="clear" w:color="auto" w:fill="DCE2EF"/>
          </w:tcPr>
          <w:p>
            <w:pPr>
              <w:spacing w:after="0"/>
              <w:rPr>
                <w:sz w:val="21"/>
                <w:szCs w:val="21"/>
                <w:color w:val="auto"/>
              </w:rPr>
            </w:pPr>
          </w:p>
        </w:tc>
        <w:tc>
          <w:tcPr>
            <w:tcW w:w="540" w:type="dxa"/>
            <w:vAlign w:val="bottom"/>
            <w:tcBorders>
              <w:bottom w:val="single" w:sz="8" w:color="DCE2EF"/>
            </w:tcBorders>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DCE2EF"/>
            </w:tcBorders>
            <w:shd w:val="clear" w:color="auto" w:fill="DCE2EF"/>
          </w:tcPr>
          <w:p>
            <w:pPr>
              <w:jc w:val="right"/>
              <w:ind w:right="314"/>
              <w:spacing w:after="0"/>
              <w:rPr>
                <w:sz w:val="20"/>
                <w:szCs w:val="20"/>
                <w:color w:val="auto"/>
              </w:rPr>
            </w:pPr>
            <w:r>
              <w:rPr>
                <w:rFonts w:ascii="Arial" w:cs="Arial" w:eastAsia="Arial" w:hAnsi="Arial"/>
                <w:sz w:val="18"/>
                <w:szCs w:val="18"/>
                <w:color w:val="auto"/>
              </w:rPr>
              <w:t>(3.7)</w:t>
            </w:r>
          </w:p>
        </w:tc>
        <w:tc>
          <w:tcPr>
            <w:tcW w:w="1580" w:type="dxa"/>
            <w:vAlign w:val="bottom"/>
            <w:tcBorders>
              <w:bottom w:val="single" w:sz="8" w:color="DCE2EF"/>
            </w:tcBorders>
            <w:shd w:val="clear" w:color="auto" w:fill="DCE2EF"/>
          </w:tcPr>
          <w:p>
            <w:pPr>
              <w:jc w:val="right"/>
              <w:ind w:right="550"/>
              <w:spacing w:after="0"/>
              <w:rPr>
                <w:sz w:val="20"/>
                <w:szCs w:val="20"/>
                <w:color w:val="auto"/>
              </w:rPr>
            </w:pPr>
            <w:r>
              <w:rPr>
                <w:rFonts w:ascii="Arial" w:cs="Arial" w:eastAsia="Arial" w:hAnsi="Arial"/>
                <w:sz w:val="18"/>
                <w:szCs w:val="18"/>
                <w:color w:val="auto"/>
              </w:rPr>
              <w:t>(0.5)%</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color w:val="auto"/>
              </w:rPr>
              <w:t>4.6</w:t>
            </w: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9.2%</w:t>
            </w:r>
          </w:p>
        </w:tc>
      </w:tr>
      <w:tr>
        <w:trPr>
          <w:trHeight w:val="250"/>
        </w:trPr>
        <w:tc>
          <w:tcPr>
            <w:tcW w:w="2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7.9%</w:t>
            </w:r>
          </w:p>
        </w:tc>
        <w:tc>
          <w:tcPr>
            <w:tcW w:w="120" w:type="dxa"/>
            <w:vAlign w:val="bottom"/>
            <w:shd w:val="clear" w:color="auto" w:fill="DCE2EF"/>
          </w:tcPr>
          <w:p>
            <w:pPr>
              <w:spacing w:after="0"/>
              <w:rPr>
                <w:sz w:val="21"/>
                <w:szCs w:val="21"/>
                <w:color w:val="auto"/>
              </w:rPr>
            </w:pP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7.2%</w:t>
            </w:r>
          </w:p>
        </w:tc>
        <w:tc>
          <w:tcPr>
            <w:tcW w:w="100" w:type="dxa"/>
            <w:vAlign w:val="bottom"/>
            <w:shd w:val="clear" w:color="auto" w:fill="DCE2EF"/>
          </w:tcPr>
          <w:p>
            <w:pPr>
              <w:spacing w:after="0"/>
              <w:rPr>
                <w:sz w:val="21"/>
                <w:szCs w:val="21"/>
                <w:color w:val="auto"/>
              </w:rPr>
            </w:pPr>
          </w:p>
        </w:tc>
        <w:tc>
          <w:tcPr>
            <w:tcW w:w="540" w:type="dxa"/>
            <w:vAlign w:val="bottom"/>
            <w:shd w:val="clear" w:color="auto" w:fill="DCE2EF"/>
          </w:tcPr>
          <w:p>
            <w:pPr>
              <w:spacing w:after="0"/>
              <w:rPr>
                <w:sz w:val="21"/>
                <w:szCs w:val="21"/>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70 bps</w:t>
            </w:r>
          </w:p>
        </w:tc>
        <w:tc>
          <w:tcPr>
            <w:tcW w:w="158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40" w:type="dxa"/>
            <w:vAlign w:val="bottom"/>
            <w:shd w:val="clear" w:color="auto" w:fill="DCE2EF"/>
          </w:tcPr>
          <w:p>
            <w:pPr>
              <w:spacing w:after="0"/>
              <w:rPr>
                <w:sz w:val="2"/>
                <w:szCs w:val="2"/>
                <w:color w:val="auto"/>
              </w:rPr>
            </w:pPr>
          </w:p>
        </w:tc>
        <w:tc>
          <w:tcPr>
            <w:tcW w:w="1620" w:type="dxa"/>
            <w:vAlign w:val="bottom"/>
            <w:shd w:val="clear" w:color="auto" w:fill="DCE2EF"/>
          </w:tcPr>
          <w:p>
            <w:pPr>
              <w:spacing w:after="0"/>
              <w:rPr>
                <w:sz w:val="2"/>
                <w:szCs w:val="2"/>
                <w:color w:val="auto"/>
              </w:rPr>
            </w:pPr>
          </w:p>
        </w:tc>
        <w:tc>
          <w:tcPr>
            <w:tcW w:w="158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T&amp;M revenues decreased by $3.7 million, or 0.5%, during the nine months ended July 31, 2019, as compared to the nine months ended July 31, 2018. The decrease was primarily related to the loss of certain accounts, partially offset by the expansion of existing accounts and new business.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$4.6 million, or 9.2%, during the nine months ended July 31, 2019, as compared to the nine months ended July 31, 2018. Operating profit margin increased by 70 bps to 7.9% in the nine months ended July 31, 2019 from 7.2% in the nine months ended July 31, 2018. The increase in operating profit margin was primarily attributable to improved margins on certain accounts and the loss of a low margin account in the prior year, partially offset by specific reserves established for client receivables.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44" w:right="239" w:bottom="1440" w:gutter="0" w:footer="0" w:header="0"/>
        </w:sectPr>
      </w:pPr>
    </w:p>
    <w:bookmarkStart w:id="44" w:name="page45"/>
    <w:bookmarkEnd w:id="44"/>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Education</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3EF"/>
            </w:tcBorders>
          </w:tcPr>
          <w:p>
            <w:pPr>
              <w:spacing w:after="0" w:line="20" w:lineRule="exact"/>
              <w:rPr>
                <w:sz w:val="1"/>
                <w:szCs w:val="1"/>
                <w:color w:val="auto"/>
              </w:rPr>
            </w:pPr>
          </w:p>
        </w:tc>
        <w:tc>
          <w:tcPr>
            <w:tcW w:w="820" w:type="dxa"/>
            <w:vAlign w:val="bottom"/>
            <w:tcBorders>
              <w:top w:val="single" w:sz="8" w:color="auto"/>
              <w:bottom w:val="single" w:sz="8" w:color="DCE3EF"/>
            </w:tcBorders>
          </w:tcPr>
          <w:p>
            <w:pPr>
              <w:spacing w:after="0" w:line="20" w:lineRule="exact"/>
              <w:rPr>
                <w:sz w:val="1"/>
                <w:szCs w:val="1"/>
                <w:color w:val="auto"/>
              </w:rPr>
            </w:pPr>
          </w:p>
        </w:tc>
        <w:tc>
          <w:tcPr>
            <w:tcW w:w="2840" w:type="dxa"/>
            <w:vAlign w:val="bottom"/>
            <w:tcBorders>
              <w:bottom w:val="single" w:sz="8" w:color="DCE3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3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3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DCE3E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DCE3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3EF"/>
          </w:tcPr>
          <w:p>
            <w:pPr>
              <w:jc w:val="right"/>
              <w:ind w:right="74"/>
              <w:spacing w:after="0"/>
              <w:rPr>
                <w:sz w:val="20"/>
                <w:szCs w:val="20"/>
                <w:color w:val="auto"/>
              </w:rPr>
            </w:pPr>
            <w:r>
              <w:rPr>
                <w:rFonts w:ascii="Arial" w:cs="Arial" w:eastAsia="Arial" w:hAnsi="Arial"/>
                <w:sz w:val="18"/>
                <w:szCs w:val="18"/>
                <w:color w:val="auto"/>
              </w:rPr>
              <w:t>633.6</w:t>
            </w:r>
          </w:p>
        </w:tc>
        <w:tc>
          <w:tcPr>
            <w:tcW w:w="120" w:type="dxa"/>
            <w:vAlign w:val="bottom"/>
            <w:shd w:val="clear" w:color="auto" w:fill="DCE3EF"/>
          </w:tcPr>
          <w:p>
            <w:pPr>
              <w:spacing w:after="0"/>
              <w:rPr>
                <w:sz w:val="22"/>
                <w:szCs w:val="22"/>
                <w:color w:val="auto"/>
              </w:rPr>
            </w:pPr>
          </w:p>
        </w:tc>
        <w:tc>
          <w:tcPr>
            <w:tcW w:w="420" w:type="dxa"/>
            <w:vAlign w:val="bottom"/>
            <w:shd w:val="clear" w:color="auto" w:fill="DCE3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3EF"/>
          </w:tcPr>
          <w:p>
            <w:pPr>
              <w:jc w:val="right"/>
              <w:ind w:right="94"/>
              <w:spacing w:after="0"/>
              <w:rPr>
                <w:sz w:val="20"/>
                <w:szCs w:val="20"/>
                <w:color w:val="auto"/>
              </w:rPr>
            </w:pPr>
            <w:r>
              <w:rPr>
                <w:rFonts w:ascii="Arial" w:cs="Arial" w:eastAsia="Arial" w:hAnsi="Arial"/>
                <w:sz w:val="18"/>
                <w:szCs w:val="18"/>
                <w:color w:val="auto"/>
              </w:rPr>
              <w:t>637.8</w:t>
            </w:r>
          </w:p>
        </w:tc>
        <w:tc>
          <w:tcPr>
            <w:tcW w:w="100" w:type="dxa"/>
            <w:vAlign w:val="bottom"/>
            <w:shd w:val="clear" w:color="auto" w:fill="DCE3EF"/>
          </w:tcPr>
          <w:p>
            <w:pPr>
              <w:spacing w:after="0"/>
              <w:rPr>
                <w:sz w:val="22"/>
                <w:szCs w:val="22"/>
                <w:color w:val="auto"/>
              </w:rPr>
            </w:pPr>
          </w:p>
        </w:tc>
        <w:tc>
          <w:tcPr>
            <w:tcW w:w="54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(4.2)</w:t>
            </w:r>
          </w:p>
        </w:tc>
        <w:tc>
          <w:tcPr>
            <w:tcW w:w="1920" w:type="dxa"/>
            <w:vAlign w:val="bottom"/>
            <w:shd w:val="clear" w:color="auto" w:fill="DCE3EF"/>
          </w:tcPr>
          <w:p>
            <w:pPr>
              <w:jc w:val="right"/>
              <w:ind w:right="550"/>
              <w:spacing w:after="0"/>
              <w:rPr>
                <w:sz w:val="20"/>
                <w:szCs w:val="20"/>
                <w:color w:val="auto"/>
              </w:rPr>
            </w:pPr>
            <w:r>
              <w:rPr>
                <w:rFonts w:ascii="Arial" w:cs="Arial" w:eastAsia="Arial" w:hAnsi="Arial"/>
                <w:sz w:val="18"/>
                <w:szCs w:val="18"/>
                <w:color w:val="auto"/>
              </w:rPr>
              <w:t>(0.7)%</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920" w:type="dxa"/>
            <w:vAlign w:val="bottom"/>
          </w:tcPr>
          <w:p>
            <w:pPr>
              <w:jc w:val="right"/>
              <w:ind w:right="610"/>
              <w:spacing w:after="0"/>
              <w:rPr>
                <w:sz w:val="20"/>
                <w:szCs w:val="20"/>
                <w:color w:val="auto"/>
              </w:rPr>
            </w:pPr>
            <w:r>
              <w:rPr>
                <w:rFonts w:ascii="Arial" w:cs="Arial" w:eastAsia="Arial" w:hAnsi="Arial"/>
                <w:sz w:val="18"/>
                <w:szCs w:val="18"/>
                <w:color w:val="auto"/>
              </w:rPr>
              <w:t>4.0%</w:t>
            </w:r>
          </w:p>
        </w:tc>
      </w:tr>
      <w:tr>
        <w:trPr>
          <w:trHeight w:val="250"/>
        </w:trPr>
        <w:tc>
          <w:tcPr>
            <w:tcW w:w="2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5.3%</w:t>
            </w:r>
          </w:p>
        </w:tc>
        <w:tc>
          <w:tcPr>
            <w:tcW w:w="120" w:type="dxa"/>
            <w:vAlign w:val="bottom"/>
            <w:shd w:val="clear" w:color="auto" w:fill="DCE2EF"/>
          </w:tcPr>
          <w:p>
            <w:pPr>
              <w:spacing w:after="0"/>
              <w:rPr>
                <w:sz w:val="21"/>
                <w:szCs w:val="21"/>
                <w:color w:val="auto"/>
              </w:rPr>
            </w:pP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shd w:val="clear" w:color="auto" w:fill="DCE2EF"/>
          </w:tcPr>
          <w:p>
            <w:pPr>
              <w:spacing w:after="0"/>
              <w:rPr>
                <w:sz w:val="21"/>
                <w:szCs w:val="21"/>
                <w:color w:val="auto"/>
              </w:rPr>
            </w:pPr>
          </w:p>
        </w:tc>
        <w:tc>
          <w:tcPr>
            <w:tcW w:w="540" w:type="dxa"/>
            <w:vAlign w:val="bottom"/>
            <w:shd w:val="clear" w:color="auto" w:fill="DCE2EF"/>
          </w:tcPr>
          <w:p>
            <w:pPr>
              <w:spacing w:after="0"/>
              <w:rPr>
                <w:sz w:val="21"/>
                <w:szCs w:val="21"/>
                <w:color w:val="auto"/>
              </w:rPr>
            </w:pPr>
          </w:p>
        </w:tc>
        <w:tc>
          <w:tcPr>
            <w:tcW w:w="1280" w:type="dxa"/>
            <w:vAlign w:val="bottom"/>
            <w:shd w:val="clear" w:color="auto" w:fill="DCE2EF"/>
          </w:tcPr>
          <w:p>
            <w:pPr>
              <w:jc w:val="right"/>
              <w:ind w:right="34"/>
              <w:spacing w:after="0"/>
              <w:rPr>
                <w:sz w:val="20"/>
                <w:szCs w:val="20"/>
                <w:color w:val="auto"/>
              </w:rPr>
            </w:pPr>
            <w:r>
              <w:rPr>
                <w:rFonts w:ascii="Arial" w:cs="Arial" w:eastAsia="Arial" w:hAnsi="Arial"/>
                <w:sz w:val="14"/>
                <w:szCs w:val="14"/>
                <w:i w:val="1"/>
                <w:iCs w:val="1"/>
                <w:color w:val="auto"/>
              </w:rPr>
              <w:t>24 bps</w:t>
            </w:r>
          </w:p>
        </w:tc>
        <w:tc>
          <w:tcPr>
            <w:tcW w:w="192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40" w:type="dxa"/>
            <w:vAlign w:val="bottom"/>
            <w:shd w:val="clear" w:color="auto" w:fill="DCE2EF"/>
          </w:tcPr>
          <w:p>
            <w:pPr>
              <w:spacing w:after="0"/>
              <w:rPr>
                <w:sz w:val="2"/>
                <w:szCs w:val="2"/>
                <w:color w:val="auto"/>
              </w:rPr>
            </w:pPr>
          </w:p>
        </w:tc>
        <w:tc>
          <w:tcPr>
            <w:tcW w:w="1280" w:type="dxa"/>
            <w:vAlign w:val="bottom"/>
            <w:shd w:val="clear" w:color="auto" w:fill="DCE2EF"/>
          </w:tcPr>
          <w:p>
            <w:pPr>
              <w:spacing w:after="0"/>
              <w:rPr>
                <w:sz w:val="2"/>
                <w:szCs w:val="2"/>
                <w:color w:val="auto"/>
              </w:rPr>
            </w:pPr>
          </w:p>
        </w:tc>
        <w:tc>
          <w:tcPr>
            <w:tcW w:w="192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Education revenues decreased by $4.2 million, or 0.7%, during the nine months ended July 31, 2019, as compared to the nine months ended July 31, 2018. The decrease was attributable to the loss of certain accounts, partially offset by new business, including the expansion of certain accounts that primarily occurred in the current year.</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$1.3 million, or 4.0%, during the nine months ended July 31, 2019, as compared to the nine months ended July 31, 2018. Operating profit margin increased by 24 bps to 5.3% in the nine months ended July 31, 2019 from 5.0% in the nine months ended July 31, 2018. The increase in operating profit margin was primarily attributable to the management of overhead and selling, general and administrative expenses due to the timing of certain synergies and lower reserves established for client receivables, including collections of previously written off receivables. The increase was partially offset by changes in contract mix due to the loss of certain accounts and an increase in direct labor and related personnel costs on certain accounts driven by a challenging labor environment.</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Technical Solutions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284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417.7</w:t>
            </w:r>
          </w:p>
        </w:tc>
        <w:tc>
          <w:tcPr>
            <w:tcW w:w="12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CE2EF"/>
            </w:tcBorders>
            <w:shd w:val="clear" w:color="auto" w:fill="DCE2EF"/>
          </w:tcPr>
          <w:p>
            <w:pPr>
              <w:jc w:val="right"/>
              <w:ind w:right="94"/>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DCE2EF"/>
            </w:tcBorders>
            <w:shd w:val="clear" w:color="auto" w:fill="DCE2EF"/>
          </w:tcPr>
          <w:p>
            <w:pPr>
              <w:spacing w:after="0"/>
              <w:rPr>
                <w:sz w:val="21"/>
                <w:szCs w:val="21"/>
                <w:color w:val="auto"/>
              </w:rPr>
            </w:pPr>
          </w:p>
        </w:tc>
        <w:tc>
          <w:tcPr>
            <w:tcW w:w="700" w:type="dxa"/>
            <w:vAlign w:val="bottom"/>
            <w:tcBorders>
              <w:bottom w:val="single" w:sz="8" w:color="DCE2EF"/>
            </w:tcBorders>
            <w:shd w:val="clear" w:color="auto" w:fill="DCE2EF"/>
          </w:tcPr>
          <w:p>
            <w:pPr>
              <w:jc w:val="right"/>
              <w:ind w:right="4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DCE2EF"/>
            </w:tcBorders>
            <w:shd w:val="clear" w:color="auto" w:fill="DCE2EF"/>
          </w:tcPr>
          <w:p>
            <w:pPr>
              <w:jc w:val="right"/>
              <w:ind w:right="614"/>
              <w:spacing w:after="0"/>
              <w:rPr>
                <w:sz w:val="20"/>
                <w:szCs w:val="20"/>
                <w:color w:val="auto"/>
              </w:rPr>
            </w:pPr>
            <w:r>
              <w:rPr>
                <w:rFonts w:ascii="Arial" w:cs="Arial" w:eastAsia="Arial" w:hAnsi="Arial"/>
                <w:sz w:val="18"/>
                <w:szCs w:val="18"/>
                <w:color w:val="auto"/>
              </w:rPr>
              <w:t>57.4</w:t>
            </w:r>
          </w:p>
        </w:tc>
        <w:tc>
          <w:tcPr>
            <w:tcW w:w="1340" w:type="dxa"/>
            <w:vAlign w:val="bottom"/>
            <w:tcBorders>
              <w:bottom w:val="single" w:sz="8" w:color="DCE2EF"/>
            </w:tcBorders>
            <w:shd w:val="clear" w:color="auto" w:fill="DCE2EF"/>
          </w:tcPr>
          <w:p>
            <w:pPr>
              <w:jc w:val="right"/>
              <w:ind w:right="570"/>
              <w:spacing w:after="0"/>
              <w:rPr>
                <w:sz w:val="20"/>
                <w:szCs w:val="20"/>
                <w:color w:val="auto"/>
              </w:rPr>
            </w:pPr>
            <w:r>
              <w:rPr>
                <w:rFonts w:ascii="Arial" w:cs="Arial" w:eastAsia="Arial" w:hAnsi="Arial"/>
                <w:sz w:val="18"/>
                <w:szCs w:val="18"/>
                <w:color w:val="auto"/>
              </w:rPr>
              <w:t>15.9%</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6.5</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22.4%</w:t>
            </w:r>
          </w:p>
        </w:tc>
      </w:tr>
      <w:tr>
        <w:trPr>
          <w:trHeight w:val="250"/>
        </w:trPr>
        <w:tc>
          <w:tcPr>
            <w:tcW w:w="2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8.4%</w:t>
            </w:r>
          </w:p>
        </w:tc>
        <w:tc>
          <w:tcPr>
            <w:tcW w:w="120" w:type="dxa"/>
            <w:vAlign w:val="bottom"/>
            <w:shd w:val="clear" w:color="auto" w:fill="DCE2EF"/>
          </w:tcPr>
          <w:p>
            <w:pPr>
              <w:spacing w:after="0"/>
              <w:rPr>
                <w:sz w:val="21"/>
                <w:szCs w:val="21"/>
                <w:color w:val="auto"/>
              </w:rPr>
            </w:pP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8.0%</w:t>
            </w:r>
          </w:p>
        </w:tc>
        <w:tc>
          <w:tcPr>
            <w:tcW w:w="100" w:type="dxa"/>
            <w:vAlign w:val="bottom"/>
            <w:shd w:val="clear" w:color="auto" w:fill="DCE2EF"/>
          </w:tcPr>
          <w:p>
            <w:pPr>
              <w:spacing w:after="0"/>
              <w:rPr>
                <w:sz w:val="21"/>
                <w:szCs w:val="21"/>
                <w:color w:val="auto"/>
              </w:rPr>
            </w:pPr>
          </w:p>
        </w:tc>
        <w:tc>
          <w:tcPr>
            <w:tcW w:w="700" w:type="dxa"/>
            <w:vAlign w:val="bottom"/>
            <w:shd w:val="clear" w:color="auto" w:fill="DCE2EF"/>
          </w:tcPr>
          <w:p>
            <w:pPr>
              <w:spacing w:after="0"/>
              <w:rPr>
                <w:sz w:val="21"/>
                <w:szCs w:val="21"/>
                <w:color w:val="auto"/>
              </w:rPr>
            </w:pP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4"/>
                <w:szCs w:val="14"/>
                <w:i w:val="1"/>
                <w:iCs w:val="1"/>
                <w:color w:val="auto"/>
              </w:rPr>
              <w:t>45 bps</w:t>
            </w:r>
          </w:p>
        </w:tc>
        <w:tc>
          <w:tcPr>
            <w:tcW w:w="134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700" w:type="dxa"/>
            <w:vAlign w:val="bottom"/>
            <w:shd w:val="clear" w:color="auto" w:fill="DCE2EF"/>
          </w:tcPr>
          <w:p>
            <w:pPr>
              <w:spacing w:after="0"/>
              <w:rPr>
                <w:sz w:val="2"/>
                <w:szCs w:val="2"/>
                <w:color w:val="auto"/>
              </w:rPr>
            </w:pPr>
          </w:p>
        </w:tc>
        <w:tc>
          <w:tcPr>
            <w:tcW w:w="170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Technical Solutions revenues increased by $57.4 million, or 15.9%, during the nine months ended July 31, 2019, as compared to the nine months ended July 31, 2018. This increase was primarily attributable to growth in our U.S. business related to BES projects and power projects, partially offset by the contraction of certain accounts in our U.K. business and a negative impact from fluctuations in foreign currency exchange rates related to our U.K. business.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$6.5 million, or 22.4%, during the nine months ended July 31, 2019, as compared to the nine months ended July 31, 2018. Operating profit margin increased by 45 bps to 8.4% in the nine months ended July 31, 2019 from 8.0% in the nine months ended July 31, 2018. The increase in operating profit margin was primarily attributable to the contribution of higher project revenues, lower sales commission expense in the current year due to the deferral of commissions following the adoption of Topic 606, and lower amortization expense following the impairment recognized in our U.K. business at the end of 2018. The increase was partially offset by a higher volume of lower margin power projects in our U.S. business in the current year compared to higher margin BES projects in the prior year, the loss of certain higher margin contracts in our U.K. business, and the absence of tax deductions taken in the prior year for energy efficient government buildings.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9" w:right="239" w:bottom="1440" w:gutter="0" w:footer="0" w:header="0"/>
        </w:sectPr>
      </w:pPr>
    </w:p>
    <w:bookmarkStart w:id="45" w:name="page46"/>
    <w:bookmarkEnd w:id="45"/>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Corporate</w:t>
            </w: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16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Nine Months Ended July 31,</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00" w:type="dxa"/>
            <w:vAlign w:val="bottom"/>
          </w:tcPr>
          <w:p>
            <w:pPr>
              <w:ind w:left="72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900" w:type="dxa"/>
            <w:vAlign w:val="bottom"/>
            <w:tcBorders>
              <w:bottom w:val="single" w:sz="8" w:color="DCE2E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Corporate expenses</w:t>
            </w:r>
          </w:p>
        </w:tc>
        <w:tc>
          <w:tcPr>
            <w:tcW w:w="1200" w:type="dxa"/>
            <w:vAlign w:val="bottom"/>
            <w:shd w:val="clear" w:color="auto" w:fill="DCE2EF"/>
          </w:tcPr>
          <w:p>
            <w:pPr>
              <w:jc w:val="right"/>
              <w:ind w:right="9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DCE2EF"/>
          </w:tcPr>
          <w:p>
            <w:pPr>
              <w:spacing w:after="0"/>
              <w:rPr>
                <w:sz w:val="22"/>
                <w:szCs w:val="22"/>
                <w:color w:val="auto"/>
              </w:rPr>
            </w:pPr>
          </w:p>
        </w:tc>
        <w:tc>
          <w:tcPr>
            <w:tcW w:w="1220" w:type="dxa"/>
            <w:vAlign w:val="bottom"/>
            <w:shd w:val="clear" w:color="auto" w:fill="DCE2E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DCE2EF"/>
          </w:tcPr>
          <w:p>
            <w:pPr>
              <w:spacing w:after="0"/>
              <w:rPr>
                <w:sz w:val="22"/>
                <w:szCs w:val="22"/>
                <w:color w:val="auto"/>
              </w:rPr>
            </w:pP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(0.2)</w:t>
            </w:r>
          </w:p>
        </w:tc>
        <w:tc>
          <w:tcPr>
            <w:tcW w:w="1340" w:type="dxa"/>
            <w:vAlign w:val="bottom"/>
            <w:shd w:val="clear" w:color="auto" w:fill="DCE2EF"/>
          </w:tcPr>
          <w:p>
            <w:pPr>
              <w:jc w:val="right"/>
              <w:ind w:right="570"/>
              <w:spacing w:after="0"/>
              <w:rPr>
                <w:sz w:val="20"/>
                <w:szCs w:val="20"/>
                <w:color w:val="auto"/>
              </w:rPr>
            </w:pPr>
            <w:r>
              <w:rPr>
                <w:rFonts w:ascii="Arial" w:cs="Arial" w:eastAsia="Arial" w:hAnsi="Arial"/>
                <w:sz w:val="18"/>
                <w:szCs w:val="18"/>
                <w:color w:val="auto"/>
              </w:rPr>
              <w:t>(0.2)%</w:t>
            </w:r>
          </w:p>
        </w:tc>
      </w:tr>
    </w:tbl>
    <w:p>
      <w:pPr>
        <w:spacing w:after="0" w:line="16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Corporate expenses were relatively flat during the nine months ended July 31, 2019, as compared to the nine months ended July 31, 2018. The slight decrease in corporate expenses was related to:</w:t>
      </w:r>
    </w:p>
    <w:p>
      <w:pPr>
        <w:spacing w:after="0" w:line="142" w:lineRule="exact"/>
        <w:rPr>
          <w:sz w:val="20"/>
          <w:szCs w:val="20"/>
          <w:color w:val="auto"/>
        </w:rPr>
      </w:pPr>
    </w:p>
    <w:p>
      <w:pPr>
        <w:ind w:left="6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$14.0 million decrease in restructuring and related expenses as a result of restructuring expenses incurred in the prior year following the acquisition of GCA, partially offset by other restructuring expenses incurred in the current year;</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$8.0 million decrease in self-insurance reserve adjustments related to prior year claims as a result of actuarial reviews completed in the nine months ended July 31, 2019;</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$6.3 million decrease in legal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$2.1 million lower compensation and related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absence of $1.6 million of acquisition costs related to the GCA acquisition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Offsetting these decreases were:</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$14.4 million increase in technology investments and related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of a $7.0 million reimbursement of previously expensed legal settlement costs received in the prior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$3.9 million reserve for an anticipated union pension settlement;</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of a $3.4 million benefit in the prior year resulting from actuarial evaluations performed on our medical and dental self-insurance plans;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$2.5 million reserve established for a non-recurring adjustment related to a client account.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7" w:right="239" w:bottom="1440" w:gutter="0" w:footer="0" w:header="0"/>
        </w:sectPr>
      </w:pPr>
    </w:p>
    <w:bookmarkStart w:id="46" w:name="page47"/>
    <w:bookmarkEnd w:id="46"/>
    <w:p>
      <w:pPr>
        <w:ind w:left="40"/>
        <w:spacing w:after="0"/>
        <w:rPr>
          <w:sz w:val="20"/>
          <w:szCs w:val="20"/>
          <w:color w:val="auto"/>
        </w:rPr>
      </w:pPr>
      <w:r>
        <w:rPr>
          <w:rFonts w:ascii="Arial" w:cs="Arial" w:eastAsia="Arial" w:hAnsi="Arial"/>
          <w:sz w:val="18"/>
          <w:szCs w:val="18"/>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normal working capital requirements, we anticipate that our short- and long-term cash requirements will include funding legal settlements, insurance claims, dividend payments, capital expenditures, and continued integration and restructuring costs following the GCA acquisition. We anticipate long-term cash uses will also include strategic acquisitions and share repurchases.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operating cash flows and borrowing capacity under our credit facility are sufficient to fund our cash requirements for the next twelve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a long-term basis, we will continue to rely on our credit facility for any long-term funding not provided by operating cash flows. In addition, we anticipate that future cash generated from operations will be augmented by working capital improvements driven by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000000"/>
        </w:rPr>
        <w:t>, such as the management of costs through consolidated procurement.</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IFM Assurance Company (“IFM”) is a wholly-owned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In 2019, we expect accelerated cash tax savings related to coverage provided by IFM to be approximately $5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In accordance with the terms of the Credit Facility, the line of credit was reduced to $800.0 million on September 1, 2018. Initial borrowings under the Credit Facility were used to finance, in part, the cash portion of the purchase price related to the GCA acquisition, to refinance certain existing indebtedness of ABM, and to pay transaction costs.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draw down available capacity under the Credit Facility, as amended, is subject to, and limited by, compliance with certain financial covenants, which include a maximum leverage ratio of 4.00 to 1.0, which steps down to 3.50 to 1.0 by July 2021, and a minimum fixed charge coverage ratio of 1.50 to 1.0. Other covenants under the Credit Facility include limitations on liens, dispositions, fundamental changes, investments, and certain transactions and payments. At July 31, 2019, we were in compliance with these covenants and expect to be in compliance in the foreseeable future.</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and nine months ended July 31, 2019, we made principal payments under the term loan of $10.0 million and $30.0 million, respectively. At July 31, 2019, the total outstanding borrowings under our Credit Facility in the form of cash borrowings and standby letters of credit were $932.1 million and $152.4 million, respectively. At July 31, 2019, we had up to $457.0 million of borrowing capacity under the Credit Facility; however, covenant restrictions limited our actual borrowing capacity to $261.5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Act, no deferred tax liabilities with respect to federal and state income taxes or foreign withholding taxes have been recognized.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0046AD"/>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There were no share repurchases during the nine months ended July 31, 2019. At July 31, 2019, authorization for $134.1 million of repurchases remained under our share repurchase program.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was $114.0 million during the nine months ended July 31, 2019.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292"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Nine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28575</wp:posOffset>
            </wp:positionV>
            <wp:extent cx="23241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70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bottom w:val="single" w:sz="8" w:color="DCE2EF"/>
            </w:tcBorders>
            <w:shd w:val="clear" w:color="auto" w:fill="DCE2EF"/>
          </w:tcPr>
          <w:p>
            <w:pPr>
              <w:spacing w:after="0"/>
              <w:rPr>
                <w:sz w:val="20"/>
                <w:szCs w:val="20"/>
                <w:color w:val="auto"/>
              </w:rPr>
            </w:pPr>
          </w:p>
        </w:tc>
        <w:tc>
          <w:tcPr>
            <w:tcW w:w="772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provided by operating activities</w:t>
            </w: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207.4</w:t>
            </w:r>
          </w:p>
        </w:tc>
      </w:tr>
      <w:tr>
        <w:trPr>
          <w:trHeight w:val="263"/>
        </w:trPr>
        <w:tc>
          <w:tcPr>
            <w:tcW w:w="77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7"/>
        </w:trPr>
        <w:tc>
          <w:tcPr>
            <w:tcW w:w="77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shd w:val="clear" w:color="auto" w:fill="DCE2EF"/>
          </w:tcPr>
          <w:p>
            <w:pPr>
              <w:spacing w:after="0"/>
              <w:rPr>
                <w:sz w:val="24"/>
                <w:szCs w:val="24"/>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(187.7)</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operating activities decreased by $93.4 million during the nine months ended July 31, 2019, as compared to the nine months ended July 31, 2018. This decrease was primarily related to the timing of client receivable collections, including a one-time settlement payment received from a client in the prior year, and the absence of proceeds from the termination of our interest rate swaps in the prior year, partially offset by the timing of vendor payments.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increased by $7.8 million during the nine months ended July 31, 2019, as compared to the nine months ended July 31, 2018. This increase was primarily related to higher additions to property, plant and equipment in the current year and the absence of proceeds from the redemption of an auction rate security in the prior year.</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Net cash used in financing activities decreased by $141.3 million during the nine months ended July 31, 2019, as compared to the nine months ended July 31, 2018. This decrease was primarily related to higher repayments of our borrowings in the prior year.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22" w:right="239" w:bottom="1440" w:gutter="0" w:footer="0" w:header="0"/>
        </w:sectPr>
      </w:pPr>
    </w:p>
    <w:bookmarkStart w:id="48" w:name="page49"/>
    <w:bookmarkEnd w:id="48"/>
    <w:p>
      <w:pPr>
        <w:ind w:left="40"/>
        <w:spacing w:after="0"/>
        <w:rPr>
          <w:sz w:val="20"/>
          <w:szCs w:val="20"/>
          <w:color w:val="auto"/>
        </w:rPr>
      </w:pPr>
      <w:r>
        <w:rPr>
          <w:rFonts w:ascii="Arial" w:cs="Arial" w:eastAsia="Arial" w:hAnsi="Arial"/>
          <w:sz w:val="18"/>
          <w:szCs w:val="18"/>
          <w:b w:val="1"/>
          <w:bCs w:val="1"/>
          <w:color w:val="0046AD"/>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July 31, 2019, the total amount accrued for all probable litigation losses where a reasonable estimate of the loss could be made was $12.1 million.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$5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additional information about our contingencies, see Note 9, “Commitments and Contingencies,” in the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84" w:right="239" w:bottom="1440" w:gutter="0" w:footer="0" w:header="0"/>
        </w:sectPr>
      </w:pPr>
    </w:p>
    <w:bookmarkStart w:id="49" w:name="page50"/>
    <w:bookmarkEnd w:id="49"/>
    <w:p>
      <w:pPr>
        <w:ind w:left="40"/>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Our accompanying Financial Statements are prepared in accordance with United States generally accepted accounting principles (“U.S. GAAP”), which require us to make certain estimates in the application of our accounting policies based on the best assumptions, judgments, and opinions of our management. On November 1, 2018, we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606) </w:t>
      </w:r>
      <w:r>
        <w:rPr>
          <w:rFonts w:ascii="Arial" w:cs="Arial" w:eastAsia="Arial" w:hAnsi="Arial"/>
          <w:sz w:val="18"/>
          <w:szCs w:val="18"/>
          <w:color w:val="auto"/>
        </w:rPr>
        <w:t>and ASU 2017-10,</w:t>
      </w:r>
      <w:r>
        <w:rPr>
          <w:rFonts w:ascii="Arial" w:cs="Arial" w:eastAsia="Arial" w:hAnsi="Arial"/>
          <w:sz w:val="18"/>
          <w:szCs w:val="18"/>
          <w:i w:val="1"/>
          <w:iCs w:val="1"/>
          <w:color w:val="auto"/>
        </w:rPr>
        <w:t xml:space="preserve"> Service Concession Arrangements (Topic 853): Determining the Customer of the Operation Services. </w:t>
      </w:r>
      <w:r>
        <w:rPr>
          <w:rFonts w:ascii="Arial" w:cs="Arial" w:eastAsia="Arial" w:hAnsi="Arial"/>
          <w:sz w:val="18"/>
          <w:szCs w:val="18"/>
          <w:color w:val="auto"/>
        </w:rPr>
        <w:t>Refer to</w:t>
      </w:r>
      <w:r>
        <w:rPr>
          <w:rFonts w:ascii="Arial" w:cs="Arial" w:eastAsia="Arial" w:hAnsi="Arial"/>
          <w:sz w:val="18"/>
          <w:szCs w:val="18"/>
          <w:i w:val="1"/>
          <w:iCs w:val="1"/>
          <w:color w:val="auto"/>
        </w:rPr>
        <w:t xml:space="preserve"> </w:t>
      </w:r>
      <w:r>
        <w:rPr>
          <w:rFonts w:ascii="Arial" w:cs="Arial" w:eastAsia="Arial" w:hAnsi="Arial"/>
          <w:sz w:val="18"/>
          <w:szCs w:val="18"/>
          <w:color w:val="auto"/>
        </w:rPr>
        <w:t>Note 2, “Basis of Presentation and Significant Accounting Policies,” and Note 3, “Revenue,” in the Financial Statements for additional information regarding the impact of adopting these standards. Additionally, refer to Note 2, “Basis of Presentation and Significant Accounting Policies,” for other standards adopted during the first quarter of 2019, none of which had a material impact on our consolidated financial statements. There have been no other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Recent Accounting Pronouncements</w:t>
      </w:r>
    </w:p>
    <w:p>
      <w:pPr>
        <w:sectPr>
          <w:pgSz w:w="11900" w:h="16838" w:orient="portrait"/>
          <w:cols w:equalWidth="0" w:num="1">
            <w:col w:w="11420"/>
          </w:cols>
          <w:pgMar w:left="240" w:top="684" w:right="239" w:bottom="1440" w:gutter="0" w:footer="0" w:header="0"/>
        </w:sect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457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59" w:lineRule="exact"/>
        <w:rPr>
          <w:sz w:val="20"/>
          <w:szCs w:val="20"/>
          <w:color w:val="auto"/>
        </w:rPr>
      </w:pPr>
    </w:p>
    <w:p>
      <w:pPr>
        <w:ind w:left="40"/>
        <w:spacing w:after="0" w:line="230" w:lineRule="auto"/>
        <w:rPr>
          <w:sz w:val="20"/>
          <w:szCs w:val="20"/>
          <w:color w:val="auto"/>
        </w:rPr>
      </w:pPr>
      <w:r>
        <w:rPr>
          <w:rFonts w:ascii="Arial" w:cs="Arial" w:eastAsia="Arial" w:hAnsi="Arial"/>
          <w:sz w:val="16"/>
          <w:szCs w:val="16"/>
          <w:color w:val="auto"/>
        </w:rPr>
        <w:t xml:space="preserve">In July 2019, the Financial Accounting Standards Board (“FASB”) issued ASU 2019-07, </w:t>
      </w:r>
      <w:r>
        <w:rPr>
          <w:rFonts w:ascii="Arial" w:cs="Arial" w:eastAsia="Arial" w:hAnsi="Arial"/>
          <w:sz w:val="16"/>
          <w:szCs w:val="16"/>
          <w:i w:val="1"/>
          <w:iCs w:val="1"/>
          <w:color w:val="auto"/>
        </w:rPr>
        <w:t>Codification Updates to SEC Sections—Amendments to SEC Paragraphs Pursuant to SEC Final Rule Releases No. 33-10532, “Disclosure Update and Simplification,” and Nos. 33-10231 and 33-10442, “Investment Company Reporting Modernization,” and Miscellaneous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4579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38" w:lineRule="exact"/>
        <w:rPr>
          <w:sz w:val="20"/>
          <w:szCs w:val="20"/>
          <w:color w:val="auto"/>
        </w:rPr>
      </w:pPr>
    </w:p>
    <w:p>
      <w:pPr>
        <w:ind w:left="40" w:right="20"/>
        <w:spacing w:after="0" w:line="232" w:lineRule="auto"/>
        <w:rPr>
          <w:sz w:val="20"/>
          <w:szCs w:val="20"/>
          <w:color w:val="auto"/>
        </w:rPr>
      </w:pPr>
      <w:r>
        <w:rPr>
          <w:rFonts w:ascii="Arial" w:cs="Arial" w:eastAsia="Arial" w:hAnsi="Arial"/>
          <w:sz w:val="16"/>
          <w:szCs w:val="16"/>
          <w:color w:val="auto"/>
        </w:rPr>
        <w:t xml:space="preserve">In May 2019, the FASB issued ASU 2019-05,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Instruments—Credit Losses (Topic 326): Targeted Transition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1457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April 2019, the FASB issued</w:t>
      </w:r>
    </w:p>
    <w:p>
      <w:pPr>
        <w:ind w:left="40"/>
        <w:spacing w:after="0" w:line="229" w:lineRule="auto"/>
        <w:rPr>
          <w:sz w:val="20"/>
          <w:szCs w:val="20"/>
          <w:color w:val="auto"/>
        </w:rPr>
      </w:pPr>
      <w:r>
        <w:rPr>
          <w:rFonts w:ascii="Arial" w:cs="Arial" w:eastAsia="Arial" w:hAnsi="Arial"/>
          <w:sz w:val="16"/>
          <w:szCs w:val="16"/>
          <w:color w:val="auto"/>
        </w:rPr>
        <w:t xml:space="preserve">ASU 2019-04, </w:t>
      </w:r>
      <w:r>
        <w:rPr>
          <w:rFonts w:ascii="Arial" w:cs="Arial" w:eastAsia="Arial" w:hAnsi="Arial"/>
          <w:sz w:val="16"/>
          <w:szCs w:val="16"/>
          <w:i w:val="1"/>
          <w:iCs w:val="1"/>
          <w:color w:val="auto"/>
        </w:rPr>
        <w:t>Codification</w:t>
      </w:r>
    </w:p>
    <w:p>
      <w:pPr>
        <w:ind w:left="40"/>
        <w:spacing w:after="0" w:line="229" w:lineRule="auto"/>
        <w:rPr>
          <w:sz w:val="20"/>
          <w:szCs w:val="20"/>
          <w:color w:val="auto"/>
        </w:rPr>
      </w:pPr>
      <w:r>
        <w:rPr>
          <w:rFonts w:ascii="Arial" w:cs="Arial" w:eastAsia="Arial" w:hAnsi="Arial"/>
          <w:sz w:val="16"/>
          <w:szCs w:val="16"/>
          <w:i w:val="1"/>
          <w:iCs w:val="1"/>
          <w:color w:val="auto"/>
        </w:rPr>
        <w:t>Improvements to Topic 326:</w:t>
      </w:r>
    </w:p>
    <w:p>
      <w:pPr>
        <w:ind w:left="40"/>
        <w:spacing w:after="0" w:line="229" w:lineRule="auto"/>
        <w:rPr>
          <w:sz w:val="20"/>
          <w:szCs w:val="20"/>
          <w:color w:val="auto"/>
        </w:rPr>
      </w:pPr>
      <w:r>
        <w:rPr>
          <w:rFonts w:ascii="Arial" w:cs="Arial" w:eastAsia="Arial" w:hAnsi="Arial"/>
          <w:sz w:val="16"/>
          <w:szCs w:val="16"/>
          <w:i w:val="1"/>
          <w:iCs w:val="1"/>
          <w:color w:val="auto"/>
        </w:rPr>
        <w:t>Financial</w:t>
      </w:r>
    </w:p>
    <w:p>
      <w:pPr>
        <w:ind w:left="40"/>
        <w:spacing w:after="0" w:line="229" w:lineRule="auto"/>
        <w:rPr>
          <w:sz w:val="20"/>
          <w:szCs w:val="20"/>
          <w:color w:val="auto"/>
        </w:rPr>
      </w:pPr>
      <w:r>
        <w:rPr>
          <w:rFonts w:ascii="Arial" w:cs="Arial" w:eastAsia="Arial" w:hAnsi="Arial"/>
          <w:sz w:val="16"/>
          <w:szCs w:val="16"/>
          <w:i w:val="1"/>
          <w:iCs w:val="1"/>
          <w:color w:val="auto"/>
        </w:rPr>
        <w:t>Instruments—Credit Losses;</w:t>
      </w:r>
    </w:p>
    <w:p>
      <w:pPr>
        <w:ind w:left="40"/>
        <w:spacing w:after="0" w:line="229" w:lineRule="auto"/>
        <w:rPr>
          <w:sz w:val="20"/>
          <w:szCs w:val="20"/>
          <w:color w:val="auto"/>
        </w:rPr>
      </w:pPr>
      <w:r>
        <w:rPr>
          <w:rFonts w:ascii="Arial" w:cs="Arial" w:eastAsia="Arial" w:hAnsi="Arial"/>
          <w:sz w:val="16"/>
          <w:szCs w:val="16"/>
          <w:i w:val="1"/>
          <w:iCs w:val="1"/>
          <w:color w:val="auto"/>
        </w:rPr>
        <w:t>Topic 815: Derivatives and</w:t>
      </w:r>
    </w:p>
    <w:p>
      <w:pPr>
        <w:ind w:left="40"/>
        <w:spacing w:after="0" w:line="229" w:lineRule="auto"/>
        <w:rPr>
          <w:sz w:val="20"/>
          <w:szCs w:val="20"/>
          <w:color w:val="auto"/>
        </w:rPr>
      </w:pPr>
      <w:r>
        <w:rPr>
          <w:rFonts w:ascii="Arial" w:cs="Arial" w:eastAsia="Arial" w:hAnsi="Arial"/>
          <w:sz w:val="16"/>
          <w:szCs w:val="16"/>
          <w:i w:val="1"/>
          <w:iCs w:val="1"/>
          <w:color w:val="auto"/>
        </w:rPr>
        <w:t>Hedging; and Topic 825:</w:t>
      </w:r>
    </w:p>
    <w:p>
      <w:pPr>
        <w:ind w:left="40"/>
        <w:spacing w:after="0"/>
        <w:rPr>
          <w:sz w:val="20"/>
          <w:szCs w:val="20"/>
          <w:color w:val="auto"/>
        </w:rPr>
      </w:pPr>
      <w:r>
        <w:rPr>
          <w:rFonts w:ascii="Arial" w:cs="Arial" w:eastAsia="Arial" w:hAnsi="Arial"/>
          <w:sz w:val="16"/>
          <w:szCs w:val="16"/>
          <w:i w:val="1"/>
          <w:iCs w:val="1"/>
          <w:color w:val="auto"/>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1156970</wp:posOffset>
            </wp:positionV>
            <wp:extent cx="1457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20320</wp:posOffset>
            </wp:positionV>
            <wp:extent cx="23926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8" w:right="80"/>
        <w:spacing w:after="0" w:line="231" w:lineRule="auto"/>
        <w:rPr>
          <w:sz w:val="20"/>
          <w:szCs w:val="20"/>
          <w:color w:val="auto"/>
        </w:rPr>
      </w:pPr>
      <w:r>
        <w:rPr>
          <w:rFonts w:ascii="Arial" w:cs="Arial" w:eastAsia="Arial" w:hAnsi="Arial"/>
          <w:sz w:val="16"/>
          <w:szCs w:val="16"/>
          <w:color w:val="auto"/>
        </w:rPr>
        <w:t>This ASU codifies the SEC releases that clarify and improve the disclosure and presentation requirements of a variety of codification topics, thereby eliminating certain disclosure requirements that were redundant, duplicative, overlapping, outdated, or superseded.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787400</wp:posOffset>
            </wp:positionV>
            <wp:extent cx="23926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right="60"/>
        <w:spacing w:after="0" w:line="231" w:lineRule="auto"/>
        <w:rPr>
          <w:sz w:val="20"/>
          <w:szCs w:val="20"/>
          <w:color w:val="auto"/>
        </w:rPr>
      </w:pPr>
      <w:r>
        <w:rPr>
          <w:rFonts w:ascii="Arial" w:cs="Arial" w:eastAsia="Arial" w:hAnsi="Arial"/>
          <w:sz w:val="16"/>
          <w:szCs w:val="16"/>
          <w:color w:val="auto"/>
        </w:rPr>
        <w:t>This ASU provides targeted transition relief allowing entities to make an irrevocable one-time election upon adoption of the new credit losses standard to measure financial assets previously measured at amortized cost (except held-to-maturity securities) using the fair value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92710</wp:posOffset>
            </wp:positionV>
            <wp:extent cx="23926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73" w:lineRule="exact"/>
        <w:rPr>
          <w:sz w:val="20"/>
          <w:szCs w:val="20"/>
          <w:color w:val="auto"/>
        </w:rPr>
      </w:pPr>
    </w:p>
    <w:p>
      <w:pPr>
        <w:ind w:left="8" w:right="80"/>
        <w:spacing w:after="0" w:line="254" w:lineRule="auto"/>
        <w:rPr>
          <w:sz w:val="20"/>
          <w:szCs w:val="20"/>
          <w:color w:val="auto"/>
        </w:rPr>
      </w:pPr>
      <w:r>
        <w:rPr>
          <w:rFonts w:ascii="Arial" w:cs="Arial" w:eastAsia="Arial" w:hAnsi="Arial"/>
          <w:sz w:val="15"/>
          <w:szCs w:val="15"/>
          <w:color w:val="auto"/>
        </w:rPr>
        <w:t>This ASU provides narrow-scope amendments designed to assist in the application of the following updates and the related accounting standards:</w:t>
      </w:r>
    </w:p>
    <w:p>
      <w:pPr>
        <w:spacing w:after="0" w:line="98" w:lineRule="exact"/>
        <w:rPr>
          <w:sz w:val="20"/>
          <w:szCs w:val="20"/>
          <w:color w:val="auto"/>
        </w:rPr>
      </w:pPr>
    </w:p>
    <w:p>
      <w:pPr>
        <w:ind w:left="8" w:right="120" w:hanging="8"/>
        <w:spacing w:after="0" w:line="241" w:lineRule="auto"/>
        <w:tabs>
          <w:tab w:leader="none" w:pos="243"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ASU 2016-13, </w:t>
      </w:r>
      <w:r>
        <w:rPr>
          <w:rFonts w:ascii="Arial" w:cs="Arial" w:eastAsia="Arial" w:hAnsi="Arial"/>
          <w:sz w:val="16"/>
          <w:szCs w:val="16"/>
          <w:i w:val="1"/>
          <w:iCs w:val="1"/>
          <w:color w:val="auto"/>
        </w:rPr>
        <w:t>Financial Instruments—Credit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Statements</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ind w:left="8" w:right="220" w:hanging="8"/>
        <w:spacing w:after="0" w:line="241" w:lineRule="auto"/>
        <w:tabs>
          <w:tab w:leader="none" w:pos="243"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ASU 2017-12, </w:t>
      </w:r>
      <w:r>
        <w:rPr>
          <w:rFonts w:ascii="Arial" w:cs="Arial" w:eastAsia="Arial" w:hAnsi="Arial"/>
          <w:sz w:val="16"/>
          <w:szCs w:val="16"/>
          <w:i w:val="1"/>
          <w:iCs w:val="1"/>
          <w:color w:val="auto"/>
        </w:rPr>
        <w:t>Derivatives and Hedging (Topic</w:t>
      </w:r>
      <w:r>
        <w:rPr>
          <w:rFonts w:ascii="Arial" w:cs="Arial" w:eastAsia="Arial" w:hAnsi="Arial"/>
          <w:sz w:val="16"/>
          <w:szCs w:val="16"/>
          <w:color w:val="auto"/>
        </w:rPr>
        <w:t xml:space="preserve"> </w:t>
      </w:r>
      <w:r>
        <w:rPr>
          <w:rFonts w:ascii="Arial" w:cs="Arial" w:eastAsia="Arial" w:hAnsi="Arial"/>
          <w:sz w:val="16"/>
          <w:szCs w:val="16"/>
          <w:i w:val="1"/>
          <w:iCs w:val="1"/>
          <w:color w:val="auto"/>
        </w:rPr>
        <w:t>815): Targeted Improvements to Accounting for Hedging Activities</w:t>
      </w:r>
      <w:r>
        <w:rPr>
          <w:rFonts w:ascii="Arial" w:cs="Arial" w:eastAsia="Arial" w:hAnsi="Arial"/>
          <w:sz w:val="16"/>
          <w:szCs w:val="16"/>
          <w:color w:val="auto"/>
        </w:rPr>
        <w:t>; and</w:t>
      </w:r>
    </w:p>
    <w:p>
      <w:pPr>
        <w:spacing w:after="0" w:line="107" w:lineRule="exact"/>
        <w:rPr>
          <w:rFonts w:ascii="Arial" w:cs="Arial" w:eastAsia="Arial" w:hAnsi="Arial"/>
          <w:sz w:val="16"/>
          <w:szCs w:val="16"/>
          <w:color w:val="auto"/>
        </w:rPr>
      </w:pPr>
    </w:p>
    <w:p>
      <w:pPr>
        <w:ind w:left="8" w:hanging="8"/>
        <w:spacing w:after="0" w:line="241" w:lineRule="auto"/>
        <w:tabs>
          <w:tab w:leader="none" w:pos="243"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2016-01, </w:t>
      </w:r>
      <w:r>
        <w:rPr>
          <w:rFonts w:ascii="Arial" w:cs="Arial" w:eastAsia="Arial" w:hAnsi="Arial"/>
          <w:sz w:val="16"/>
          <w:szCs w:val="16"/>
          <w:i w:val="1"/>
          <w:iCs w:val="1"/>
          <w:color w:val="auto"/>
        </w:rPr>
        <w:t>Financial Instruments—Overall</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825-10): Recognition and Measurement of Financial Assets and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451485</wp:posOffset>
            </wp:positionV>
            <wp:extent cx="23926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b w:val="1"/>
          <w:bCs w:val="1"/>
          <w:color w:val="auto"/>
        </w:rPr>
        <w:t>Effective Date/Method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-3810</wp:posOffset>
            </wp:positionV>
            <wp:extent cx="15862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p>
    <w:p>
      <w:pPr>
        <w:ind w:right="360"/>
        <w:spacing w:after="0" w:line="236" w:lineRule="auto"/>
        <w:rPr>
          <w:sz w:val="20"/>
          <w:szCs w:val="20"/>
          <w:color w:val="auto"/>
        </w:rPr>
      </w:pPr>
      <w:r>
        <w:rPr>
          <w:rFonts w:ascii="Arial" w:cs="Arial" w:eastAsia="Arial" w:hAnsi="Arial"/>
          <w:sz w:val="16"/>
          <w:szCs w:val="16"/>
          <w:color w:val="auto"/>
        </w:rPr>
        <w:t>Effective upon issuance, to be applied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1232535</wp:posOffset>
            </wp:positionV>
            <wp:extent cx="15862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This update will be adopted in conjunction with ASU 2016-13,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426085</wp:posOffset>
            </wp:positionV>
            <wp:extent cx="15862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40" w:firstLine="2"/>
        <w:spacing w:after="0" w:line="233" w:lineRule="auto"/>
        <w:tabs>
          <w:tab w:leader="none" w:pos="2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amendments related to ASU 2016-13 will be adopted in conjunction with that ASU, as further described below.</w:t>
      </w:r>
    </w:p>
    <w:p>
      <w:pPr>
        <w:spacing w:after="0" w:line="122" w:lineRule="exact"/>
        <w:rPr>
          <w:rFonts w:ascii="Arial" w:cs="Arial" w:eastAsia="Arial" w:hAnsi="Arial"/>
          <w:sz w:val="16"/>
          <w:szCs w:val="16"/>
          <w:color w:val="auto"/>
        </w:rPr>
      </w:pPr>
    </w:p>
    <w:p>
      <w:pPr>
        <w:ind w:firstLine="2"/>
        <w:spacing w:after="0" w:line="232" w:lineRule="auto"/>
        <w:tabs>
          <w:tab w:leader="none" w:pos="2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Since we early adopted ASU 2017-12, the related amendments are effective for us on November 1, 2019 and can be applied either retrospectively or prospectively.</w:t>
      </w:r>
    </w:p>
    <w:p>
      <w:pPr>
        <w:spacing w:after="0" w:line="123" w:lineRule="exact"/>
        <w:rPr>
          <w:rFonts w:ascii="Arial" w:cs="Arial" w:eastAsia="Arial" w:hAnsi="Arial"/>
          <w:sz w:val="16"/>
          <w:szCs w:val="16"/>
          <w:color w:val="auto"/>
        </w:rPr>
      </w:pPr>
    </w:p>
    <w:p>
      <w:pPr>
        <w:ind w:firstLine="2"/>
        <w:spacing w:after="0" w:line="247" w:lineRule="auto"/>
        <w:tabs>
          <w:tab w:leader="none" w:pos="235" w:val="left"/>
        </w:tabs>
        <w:numPr>
          <w:ilvl w:val="0"/>
          <w:numId w:val="22"/>
        </w:numPr>
        <w:rPr>
          <w:rFonts w:ascii="Arial" w:cs="Arial" w:eastAsia="Arial" w:hAnsi="Arial"/>
          <w:sz w:val="15"/>
          <w:szCs w:val="15"/>
          <w:color w:val="auto"/>
        </w:rPr>
      </w:pPr>
      <w:r>
        <w:rPr>
          <w:rFonts w:ascii="Arial" w:cs="Arial" w:eastAsia="Arial" w:hAnsi="Arial"/>
          <w:sz w:val="15"/>
          <w:szCs w:val="15"/>
          <w:color w:val="auto"/>
        </w:rPr>
        <w:t>Since we already adopted ASU 2016-01, the related amendments are effective for us on November 1, 2020 and will be applied using a modified-retrospective adoption approach with a cumulative-effect adjustment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90170</wp:posOffset>
            </wp:positionV>
            <wp:extent cx="15862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-3810</wp:posOffset>
            </wp:positionV>
            <wp:extent cx="15862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p>
    <w:p>
      <w:pPr>
        <w:ind w:right="100"/>
        <w:spacing w:after="0" w:line="246" w:lineRule="auto"/>
        <w:rPr>
          <w:sz w:val="20"/>
          <w:szCs w:val="20"/>
          <w:color w:val="auto"/>
        </w:rPr>
      </w:pPr>
      <w:r>
        <w:rPr>
          <w:rFonts w:ascii="Arial" w:cs="Arial" w:eastAsia="Arial" w:hAnsi="Arial"/>
          <w:sz w:val="15"/>
          <w:szCs w:val="15"/>
          <w:color w:val="auto"/>
        </w:rPr>
        <w:t>We adopted the amendments under the SEC releases in the second quarter of 2019, as described in Note 2, “Basis of Presentation and Significant Accounting Policies,” in the Financial Statements. We now include a statement of changes in stockholders’ equity for interim periods; the eliminated or amended disclosures did not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2540</wp:posOffset>
            </wp:positionV>
            <wp:extent cx="15862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2" w:lineRule="exact"/>
        <w:rPr>
          <w:sz w:val="20"/>
          <w:szCs w:val="20"/>
          <w:color w:val="auto"/>
        </w:rPr>
      </w:pPr>
    </w:p>
    <w:p>
      <w:pPr>
        <w:ind w:right="300"/>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313690</wp:posOffset>
            </wp:positionV>
            <wp:extent cx="15862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both"/>
        <w:ind w:right="260"/>
        <w:spacing w:after="0" w:line="233" w:lineRule="auto"/>
        <w:rPr>
          <w:sz w:val="20"/>
          <w:szCs w:val="20"/>
          <w:color w:val="auto"/>
        </w:rPr>
      </w:pPr>
      <w:r>
        <w:rPr>
          <w:rFonts w:ascii="Arial" w:cs="Arial" w:eastAsia="Arial" w:hAnsi="Arial"/>
          <w:sz w:val="16"/>
          <w:szCs w:val="16"/>
          <w:color w:val="auto"/>
        </w:rPr>
        <w:t>We are currently evaluating the impact of implementing all three aspects of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1600200</wp:posOffset>
            </wp:positionV>
            <wp:extent cx="1586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578" w:lineRule="exact"/>
        <w:rPr>
          <w:sz w:val="20"/>
          <w:szCs w:val="20"/>
          <w:color w:val="auto"/>
        </w:rPr>
      </w:pPr>
    </w:p>
    <w:p>
      <w:pPr>
        <w:sectPr>
          <w:pgSz w:w="11900" w:h="16838" w:orient="portrait"/>
          <w:cols w:equalWidth="0" w:num="4">
            <w:col w:w="2260" w:space="192"/>
            <w:col w:w="3648" w:space="240"/>
            <w:col w:w="2440" w:space="160"/>
            <w:col w:w="2480"/>
          </w:cols>
          <w:pgMar w:left="240" w:top="684" w:right="239" w:bottom="1440" w:gutter="0" w:footer="0" w:header="0"/>
          <w:type w:val="continuous"/>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684" w:right="239" w:bottom="1440" w:gutter="0" w:footer="0" w:header="0"/>
          <w:type w:val="continuous"/>
        </w:sectPr>
      </w:pPr>
    </w:p>
    <w:bookmarkStart w:id="50" w:name="page51"/>
    <w:bookmarkEnd w:id="50"/>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20320</wp:posOffset>
            </wp:positionV>
            <wp:extent cx="14579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59" w:lineRule="exact"/>
        <w:rPr>
          <w:sz w:val="20"/>
          <w:szCs w:val="20"/>
          <w:color w:val="auto"/>
        </w:rPr>
      </w:pPr>
    </w:p>
    <w:p>
      <w:pPr>
        <w:ind w:right="160"/>
        <w:spacing w:after="0" w:line="229" w:lineRule="auto"/>
        <w:rPr>
          <w:sz w:val="20"/>
          <w:szCs w:val="20"/>
          <w:color w:val="auto"/>
        </w:rPr>
      </w:pPr>
      <w:r>
        <w:rPr>
          <w:rFonts w:ascii="Arial" w:cs="Arial" w:eastAsia="Arial" w:hAnsi="Arial"/>
          <w:sz w:val="16"/>
          <w:szCs w:val="16"/>
          <w:color w:val="auto"/>
        </w:rPr>
        <w:t>In November 2018, the FASB issued ASU 2018-</w:t>
      </w:r>
    </w:p>
    <w:p>
      <w:pPr>
        <w:spacing w:after="0" w:line="251" w:lineRule="auto"/>
        <w:rPr>
          <w:sz w:val="20"/>
          <w:szCs w:val="20"/>
          <w:color w:val="auto"/>
        </w:rPr>
      </w:pPr>
      <w:r>
        <w:rPr>
          <w:rFonts w:ascii="Arial" w:cs="Arial" w:eastAsia="Arial" w:hAnsi="Arial"/>
          <w:sz w:val="15"/>
          <w:szCs w:val="15"/>
          <w:color w:val="auto"/>
        </w:rPr>
        <w:t xml:space="preserve">18, </w:t>
      </w:r>
      <w:r>
        <w:rPr>
          <w:rFonts w:ascii="Arial" w:cs="Arial" w:eastAsia="Arial" w:hAnsi="Arial"/>
          <w:sz w:val="15"/>
          <w:szCs w:val="15"/>
          <w:i w:val="1"/>
          <w:iCs w:val="1"/>
          <w:color w:val="auto"/>
        </w:rPr>
        <w:t>Collaborative Arrangements</w:t>
      </w:r>
      <w:r>
        <w:rPr>
          <w:rFonts w:ascii="Arial" w:cs="Arial" w:eastAsia="Arial" w:hAnsi="Arial"/>
          <w:sz w:val="15"/>
          <w:szCs w:val="15"/>
          <w:color w:val="auto"/>
        </w:rPr>
        <w:t xml:space="preserve"> </w:t>
      </w:r>
      <w:r>
        <w:rPr>
          <w:rFonts w:ascii="Arial" w:cs="Arial" w:eastAsia="Arial" w:hAnsi="Arial"/>
          <w:sz w:val="15"/>
          <w:szCs w:val="15"/>
          <w:i w:val="1"/>
          <w:iCs w:val="1"/>
          <w:color w:val="auto"/>
        </w:rPr>
        <w:t>(Topic 808): Clarifying the Interaction between Topic 808 and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643890</wp:posOffset>
            </wp:positionV>
            <wp:extent cx="14579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20320</wp:posOffset>
            </wp:positionV>
            <wp:extent cx="23926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This ASU provides guidance on whether certain transactions between collaborative arrangement participants should be accounted for as revenue under Topic 606. It specifically addresses when the participant is a customer in the context of a unit of account, adds unit of account guidance in Topic 808 to align with guidance in Topic 606, and precludes presenting the collaborative arrangement transaction together with revenue recognized under Topic 606 if the collaborative arrangement participant is not a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93345</wp:posOffset>
            </wp:positionV>
            <wp:extent cx="23926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60" w:lineRule="auto"/>
        <w:rPr>
          <w:sz w:val="20"/>
          <w:szCs w:val="20"/>
          <w:color w:val="auto"/>
        </w:rPr>
      </w:pPr>
      <w:r>
        <w:rPr>
          <w:rFonts w:ascii="Arial" w:cs="Arial" w:eastAsia="Arial" w:hAnsi="Arial"/>
          <w:sz w:val="16"/>
          <w:szCs w:val="16"/>
          <w:b w:val="1"/>
          <w:bCs w:val="1"/>
          <w:color w:val="auto"/>
        </w:rPr>
        <w:t>Effective Date/Method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-3810</wp:posOffset>
            </wp:positionV>
            <wp:extent cx="15862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November 1, 2020</w:t>
      </w:r>
    </w:p>
    <w:p>
      <w:pPr>
        <w:spacing w:after="0" w:line="127"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This update will be applied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897890</wp:posOffset>
            </wp:positionV>
            <wp:extent cx="15862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00"/>
        <w:spacing w:after="0" w:line="260" w:lineRule="auto"/>
        <w:rPr>
          <w:sz w:val="20"/>
          <w:szCs w:val="20"/>
          <w:color w:val="auto"/>
        </w:rPr>
      </w:pPr>
      <w:r>
        <w:rPr>
          <w:rFonts w:ascii="Arial" w:cs="Arial" w:eastAsia="Arial" w:hAnsi="Arial"/>
          <w:sz w:val="16"/>
          <w:szCs w:val="16"/>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-3810</wp:posOffset>
            </wp:positionV>
            <wp:extent cx="15862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871220</wp:posOffset>
            </wp:positionV>
            <wp:extent cx="15862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419" w:lineRule="exact"/>
        <w:rPr>
          <w:sz w:val="20"/>
          <w:szCs w:val="20"/>
          <w:color w:val="auto"/>
        </w:rPr>
      </w:pPr>
    </w:p>
    <w:p>
      <w:pPr>
        <w:sectPr>
          <w:pgSz w:w="11900" w:h="16838" w:orient="portrait"/>
          <w:cols w:equalWidth="0" w:num="4">
            <w:col w:w="2200" w:space="220"/>
            <w:col w:w="3640" w:space="240"/>
            <w:col w:w="1880" w:space="720"/>
            <w:col w:w="2180"/>
          </w:cols>
          <w:pgMar w:left="280" w:top="694" w:right="539" w:bottom="1440" w:gutter="0" w:footer="0" w:header="0"/>
        </w:sectPr>
      </w:pPr>
    </w:p>
    <w:p>
      <w:pPr>
        <w:ind w:right="200"/>
        <w:spacing w:after="0" w:line="229" w:lineRule="auto"/>
        <w:rPr>
          <w:sz w:val="20"/>
          <w:szCs w:val="20"/>
          <w:color w:val="auto"/>
        </w:rPr>
      </w:pPr>
      <w:r>
        <w:rPr>
          <w:rFonts w:ascii="Arial" w:cs="Arial" w:eastAsia="Arial" w:hAnsi="Arial"/>
          <w:sz w:val="16"/>
          <w:szCs w:val="16"/>
          <w:color w:val="auto"/>
        </w:rPr>
        <w:t>In October 2018, the FASB issued ASU 2018-</w:t>
      </w:r>
    </w:p>
    <w:p>
      <w:pPr>
        <w:spacing w:after="0" w:line="251" w:lineRule="auto"/>
        <w:rPr>
          <w:sz w:val="20"/>
          <w:szCs w:val="20"/>
          <w:color w:val="auto"/>
        </w:rPr>
      </w:pPr>
      <w:r>
        <w:rPr>
          <w:rFonts w:ascii="Arial" w:cs="Arial" w:eastAsia="Arial" w:hAnsi="Arial"/>
          <w:sz w:val="15"/>
          <w:szCs w:val="15"/>
          <w:color w:val="auto"/>
        </w:rPr>
        <w:t xml:space="preserve">17, </w:t>
      </w:r>
      <w:r>
        <w:rPr>
          <w:rFonts w:ascii="Arial" w:cs="Arial" w:eastAsia="Arial" w:hAnsi="Arial"/>
          <w:sz w:val="15"/>
          <w:szCs w:val="15"/>
          <w:i w:val="1"/>
          <w:iCs w:val="1"/>
          <w:color w:val="auto"/>
        </w:rPr>
        <w:t>Consolidation (Topic 810):</w:t>
      </w:r>
      <w:r>
        <w:rPr>
          <w:rFonts w:ascii="Arial" w:cs="Arial" w:eastAsia="Arial" w:hAnsi="Arial"/>
          <w:sz w:val="15"/>
          <w:szCs w:val="15"/>
          <w:color w:val="auto"/>
        </w:rPr>
        <w:t xml:space="preserve"> </w:t>
      </w:r>
      <w:r>
        <w:rPr>
          <w:rFonts w:ascii="Arial" w:cs="Arial" w:eastAsia="Arial" w:hAnsi="Arial"/>
          <w:sz w:val="15"/>
          <w:szCs w:val="15"/>
          <w:i w:val="1"/>
          <w:iCs w:val="1"/>
          <w:color w:val="auto"/>
        </w:rPr>
        <w:t>Targeted Improvements to Related Party Guidance for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wp:posOffset>
            </wp:positionV>
            <wp:extent cx="14579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8" w:lineRule="exact"/>
        <w:rPr>
          <w:sz w:val="20"/>
          <w:szCs w:val="20"/>
          <w:color w:val="auto"/>
        </w:rPr>
      </w:pPr>
    </w:p>
    <w:p>
      <w:pPr>
        <w:ind w:right="200"/>
        <w:spacing w:after="0" w:line="229" w:lineRule="auto"/>
        <w:rPr>
          <w:sz w:val="20"/>
          <w:szCs w:val="20"/>
          <w:color w:val="auto"/>
        </w:rPr>
      </w:pPr>
      <w:r>
        <w:rPr>
          <w:rFonts w:ascii="Arial" w:cs="Arial" w:eastAsia="Arial" w:hAnsi="Arial"/>
          <w:sz w:val="16"/>
          <w:szCs w:val="16"/>
          <w:color w:val="auto"/>
        </w:rPr>
        <w:t>In October 2018, the FASB issued ASU 2018-</w:t>
      </w:r>
    </w:p>
    <w:p>
      <w:pPr>
        <w:spacing w:after="0" w:line="247"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w:t>
      </w:r>
      <w:r>
        <w:rPr>
          <w:rFonts w:ascii="Arial" w:cs="Arial" w:eastAsia="Arial" w:hAnsi="Arial"/>
          <w:sz w:val="15"/>
          <w:szCs w:val="15"/>
          <w:i w:val="1"/>
          <w:iCs w:val="1"/>
          <w:color w:val="auto"/>
        </w:rPr>
        <w:t>(Topic 815): Inclusion of the Secured Overnight Financing Rate (SOFR) Overnight Index Swap (OIS) Rate as a Benchmark Interest Rate for Hedge Accounting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424180</wp:posOffset>
            </wp:positionV>
            <wp:extent cx="14579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5"/>
          <w:szCs w:val="15"/>
          <w:color w:val="auto"/>
        </w:rPr>
        <w:t>This ASU provides that indirect interests held through related parties in common control arrangements should be considered on a proportional basis for determining whether fees paid to decision makers and service providers are variable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113665</wp:posOffset>
            </wp:positionV>
            <wp:extent cx="23926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6" w:lineRule="exact"/>
        <w:rPr>
          <w:sz w:val="20"/>
          <w:szCs w:val="20"/>
          <w:color w:val="auto"/>
        </w:rPr>
      </w:pPr>
    </w:p>
    <w:p>
      <w:pPr>
        <w:ind w:right="40"/>
        <w:spacing w:after="0" w:line="230" w:lineRule="auto"/>
        <w:rPr>
          <w:sz w:val="20"/>
          <w:szCs w:val="20"/>
          <w:color w:val="auto"/>
        </w:rPr>
      </w:pPr>
      <w:r>
        <w:rPr>
          <w:rFonts w:ascii="Arial" w:cs="Arial" w:eastAsia="Arial" w:hAnsi="Arial"/>
          <w:sz w:val="16"/>
          <w:szCs w:val="16"/>
          <w:color w:val="auto"/>
        </w:rPr>
        <w:t>This ASU adds the Overnight Index Swap (“OIS”) rate based on the Secured Overnight Financing Rate (“SOFR”) (a swap rate based on the underlying overnight SOFR rate) as an eligible benchmark interest rate for purposes of applying hedge accounting. SOFR is a volume-weighted median interest rate that is calculated daily based on overnight transactions from the prior day’s trading activity in specified segments of the U.S. Treasury repo market. SOFR was selected by the Alternative Reference Rates Committee as its preferred alternative reference rate to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92710</wp:posOffset>
            </wp:positionV>
            <wp:extent cx="23926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2020.</w:t>
      </w:r>
    </w:p>
    <w:p>
      <w:pPr>
        <w:spacing w:after="0" w:line="127" w:lineRule="exact"/>
        <w:rPr>
          <w:sz w:val="20"/>
          <w:szCs w:val="20"/>
          <w:color w:val="auto"/>
        </w:rPr>
      </w:pPr>
    </w:p>
    <w:p>
      <w:pPr>
        <w:ind w:right="600"/>
        <w:spacing w:after="0" w:line="236" w:lineRule="auto"/>
        <w:rPr>
          <w:sz w:val="20"/>
          <w:szCs w:val="20"/>
          <w:color w:val="auto"/>
        </w:rPr>
      </w:pPr>
      <w:r>
        <w:rPr>
          <w:rFonts w:ascii="Arial" w:cs="Arial" w:eastAsia="Arial" w:hAnsi="Arial"/>
          <w:sz w:val="16"/>
          <w:szCs w:val="16"/>
          <w:color w:val="auto"/>
        </w:rPr>
        <w:t>This update will be applied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254635</wp:posOffset>
            </wp:positionV>
            <wp:extent cx="15862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Since we early adopted ASU 2017-12, this update will be effective for us on November 1, 2020 on a prospective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982980</wp:posOffset>
            </wp:positionV>
            <wp:extent cx="15862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227965</wp:posOffset>
            </wp:positionV>
            <wp:extent cx="15862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86"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982980</wp:posOffset>
            </wp:positionV>
            <wp:extent cx="15862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595" w:lineRule="exact"/>
        <w:rPr>
          <w:sz w:val="20"/>
          <w:szCs w:val="20"/>
          <w:color w:val="auto"/>
        </w:rPr>
      </w:pPr>
    </w:p>
    <w:p>
      <w:pPr>
        <w:sectPr>
          <w:pgSz w:w="11900" w:h="16838" w:orient="portrait"/>
          <w:cols w:equalWidth="0" w:num="4">
            <w:col w:w="2060" w:space="360"/>
            <w:col w:w="3700" w:space="180"/>
            <w:col w:w="2440" w:space="160"/>
            <w:col w:w="2180"/>
          </w:cols>
          <w:pgMar w:left="280" w:top="694" w:right="539" w:bottom="1440" w:gutter="0" w:footer="0" w:header="0"/>
          <w:type w:val="continuous"/>
        </w:sectPr>
      </w:pPr>
    </w:p>
    <w:p>
      <w:pPr>
        <w:spacing w:after="0" w:line="230"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 Accounting for Implementation Costs Incurred in a Cloud Computing Arrangement That Is a Service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8255</wp:posOffset>
            </wp:positionV>
            <wp:extent cx="14579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41"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 xml:space="preserve">In August 2018, the FASB issued ASU 2018-14, </w:t>
      </w:r>
      <w:r>
        <w:rPr>
          <w:rFonts w:ascii="Arial" w:cs="Arial" w:eastAsia="Arial" w:hAnsi="Arial"/>
          <w:sz w:val="15"/>
          <w:szCs w:val="15"/>
          <w:i w:val="1"/>
          <w:iCs w:val="1"/>
          <w:color w:val="auto"/>
        </w:rPr>
        <w:t>Compensation—Retirement Benefits—General (Topic 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14579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5"/>
          <w:szCs w:val="15"/>
          <w:color w:val="auto"/>
        </w:rPr>
        <w:t>This ASU aligns the requirements for capitalizing implementation costs incurred in a hosting arrangement that is a service contract with the requirements for capitalizing implementation costs incurred to develop or obtain internal-use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448310</wp:posOffset>
            </wp:positionV>
            <wp:extent cx="23926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This ASU modifies the disclosure requirements on company-sponsored 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288925</wp:posOffset>
            </wp:positionV>
            <wp:extent cx="23926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2020</w:t>
      </w:r>
    </w:p>
    <w:p>
      <w:pPr>
        <w:spacing w:after="0" w:line="127"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This update will be applied either prospectively or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577215</wp:posOffset>
            </wp:positionV>
            <wp:extent cx="15862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November 1, 2020</w:t>
      </w:r>
    </w:p>
    <w:p>
      <w:pPr>
        <w:spacing w:after="0" w:line="127" w:lineRule="exact"/>
        <w:rPr>
          <w:sz w:val="20"/>
          <w:szCs w:val="20"/>
          <w:color w:val="auto"/>
        </w:rPr>
      </w:pPr>
    </w:p>
    <w:p>
      <w:pPr>
        <w:ind w:right="440"/>
        <w:spacing w:after="0" w:line="236" w:lineRule="auto"/>
        <w:rPr>
          <w:sz w:val="20"/>
          <w:szCs w:val="20"/>
          <w:color w:val="auto"/>
        </w:rPr>
      </w:pPr>
      <w:r>
        <w:rPr>
          <w:rFonts w:ascii="Arial" w:cs="Arial" w:eastAsia="Arial" w:hAnsi="Arial"/>
          <w:sz w:val="16"/>
          <w:szCs w:val="16"/>
          <w:color w:val="auto"/>
        </w:rPr>
        <w:t>This update will be applied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92075</wp:posOffset>
            </wp:positionV>
            <wp:extent cx="15862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562610</wp:posOffset>
            </wp:positionV>
            <wp:extent cx="15862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15862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41" w:lineRule="exact"/>
        <w:rPr>
          <w:sz w:val="20"/>
          <w:szCs w:val="20"/>
          <w:color w:val="auto"/>
        </w:rPr>
      </w:pPr>
    </w:p>
    <w:p>
      <w:pPr>
        <w:sectPr>
          <w:pgSz w:w="11900" w:h="16838" w:orient="portrait"/>
          <w:cols w:equalWidth="0" w:num="4">
            <w:col w:w="2220" w:space="200"/>
            <w:col w:w="3520" w:space="360"/>
            <w:col w:w="2280" w:space="320"/>
            <w:col w:w="2180"/>
          </w:cols>
          <w:pgMar w:left="280" w:top="694" w:right="539" w:bottom="1440" w:gutter="0" w:footer="0" w:header="0"/>
          <w:type w:val="continuous"/>
        </w:sectPr>
      </w:pPr>
    </w:p>
    <w:p>
      <w:pPr>
        <w:spacing w:after="0"/>
        <w:tabs>
          <w:tab w:leader="none" w:pos="2400" w:val="left"/>
        </w:tabs>
        <w:rPr>
          <w:sz w:val="20"/>
          <w:szCs w:val="20"/>
          <w:color w:val="auto"/>
        </w:rPr>
      </w:pPr>
      <w:r>
        <w:rPr>
          <w:rFonts w:ascii="Arial" w:cs="Arial" w:eastAsia="Arial" w:hAnsi="Arial"/>
          <w:sz w:val="16"/>
          <w:szCs w:val="16"/>
          <w:color w:val="auto"/>
        </w:rPr>
        <w:t>In August 2018, the FASB</w:t>
      </w:r>
      <w:r>
        <w:rPr>
          <w:sz w:val="20"/>
          <w:szCs w:val="20"/>
          <w:color w:val="auto"/>
        </w:rPr>
        <w:tab/>
      </w:r>
      <w:r>
        <w:rPr>
          <w:rFonts w:ascii="Arial" w:cs="Arial" w:eastAsia="Arial" w:hAnsi="Arial"/>
          <w:sz w:val="15"/>
          <w:szCs w:val="15"/>
          <w:color w:val="auto"/>
        </w:rPr>
        <w:t>This ASU modifies the disclosure requirements on</w:t>
      </w:r>
    </w:p>
    <w:p>
      <w:pPr>
        <w:spacing w:after="0"/>
        <w:tabs>
          <w:tab w:leader="none" w:pos="2400" w:val="left"/>
        </w:tabs>
        <w:rPr>
          <w:sz w:val="20"/>
          <w:szCs w:val="20"/>
          <w:color w:val="auto"/>
        </w:rPr>
      </w:pPr>
      <w:r>
        <w:rPr>
          <w:rFonts w:ascii="Arial" w:cs="Arial" w:eastAsia="Arial" w:hAnsi="Arial"/>
          <w:sz w:val="16"/>
          <w:szCs w:val="16"/>
          <w:color w:val="auto"/>
        </w:rPr>
        <w:t xml:space="preserve">issued ASU 2018-13, </w:t>
      </w:r>
      <w:r>
        <w:rPr>
          <w:rFonts w:ascii="Arial" w:cs="Arial" w:eastAsia="Arial" w:hAnsi="Arial"/>
          <w:sz w:val="16"/>
          <w:szCs w:val="16"/>
          <w:i w:val="1"/>
          <w:iCs w:val="1"/>
          <w:color w:val="auto"/>
        </w:rPr>
        <w:t>Fair Value</w:t>
      </w:r>
      <w:r>
        <w:rPr>
          <w:sz w:val="20"/>
          <w:szCs w:val="20"/>
          <w:color w:val="auto"/>
        </w:rPr>
        <w:tab/>
      </w:r>
      <w:r>
        <w:rPr>
          <w:rFonts w:ascii="Arial" w:cs="Arial" w:eastAsia="Arial" w:hAnsi="Arial"/>
          <w:sz w:val="15"/>
          <w:szCs w:val="15"/>
          <w:color w:val="auto"/>
        </w:rPr>
        <w:t>fair value measurements by removing certain</w:t>
      </w:r>
    </w:p>
    <w:p>
      <w:pPr>
        <w:spacing w:after="0"/>
        <w:tabs>
          <w:tab w:leader="none" w:pos="2400" w:val="left"/>
        </w:tabs>
        <w:rPr>
          <w:sz w:val="20"/>
          <w:szCs w:val="20"/>
          <w:color w:val="auto"/>
        </w:rPr>
      </w:pPr>
      <w:r>
        <w:rPr>
          <w:rFonts w:ascii="Arial" w:cs="Arial" w:eastAsia="Arial" w:hAnsi="Arial"/>
          <w:sz w:val="16"/>
          <w:szCs w:val="16"/>
          <w:i w:val="1"/>
          <w:iCs w:val="1"/>
          <w:color w:val="auto"/>
        </w:rPr>
        <w:t>Measurement (Topic 820):</w:t>
      </w:r>
      <w:r>
        <w:rPr>
          <w:sz w:val="20"/>
          <w:szCs w:val="20"/>
          <w:color w:val="auto"/>
        </w:rPr>
        <w:tab/>
      </w:r>
      <w:r>
        <w:rPr>
          <w:rFonts w:ascii="Arial" w:cs="Arial" w:eastAsia="Arial" w:hAnsi="Arial"/>
          <w:sz w:val="15"/>
          <w:szCs w:val="15"/>
          <w:color w:val="auto"/>
        </w:rPr>
        <w:t>disclosure requirements related to the fair value</w:t>
      </w:r>
    </w:p>
    <w:p>
      <w:pPr>
        <w:spacing w:after="0"/>
        <w:tabs>
          <w:tab w:leader="none" w:pos="2400" w:val="left"/>
        </w:tabs>
        <w:rPr>
          <w:sz w:val="20"/>
          <w:szCs w:val="20"/>
          <w:color w:val="auto"/>
        </w:rPr>
      </w:pPr>
      <w:r>
        <w:rPr>
          <w:rFonts w:ascii="Arial" w:cs="Arial" w:eastAsia="Arial" w:hAnsi="Arial"/>
          <w:sz w:val="16"/>
          <w:szCs w:val="16"/>
          <w:i w:val="1"/>
          <w:iCs w:val="1"/>
          <w:color w:val="auto"/>
        </w:rPr>
        <w:t>Disclosure Framework</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hierarchy, modifying existing disclosure requirements</w:t>
      </w:r>
    </w:p>
    <w:p>
      <w:pPr>
        <w:ind w:left="2420" w:right="20"/>
        <w:spacing w:after="0" w:line="236" w:lineRule="auto"/>
        <w:rPr>
          <w:sz w:val="20"/>
          <w:szCs w:val="20"/>
          <w:color w:val="auto"/>
        </w:rPr>
      </w:pPr>
      <w:r>
        <w:rPr>
          <w:rFonts w:ascii="Arial" w:cs="Arial" w:eastAsia="Arial" w:hAnsi="Arial"/>
          <w:sz w:val="16"/>
          <w:szCs w:val="16"/>
          <w:color w:val="auto"/>
        </w:rPr>
        <w:t>related to measurement uncertainty, and adding new disclosure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288925</wp:posOffset>
            </wp:positionV>
            <wp:extent cx="39274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2020</w:t>
      </w:r>
    </w:p>
    <w:p>
      <w:pPr>
        <w:spacing w:after="0" w:line="127"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The amendments related to disclosure requirements within this update will be applied prospectively and the other amendments will be applied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92710</wp:posOffset>
            </wp:positionV>
            <wp:extent cx="15862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511175</wp:posOffset>
            </wp:positionV>
            <wp:extent cx="15862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58" w:lineRule="exact"/>
        <w:rPr>
          <w:sz w:val="20"/>
          <w:szCs w:val="20"/>
          <w:color w:val="auto"/>
        </w:rPr>
      </w:pPr>
    </w:p>
    <w:p>
      <w:pPr>
        <w:sectPr>
          <w:pgSz w:w="11900" w:h="16838" w:orient="portrait"/>
          <w:cols w:equalWidth="0" w:num="3">
            <w:col w:w="6080" w:space="220"/>
            <w:col w:w="2400" w:space="200"/>
            <w:col w:w="2180"/>
          </w:cols>
          <w:pgMar w:left="280" w:top="694" w:right="539" w:bottom="1440" w:gutter="0" w:footer="0" w:header="0"/>
          <w:type w:val="continuous"/>
        </w:sectPr>
      </w:pP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080"/>
          </w:cols>
          <w:pgMar w:left="280" w:top="694" w:right="539" w:bottom="1440" w:gutter="0" w:footer="0" w:header="0"/>
          <w:type w:val="continuous"/>
        </w:sectPr>
      </w:pPr>
    </w:p>
    <w:bookmarkStart w:id="51" w:name="page52"/>
    <w:bookmarkEnd w:id="51"/>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20320</wp:posOffset>
            </wp:positionV>
            <wp:extent cx="14579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59"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Instruments—Credit Losses (Topic 326): Measurement of Credit Losses on Financial Statements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448945</wp:posOffset>
            </wp:positionV>
            <wp:extent cx="14579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842)</w:t>
      </w:r>
      <w:r>
        <w:rPr>
          <w:rFonts w:ascii="Arial" w:cs="Arial" w:eastAsia="Arial" w:hAnsi="Arial"/>
          <w:sz w:val="15"/>
          <w:szCs w:val="15"/>
          <w:color w:val="auto"/>
        </w:rPr>
        <w:t>. The FASB has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issued several updates to ASU 2016-02, including ASU 2018-10, </w:t>
      </w:r>
      <w:r>
        <w:rPr>
          <w:rFonts w:ascii="Arial" w:cs="Arial" w:eastAsia="Arial" w:hAnsi="Arial"/>
          <w:sz w:val="15"/>
          <w:szCs w:val="15"/>
          <w:i w:val="1"/>
          <w:iCs w:val="1"/>
          <w:color w:val="auto"/>
        </w:rPr>
        <w:t>Codification Improvements</w:t>
      </w:r>
      <w:r>
        <w:rPr>
          <w:rFonts w:ascii="Arial" w:cs="Arial" w:eastAsia="Arial" w:hAnsi="Arial"/>
          <w:sz w:val="15"/>
          <w:szCs w:val="15"/>
          <w:color w:val="auto"/>
        </w:rPr>
        <w:t xml:space="preserve"> </w:t>
      </w:r>
      <w:r>
        <w:rPr>
          <w:rFonts w:ascii="Arial" w:cs="Arial" w:eastAsia="Arial" w:hAnsi="Arial"/>
          <w:sz w:val="15"/>
          <w:szCs w:val="15"/>
          <w:i w:val="1"/>
          <w:iCs w:val="1"/>
          <w:color w:val="auto"/>
        </w:rPr>
        <w:t>to Topic 842, Leases</w:t>
      </w:r>
      <w:r>
        <w:rPr>
          <w:rFonts w:ascii="Arial" w:cs="Arial" w:eastAsia="Arial" w:hAnsi="Arial"/>
          <w:sz w:val="15"/>
          <w:szCs w:val="15"/>
          <w:color w:val="auto"/>
        </w:rPr>
        <w:t>, and ASU</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 xml:space="preserve">2018-11,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Targeted Improvements, </w:t>
      </w:r>
      <w:r>
        <w:rPr>
          <w:rFonts w:ascii="Arial" w:cs="Arial" w:eastAsia="Arial" w:hAnsi="Arial"/>
          <w:sz w:val="15"/>
          <w:szCs w:val="15"/>
          <w:color w:val="auto"/>
        </w:rPr>
        <w:t>which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were issued in July 2018, as well as ASU 2019-01,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842): Codification Improvements</w:t>
      </w:r>
      <w:r>
        <w:rPr>
          <w:rFonts w:ascii="Arial" w:cs="Arial" w:eastAsia="Arial" w:hAnsi="Arial"/>
          <w:sz w:val="15"/>
          <w:szCs w:val="15"/>
          <w:color w:val="auto"/>
        </w:rPr>
        <w:t>, which was</w:t>
      </w:r>
      <w:r>
        <w:rPr>
          <w:rFonts w:ascii="Arial" w:cs="Arial" w:eastAsia="Arial" w:hAnsi="Arial"/>
          <w:sz w:val="15"/>
          <w:szCs w:val="15"/>
          <w:i w:val="1"/>
          <w:iCs w:val="1"/>
          <w:color w:val="auto"/>
        </w:rPr>
        <w:t xml:space="preserve"> </w:t>
      </w:r>
      <w:r>
        <w:rPr>
          <w:rFonts w:ascii="Arial" w:cs="Arial" w:eastAsia="Arial" w:hAnsi="Arial"/>
          <w:sz w:val="15"/>
          <w:szCs w:val="15"/>
          <w:color w:val="auto"/>
        </w:rPr>
        <w:t>issued in March 2019.</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20320</wp:posOffset>
            </wp:positionV>
            <wp:extent cx="23926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right="460"/>
        <w:spacing w:after="0" w:line="251" w:lineRule="auto"/>
        <w:rPr>
          <w:sz w:val="20"/>
          <w:szCs w:val="20"/>
          <w:color w:val="auto"/>
        </w:rPr>
      </w:pPr>
      <w:r>
        <w:rPr>
          <w:rFonts w:ascii="Arial" w:cs="Arial" w:eastAsia="Arial" w:hAnsi="Arial"/>
          <w:sz w:val="15"/>
          <w:szCs w:val="15"/>
          <w:color w:val="auto"/>
        </w:rPr>
        <w:t>This ASU replaces the existing incurred loss impairment model with a methodology that incorporates all expected credit loss estimates, resulting in more timely recognition of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669290</wp:posOffset>
            </wp:positionV>
            <wp:extent cx="23926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ASU 2016-02 improves transparency and comparability among organizations by requiring lessees to recognize lease assets and lease liabilities on the balance sheet and to disclose key information about leasing arrangements. ASU 2018-10 and ASU 2018-11 amend various aspects of Topic 842, including an additional transition method. ASU 2019-01, among other issues, addresses determination of the fair value of the underlying asset by lessors that are not manufacturers or dealers and clarifies interim period transition disclosure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561975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0"/>
        <w:spacing w:after="0" w:line="260" w:lineRule="auto"/>
        <w:rPr>
          <w:sz w:val="20"/>
          <w:szCs w:val="20"/>
          <w:color w:val="auto"/>
        </w:rPr>
      </w:pPr>
      <w:r>
        <w:rPr>
          <w:rFonts w:ascii="Arial" w:cs="Arial" w:eastAsia="Arial" w:hAnsi="Arial"/>
          <w:sz w:val="16"/>
          <w:szCs w:val="16"/>
          <w:b w:val="1"/>
          <w:bCs w:val="1"/>
          <w:color w:val="auto"/>
        </w:rPr>
        <w:t>Effective Date/Method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-3810</wp:posOffset>
            </wp:positionV>
            <wp:extent cx="15862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November 1, 2020</w:t>
      </w:r>
    </w:p>
    <w:p>
      <w:pPr>
        <w:spacing w:after="0" w:line="167"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This standard will be applied using a modified retrospective adoption approach with a cumulative-effect adjustment to retained earnings as of the beginning of the year of adoption, except for certain provisions that are required to be applied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wp:posOffset>
            </wp:positionV>
            <wp:extent cx="15862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1, 2019</w:t>
      </w:r>
    </w:p>
    <w:p>
      <w:pPr>
        <w:spacing w:after="0" w:line="167"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This guidance may be applied through a modified retrospective transition approach for leases existing at, or entered into after, the beginning of the earliest comparative period presented in the financial statements with certain practical expedients available. Alternatively, this guidance may be applied at the adoption date by recognizing a cumulative-effect adjustment to the opening balance of retained earnings in the period of adoption.</w:t>
      </w:r>
    </w:p>
    <w:p>
      <w:pPr>
        <w:spacing w:after="0" w:line="20" w:lineRule="exact"/>
        <w:rPr>
          <w:sz w:val="20"/>
          <w:szCs w:val="20"/>
          <w:color w:val="auto"/>
        </w:rPr>
      </w:pPr>
      <w:r>
        <w:rPr>
          <w:sz w:val="20"/>
          <w:szCs w:val="20"/>
          <w:color w:val="auto"/>
        </w:rPr>
        <w:br w:type="column"/>
      </w:r>
    </w:p>
    <w:p>
      <w:pPr>
        <w:ind w:right="760"/>
        <w:spacing w:after="0" w:line="260" w:lineRule="auto"/>
        <w:rPr>
          <w:sz w:val="20"/>
          <w:szCs w:val="20"/>
          <w:color w:val="auto"/>
        </w:rPr>
      </w:pPr>
      <w:r>
        <w:rPr>
          <w:rFonts w:ascii="Arial" w:cs="Arial" w:eastAsia="Arial" w:hAnsi="Arial"/>
          <w:sz w:val="16"/>
          <w:szCs w:val="16"/>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-3810</wp:posOffset>
            </wp:positionV>
            <wp:extent cx="15862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p>
    <w:p>
      <w:pPr>
        <w:ind w:right="260"/>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673735</wp:posOffset>
            </wp:positionV>
            <wp:extent cx="15862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We are currently evaluating the impact of implementing this guidance on our financial statements. Refer to Note 2, “Basis of Presentation and Significant Accounting Policies,” in the Financial Statements for additional information.</w:t>
      </w:r>
    </w:p>
    <w:p>
      <w:pPr>
        <w:spacing w:after="0" w:line="1602" w:lineRule="exact"/>
        <w:rPr>
          <w:sz w:val="20"/>
          <w:szCs w:val="20"/>
          <w:color w:val="auto"/>
        </w:rPr>
      </w:pPr>
    </w:p>
    <w:p>
      <w:pPr>
        <w:sectPr>
          <w:pgSz w:w="11900" w:h="16838" w:orient="portrait"/>
          <w:cols w:equalWidth="0" w:num="4">
            <w:col w:w="2140" w:space="280"/>
            <w:col w:w="3700" w:space="180"/>
            <w:col w:w="2420" w:space="180"/>
            <w:col w:w="2440"/>
          </w:cols>
          <w:pgMar w:left="280" w:top="693" w:right="279" w:bottom="1440" w:gutter="0" w:footer="0" w:header="0"/>
        </w:sectPr>
      </w:pP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40"/>
          </w:cols>
          <w:pgMar w:left="280" w:top="693" w:right="27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0046AD"/>
        </w:rPr>
        <w:t>ITEM 3. QUANTITATIVE AND QUALITATIVE DISCLOSURES ABOUT MARKET RISK.</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are no other material changes related to market risk from the disclosures in our Annual Report on Form 10-K for the year ended October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Changes in Internal Control Over Financial Reporting.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continue to migrate many of our financial reporting and other processes to the ABM enterprise service center along with integrating GCA. These are enhancements of ongoing activities to support the growth of our financial shared service capabilities and standardize our financial systems. We also continue to update several key platforms, including our human resources information systems, enterprise resource planning system, and labor management system. Both the migration of GCA’s back-office functions to the ABM enterprise service center and the implementation of several key platforms involve changes in the systems that include internal controls. Although the transitions have proceeded to date without material adverse effects, the possibility exists that they could adversely affect our internal controls over financial reporting and procedures.</w:t>
      </w:r>
    </w:p>
    <w:p>
      <w:pPr>
        <w:spacing w:after="0" w:line="15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There were no other changes in our internal control over financial reporting during the third quarter of 2019 identified in connection with the evaluation required by Rules 13a-15(d) and 15d-15(d) of the Exchange Act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LEGAL PROCEEDINGS.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9, “Commitments and Contingencies,” to the Financial Statements in this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1A. RISK FACTORS.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2018, in response to Item 1A., “Risk Factors,” of Part I of the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UNREGISTERED SALES OF EQUITY SECURITIES AND USE OF PROCEEDS.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During the nine months ended July 31, 2019, there were no share repurchases. At July 31, 2019, authorization for $134.1 million of repurchases remained under our share repurchase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3. DEFAULTS UPON SENIOR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5. OTHER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22"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9"/>
        </w:trPr>
        <w:tc>
          <w:tcPr>
            <w:tcW w:w="11400" w:type="dxa"/>
            <w:vAlign w:val="bottom"/>
            <w:gridSpan w:val="7"/>
          </w:tcPr>
          <w:p>
            <w:pPr>
              <w:spacing w:after="0"/>
              <w:rPr>
                <w:sz w:val="20"/>
                <w:szCs w:val="20"/>
                <w:color w:val="auto"/>
              </w:rPr>
            </w:pPr>
            <w:r>
              <w:rPr>
                <w:rFonts w:ascii="Arial" w:cs="Arial" w:eastAsia="Arial" w:hAnsi="Arial"/>
                <w:sz w:val="18"/>
                <w:szCs w:val="18"/>
                <w:b w:val="1"/>
                <w:bCs w:val="1"/>
                <w:color w:val="0046AD"/>
              </w:rPr>
              <w:t>ITEM 6. EXHIBITS.</w:t>
            </w:r>
          </w:p>
        </w:tc>
      </w:tr>
      <w:tr>
        <w:trPr>
          <w:trHeight w:val="378"/>
        </w:trPr>
        <w:tc>
          <w:tcPr>
            <w:tcW w:w="11400" w:type="dxa"/>
            <w:vAlign w:val="bottom"/>
            <w:gridSpan w:val="7"/>
          </w:tcPr>
          <w:p>
            <w:pPr>
              <w:ind w:left="660"/>
              <w:spacing w:after="0"/>
              <w:rPr>
                <w:sz w:val="20"/>
                <w:szCs w:val="20"/>
                <w:color w:val="auto"/>
              </w:rPr>
            </w:pPr>
            <w:r>
              <w:rPr>
                <w:rFonts w:ascii="Arial" w:cs="Arial" w:eastAsia="Arial" w:hAnsi="Arial"/>
                <w:sz w:val="18"/>
                <w:szCs w:val="18"/>
                <w:color w:val="auto"/>
              </w:rPr>
              <w:t>(a) Exhibits</w:t>
            </w:r>
          </w:p>
        </w:tc>
      </w:tr>
      <w:tr>
        <w:trPr>
          <w:trHeight w:val="378"/>
        </w:trPr>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9880" w:type="dxa"/>
            <w:vAlign w:val="bottom"/>
            <w:gridSpan w:val="4"/>
          </w:tcPr>
          <w:p>
            <w:pPr>
              <w:ind w:left="41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0"/>
        </w:trPr>
        <w:tc>
          <w:tcPr>
            <w:tcW w:w="1500" w:type="dxa"/>
            <w:vAlign w:val="bottom"/>
            <w:tcBorders>
              <w:bottom w:val="single" w:sz="8" w:color="DCE2EF"/>
            </w:tcBorders>
            <w:gridSpan w:val="2"/>
            <w:shd w:val="clear" w:color="auto" w:fill="DCE2EF"/>
          </w:tcPr>
          <w:p>
            <w:pPr>
              <w:ind w:left="40"/>
              <w:spacing w:after="0" w:line="196" w:lineRule="exact"/>
              <w:rPr>
                <w:sz w:val="20"/>
                <w:szCs w:val="20"/>
                <w:color w:val="auto"/>
              </w:rPr>
            </w:pPr>
            <w:r>
              <w:rPr>
                <w:rFonts w:ascii="Arial" w:cs="Arial" w:eastAsia="Arial" w:hAnsi="Arial"/>
                <w:sz w:val="18"/>
                <w:szCs w:val="18"/>
                <w:color w:val="auto"/>
              </w:rPr>
              <w:t>31.1†</w:t>
            </w:r>
          </w:p>
        </w:tc>
        <w:tc>
          <w:tcPr>
            <w:tcW w:w="20" w:type="dxa"/>
            <w:vAlign w:val="bottom"/>
            <w:tcBorders>
              <w:bottom w:val="single" w:sz="8" w:color="DCE2EF"/>
            </w:tcBorders>
            <w:shd w:val="clear" w:color="auto" w:fill="DCE2EF"/>
          </w:tcPr>
          <w:p>
            <w:pPr>
              <w:spacing w:after="0"/>
              <w:rPr>
                <w:sz w:val="20"/>
                <w:szCs w:val="20"/>
                <w:color w:val="auto"/>
              </w:rPr>
            </w:pPr>
          </w:p>
        </w:tc>
        <w:tc>
          <w:tcPr>
            <w:tcW w:w="8060" w:type="dxa"/>
            <w:vAlign w:val="bottom"/>
            <w:tcBorders>
              <w:bottom w:val="single" w:sz="8" w:color="0000FF"/>
            </w:tcBorders>
            <w:gridSpan w:val="2"/>
            <w:shd w:val="clear" w:color="auto" w:fill="DCE2EF"/>
          </w:tcPr>
          <w:p>
            <w:pPr>
              <w:spacing w:after="0" w:line="196" w:lineRule="exact"/>
              <w:rPr>
                <w:rFonts w:ascii="Arial" w:cs="Arial" w:eastAsia="Arial" w:hAnsi="Arial"/>
                <w:sz w:val="18"/>
                <w:szCs w:val="18"/>
                <w:color w:val="0000FF"/>
                <w:w w:val="99"/>
              </w:rPr>
            </w:pPr>
            <w:hyperlink w:anchor="page56">
              <w:r>
                <w:rPr>
                  <w:rFonts w:ascii="Arial" w:cs="Arial" w:eastAsia="Arial" w:hAnsi="Arial"/>
                  <w:sz w:val="18"/>
                  <w:szCs w:val="18"/>
                  <w:color w:val="0000FF"/>
                  <w:w w:val="99"/>
                </w:rPr>
                <w:t>Certification of Principal Executive Officer pursuant to Section 302 of the Sarbanes-Oxley Act of 2002</w:t>
              </w:r>
            </w:hyperlink>
          </w:p>
        </w:tc>
        <w:tc>
          <w:tcPr>
            <w:tcW w:w="1820" w:type="dxa"/>
            <w:vAlign w:val="bottom"/>
            <w:tcBorders>
              <w:bottom w:val="single" w:sz="8" w:color="DCE2EF"/>
            </w:tcBorders>
            <w:gridSpan w:val="2"/>
            <w:shd w:val="clear" w:color="auto" w:fill="DCE2EF"/>
          </w:tcPr>
          <w:p>
            <w:pPr>
              <w:spacing w:after="0"/>
              <w:rPr>
                <w:sz w:val="20"/>
                <w:szCs w:val="20"/>
                <w:color w:val="auto"/>
              </w:rPr>
            </w:pPr>
          </w:p>
        </w:tc>
      </w:tr>
      <w:tr>
        <w:trPr>
          <w:trHeight w:val="203"/>
        </w:trPr>
        <w:tc>
          <w:tcPr>
            <w:tcW w:w="15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31.2†</w:t>
            </w:r>
          </w:p>
        </w:tc>
        <w:tc>
          <w:tcPr>
            <w:tcW w:w="9900" w:type="dxa"/>
            <w:vAlign w:val="bottom"/>
            <w:gridSpan w:val="5"/>
          </w:tcPr>
          <w:p>
            <w:pPr>
              <w:ind w:lef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Certification of Principal Financial Officer pursuant to Section 302 of the Sarbanes-Oxley Act of 2002</w:t>
              </w:r>
            </w:hyperlink>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line="202" w:lineRule="exact"/>
              <w:rPr>
                <w:sz w:val="20"/>
                <w:szCs w:val="20"/>
                <w:color w:val="auto"/>
              </w:rPr>
            </w:pPr>
            <w:r>
              <w:rPr>
                <w:rFonts w:ascii="Arial" w:cs="Arial" w:eastAsia="Arial" w:hAnsi="Arial"/>
                <w:sz w:val="18"/>
                <w:szCs w:val="18"/>
                <w:color w:val="auto"/>
              </w:rPr>
              <w:t>32‡</w:t>
            </w:r>
          </w:p>
        </w:tc>
        <w:tc>
          <w:tcPr>
            <w:tcW w:w="20" w:type="dxa"/>
            <w:vAlign w:val="bottom"/>
            <w:tcBorders>
              <w:bottom w:val="single" w:sz="8" w:color="DCE2EF"/>
            </w:tcBorders>
            <w:shd w:val="clear" w:color="auto" w:fill="DCE2EF"/>
          </w:tcPr>
          <w:p>
            <w:pPr>
              <w:spacing w:after="0"/>
              <w:rPr>
                <w:sz w:val="21"/>
                <w:szCs w:val="21"/>
                <w:color w:val="auto"/>
              </w:rPr>
            </w:pPr>
          </w:p>
        </w:tc>
        <w:tc>
          <w:tcPr>
            <w:tcW w:w="9580" w:type="dxa"/>
            <w:vAlign w:val="bottom"/>
            <w:tcBorders>
              <w:bottom w:val="single" w:sz="8" w:color="0000FF"/>
            </w:tcBorders>
            <w:gridSpan w:val="3"/>
            <w:shd w:val="clear" w:color="auto" w:fill="DCE2EF"/>
          </w:tcPr>
          <w:p>
            <w:pPr>
              <w:spacing w:after="0" w:line="202" w:lineRule="exact"/>
              <w:rPr>
                <w:rFonts w:ascii="Arial" w:cs="Arial" w:eastAsia="Arial" w:hAnsi="Arial"/>
                <w:sz w:val="18"/>
                <w:szCs w:val="18"/>
                <w:color w:val="0000FF"/>
                <w:w w:val="99"/>
              </w:rPr>
            </w:pPr>
            <w:hyperlink w:anchor="page58">
              <w:r>
                <w:rPr>
                  <w:rFonts w:ascii="Arial" w:cs="Arial" w:eastAsia="Arial" w:hAnsi="Arial"/>
                  <w:sz w:val="18"/>
                  <w:szCs w:val="18"/>
                  <w:color w:val="0000FF"/>
                  <w:w w:val="99"/>
                </w:rPr>
                <w:t>Certification pursuant to 18 U.S.C. Section 1350, as adopted pursuant to Section 906 of the Sarbanes-Oxley Act of 2002</w:t>
              </w:r>
            </w:hyperlink>
          </w:p>
        </w:tc>
        <w:tc>
          <w:tcPr>
            <w:tcW w:w="300" w:type="dxa"/>
            <w:vAlign w:val="bottom"/>
            <w:tcBorders>
              <w:bottom w:val="single" w:sz="8" w:color="DCE2EF"/>
            </w:tcBorders>
            <w:shd w:val="clear" w:color="auto" w:fill="DCE2EF"/>
          </w:tcPr>
          <w:p>
            <w:pPr>
              <w:spacing w:after="0"/>
              <w:rPr>
                <w:sz w:val="21"/>
                <w:szCs w:val="21"/>
                <w:color w:val="auto"/>
              </w:rPr>
            </w:pPr>
          </w:p>
        </w:tc>
      </w:tr>
      <w:tr>
        <w:trPr>
          <w:trHeight w:val="229"/>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Inline XBRL Instance Document (the instance document does not appear in the Interactive Data File because its XBRL tags</w:t>
            </w:r>
          </w:p>
        </w:tc>
      </w:tr>
      <w:tr>
        <w:trPr>
          <w:trHeight w:val="224"/>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are embedded within the Inline XBRL document)</w:t>
            </w:r>
          </w:p>
        </w:tc>
      </w:tr>
      <w:tr>
        <w:trPr>
          <w:trHeight w:val="257"/>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101.SCH†</w:t>
            </w:r>
          </w:p>
        </w:tc>
        <w:tc>
          <w:tcPr>
            <w:tcW w:w="9900" w:type="dxa"/>
            <w:vAlign w:val="bottom"/>
            <w:tcBorders>
              <w:bottom w:val="single" w:sz="8" w:color="DCE2EF"/>
            </w:tcBorders>
            <w:gridSpan w:val="5"/>
            <w:shd w:val="clear" w:color="auto" w:fill="DCE2EF"/>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Inline XBRL Taxonomy Calculation Linkbase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101.DEF†</w:t>
            </w:r>
          </w:p>
        </w:tc>
        <w:tc>
          <w:tcPr>
            <w:tcW w:w="9900" w:type="dxa"/>
            <w:vAlign w:val="bottom"/>
            <w:tcBorders>
              <w:bottom w:val="single" w:sz="8" w:color="DCE2EF"/>
            </w:tcBorders>
            <w:gridSpan w:val="5"/>
            <w:shd w:val="clear" w:color="auto" w:fill="DCE2EF"/>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Inline XBRL Taxonomy Label Linkbase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101.PRE†</w:t>
            </w:r>
          </w:p>
        </w:tc>
        <w:tc>
          <w:tcPr>
            <w:tcW w:w="9900" w:type="dxa"/>
            <w:vAlign w:val="bottom"/>
            <w:tcBorders>
              <w:bottom w:val="single" w:sz="8" w:color="DCE2EF"/>
            </w:tcBorders>
            <w:gridSpan w:val="5"/>
            <w:shd w:val="clear" w:color="auto" w:fill="DCE2EF"/>
          </w:tcPr>
          <w:p>
            <w:pPr>
              <w:ind w:left="20"/>
              <w:spacing w:after="0"/>
              <w:rPr>
                <w:sz w:val="20"/>
                <w:szCs w:val="20"/>
                <w:color w:val="auto"/>
              </w:rPr>
            </w:pPr>
            <w:r>
              <w:rPr>
                <w:rFonts w:ascii="Arial" w:cs="Arial" w:eastAsia="Arial" w:hAnsi="Arial"/>
                <w:sz w:val="18"/>
                <w:szCs w:val="18"/>
                <w:color w:val="auto"/>
              </w:rPr>
              <w:t>Inline XBRL Presentation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8" w:lineRule="exact"/>
        <w:rPr>
          <w:sz w:val="20"/>
          <w:szCs w:val="20"/>
          <w:color w:val="auto"/>
        </w:rPr>
      </w:pPr>
    </w:p>
    <w:p>
      <w:pPr>
        <w:ind w:left="740" w:hanging="69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71" w:lineRule="exact"/>
        <w:rPr>
          <w:sz w:val="20"/>
          <w:szCs w:val="20"/>
          <w:color w:val="auto"/>
        </w:rPr>
      </w:pPr>
    </w:p>
    <w:p>
      <w:pPr>
        <w:ind w:left="740" w:hanging="69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22"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520"/>
        <w:spacing w:after="0"/>
        <w:tabs>
          <w:tab w:leader="none" w:pos="6520" w:val="left"/>
        </w:tabs>
        <w:rPr>
          <w:sz w:val="20"/>
          <w:szCs w:val="20"/>
          <w:color w:val="auto"/>
        </w:rPr>
      </w:pPr>
      <w:r>
        <w:rPr>
          <w:rFonts w:ascii="Arial" w:cs="Arial" w:eastAsia="Arial" w:hAnsi="Arial"/>
          <w:sz w:val="18"/>
          <w:szCs w:val="18"/>
          <w:u w:val="single" w:color="auto"/>
          <w:color w:val="auto"/>
        </w:rPr>
        <w:t>September 6, 2019</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Executive Vice President and</w:t>
      </w:r>
    </w:p>
    <w:p>
      <w:pPr>
        <w:ind w:left="654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520"/>
        <w:spacing w:after="0"/>
        <w:tabs>
          <w:tab w:leader="none" w:pos="6520" w:val="left"/>
        </w:tabs>
        <w:rPr>
          <w:sz w:val="20"/>
          <w:szCs w:val="20"/>
          <w:color w:val="auto"/>
        </w:rPr>
      </w:pPr>
      <w:r>
        <w:rPr>
          <w:rFonts w:ascii="Arial" w:cs="Arial" w:eastAsia="Arial" w:hAnsi="Arial"/>
          <w:sz w:val="18"/>
          <w:szCs w:val="18"/>
          <w:u w:val="single" w:color="auto"/>
          <w:color w:val="auto"/>
        </w:rPr>
        <w:t>September 6, 2019</w:t>
      </w:r>
      <w:r>
        <w:rPr>
          <w:sz w:val="20"/>
          <w:szCs w:val="20"/>
          <w:color w:val="auto"/>
        </w:rPr>
        <w:tab/>
      </w:r>
      <w:r>
        <w:rPr>
          <w:rFonts w:ascii="Arial" w:cs="Arial" w:eastAsia="Arial" w:hAnsi="Arial"/>
          <w:sz w:val="18"/>
          <w:szCs w:val="18"/>
          <w:u w:val="single" w:color="auto"/>
          <w:color w:val="auto"/>
        </w:rPr>
        <w:t>/s/ Dean A. Chin</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ind w:left="6540"/>
        <w:spacing w:after="0" w:line="234" w:lineRule="auto"/>
        <w:rPr>
          <w:sz w:val="20"/>
          <w:szCs w:val="20"/>
          <w:color w:val="auto"/>
        </w:rPr>
      </w:pPr>
      <w:r>
        <w:rPr>
          <w:rFonts w:ascii="Arial" w:cs="Arial" w:eastAsia="Arial" w:hAnsi="Arial"/>
          <w:sz w:val="18"/>
          <w:szCs w:val="18"/>
          <w:color w:val="auto"/>
        </w:rPr>
        <w:t>Senior Vice President, Chief Accounting Officer,</w:t>
      </w:r>
    </w:p>
    <w:p>
      <w:pPr>
        <w:ind w:left="6540"/>
        <w:spacing w:after="0" w:line="235" w:lineRule="auto"/>
        <w:rPr>
          <w:sz w:val="20"/>
          <w:szCs w:val="20"/>
          <w:color w:val="auto"/>
        </w:rPr>
      </w:pPr>
      <w:r>
        <w:rPr>
          <w:rFonts w:ascii="Arial" w:cs="Arial" w:eastAsia="Arial" w:hAnsi="Arial"/>
          <w:sz w:val="18"/>
          <w:szCs w:val="18"/>
          <w:color w:val="auto"/>
        </w:rPr>
        <w:t>and Corporate Controller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22"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1040"/>
        <w:spacing w:after="0"/>
        <w:tabs>
          <w:tab w:leader="none" w:pos="6800" w:val="left"/>
        </w:tabs>
        <w:rPr>
          <w:sz w:val="20"/>
          <w:szCs w:val="20"/>
          <w:color w:val="auto"/>
        </w:rPr>
      </w:pPr>
      <w:r>
        <w:rPr>
          <w:rFonts w:ascii="Arial" w:cs="Arial" w:eastAsia="Arial" w:hAnsi="Arial"/>
          <w:sz w:val="18"/>
          <w:szCs w:val="18"/>
          <w:color w:val="auto"/>
        </w:rPr>
        <w:t>September 6, 2019</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Scott Salmirs</w:t>
      </w:r>
    </w:p>
    <w:p>
      <w:pPr>
        <w:ind w:left="68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6, 2019</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July 31, 2019,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52"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6, 2019</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6, 2019</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606"/>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2019-12-28T06:18:24Z</dcterms:created>
  <dcterms:modified xsi:type="dcterms:W3CDTF">2019-12-28T06:18:24Z</dcterms:modified>
</cp:coreProperties>
</file>