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9" w:lineRule="exact"/>
        <w:rPr>
          <w:sz w:val="24"/>
          <w:szCs w:val="24"/>
          <w:color w:val="auto"/>
        </w:rPr>
      </w:pPr>
    </w:p>
    <w:p>
      <w:pPr>
        <w:ind w:left="72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2017</w:t>
      </w:r>
    </w:p>
    <w:p>
      <w:pPr>
        <w:spacing w:after="0" w:line="12"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2" w:lineRule="exact"/>
        <w:rPr>
          <w:sz w:val="24"/>
          <w:szCs w:val="24"/>
          <w:color w:val="auto"/>
        </w:rPr>
      </w:pPr>
    </w:p>
    <w:p>
      <w:pPr>
        <w:ind w:left="720" w:hanging="685"/>
        <w:spacing w:after="0" w:line="27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-3810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09" w:lineRule="exact"/>
        <w:rPr>
          <w:sz w:val="24"/>
          <w:szCs w:val="24"/>
          <w:color w:val="auto"/>
        </w:rPr>
      </w:pPr>
    </w:p>
    <w:tbl>
      <w:tblPr>
        <w:tblLayout w:type="fixed"/>
        <w:tblInd w:w="440" w:type="dxa"/>
        <w:tblCellMar>
          <w:top w:w="0" w:type="dxa"/>
          <w:left w:w="0" w:type="dxa"/>
          <w:bottom w:w="0" w:type="dxa"/>
          <w:right w:w="0" w:type="dxa"/>
        </w:tblCellMar>
      </w:tblPr>
      <w:tr>
        <w:trPr>
          <w:trHeight w:val="253"/>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57"/>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43"/>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295"/>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53"/>
        </w:trPr>
        <w:tc>
          <w:tcPr>
            <w:tcW w:w="2760" w:type="dxa"/>
            <w:vAlign w:val="bottom"/>
          </w:tcPr>
          <w:p>
            <w:pPr>
              <w:spacing w:after="0"/>
              <w:rPr>
                <w:sz w:val="21"/>
                <w:szCs w:val="21"/>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16"/>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2"/>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03"/>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-2128520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64" w:right="279" w:bottom="1440" w:gutter="0" w:footer="0" w:header="0"/>
        </w:sectPr>
      </w:pPr>
    </w:p>
    <w:bookmarkStart w:id="1" w:name="page2"/>
    <w:bookmarkEnd w:id="1"/>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19"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right="1200"/>
        <w:spacing w:after="0" w:line="32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June 1, 2017: 55,769,642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4">
              <w:r>
                <w:rPr>
                  <w:rFonts w:ascii="Arial" w:cs="Arial" w:eastAsia="Arial" w:hAnsi="Arial"/>
                  <w:sz w:val="15"/>
                  <w:szCs w:val="15"/>
                  <w:color w:val="0000EE"/>
                  <w:w w:val="95"/>
                </w:rPr>
                <w:t>20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6">
              <w:r>
                <w:rPr>
                  <w:rFonts w:ascii="Arial" w:cs="Arial" w:eastAsia="Arial" w:hAnsi="Arial"/>
                  <w:sz w:val="15"/>
                  <w:szCs w:val="15"/>
                  <w:color w:val="0000EE"/>
                  <w:w w:val="95"/>
                </w:rPr>
                <w:t>42</w:t>
              </w:r>
            </w:hyperlink>
          </w:p>
        </w:tc>
      </w:tr>
    </w:tbl>
    <w:p>
      <w:pPr>
        <w:sectPr>
          <w:pgSz w:w="11900" w:h="16838" w:orient="portrait"/>
          <w:cols w:equalWidth="0" w:num="1">
            <w:col w:w="11360"/>
          </w:cols>
          <w:pgMar w:left="280" w:top="49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w:t>
      </w:r>
    </w:p>
    <w:p>
      <w:pPr>
        <w:spacing w:after="0" w:line="13" w:lineRule="exact"/>
        <w:rPr>
          <w:sz w:val="20"/>
          <w:szCs w:val="20"/>
          <w:color w:val="auto"/>
        </w:rPr>
      </w:pPr>
    </w:p>
    <w:p>
      <w:pPr>
        <w:ind w:left="660" w:hanging="328"/>
        <w:spacing w:after="0" w:line="28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estimates of ultimate insurance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implementing our risk management and safety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future cash flows;</w:t>
      </w:r>
    </w:p>
    <w:p>
      <w:pPr>
        <w:spacing w:after="0" w:line="6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preserving long-term client relationships, passing through costs to clients, responding to competitive pressures, and retaining qualified personnel;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identifying, acquiring, and integrating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tax liabilities or changes in tax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or energy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general economic conditions and reductions in commercial office building occupancy;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joint venture partners to perform their obligations;</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other incidents at facilities in which we operate;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responding to cyber-security incidents and business interruptions;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associated with participation in multiemployer pension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activist investors;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in areas of military conflict;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catastrophic events, and terrorist attacks.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260" w:type="dxa"/>
            <w:vAlign w:val="bottom"/>
          </w:tcPr>
          <w:p>
            <w:pPr>
              <w:spacing w:after="0"/>
              <w:rPr>
                <w:sz w:val="13"/>
                <w:szCs w:val="13"/>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April 30, 2017</w:t>
            </w:r>
          </w:p>
        </w:tc>
        <w:tc>
          <w:tcPr>
            <w:tcW w:w="240" w:type="dxa"/>
            <w:vAlign w:val="bottom"/>
          </w:tcPr>
          <w:p>
            <w:pPr>
              <w:spacing w:after="0"/>
              <w:rPr>
                <w:sz w:val="13"/>
                <w:szCs w:val="13"/>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2016</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20" w:type="dxa"/>
            <w:vAlign w:val="bottom"/>
            <w:gridSpan w:val="2"/>
          </w:tcPr>
          <w:p>
            <w:pPr>
              <w:ind w:left="360"/>
              <w:spacing w:after="0" w:line="166" w:lineRule="exact"/>
              <w:rPr>
                <w:sz w:val="20"/>
                <w:szCs w:val="20"/>
                <w:color w:val="auto"/>
              </w:rPr>
            </w:pPr>
            <w:r>
              <w:rPr>
                <w:rFonts w:ascii="Arial" w:cs="Arial" w:eastAsia="Arial" w:hAnsi="Arial"/>
                <w:sz w:val="15"/>
                <w:szCs w:val="15"/>
                <w:color w:val="auto"/>
              </w:rPr>
              <w:t>Trade accounts receivable, net of allowances of $17.7</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851.8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803.7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480"/>
              <w:spacing w:after="0"/>
              <w:rPr>
                <w:sz w:val="20"/>
                <w:szCs w:val="20"/>
                <w:color w:val="auto"/>
              </w:rPr>
            </w:pPr>
            <w:r>
              <w:rPr>
                <w:rFonts w:ascii="Arial" w:cs="Arial" w:eastAsia="Arial" w:hAnsi="Arial"/>
                <w:sz w:val="15"/>
                <w:szCs w:val="15"/>
                <w:color w:val="auto"/>
              </w:rPr>
              <w:t>and $15.9 at April 30,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Prepaid expenses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Other current assets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Assets held for sale</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1,061.3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991.3</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investments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6"/>
        </w:trPr>
        <w:tc>
          <w:tcPr>
            <w:tcW w:w="754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Property, plant and equipment, net of accumulated depreciation of $177.9</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96.4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5"/>
                <w:szCs w:val="15"/>
                <w:color w:val="auto"/>
              </w:rPr>
              <w:t>and $163.4 at April 30,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Other intangible assets, net of accumulated amortization of $168.7</w:t>
            </w: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103.8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and $157.0 at April 30, 2017 and October 31, 2016, respectively</w:t>
            </w: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924.8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912.8</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 net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267"/>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114.3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2,394.2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2,278.8</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5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191.1</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Accrued compensation</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Insurance claims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Legal settlements from discontinued operations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Other accrued liabilities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138.4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135.9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Liabilities held for sale</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680"/>
              <w:spacing w:after="0"/>
              <w:rPr>
                <w:sz w:val="20"/>
                <w:szCs w:val="20"/>
                <w:color w:val="auto"/>
              </w:rPr>
            </w:pPr>
            <w:r>
              <w:rPr>
                <w:rFonts w:ascii="Arial" w:cs="Arial" w:eastAsia="Arial" w:hAnsi="Arial"/>
                <w:sz w:val="15"/>
                <w:szCs w:val="15"/>
                <w:color w:val="auto"/>
              </w:rPr>
              <w:t>Total current liabilities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740.1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596.8</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Noncurrent income taxes payable</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Line of credit</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277.9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 liability, net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Noncurrent insurance claims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346.4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331.6</w:t>
            </w:r>
          </w:p>
        </w:tc>
        <w:tc>
          <w:tcPr>
            <w:tcW w:w="0" w:type="dxa"/>
            <w:vAlign w:val="bottom"/>
          </w:tcPr>
          <w:p>
            <w:pPr>
              <w:spacing w:after="0"/>
              <w:rPr>
                <w:sz w:val="1"/>
                <w:szCs w:val="1"/>
                <w:color w:val="auto"/>
              </w:rPr>
            </w:pPr>
          </w:p>
        </w:tc>
      </w:tr>
      <w:tr>
        <w:trPr>
          <w:trHeight w:val="2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1,304.8</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54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20" w:type="dxa"/>
            <w:vAlign w:val="bottom"/>
            <w:gridSpan w:val="2"/>
          </w:tcPr>
          <w:p>
            <w:pPr>
              <w:ind w:left="360"/>
              <w:spacing w:after="0" w:line="166" w:lineRule="exact"/>
              <w:rPr>
                <w:sz w:val="20"/>
                <w:szCs w:val="20"/>
                <w:color w:val="auto"/>
              </w:rPr>
            </w:pPr>
            <w:r>
              <w:rPr>
                <w:rFonts w:ascii="Arial" w:cs="Arial" w:eastAsia="Arial" w:hAnsi="Arial"/>
                <w:sz w:val="15"/>
                <w:szCs w:val="15"/>
                <w:color w:val="auto"/>
              </w:rPr>
              <w:t>Common stock, $0.01 par value; 100,000,000 shares authorized;</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55,759,780 and 55,599,322 shares issued and outstanding at</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April 30,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248.6</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Retained earnings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756.4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937.6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974.0</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2,394.2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4" w:right="239" w:bottom="9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44" w:right="239" w:bottom="984" w:gutter="0" w:footer="0" w:header="0"/>
          <w:type w:val="continuous"/>
        </w:sectPr>
      </w:pPr>
    </w:p>
    <w:bookmarkStart w:id="5" w:name="page6"/>
    <w:bookmarkEnd w:id="5"/>
    <w:p>
      <w:pPr>
        <w:jc w:val="center"/>
        <w:ind w:right="20"/>
        <w:spacing w:after="0" w:line="480" w:lineRule="auto"/>
        <w:rPr>
          <w:sz w:val="20"/>
          <w:szCs w:val="20"/>
          <w:color w:val="auto"/>
        </w:rPr>
      </w:pPr>
      <w:r>
        <w:rPr>
          <w:rFonts w:ascii="Arial" w:cs="Arial" w:eastAsia="Arial" w:hAnsi="Arial"/>
          <w:sz w:val="18"/>
          <w:szCs w:val="18"/>
          <w:b w:val="1"/>
          <w:bCs w:val="1"/>
          <w:color w:val="auto"/>
        </w:rPr>
        <w:t>ABM INDUSTRIES INCORPORATED AND SUBSIDIARIES CONSOLIDATED STATEMENTS OF COMPREHENSIVE INCOME (LOSS)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9"/>
                <w:szCs w:val="19"/>
                <w:color w:val="auto"/>
              </w:rPr>
            </w:pPr>
          </w:p>
        </w:tc>
        <w:tc>
          <w:tcPr>
            <w:tcW w:w="258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April 30,</w:t>
            </w:r>
          </w:p>
        </w:tc>
      </w:tr>
      <w:tr>
        <w:trPr>
          <w:trHeight w:val="223"/>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2,637.2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2,525.5</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1,164.6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2,359.7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2,268.9</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202.2</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Restructuring and related expenses</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16.0</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Impairment recovery</w:t>
            </w:r>
          </w:p>
        </w:tc>
        <w:tc>
          <w:tcPr>
            <w:tcW w:w="28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52"/>
        </w:trPr>
        <w:tc>
          <w:tcPr>
            <w:tcW w:w="5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74.8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25.4</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3.3</w:t>
            </w:r>
          </w:p>
        </w:tc>
      </w:tr>
      <w:tr>
        <w:trPr>
          <w:trHeight w:val="27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21"/>
                <w:szCs w:val="21"/>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23.6</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4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1"/>
                <w:szCs w:val="21"/>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20.4</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18.4</w:t>
            </w:r>
          </w:p>
        </w:tc>
      </w:tr>
      <w:tr>
        <w:trPr>
          <w:trHeight w:val="264"/>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r>
      <w:tr>
        <w:trPr>
          <w:trHeight w:val="279"/>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r>
      <w:tr>
        <w:trPr>
          <w:trHeight w:val="251"/>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common share — Basic</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3"/>
                <w:szCs w:val="23"/>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0.36</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76"/>
        </w:trPr>
        <w:tc>
          <w:tcPr>
            <w:tcW w:w="2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0.32</w:t>
            </w:r>
          </w:p>
        </w:tc>
      </w:tr>
      <w:tr>
        <w:trPr>
          <w:trHeight w:val="25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common share — 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3"/>
                <w:szCs w:val="23"/>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0.36</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76"/>
        </w:trPr>
        <w:tc>
          <w:tcPr>
            <w:tcW w:w="2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0.32</w:t>
            </w:r>
          </w:p>
        </w:tc>
      </w:tr>
      <w:tr>
        <w:trPr>
          <w:trHeight w:val="140"/>
        </w:trPr>
        <w:tc>
          <w:tcPr>
            <w:tcW w:w="536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Weighted-average common and common</w:t>
            </w: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equivalent shares outstanding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56.5</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57.0</w:t>
            </w:r>
          </w:p>
        </w:tc>
      </w:tr>
      <w:tr>
        <w:trPr>
          <w:trHeight w:val="274"/>
        </w:trPr>
        <w:tc>
          <w:tcPr>
            <w:tcW w:w="536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0.170</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0.165</w:t>
            </w:r>
          </w:p>
        </w:tc>
        <w:tc>
          <w:tcPr>
            <w:tcW w:w="100" w:type="dxa"/>
            <w:vAlign w:val="bottom"/>
          </w:tcPr>
          <w:p>
            <w:pPr>
              <w:spacing w:after="0"/>
              <w:rPr>
                <w:sz w:val="23"/>
                <w:szCs w:val="23"/>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0.340</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0.330</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45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4"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27305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70"/>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18.4</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from discontinued operations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20.4</w:t>
            </w:r>
          </w:p>
        </w:tc>
      </w:tr>
      <w:tr>
        <w:trPr>
          <w:trHeight w:val="49"/>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174"/>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29.2</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Impairment recovery</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Provision for bad debt</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Discount accretion on insurance claims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Gain on sale of assets</w:t>
            </w:r>
          </w:p>
        </w:tc>
        <w:tc>
          <w:tcPr>
            <w:tcW w:w="4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unconsolidated affiliates, net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Distributions from unconsolidated affiliates</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Trade accounts receivable</w:t>
            </w:r>
          </w:p>
        </w:tc>
        <w:tc>
          <w:tcPr>
            <w:tcW w:w="4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12.4</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Trade accounts payable and other accrued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Insurance claims</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62"/>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62"/>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Other noncurrent liabilities</w:t>
            </w:r>
          </w:p>
        </w:tc>
        <w:tc>
          <w:tcPr>
            <w:tcW w:w="4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62"/>
        </w:trPr>
        <w:tc>
          <w:tcPr>
            <w:tcW w:w="2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7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58.6</w:t>
            </w:r>
          </w:p>
        </w:tc>
      </w:tr>
      <w:tr>
        <w:trPr>
          <w:trHeight w:val="246"/>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253"/>
        </w:trPr>
        <w:tc>
          <w:tcPr>
            <w:tcW w:w="20" w:type="dxa"/>
            <w:vAlign w:val="bottom"/>
            <w:tcBorders>
              <w:bottom w:val="single" w:sz="8" w:color="CCEEFF"/>
            </w:tcBorders>
          </w:tcPr>
          <w:p>
            <w:pPr>
              <w:spacing w:after="0"/>
              <w:rPr>
                <w:sz w:val="22"/>
                <w:szCs w:val="22"/>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56.5</w:t>
            </w:r>
          </w:p>
        </w:tc>
      </w:tr>
      <w:tr>
        <w:trPr>
          <w:trHeight w:val="195"/>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70"/>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pacing w:after="0" w:line="14" w:lineRule="exact"/>
        <w:rPr>
          <w:sz w:val="20"/>
          <w:szCs w:val="20"/>
          <w:color w:val="auto"/>
        </w:rPr>
      </w:pPr>
    </w:p>
    <w:p>
      <w:pPr>
        <w:sectPr>
          <w:pgSz w:w="11900" w:h="16838" w:orient="portrait"/>
          <w:cols w:equalWidth="0" w:num="1">
            <w:col w:w="11380"/>
          </w:cols>
          <w:pgMar w:left="260" w:top="525" w:right="259" w:bottom="0" w:gutter="0" w:footer="0" w:header="0"/>
        </w:sectPr>
      </w:pPr>
    </w:p>
    <w:p>
      <w:pPr>
        <w:ind w:left="20"/>
        <w:spacing w:after="0"/>
        <w:rPr>
          <w:sz w:val="20"/>
          <w:szCs w:val="20"/>
          <w:color w:val="auto"/>
        </w:rPr>
      </w:pPr>
      <w:r>
        <w:rPr>
          <w:rFonts w:ascii="Arial" w:cs="Arial" w:eastAsia="Arial" w:hAnsi="Arial"/>
          <w:sz w:val="14"/>
          <w:szCs w:val="14"/>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redemption of auction rate security</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investing activities of discontinued operations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294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(27.8)</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(18.6)</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60325</wp:posOffset>
            </wp:positionV>
            <wp:extent cx="1097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(46.0)</w:t>
      </w:r>
    </w:p>
    <w:p>
      <w:pPr>
        <w:spacing w:after="0" w:line="96" w:lineRule="exact"/>
        <w:rPr>
          <w:sz w:val="20"/>
          <w:szCs w:val="20"/>
          <w:color w:val="auto"/>
        </w:rPr>
      </w:pPr>
    </w:p>
    <w:p>
      <w:pPr>
        <w:jc w:val="right"/>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60325</wp:posOffset>
            </wp:positionV>
            <wp:extent cx="1097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03"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(46.0)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(15.7)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0.4</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(81.0)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60325</wp:posOffset>
            </wp:positionV>
            <wp:extent cx="10718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(91.3)</w:t>
      </w:r>
    </w:p>
    <w:p>
      <w:pPr>
        <w:spacing w:after="0" w:line="10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60325</wp:posOffset>
            </wp:positionV>
            <wp:extent cx="10718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(94.4)</w:t>
      </w:r>
    </w:p>
    <w:p>
      <w:pPr>
        <w:spacing w:after="0" w:line="391" w:lineRule="exact"/>
        <w:rPr>
          <w:sz w:val="20"/>
          <w:szCs w:val="20"/>
          <w:color w:val="auto"/>
        </w:rPr>
      </w:pPr>
    </w:p>
    <w:p>
      <w:pPr>
        <w:sectPr>
          <w:pgSz w:w="11900" w:h="16838" w:orient="portrait"/>
          <w:cols w:equalWidth="0" w:num="3">
            <w:col w:w="8420" w:space="720"/>
            <w:col w:w="1100" w:space="720"/>
            <w:col w:w="420"/>
          </w:cols>
          <w:pgMar w:left="260" w:top="525" w:right="259" w:bottom="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66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Incremental tax benefit from share-based compensation awards</w:t>
            </w:r>
          </w:p>
        </w:tc>
        <w:tc>
          <w:tcPr>
            <w:tcW w:w="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66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4"/>
                <w:szCs w:val="14"/>
                <w:color w:val="auto"/>
              </w:rPr>
              <w:t>Deferred financing costs paid</w:t>
            </w:r>
          </w:p>
        </w:tc>
        <w:tc>
          <w:tcPr>
            <w:tcW w:w="6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from line of credit</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536.6</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4"/>
                <w:szCs w:val="14"/>
                <w:color w:val="auto"/>
              </w:rPr>
              <w:t>Repayment of borrowings from line of credit</w:t>
            </w:r>
          </w:p>
        </w:tc>
        <w:tc>
          <w:tcPr>
            <w:tcW w:w="6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of energy savings performance contracts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4"/>
                <w:szCs w:val="14"/>
                <w:color w:val="auto"/>
              </w:rPr>
              <w:t>Changes in book cash overdrafts</w:t>
            </w:r>
          </w:p>
        </w:tc>
        <w:tc>
          <w:tcPr>
            <w:tcW w:w="66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contingent consideration</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4"/>
                <w:szCs w:val="14"/>
                <w:color w:val="auto"/>
              </w:rPr>
              <w:t>Repayment of capital lease obligations</w:t>
            </w:r>
          </w:p>
        </w:tc>
        <w:tc>
          <w:tcPr>
            <w:tcW w:w="6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62"/>
        </w:trPr>
        <w:tc>
          <w:tcPr>
            <w:tcW w:w="786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6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6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66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56"/>
        </w:trPr>
        <w:tc>
          <w:tcPr>
            <w:tcW w:w="7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25" w:right="259" w:bottom="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380"/>
          </w:cols>
          <w:pgMar w:left="260" w:top="525" w:right="25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integrated facility solutions, customized by industry, that enable our clients to deliver exceptional facilities experiences.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83820</wp:posOffset>
            </wp:positionV>
            <wp:extent cx="5814695" cy="857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Through these groups, we offer a full complement of solutions, including janitorial, facilities engineering, and parking, on a stand-alone basis or in combination with each other or with specialized mechanical and electrical technical solutions.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fiscal year ended October 31, 2016. Unless otherwise noted, all references to years are to our fiscal year, which ends on October 31.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 Reclassifications</w:t>
      </w:r>
    </w:p>
    <w:p>
      <w:pPr>
        <w:spacing w:after="0" w:line="1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revised our prior period segment information to reflect this reorganization, including a related reclassification of certain Corporate expenses. See Note 15, “Segment Information,” for further information. Concurrent with the reorganization, we recategorized certain expenses that were historically included in operating expenses to selling, general and administrative expenses. To conform to the new categorization, we reclassified operating expenses of $4.9 million and $9.8 million for the three- and six-month periods ended April 30, 2016, respectively, to selling, general and administrative expenses.</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discussed in Note 4, “Held for Sale,” we reclassified certain prior year amounts in the accompanying unaudited consolidated balance sheets from held-for-sale to held-and-used. In addition, certain amounts in the statements of cash flows have been reclassified to conform with the current year presentation.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the fourth quarter of 2016, we made the decision to divest our Government Services business. The assets and liabilities of this business have been classified as held for sale at April 30, 2017 and October 31, 2016. Subsequent to the second quarter, we completed the sale of this business. See Note 4, “Held for Sale,” for further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1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Management Reimbursement Revenue by Segment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for costs reimbursed from our managed locations: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0"/>
                <w:szCs w:val="20"/>
                <w:color w:val="auto"/>
              </w:rPr>
            </w:pPr>
          </w:p>
        </w:tc>
        <w:tc>
          <w:tcPr>
            <w:tcW w:w="26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April 30,</w:t>
            </w:r>
          </w:p>
        </w:tc>
      </w:tr>
      <w:tr>
        <w:trPr>
          <w:trHeight w:val="227"/>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r>
      <w:tr>
        <w:trPr>
          <w:trHeight w:val="26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Aviation</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40.8</w:t>
            </w:r>
          </w:p>
        </w:tc>
      </w:tr>
      <w:tr>
        <w:trPr>
          <w:trHeight w:val="27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Emerging Industries Group</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r>
      <w:tr>
        <w:trPr>
          <w:trHeight w:val="25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162.6</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expect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activities to be complete by the end of 2017, with remaining costs primarily related to external support fees and office consolidations. As described in Note 15, “Segment Information,” we include restructuring and related costs within corporate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Related Liabilities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External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Employee</w:t>
            </w:r>
          </w:p>
        </w:tc>
        <w:tc>
          <w:tcPr>
            <w:tcW w:w="1140" w:type="dxa"/>
            <w:vAlign w:val="bottom"/>
            <w:gridSpan w:val="3"/>
          </w:tcPr>
          <w:p>
            <w:pPr>
              <w:ind w:left="40"/>
              <w:spacing w:after="0"/>
              <w:rPr>
                <w:sz w:val="20"/>
                <w:szCs w:val="20"/>
                <w:color w:val="auto"/>
              </w:rPr>
            </w:pPr>
            <w:r>
              <w:rPr>
                <w:rFonts w:ascii="Arial" w:cs="Arial" w:eastAsia="Arial" w:hAnsi="Arial"/>
                <w:sz w:val="15"/>
                <w:szCs w:val="15"/>
                <w:b w:val="1"/>
                <w:bCs w:val="1"/>
                <w:color w:val="auto"/>
              </w:rPr>
              <w:t>Other Project</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Lease Exit</w:t>
            </w:r>
          </w:p>
        </w:tc>
        <w:tc>
          <w:tcPr>
            <w:tcW w:w="260" w:type="dxa"/>
            <w:vAlign w:val="bottom"/>
          </w:tcPr>
          <w:p>
            <w:pPr>
              <w:spacing w:after="0"/>
              <w:rPr>
                <w:sz w:val="14"/>
                <w:szCs w:val="14"/>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Support Fees</w:t>
            </w:r>
          </w:p>
        </w:tc>
        <w:tc>
          <w:tcPr>
            <w:tcW w:w="1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5"/>
                <w:szCs w:val="15"/>
                <w:b w:val="1"/>
                <w:bCs w:val="1"/>
                <w:color w:val="auto"/>
              </w:rPr>
              <w:t>Severance</w:t>
            </w: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Fees</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October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36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3"/>
        </w:trPr>
        <w:tc>
          <w:tcPr>
            <w:tcW w:w="538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April 30,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520" w:right="239" w:bottom="1440" w:gutter="0" w:footer="0" w:header="0"/>
        </w:sectPr>
      </w:pPr>
    </w:p>
    <w:p>
      <w:pPr>
        <w:spacing w:after="0" w:line="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incurred cumulative million, employee severance costs of million.</w:t>
      </w:r>
    </w:p>
    <w:p>
      <w:pPr>
        <w:spacing w:after="0" w:line="20" w:lineRule="exact"/>
        <w:rPr>
          <w:sz w:val="20"/>
          <w:szCs w:val="20"/>
          <w:color w:val="auto"/>
        </w:rPr>
      </w:pPr>
      <w:r>
        <w:rPr>
          <w:sz w:val="20"/>
          <w:szCs w:val="20"/>
          <w:color w:val="auto"/>
        </w:rPr>
        <w:br w:type="column"/>
      </w:r>
    </w:p>
    <w:p>
      <w:pPr>
        <w:ind w:hanging="1"/>
        <w:spacing w:after="0" w:line="294" w:lineRule="auto"/>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color w:val="000000"/>
        </w:rPr>
        <w:t>restructuring and related charges of $52.5 million, including external support fees of $20.5</w:t>
      </w:r>
      <w:r>
        <w:rPr>
          <w:rFonts w:ascii="Arial" w:cs="Arial" w:eastAsia="Arial" w:hAnsi="Arial"/>
          <w:sz w:val="18"/>
          <w:szCs w:val="18"/>
          <w:b w:val="1"/>
          <w:bCs w:val="1"/>
          <w:color w:val="FF9900"/>
        </w:rPr>
        <w:t xml:space="preserve"> </w:t>
      </w:r>
      <w:r>
        <w:rPr>
          <w:rFonts w:ascii="Arial" w:cs="Arial" w:eastAsia="Arial" w:hAnsi="Arial"/>
          <w:sz w:val="18"/>
          <w:szCs w:val="18"/>
          <w:color w:val="000000"/>
        </w:rPr>
        <w:t>$14.3 million, other project fees of $8.4 million, and both asset impairment and lease exit costs of $4.7</w:t>
      </w:r>
    </w:p>
    <w:p>
      <w:pPr>
        <w:spacing w:after="0" w:line="396" w:lineRule="exact"/>
        <w:rPr>
          <w:sz w:val="20"/>
          <w:szCs w:val="20"/>
          <w:color w:val="auto"/>
        </w:rPr>
      </w:pPr>
    </w:p>
    <w:p>
      <w:pPr>
        <w:sectPr>
          <w:pgSz w:w="11900" w:h="16838" w:orient="portrait"/>
          <w:cols w:equalWidth="0" w:num="2">
            <w:col w:w="3000" w:space="60"/>
            <w:col w:w="8360"/>
          </w:cols>
          <w:pgMar w:left="240" w:top="5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2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HELD FOR SALE</w:t>
      </w:r>
    </w:p>
    <w:p>
      <w:pPr>
        <w:spacing w:after="0" w:line="171" w:lineRule="exact"/>
        <w:rPr>
          <w:sz w:val="20"/>
          <w:szCs w:val="20"/>
          <w:color w:val="auto"/>
        </w:rPr>
      </w:pPr>
    </w:p>
    <w:p>
      <w:pPr>
        <w:jc w:val="both"/>
        <w:ind w:firstLine="236"/>
        <w:spacing w:after="0" w:line="256" w:lineRule="auto"/>
        <w:rPr>
          <w:sz w:val="20"/>
          <w:szCs w:val="20"/>
          <w:color w:val="auto"/>
        </w:rPr>
      </w:pPr>
      <w:r>
        <w:rPr>
          <w:rFonts w:ascii="Arial" w:cs="Arial" w:eastAsia="Arial" w:hAnsi="Arial"/>
          <w:sz w:val="18"/>
          <w:szCs w:val="18"/>
          <w:color w:val="auto"/>
        </w:rPr>
        <w:t xml:space="preserve">During the fourth quarter of 2016, in connection with the key priorities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made the decision to divest our Government Services business and accordingly classified the assets and liabilities of the business as held for sale. We engaged a third-party broker to assist in the divestiture process. In connection with the held-for-sale classification in 2016, we wrote down goodwill and long-lived assets of this business by $22.5 million to reflect our best estimate of fair value less costs to sell using all information available at that time. During the second quarter of 2017, we received an offer from a strategic buyer to purchase our Government Services business for approximately $35.0 million, which was higher than our previous estimate of fair value less costs to sell. As a result, in the second quarter of 2017 we recorded a $17.4 million impairment recovery to adjust the fair value of certain previously impaired assets to the valuation of the assets as implied by the agreed-upon sales price, less estimated costs to sell. Subsequent to the second quarter, on May 31, 2017, we completed the sale of this business for $35.5 million, subject to certain post-closing adjustments.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Classes of Assets and Liabilities Held for Sale at Estimated Fair Value</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2017</w:t>
            </w:r>
          </w:p>
        </w:tc>
        <w:tc>
          <w:tcPr>
            <w:tcW w:w="200" w:type="dxa"/>
            <w:vAlign w:val="bottom"/>
          </w:tcPr>
          <w:p>
            <w:pPr>
              <w:spacing w:after="0"/>
              <w:rPr>
                <w:sz w:val="18"/>
                <w:szCs w:val="18"/>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Trade accounts receivable,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65"/>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9"/>
        </w:trPr>
        <w:tc>
          <w:tcPr>
            <w:tcW w:w="71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36.1</w:t>
            </w:r>
          </w:p>
        </w:tc>
      </w:tr>
      <w:tr>
        <w:trPr>
          <w:trHeight w:val="325"/>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65"/>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9"/>
        </w:trPr>
        <w:tc>
          <w:tcPr>
            <w:tcW w:w="716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16.8</w:t>
            </w:r>
          </w:p>
        </w:tc>
      </w:tr>
    </w:tbl>
    <w:p>
      <w:pPr>
        <w:spacing w:after="0" w:line="14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As of October 31, 2016, we reclassified $8.1 million of trade accounts receivable, net and $2.6 million of trade accounts payable from held-for-sale to held-and-used based on the terms of the agreement to sell this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typically relate to legal cases and insurance reserves. For the six months ended April 30, 2017, we incurred a net loss from discontinued operations of $73.2 million (a pretax loss of $123.7 million). As described in Note 12, “Commitments and Contingencies,” this loss primarily relates to the probable settlements of the Augustus and Karapetyan cases. We recorded the liability for these probable settlements within “Legal settlements from discontinued operations” on the accompanying unaudited 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0" w:right="239" w:bottom="1440" w:gutter="0" w:footer="0" w:header="0"/>
        </w:sectPr>
      </w:pPr>
    </w:p>
    <w:bookmarkStart w:id="11" w:name="page12"/>
    <w:bookmarkEnd w:id="11"/>
    <w:p>
      <w:pPr>
        <w:jc w:val="both"/>
        <w:ind w:right="9880" w:firstLine="8"/>
        <w:spacing w:after="0" w:line="439"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2017 Acquisitions</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subject to post-closing adjustments. The purchase price includes up to $1.0 million of undiscounted contingent consideration that is based on the expected achievement of certain pre-established revenue goals. See Note 8, “Fair Value of Financial Instruments,” regarding our valuation of contingent consideration liabilities. As of December 1, 2016, the operations of MSI are included in our Technical Solutions segment.</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subject to post-closing adjustments. As of December 1, 2016, the operations of OFJ are included in our Aviation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September 30, 2016, we acquired all of the outstanding stock of BRBIBR Limited, a company which holds all of the outstanding shares of 8 Solutions Ltd. (“8 Solutions”), a provider of technical cleaning services to data centers in the United Kingdom and certain other locations, for a purchase price of $16.1 million. As of September 30, 2016, the operations of 8 Solutions are included in our Business &amp; Industry segment. 8 Solutions has been renamed ABM Critical Solutions Limited.</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solutions business to the United Kingdom, resulting in the allocation of a significant portion of the purchase price to goodwill. As such, we recorded goodwill and intangible assets of $53.8 million and $22.5 million, respectively. The goodwill associated with this acquisition is not deductible for tax purposes. As of December 1, 2015, the operations of Westway are included in our Technical Solutions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Other Supplemental Financial Information</w:t>
      </w:r>
    </w:p>
    <w:p>
      <w:pPr>
        <w:spacing w:after="0" w:line="173" w:lineRule="exact"/>
        <w:rPr>
          <w:sz w:val="20"/>
          <w:szCs w:val="20"/>
          <w:color w:val="auto"/>
        </w:rPr>
      </w:pPr>
    </w:p>
    <w:p>
      <w:pPr>
        <w:ind w:right="400" w:firstLine="648"/>
        <w:spacing w:after="0" w:line="29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 individually or on a combined basis.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NET INCOME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 Calculations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60" w:type="dxa"/>
            <w:vAlign w:val="bottom"/>
            <w:gridSpan w:val="8"/>
          </w:tcPr>
          <w:p>
            <w:pPr>
              <w:ind w:left="120"/>
              <w:spacing w:after="0"/>
              <w:rPr>
                <w:sz w:val="20"/>
                <w:szCs w:val="20"/>
                <w:color w:val="auto"/>
              </w:rPr>
            </w:pPr>
            <w:r>
              <w:rPr>
                <w:rFonts w:ascii="Arial" w:cs="Arial" w:eastAsia="Arial" w:hAnsi="Arial"/>
                <w:sz w:val="17"/>
                <w:szCs w:val="17"/>
                <w:b w:val="1"/>
                <w:bCs w:val="1"/>
                <w:color w:val="auto"/>
              </w:rPr>
              <w:t>Three Months Ended April 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6"/>
          </w:tcPr>
          <w:p>
            <w:pPr>
              <w:jc w:val="right"/>
              <w:ind w:right="235"/>
              <w:spacing w:after="0"/>
              <w:rPr>
                <w:sz w:val="20"/>
                <w:szCs w:val="20"/>
                <w:color w:val="auto"/>
              </w:rPr>
            </w:pPr>
            <w:r>
              <w:rPr>
                <w:rFonts w:ascii="Arial" w:cs="Arial" w:eastAsia="Arial" w:hAnsi="Arial"/>
                <w:sz w:val="17"/>
                <w:szCs w:val="17"/>
                <w:b w:val="1"/>
                <w:bCs w:val="1"/>
                <w:color w:val="auto"/>
              </w:rPr>
              <w:t>Six Months Ended April 30,</w:t>
            </w:r>
          </w:p>
        </w:tc>
        <w:tc>
          <w:tcPr>
            <w:tcW w:w="0" w:type="dxa"/>
            <w:vAlign w:val="bottom"/>
          </w:tcPr>
          <w:p>
            <w:pPr>
              <w:spacing w:after="0"/>
              <w:rPr>
                <w:sz w:val="1"/>
                <w:szCs w:val="1"/>
                <w:color w:val="auto"/>
              </w:rPr>
            </w:pPr>
          </w:p>
        </w:tc>
      </w:tr>
      <w:tr>
        <w:trPr>
          <w:trHeight w:val="225"/>
        </w:trPr>
        <w:tc>
          <w:tcPr>
            <w:tcW w:w="5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gridSpan w:val="4"/>
          </w:tcPr>
          <w:p>
            <w:pPr>
              <w:ind w:left="40"/>
              <w:spacing w:after="0"/>
              <w:rPr>
                <w:sz w:val="20"/>
                <w:szCs w:val="20"/>
                <w:color w:val="auto"/>
              </w:rPr>
            </w:pPr>
            <w:r>
              <w:rPr>
                <w:rFonts w:ascii="Arial" w:cs="Arial" w:eastAsia="Arial" w:hAnsi="Arial"/>
                <w:sz w:val="17"/>
                <w:szCs w:val="17"/>
                <w:color w:val="auto"/>
              </w:rPr>
              <w:t>Net loss from discontinued operations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(loss)</w:t>
            </w:r>
          </w:p>
        </w:tc>
        <w:tc>
          <w:tcPr>
            <w:tcW w:w="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360" w:type="dxa"/>
            <w:vAlign w:val="bottom"/>
            <w:gridSpan w:val="4"/>
            <w:shd w:val="clear" w:color="auto" w:fill="CCEEFF"/>
          </w:tcPr>
          <w:p>
            <w:pPr>
              <w:ind w:left="40"/>
              <w:spacing w:after="0" w:line="18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7"/>
                <w:szCs w:val="17"/>
                <w:color w:val="auto"/>
              </w:rPr>
              <w:t>Effect of dilutive securities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Restricted stock units</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Stock options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Performance shares</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66"/>
        </w:trPr>
        <w:tc>
          <w:tcPr>
            <w:tcW w:w="5360" w:type="dxa"/>
            <w:vAlign w:val="bottom"/>
            <w:gridSpan w:val="4"/>
          </w:tcPr>
          <w:p>
            <w:pPr>
              <w:ind w:left="40"/>
              <w:spacing w:after="0" w:line="16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56.5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56.9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56.6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tcPr>
          <w:p>
            <w:pPr>
              <w:spacing w:after="0"/>
              <w:rPr>
                <w:sz w:val="23"/>
                <w:szCs w:val="23"/>
                <w:color w:val="auto"/>
              </w:rPr>
            </w:pPr>
          </w:p>
        </w:tc>
        <w:tc>
          <w:tcPr>
            <w:tcW w:w="5320" w:type="dxa"/>
            <w:vAlign w:val="bottom"/>
            <w:tcBorders>
              <w:bottom w:val="single" w:sz="8" w:color="CCEEFF"/>
            </w:tcBorders>
            <w:gridSpan w:val="3"/>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income (loss) per common share — Basic</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0.12</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0.85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32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Loss from discontinued operations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shd w:val="clear" w:color="auto" w:fill="CCEEFF"/>
              </w:rPr>
              <w:t>Net income (loss)</w:t>
            </w:r>
          </w:p>
        </w:tc>
        <w:tc>
          <w:tcPr>
            <w:tcW w:w="3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0.08</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Net income (loss) per common share — Diluted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0.56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0.12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Loss from discontinued operations</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60" w:type="dxa"/>
            <w:vAlign w:val="bottom"/>
            <w:gridSpan w:val="14"/>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8"/>
          </w:tcPr>
          <w:p>
            <w:pPr>
              <w:ind w:left="160"/>
              <w:spacing w:after="0"/>
              <w:rPr>
                <w:sz w:val="20"/>
                <w:szCs w:val="20"/>
                <w:color w:val="auto"/>
              </w:rPr>
            </w:pPr>
            <w:r>
              <w:rPr>
                <w:rFonts w:ascii="Arial" w:cs="Arial" w:eastAsia="Arial" w:hAnsi="Arial"/>
                <w:sz w:val="17"/>
                <w:szCs w:val="17"/>
                <w:b w:val="1"/>
                <w:bCs w:val="1"/>
                <w:color w:val="auto"/>
              </w:rPr>
              <w:t>Three Months Ended April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195"/>
              <w:spacing w:after="0"/>
              <w:rPr>
                <w:sz w:val="20"/>
                <w:szCs w:val="20"/>
                <w:color w:val="auto"/>
              </w:rPr>
            </w:pPr>
            <w:r>
              <w:rPr>
                <w:rFonts w:ascii="Arial" w:cs="Arial" w:eastAsia="Arial" w:hAnsi="Arial"/>
                <w:sz w:val="17"/>
                <w:szCs w:val="17"/>
                <w:b w:val="1"/>
                <w:bCs w:val="1"/>
                <w:color w:val="auto"/>
              </w:rPr>
              <w:t>Six Months Ended April 30,</w:t>
            </w:r>
          </w:p>
        </w:tc>
        <w:tc>
          <w:tcPr>
            <w:tcW w:w="0" w:type="dxa"/>
            <w:vAlign w:val="bottom"/>
          </w:tcPr>
          <w:p>
            <w:pPr>
              <w:spacing w:after="0"/>
              <w:rPr>
                <w:sz w:val="1"/>
                <w:szCs w:val="1"/>
                <w:color w:val="auto"/>
              </w:rPr>
            </w:pPr>
          </w:p>
        </w:tc>
      </w:tr>
      <w:tr>
        <w:trPr>
          <w:trHeight w:val="225"/>
        </w:trPr>
        <w:tc>
          <w:tcPr>
            <w:tcW w:w="5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Anti-dilutive</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0" w:right="239" w:bottom="1440" w:gutter="0" w:footer="0" w:header="0"/>
        </w:sectPr>
      </w:pPr>
    </w:p>
    <w:bookmarkStart w:id="13" w:name="page14"/>
    <w:bookmarkEnd w:id="13"/>
    <w:p>
      <w:pPr>
        <w:ind w:right="7180" w:firstLine="8"/>
        <w:spacing w:after="0" w:line="465"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Fair Value Hierarchy of Our Financial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6"/>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2017</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r>
    </w:tbl>
    <w:p>
      <w:pPr>
        <w:spacing w:after="0" w:line="144" w:lineRule="exact"/>
        <w:rPr>
          <w:sz w:val="20"/>
          <w:szCs w:val="20"/>
          <w:color w:val="auto"/>
        </w:rPr>
      </w:pPr>
    </w:p>
    <w:p>
      <w:pPr>
        <w:jc w:val="both"/>
        <w:ind w:firstLine="8"/>
        <w:spacing w:after="0" w:line="475"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jc w:val="both"/>
        <w:ind w:firstLine="8"/>
        <w:spacing w:after="0" w:line="234"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For investments in auction rate securities, the fair value was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unaudited consolidated balance sheets. See Note 9, “Auction Rate Securities,” for further information.</w:t>
      </w:r>
    </w:p>
    <w:p>
      <w:pPr>
        <w:spacing w:after="0" w:line="133" w:lineRule="exact"/>
        <w:rPr>
          <w:rFonts w:ascii="Arial" w:cs="Arial" w:eastAsia="Arial" w:hAnsi="Arial"/>
          <w:sz w:val="22"/>
          <w:szCs w:val="22"/>
          <w:color w:val="auto"/>
          <w:vertAlign w:val="superscript"/>
        </w:rPr>
      </w:pPr>
    </w:p>
    <w:p>
      <w:pPr>
        <w:jc w:val="both"/>
        <w:ind w:firstLine="8"/>
        <w:spacing w:after="0" w:line="283"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These interest rate swaps are included in “Other noncurrent assets” on the accompanying unaudited consolidated balance sheets. See Note 11, “Line of Credit,” for further information.</w:t>
      </w:r>
    </w:p>
    <w:p>
      <w:pPr>
        <w:spacing w:after="0" w:line="81"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32" w:lineRule="exact"/>
        <w:rPr>
          <w:rFonts w:ascii="Arial" w:cs="Arial" w:eastAsia="Arial" w:hAnsi="Arial"/>
          <w:sz w:val="21"/>
          <w:szCs w:val="21"/>
          <w:color w:val="auto"/>
          <w:vertAlign w:val="superscript"/>
        </w:rPr>
      </w:pPr>
    </w:p>
    <w:p>
      <w:pPr>
        <w:jc w:val="both"/>
        <w:ind w:firstLine="8"/>
        <w:spacing w:after="0" w:line="260" w:lineRule="auto"/>
        <w:tabs>
          <w:tab w:leader="none" w:pos="17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Represents restricted insurance deposits that are used to collateralize our insurance obligations and are stated at nominal value, which equals fair value. These insurance deposits are included in “Other noncurrent assets” on the accompanying unaudited consolidated balance sheets. See Note 10, “Insurance,” for further information.</w:t>
      </w:r>
    </w:p>
    <w:p>
      <w:pPr>
        <w:spacing w:after="0" w:line="118" w:lineRule="exact"/>
        <w:rPr>
          <w:rFonts w:ascii="Arial" w:cs="Arial" w:eastAsia="Arial" w:hAnsi="Arial"/>
          <w:sz w:val="19"/>
          <w:szCs w:val="19"/>
          <w:color w:val="auto"/>
          <w:vertAlign w:val="superscript"/>
        </w:rPr>
      </w:pPr>
    </w:p>
    <w:p>
      <w:pPr>
        <w:jc w:val="both"/>
        <w:ind w:firstLine="8"/>
        <w:spacing w:after="0" w:line="283"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Certain of our acquisitions involve the payment of contingent consideration. The fair value of these liabilities is based on the expected achievement of certain pre-established revenue goals. At October 31, 2016, we had one contingent consideration liability included in “Other accrued liabilities” on the accompanying unaudited consolidated balance sheets. During the three months ended April 30, 2017, the income-related target for that acquisition was achieved, resulting in the payment of $3.8 million to the seller. In connection with the MSI acquisition, we recorded one new contingent consideration liability during 2017, which is included in “Other noncurrent liabilities” on the accompanying unaudited consolidated balance sheets.</w:t>
      </w:r>
    </w:p>
    <w:p>
      <w:pPr>
        <w:spacing w:after="0" w:line="104" w:lineRule="exact"/>
        <w:rPr>
          <w:rFonts w:ascii="Arial" w:cs="Arial" w:eastAsia="Arial" w:hAnsi="Arial"/>
          <w:sz w:val="18"/>
          <w:szCs w:val="18"/>
          <w:color w:val="auto"/>
          <w:vertAlign w:val="superscript"/>
        </w:rPr>
      </w:pPr>
    </w:p>
    <w:p>
      <w:pPr>
        <w:ind w:right="20" w:firstLine="8"/>
        <w:spacing w:after="0" w:line="299"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outstanding borrowings under our syndicated line of credit. Due to variable interest rates, the carrying value of outstanding borrowings under our line of credit approximates the fair value. See Note 11, “Line of Credit,” for further information.</w:t>
      </w:r>
    </w:p>
    <w:p>
      <w:pPr>
        <w:spacing w:after="0" w:line="77" w:lineRule="exact"/>
        <w:rPr>
          <w:sz w:val="20"/>
          <w:szCs w:val="20"/>
          <w:color w:val="auto"/>
        </w:rPr>
      </w:pPr>
    </w:p>
    <w:p>
      <w:pPr>
        <w:ind w:right="1000" w:firstLine="648"/>
        <w:spacing w:after="0" w:line="438" w:lineRule="auto"/>
        <w:rPr>
          <w:sz w:val="20"/>
          <w:szCs w:val="20"/>
          <w:color w:val="auto"/>
        </w:rPr>
      </w:pPr>
      <w:r>
        <w:rPr>
          <w:rFonts w:ascii="Arial" w:cs="Arial" w:eastAsia="Arial" w:hAnsi="Arial"/>
          <w:sz w:val="18"/>
          <w:szCs w:val="18"/>
          <w:color w:val="auto"/>
        </w:rPr>
        <w:t xml:space="preserve">During the six months ended April 30, 2017, we had no transfers of assets or liabilities between any of the hierarchy levels. </w:t>
      </w:r>
      <w:r>
        <w:rPr>
          <w:rFonts w:ascii="Arial" w:cs="Arial" w:eastAsia="Arial" w:hAnsi="Arial"/>
          <w:sz w:val="18"/>
          <w:szCs w:val="18"/>
          <w:b w:val="1"/>
          <w:bCs w:val="1"/>
          <w:i w:val="1"/>
          <w:iCs w:val="1"/>
          <w:color w:val="auto"/>
        </w:rPr>
        <w:t>Non-Financial Assets Measured at Fair Value on a Non-Recurring Basis</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measure certain assets at fair value on a non-recurring basis, which are subject to fair value adjustments in certain circumstances. These assets can include: goodwill; intangible assets; property, plant and equipment; and other long-lived assets that have been reduced to fair value when they are held for sale.</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discussed in Note 4, “Held for Sale,” during the three months ended April 30, 2017, we recorded a $17.4 million impairment recovery to adjust the fair value of certain previously impaired assets to the valuation of the assets as implied by the agreed-upon sales price, less estimated costs to sell. This represents a Level 3 input under the fair value hierarchy.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0" w:right="239" w:bottom="1440" w:gutter="0" w:footer="0" w:header="0"/>
        </w:sectPr>
      </w:pPr>
    </w:p>
    <w:bookmarkStart w:id="14" w:name="page15"/>
    <w:bookmarkEnd w:id="14"/>
    <w:p>
      <w:pPr>
        <w:jc w:val="both"/>
        <w:ind w:firstLine="648"/>
        <w:spacing w:after="0" w:line="258" w:lineRule="auto"/>
        <w:rPr>
          <w:sz w:val="20"/>
          <w:szCs w:val="20"/>
          <w:color w:val="auto"/>
        </w:rPr>
      </w:pPr>
      <w:r>
        <w:rPr>
          <w:rFonts w:ascii="Arial" w:cs="Arial" w:eastAsia="Arial" w:hAnsi="Arial"/>
          <w:sz w:val="18"/>
          <w:szCs w:val="18"/>
          <w:color w:val="auto"/>
        </w:rPr>
        <w:t>In addition, on November 1, 2016, we reorganized our reportable segments and goodwill reporting units. As such, we performed a goodwill impairment test immediately before and after the segment realignment.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estimated future cash flows, discount rates, and other factors. As a result of this analysis, we concluded that the estimated fair value of each reporting unit substantially exceeded its carrying value and that no further evaluation of impairment was necessary.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April 30, 2017 and October 31, 2016, we held investments in auction rate securities from two different issuers that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April 30, 2017 and October 31, 2016, there were no unrealized gains or losses on our auction rate securities included in accumulated other comprehensive loss, net of taxes (“AOCL”), and the total amount of other-than-temporary impairment credit loss on our auction rate security investments included in our retained earnings was $2.0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April 30, 2017</w:t>
            </w:r>
          </w:p>
        </w:tc>
        <w:tc>
          <w:tcPr>
            <w:tcW w:w="120" w:type="dxa"/>
            <w:vAlign w:val="bottom"/>
            <w:tcBorders>
              <w:bottom w:val="single" w:sz="8" w:color="CCEEFF"/>
            </w:tcBorders>
          </w:tcPr>
          <w:p>
            <w:pPr>
              <w:spacing w:after="0"/>
              <w:rPr>
                <w:sz w:val="22"/>
                <w:szCs w:val="22"/>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2016</w:t>
            </w:r>
          </w:p>
        </w:tc>
      </w:tr>
      <w:tr>
        <w:trPr>
          <w:trHeight w:val="251"/>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+ 0.38% and L + 1.00%</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+ 0.46% and L + 1.30%</w:t>
            </w:r>
          </w:p>
        </w:tc>
      </w:tr>
      <w:tr>
        <w:trPr>
          <w:trHeight w:val="265"/>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L – One Month LIBOR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INSURANCE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Review Performed During the First Quarter of 2017</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the three months ended January 31, 2017, we performed an actuarial review for the majority of our casualty insurance programs. This review considered all changes in claim developments and claim payment activity for the period commencing May 1, 2016 and ending October 31, 2016. We performed this review for all policy years in which open claims existed. This review indicated unfavorable developments in our estimates of ultimate losses related to certain general liability and workers’ compensation claims. During the three months ended April 30, 2017, we continued to see a similar trend in adverse developments related to prior year claims.</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are experiencing a moderately reduced frequency of claims in our general liability program. However, we experienced adverse developments in prior year claims, which are largely attributable to adjustments on certain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5" w:name="page16"/>
    <w:bookmarkEnd w:id="15"/>
    <w:p>
      <w:pPr>
        <w:jc w:val="both"/>
        <w:spacing w:after="0" w:line="292" w:lineRule="auto"/>
        <w:rPr>
          <w:sz w:val="20"/>
          <w:szCs w:val="20"/>
          <w:color w:val="auto"/>
        </w:rPr>
      </w:pPr>
      <w:r>
        <w:rPr>
          <w:rFonts w:ascii="Arial" w:cs="Arial" w:eastAsia="Arial" w:hAnsi="Arial"/>
          <w:sz w:val="18"/>
          <w:szCs w:val="18"/>
          <w:color w:val="auto"/>
        </w:rPr>
        <w:t>property damage claims and to losses for alleged bodily injuries. The average incurred cost for our less severe claims was also higher than expected, and this contributed to the increase in projected cost estimates.</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experiencing a reduced frequency of claims in our workers’ compensation program. However, our estimate of ultimate losses was negatively impacted by increases in projected costs for a significant number of prior year claims in California and New York. Statutory, regulatory, and legal developments have negatively impacted how these claims affect our Company.</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After analyzing the recent loss developments against benchmarks and applying actuarial projection methods to determine the estimate of ultimate losses, we increased our reserves for known claims as well as our estimate of the loss amounts associated with incurred but not reported claims for prior periods by $5.0 million at January 31, 2017. As we continue to see a similar trend in adverse developments, at April 30, 2017 we increased our reserves by an additional $5.0 million, resulting in a total increase to our reserves for claims related to prior periods of $10.0 million.</w:t>
      </w:r>
    </w:p>
    <w:p>
      <w:pPr>
        <w:spacing w:after="0" w:line="12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During the third quarter of 2017, comprehensive actuarial evaluations are expected to be completed for our significant insurance programs using recent claims data.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2017</w:t>
            </w:r>
          </w:p>
        </w:tc>
        <w:tc>
          <w:tcPr>
            <w:tcW w:w="20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6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26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5"/>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recoverables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April 30, 2017 and October 31, 2016, insurance recoverables are included in “Other current assets” and “Other noncurrent assets” on the accompanying unaudited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2017</w:t>
            </w:r>
          </w:p>
        </w:tc>
        <w:tc>
          <w:tcPr>
            <w:tcW w:w="20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6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26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5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We can borrow up to $800.0 million under our Credit Agreement, subject to compliance with certain covenants under the Credit Agreement, and we have the option to increase the size of the Facility to $1.0 billion at any time prior to the December 11, 2018 expiration date (subject to receipt of commitments for the increased amount from existing and new lenders and compliance with such covenants).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 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certain financial covenants that include a maximum leverage ratio of 3.25 to 1.0 (except as described below) and a minimum fixed charge coverage ratio of 1.50 to 1.0. In addition, we are required to maintain a consolidated net worth in an amount not less than the sum of (i) $ 570.0 million, (ii) 50% of our consolidated net income (with no deduction for net loss), and (iii) 100% of our aggregate increases in stockholders’ equity beginning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8"/>
          <w:szCs w:val="18"/>
          <w:color w:val="auto"/>
        </w:rPr>
        <w:t>on November 30, 2010. In the event of a material acquisition, as defined in the Credit Agreement, we may elect to increase the leverage ratio to 3.50 to 1.0 for a total of four fiscal quarters. On January 6, 2017, ABM entered into an amendment (the “Seventh Amendment”) to the Credit Agreement that amends, among other things, the calculations of certain financial covenants to incorporate adjustments with respect to particular cash and non-cash charges, including any reserves, taken in connection with certain litigation. As of April 30, 2017, we were in compliance with the covenants under our Credit Agreement.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1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The a</w:t>
      </w:r>
      <w:r>
        <w:rPr>
          <w:rFonts w:ascii="Arial" w:cs="Arial" w:eastAsia="Arial" w:hAnsi="Arial"/>
          <w:sz w:val="17"/>
          <w:szCs w:val="17"/>
          <w:color w:val="auto"/>
        </w:rPr>
        <w:t>vailability of our</w:t>
      </w:r>
      <w:r>
        <w:rPr>
          <w:rFonts w:ascii="Arial" w:cs="Arial" w:eastAsia="Arial" w:hAnsi="Arial"/>
          <w:sz w:val="18"/>
          <w:szCs w:val="18"/>
          <w:color w:val="auto"/>
        </w:rPr>
        <w:t xml:space="preserve"> </w:t>
      </w:r>
      <w:r>
        <w:rPr>
          <w:rFonts w:ascii="Arial" w:cs="Arial" w:eastAsia="Arial" w:hAnsi="Arial"/>
          <w:sz w:val="17"/>
          <w:szCs w:val="17"/>
          <w:color w:val="auto"/>
        </w:rPr>
        <w:t>borrowing capacity is subject to, and limited by, compliance with the covenants described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8"/>
                <w:szCs w:val="18"/>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2017</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6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65"/>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36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275"/>
        </w:trPr>
        <w:tc>
          <w:tcPr>
            <w:tcW w:w="6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Borrowing capacity</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r>
    </w:tbl>
    <w:p>
      <w:pPr>
        <w:spacing w:after="0" w:line="36" w:lineRule="exact"/>
        <w:rPr>
          <w:sz w:val="20"/>
          <w:szCs w:val="20"/>
          <w:color w:val="auto"/>
        </w:rPr>
      </w:pPr>
    </w:p>
    <w:p>
      <w:pPr>
        <w:ind w:right="20" w:firstLine="8"/>
        <w:spacing w:after="0" w:line="299"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At April 30, 2017, current covenant restrictions limit our borrowing capacity to $262.1 million. However, the leverage ratio could increase for up to four fiscal quarters if we complete a material acquisition, as defined in the Credit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Facility. Under these arrangements, we typically pay a fixed interest rate in exchange for LIBOR-based variable interest throughout the life of the agreement.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we entered into three interest rate swap agreements with effective dates of April 7, 2016 and May 11, 2016, an underlying aggregate notional amount of $105.0 million, and a fixed interest rate of 1.05%. These swaps were designated and accounted for as cash flow hedges from inception and mature on April 7, 2021 and May 11, 2021. See Note 8, “Fair Value of Financial Instruments,” regarding the valuation of our interest rate swaps.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initially report the effective portion of a derivative’s mark-to-market gain or loss as a component of AOCL and subsequently reclassify the gain or loss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April 30, 2017 and October 31, 2016, the amounts recorded in AOCL were $1.6 million and $0.2 million, respectively. At April 30, 2017, the amount expected to be reclassified from AOCL to earnings during the next twelve months was $0.7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7" w:name="page18"/>
    <w:bookmarkEnd w:id="17"/>
    <w:p>
      <w:pPr>
        <w:ind w:right="7760" w:firstLine="8"/>
        <w:spacing w:after="0" w:line="439"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Letters of Credit and Surety Bonds</w:t>
      </w:r>
    </w:p>
    <w:p>
      <w:pPr>
        <w:spacing w:after="0" w:line="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April 30, 2017, these letters of credit and surety bonds totaled $128.9 million and $546.6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April 30, 2017 and October 31, 2016, total guarantees were $ 88.5 million and $60.9 million, respectively, and these guarantees extend through 2032 and 2031,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 Audits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advanced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April 30, 2017, the total amount accrued for all probable litigation losses where a reasonable estimate of the loss could be made was $129.0 million. This $129.0 million includes the accrual of $115.0 million in connection with the probable settlements of the Augustus and Karapetyan cases discussed below, as well as an accrual for payroll taxes related to the probable settlements of $6.8 million. The remaining $7.2 million relates to various other probable litigation losses.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$16 million.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0" w:right="239" w:bottom="1440" w:gutter="0" w:footer="0" w:header="0"/>
        </w:sectPr>
      </w:pPr>
    </w:p>
    <w:bookmarkStart w:id="18" w:name="page19"/>
    <w:bookmarkEnd w:id="18"/>
    <w:p>
      <w:pPr>
        <w:jc w:val="both"/>
        <w:ind w:firstLine="648"/>
        <w:spacing w:after="0" w:line="29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77"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Augustus, Hall, and Davis, et al. v. American Commercial Security Services, filed July 12, 2005, in the Superior Court of California, Los Angeles County (the “Augustus case”)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common fund. Under California law, post-judgment interest on a judgment accrues at a rate of 10% simple interest per year from the date the judgment is entered until it is satisfied.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The plaintiffs filed a petition for review with the California Supreme Court on March 4, 2015, and on April 29, 2015, the California Supreme Court granted the plaintiffs’ petition. On December 22, 2016, the California Supreme Court rendered its decision, holding that on-call and on-duty rest breaks are prohibited by California law, and reversed the Appeals Court judgment on this issue. The amount of post-judgment interest as of December 22, 2016 was approximately $41.2 million.</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on a class-wide basis for $110.0 million (the “Augustus Settlement Agreement”). On March 17, 2017, the Augustus Settlement Agreement was amended to address certain procedural matters. The Augustus Settlement Agreement, as amended, is contingent upon the approval of the Superior Court. On April 6, 2017, the Superior Court granted preliminary approval of the class action settlement. Notice to the class members was sent on April 24, 2017 and they have until June 8, 2017 to file any objections to the settlement. The Superior Court scheduled a final approval hearing for June 30, 2017.</w:t>
      </w:r>
    </w:p>
    <w:p>
      <w:pPr>
        <w:spacing w:after="0" w:line="139"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Karapetyan v. ABM Industries Incorporated and ABM Security Services, Inc., et al. filed on October 23, 2015, pending in the United States District Court for the Central District of California (the “Karapetyan case”)</w:t>
      </w:r>
    </w:p>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is a putative class action in which the plaintiff seeks to represent a class of security guards who worked during time periods subsequent to the class period in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plaintiff alleges that ABM violated certain California state laws relating to meal and rest breaks and other wage and hour claims. On January 30, 2017, ABM entered into a Settlement Term Sheet with plaintiff to settle the case on a class-wide basis for $5.0 million. On April 17, 2017, ABM Industries Incorporated, ABM Security Services, Inc., ABM Onsite Services, Inc., and ABM Onsite Services – West, Inc.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(the “Karapetyan Settlement Agreement”) on a class-wide basis for $5.0 million. This settlement is contingent upon the final approval by the United States District Court for the Central District of California and the final approval by the Superior Court of the Augustus Settlement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9" w:name="page20"/>
    <w:bookmarkEnd w:id="19"/>
    <w:p>
      <w:pPr>
        <w:ind w:left="660" w:right="2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2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On January 18, 2017, the appeals court invited the parties to file supplemental letter briefs. ABM and plaintiffs each filed their respective supplemental letter briefs with the court on February 8, 2017. Oral argument relating to the appeal has not been scheduled.</w:t>
      </w:r>
    </w:p>
    <w:p>
      <w:pPr>
        <w:spacing w:after="0" w:line="179"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is a certified class action involving a class of certain hourly Air Serv employees at Seattle-Tacoma International Airport in SeaTac, Washington. The plaintiffs allege that Air Serv violated a minimum wage requirement in an ordinance applicable to certain employers in the local city of SeaTac (“the Ordinance”). Plaintiffs seek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There are disputes in federal court concerning the legality of the Ordinance, its applicability to employers at SeaTac airport, and whether the plaintiffs are entitled to retroactive wages, double damages, interest, and attorneys’ fees. On February 7, 2017, a new lawsuit styled </w:t>
      </w:r>
      <w:r>
        <w:rPr>
          <w:rFonts w:ascii="Arial" w:cs="Arial" w:eastAsia="Arial" w:hAnsi="Arial"/>
          <w:sz w:val="18"/>
          <w:szCs w:val="18"/>
          <w:i w:val="1"/>
          <w:iCs w:val="1"/>
          <w:color w:val="auto"/>
        </w:rPr>
        <w:t>Abdirizak Isse et al. v. Air Serv Corporation</w:t>
      </w:r>
      <w:r>
        <w:rPr>
          <w:rFonts w:ascii="Arial" w:cs="Arial" w:eastAsia="Arial" w:hAnsi="Arial"/>
          <w:sz w:val="18"/>
          <w:szCs w:val="18"/>
          <w:color w:val="auto"/>
        </w:rPr>
        <w:t xml:space="preserv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pending in the Superior Court of Washington for King County, was filed against Air Serv on behalf of sixty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 failure to comply with both the minimum wage provision and the sick and safe time provision of the Ordinance. The plaintiffs seek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has since been expanded to ninety-two individual plaintiffs. In the event of a judgment against us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or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we intend to seek reimbursement from our clients.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COMMON STOCK</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April 30, 2017, authorization for $134.1 million of repurchases remained under our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5"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29845</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60" w:type="dxa"/>
            <w:vAlign w:val="bottom"/>
          </w:tcPr>
          <w:p>
            <w:pPr>
              <w:spacing w:after="0"/>
              <w:rPr>
                <w:sz w:val="18"/>
                <w:szCs w:val="18"/>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29.82</w:t>
            </w:r>
          </w:p>
        </w:tc>
      </w:tr>
      <w:tr>
        <w:trPr>
          <w:trHeight w:val="275"/>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Our quarterly provision for income taxes is calculated using an estimated annual effective income tax rate, which is adjusted for discrete items that occur during the reporting period.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Six Months Ended April 30,</w:t>
            </w:r>
          </w:p>
        </w:tc>
      </w:tr>
      <w:tr>
        <w:trPr>
          <w:trHeight w:val="264"/>
        </w:trPr>
        <w:tc>
          <w:tcPr>
            <w:tcW w:w="5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254"/>
        </w:trPr>
        <w:tc>
          <w:tcPr>
            <w:tcW w:w="6220" w:type="dxa"/>
            <w:vAlign w:val="bottom"/>
            <w:gridSpan w:val="2"/>
            <w:shd w:val="clear" w:color="auto" w:fill="CCEEFF"/>
          </w:tcPr>
          <w:p>
            <w:pPr>
              <w:jc w:val="right"/>
              <w:ind w:right="2159"/>
              <w:spacing w:after="0"/>
              <w:rPr>
                <w:sz w:val="20"/>
                <w:szCs w:val="20"/>
                <w:color w:val="auto"/>
              </w:rPr>
            </w:pPr>
            <w:r>
              <w:rPr>
                <w:rFonts w:ascii="Arial" w:cs="Arial" w:eastAsia="Arial" w:hAnsi="Arial"/>
                <w:sz w:val="16"/>
                <w:szCs w:val="16"/>
                <w:color w:val="auto"/>
              </w:rPr>
              <w:t>Effective tax rate on income from continuing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tax rate for the six months ended April 30, 2017 was favorably impacted by $2.1 million of excess tax benefits related to the vesting of share-based compensation awards and the 2017 Work Opportunity Tax Credits (“WOTC”) for new hires. The effective tax rate for the six months ended April 30, 2016 was favorably impacted by $4.8 million of WOTC from the retroactive reinstatement of the WOTC for calendar year 2015 and the impact of the 2016 WOTC for new hires.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15. SEGMENT INFORMATION</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aggregated various operating segments into reportable segments based upon similar economic characteristics, services, processes, and customers. Our new reportable segments consist of Business &amp; Industry (“B&amp;I”), Aviation, Emerging Industries Group, Technical Solutions, and Government Services, as further described below.</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0" w:type="dxa"/>
            <w:vAlign w:val="bottom"/>
            <w:tcBorders>
              <w:top w:val="single" w:sz="8" w:color="auto"/>
              <w:left w:val="single" w:sz="8" w:color="auto"/>
              <w:bottom w:val="single" w:sz="8" w:color="auto"/>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CCEEFF"/>
          </w:tcPr>
          <w:p>
            <w:pPr>
              <w:spacing w:after="0"/>
              <w:rPr>
                <w:sz w:val="23"/>
                <w:szCs w:val="23"/>
                <w:color w:val="auto"/>
              </w:rPr>
            </w:pPr>
          </w:p>
        </w:tc>
        <w:tc>
          <w:tcPr>
            <w:tcW w:w="248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4560" w:type="dxa"/>
            <w:vAlign w:val="bottom"/>
            <w:tcBorders>
              <w:top w:val="single" w:sz="8" w:color="auto"/>
              <w:bottom w:val="single" w:sz="8" w:color="auto"/>
            </w:tcBorders>
            <w:gridSpan w:val="5"/>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REPORTABLE SEGMENTS AND DESCRIPTIONS</w:t>
            </w:r>
          </w:p>
        </w:tc>
        <w:tc>
          <w:tcPr>
            <w:tcW w:w="9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6"/>
              </w:rPr>
              <w:t>B&amp;I</w:t>
            </w: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sports and entertainment venues, and industrial</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manufacturing sites.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5" w:lineRule="exact"/>
              <w:rPr>
                <w:sz w:val="20"/>
                <w:szCs w:val="20"/>
                <w:color w:val="auto"/>
              </w:rPr>
            </w:pPr>
            <w:r>
              <w:rPr>
                <w:rFonts w:ascii="Arial" w:cs="Arial" w:eastAsia="Arial" w:hAnsi="Arial"/>
                <w:sz w:val="18"/>
                <w:szCs w:val="18"/>
                <w:color w:val="auto"/>
              </w:rPr>
              <w:t>Aviation includes services supporting airlines and airports. A wide array of services that support the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needs of our clients are included in this segment, ranging from parking and janitorial to passenger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Aviation</w:t>
            </w: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assistance, catering, air cabin maintenance, and transportation. Aviation also includes one of our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investments in an unconsolidated affiliate that was previously part of our government business under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40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our legacy Building &amp; Energy Solutions segment.</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5" w:lineRule="exact"/>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31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Emerging Industries Group</w:t>
            </w: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the Education, Healthcare, and High Tech industries, which have been combined into one reportable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segment.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50"/>
              <w:spacing w:after="0" w:line="202" w:lineRule="exact"/>
              <w:rPr>
                <w:sz w:val="20"/>
                <w:szCs w:val="20"/>
                <w:color w:val="auto"/>
              </w:rPr>
            </w:pPr>
            <w:r>
              <w:rPr>
                <w:rFonts w:ascii="Arial" w:cs="Arial" w:eastAsia="Arial" w:hAnsi="Arial"/>
                <w:sz w:val="18"/>
                <w:szCs w:val="18"/>
                <w:color w:val="auto"/>
                <w:w w:val="98"/>
              </w:rPr>
              <w:t>Technical Solutions</w:t>
            </w: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be leveraged for cross-selling within B&amp;I, Aviation, and the Emerging Industries Group, both</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domestically and internationally.</w:t>
            </w: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12"/>
          </w:tcPr>
          <w:p>
            <w:pPr>
              <w:ind w:left="20"/>
              <w:spacing w:after="0" w:line="205" w:lineRule="exact"/>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50"/>
              <w:spacing w:after="0" w:line="202" w:lineRule="exact"/>
              <w:rPr>
                <w:sz w:val="20"/>
                <w:szCs w:val="20"/>
                <w:color w:val="auto"/>
              </w:rPr>
            </w:pPr>
            <w:r>
              <w:rPr>
                <w:rFonts w:ascii="Arial" w:cs="Arial" w:eastAsia="Arial" w:hAnsi="Arial"/>
                <w:sz w:val="18"/>
                <w:szCs w:val="18"/>
                <w:color w:val="auto"/>
              </w:rPr>
              <w:t>Government Services</w:t>
            </w:r>
          </w:p>
        </w:tc>
        <w:tc>
          <w:tcPr>
            <w:tcW w:w="818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healthcare support; leadership development;</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military base operations; and other mission support services.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56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24"/>
                <w:szCs w:val="24"/>
                <w:color w:val="auto"/>
              </w:rPr>
            </w:pPr>
          </w:p>
        </w:tc>
        <w:tc>
          <w:tcPr>
            <w:tcW w:w="2380" w:type="dxa"/>
            <w:vAlign w:val="bottom"/>
            <w:gridSpan w:val="4"/>
          </w:tcPr>
          <w:p>
            <w:pPr>
              <w:jc w:val="right"/>
              <w:ind w:right="181"/>
              <w:spacing w:after="0"/>
              <w:rPr>
                <w:sz w:val="20"/>
                <w:szCs w:val="20"/>
                <w:color w:val="auto"/>
              </w:rPr>
            </w:pPr>
            <w:r>
              <w:rPr>
                <w:rFonts w:ascii="Arial" w:cs="Arial" w:eastAsia="Arial" w:hAnsi="Arial"/>
                <w:sz w:val="16"/>
                <w:szCs w:val="16"/>
                <w:b w:val="1"/>
                <w:bCs w:val="1"/>
                <w:color w:val="auto"/>
              </w:rPr>
              <w:t>Six Months Ended April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380" w:type="dxa"/>
            <w:vAlign w:val="bottom"/>
          </w:tcPr>
          <w:p>
            <w:pPr>
              <w:spacing w:after="0"/>
              <w:rPr>
                <w:sz w:val="23"/>
                <w:szCs w:val="23"/>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732.6</w:t>
            </w:r>
          </w:p>
        </w:tc>
        <w:tc>
          <w:tcPr>
            <w:tcW w:w="120" w:type="dxa"/>
            <w:vAlign w:val="bottom"/>
          </w:tcPr>
          <w:p>
            <w:pPr>
              <w:spacing w:after="0"/>
              <w:rPr>
                <w:sz w:val="23"/>
                <w:szCs w:val="23"/>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730.4</w:t>
            </w:r>
          </w:p>
        </w:tc>
        <w:tc>
          <w:tcPr>
            <w:tcW w:w="120" w:type="dxa"/>
            <w:vAlign w:val="bottom"/>
          </w:tcPr>
          <w:p>
            <w:pPr>
              <w:spacing w:after="0"/>
              <w:rPr>
                <w:sz w:val="23"/>
                <w:szCs w:val="23"/>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1,487.6</w:t>
            </w:r>
          </w:p>
        </w:tc>
        <w:tc>
          <w:tcPr>
            <w:tcW w:w="100" w:type="dxa"/>
            <w:vAlign w:val="bottom"/>
          </w:tcPr>
          <w:p>
            <w:pPr>
              <w:spacing w:after="0"/>
              <w:rPr>
                <w:sz w:val="23"/>
                <w:szCs w:val="23"/>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1,474.0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2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232.2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203.0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2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394.1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2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23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right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1,310.5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2,637.2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20" w:type="dxa"/>
            <w:vAlign w:val="bottom"/>
            <w:gridSpan w:val="3"/>
            <w:vMerge w:val="continue"/>
          </w:tcPr>
          <w:p>
            <w:pPr>
              <w:spacing w:after="0"/>
              <w:rPr>
                <w:sz w:val="21"/>
                <w:szCs w:val="21"/>
                <w:color w:val="auto"/>
              </w:rPr>
            </w:pPr>
          </w:p>
        </w:tc>
        <w:tc>
          <w:tcPr>
            <w:tcW w:w="2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23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2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2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2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60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 Aviation</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CCEEFF"/>
            </w:tcBorders>
            <w:shd w:val="clear" w:color="auto" w:fill="CCEEFF"/>
          </w:tcPr>
          <w:p>
            <w:pPr>
              <w:spacing w:after="0"/>
              <w:rPr>
                <w:sz w:val="18"/>
                <w:szCs w:val="18"/>
                <w:color w:val="auto"/>
              </w:rPr>
            </w:pPr>
          </w:p>
        </w:tc>
        <w:tc>
          <w:tcPr>
            <w:tcW w:w="31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Government Services</w:t>
            </w:r>
          </w:p>
        </w:tc>
        <w:tc>
          <w:tcPr>
            <w:tcW w:w="2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0" w:type="dxa"/>
            <w:vAlign w:val="bottom"/>
            <w:gridSpan w:val="4"/>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included in Technical Solutions</w:t>
            </w:r>
          </w:p>
        </w:tc>
        <w:tc>
          <w:tcPr>
            <w:tcW w:w="2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80" w:type="dxa"/>
            <w:vAlign w:val="bottom"/>
            <w:tcBorders>
              <w:right w:val="single" w:sz="8" w:color="CCEEFF"/>
            </w:tcBorders>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3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600" w:type="dxa"/>
            <w:vAlign w:val="bottom"/>
            <w:gridSpan w:val="4"/>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w:t>
      </w:r>
    </w:p>
    <w:p>
      <w:pPr>
        <w:sectPr>
          <w:pgSz w:w="11900" w:h="16838" w:orient="portrait"/>
          <w:cols w:equalWidth="0" w:num="1">
            <w:col w:w="11420"/>
          </w:cols>
          <w:pgMar w:left="240" w:top="520"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20" w:right="239" w:bottom="1440" w:gutter="0" w:footer="0" w:header="0"/>
          <w:type w:val="continuous"/>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On May 31, 2017, we completed the sale of the Government Services business for $35.5 million, subject to certain post-closing adjustments.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2016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 Our MD&amp;A is comprised of the following sections:</w:t>
      </w:r>
    </w:p>
    <w:p>
      <w:pPr>
        <w:spacing w:after="0" w:line="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and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facilities experiences.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a three-phase approach: Phase 1, which we completed on November 1, 2016, involved a realignment of our organization; Phase 2 focuses on improvements to our operational framework to promote efficiencies and process enhancements; and in Phase 3, on the foundation of benefits realized from Phases 1 and 2, we anticipate accelerating growth with our industry-based go-to-market service model. Since the inception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have made progress on the following four operating priorities:</w:t>
      </w:r>
    </w:p>
    <w:p>
      <w:pPr>
        <w:spacing w:after="0" w:line="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Organizational Realignment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Excellence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Optimization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Talent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Developments in 2017</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been identifying enterprise-wide standard operating procedures and migrating more of our back office functions to our shared services center. In addition, we are continuing to consolidate our procurement activities. We are also making certain investments in technology platforms to help drive and sustain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performance. By prioritizing these initiatives, we believe that we are building a foundation that should enable us to deliver leading industry-based facility solutions. During the first half of 2017, we realized approximately $10 million in incremental savings from these initiatives and anticipate $10 million in incremental savings for the second half of 2017. With the progress made to date on our industry realignment, cost optimizations, and identification of standard operating procedures, we believe we are on track to capture cost savings and deliver long-term profitable growth.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 xml:space="preserve">Segment Reporting Under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p>
    <w:p>
      <w:pPr>
        <w:spacing w:after="0" w:line="223" w:lineRule="exact"/>
        <w:rPr>
          <w:sz w:val="20"/>
          <w:szCs w:val="20"/>
          <w:color w:val="auto"/>
        </w:rPr>
      </w:pPr>
    </w:p>
    <w:p>
      <w:pPr>
        <w:ind w:firstLine="648"/>
        <w:spacing w:after="0" w:line="294" w:lineRule="auto"/>
        <w:rPr>
          <w:sz w:val="20"/>
          <w:szCs w:val="20"/>
          <w:color w:val="auto"/>
        </w:rPr>
      </w:pPr>
      <w:r>
        <w:rPr>
          <w:rFonts w:ascii="Arial" w:cs="Arial" w:eastAsia="Arial" w:hAnsi="Arial"/>
          <w:sz w:val="18"/>
          <w:szCs w:val="18"/>
          <w:color w:val="auto"/>
        </w:rPr>
        <w:t xml:space="preserve">Following completion of Phase 1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on November 1, 2016, our business is now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71120</wp:posOffset>
            </wp:positionV>
            <wp:extent cx="5814695" cy="857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After establishing this industry-based structure, we identified our operating segments and aggregated them into reportable segments based on similar economic characteristics, services, processes, and customers. As a result, our new reportable segments consist of Business</w:t>
      </w:r>
    </w:p>
    <w:p>
      <w:pPr>
        <w:spacing w:after="0" w:line="1" w:lineRule="exact"/>
        <w:rPr>
          <w:sz w:val="20"/>
          <w:szCs w:val="20"/>
          <w:color w:val="auto"/>
        </w:rPr>
      </w:pPr>
    </w:p>
    <w:p>
      <w:pPr>
        <w:ind w:right="20" w:firstLine="8"/>
        <w:spacing w:after="0" w:line="266" w:lineRule="auto"/>
        <w:tabs>
          <w:tab w:leader="none" w:pos="2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(“B&amp;I”), Aviation, Emerging Industries Group, Technical Solutions, and held-for-sale Government Services, as further described below.</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3220" w:type="dxa"/>
            <w:vAlign w:val="bottom"/>
            <w:tcBorders>
              <w:top w:val="single" w:sz="8" w:color="auto"/>
              <w:left w:val="single" w:sz="8" w:color="auto"/>
              <w:bottom w:val="single" w:sz="8" w:color="auto"/>
              <w:right w:val="single" w:sz="8" w:color="CCEEFF"/>
            </w:tcBorders>
            <w:shd w:val="clear" w:color="auto" w:fill="CCEEFF"/>
          </w:tcPr>
          <w:p>
            <w:pPr>
              <w:spacing w:after="0"/>
              <w:rPr>
                <w:sz w:val="23"/>
                <w:szCs w:val="23"/>
                <w:color w:val="auto"/>
              </w:rPr>
            </w:pPr>
          </w:p>
        </w:tc>
        <w:tc>
          <w:tcPr>
            <w:tcW w:w="8200" w:type="dxa"/>
            <w:vAlign w:val="bottom"/>
            <w:tcBorders>
              <w:top w:val="single" w:sz="8" w:color="auto"/>
              <w:bottom w:val="single" w:sz="8" w:color="auto"/>
              <w:right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REPORTABLE SEGMENTS AND DESCRIPTIONS</w:t>
            </w:r>
          </w:p>
        </w:tc>
      </w:tr>
      <w:tr>
        <w:trPr>
          <w:trHeight w:val="201"/>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B&amp;I</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sports and entertainment venues, and industrial</w:t>
            </w:r>
          </w:p>
        </w:tc>
      </w:tr>
      <w:tr>
        <w:trPr>
          <w:trHeight w:val="248"/>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manufacturing sites.</w:t>
            </w:r>
          </w:p>
        </w:tc>
      </w:tr>
      <w:tr>
        <w:trPr>
          <w:trHeight w:val="205"/>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Aviation includes services supporting airlines and airports. A wide array of services that support the</w:t>
            </w: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needs of our clients are included in this segment, ranging from parking and janitorial to passenger</w:t>
            </w: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Aviation</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assistance, catering, air cabin maintenance, and transportation. Aviation also includes one of our</w:t>
            </w: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investments in an unconsolidated affiliate that was previously part of our government business under</w:t>
            </w:r>
          </w:p>
        </w:tc>
      </w:tr>
      <w:tr>
        <w:trPr>
          <w:trHeight w:val="248"/>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our legacy Building &amp; Energy Solutions segment.</w:t>
            </w:r>
          </w:p>
        </w:tc>
      </w:tr>
      <w:tr>
        <w:trPr>
          <w:trHeight w:val="205"/>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Emerging Industries Group</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Education, Healthcare, and High Tech industries, which have been combined into one reportable</w:t>
            </w:r>
          </w:p>
        </w:tc>
      </w:tr>
      <w:tr>
        <w:trPr>
          <w:trHeight w:val="248"/>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segment.</w:t>
            </w:r>
          </w:p>
        </w:tc>
      </w:tr>
      <w:tr>
        <w:trPr>
          <w:trHeight w:val="205"/>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Technical Solutions</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leveraged for cross-selling within B&amp;I, Aviation, and the Emerging Industries Group, both</w:t>
            </w:r>
          </w:p>
        </w:tc>
      </w:tr>
      <w:tr>
        <w:trPr>
          <w:trHeight w:val="248"/>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domestically and internationally.</w:t>
            </w:r>
          </w:p>
        </w:tc>
      </w:tr>
      <w:tr>
        <w:trPr>
          <w:trHeight w:val="205"/>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held-for-sale Government Services business provides specialty solutions in support of U.S.</w:t>
            </w: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Government Services</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healthcare support; leadership development;</w:t>
            </w:r>
          </w:p>
        </w:tc>
      </w:tr>
      <w:tr>
        <w:trPr>
          <w:trHeight w:val="248"/>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military base operations; and other mission support services.</w:t>
            </w: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revised our prior period segment information to reflect this reorganization, including a related reclassification of certain Corporate expenses. Concurrent with the reorganization, we recategorized certain expenses that were historically included in operating expenses to selling, general and administrative expenses. To conform to the new categorization, we reclassified operating expenses of $4.9 million and $9.8 million for the three- and six-month periods ended April 30, 2016, respectively, to selling, general and administrative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Restructuring and Related Costs</w:t>
      </w:r>
    </w:p>
    <w:p>
      <w:pPr>
        <w:spacing w:after="0" w:line="1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In connection with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anticipated total pre-tax restructuring and related charges would range from $45 million to $60 million. We expected these costs to consist of employee severance from $17 million to $20 million, external support fees from $ 14 million to $ 19 million, other project fees from $7 million to $ 8 million, lease exit costs related to real estate consolidation from $5 million to $10 million, and the write-down of certain investments from $2 million to $3 million.</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8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 Ended April</w:t>
            </w:r>
          </w:p>
        </w:tc>
        <w:tc>
          <w:tcPr>
            <w:tcW w:w="1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April</w:t>
            </w: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8"/>
                <w:szCs w:val="18"/>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b w:val="1"/>
                <w:bCs w:val="1"/>
                <w:color w:val="auto"/>
              </w:rPr>
              <w:t>30, 2017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30, 2017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External Support Fees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65"/>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Employee Severance</w:t>
            </w:r>
          </w:p>
        </w:tc>
        <w:tc>
          <w:tcPr>
            <w:tcW w:w="4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5"/>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Project Fees</w:t>
            </w:r>
          </w:p>
        </w:tc>
        <w:tc>
          <w:tcPr>
            <w:tcW w:w="4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65"/>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Asset Impairment</w:t>
            </w:r>
          </w:p>
        </w:tc>
        <w:tc>
          <w:tcPr>
            <w:tcW w:w="480" w:type="dxa"/>
            <w:vAlign w:val="bottom"/>
          </w:tcPr>
          <w:p>
            <w:pPr>
              <w:spacing w:after="0"/>
              <w:rPr>
                <w:sz w:val="23"/>
                <w:szCs w:val="23"/>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5"/>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Exit</w:t>
            </w:r>
          </w:p>
        </w:tc>
        <w:tc>
          <w:tcPr>
            <w:tcW w:w="4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9"/>
        </w:trPr>
        <w:tc>
          <w:tcPr>
            <w:tcW w:w="44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52.5</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Trends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Services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During the fourth quarter of 2016, in connection with the key priorities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made the decision to divest our Government Services business and accordingly classified the assets and liabilities of the business as held for sale. We engaged a third-party broker to assist in the divestiture process. In connection with the held-for-sale classification in 2016, we wrote down goodwill and long-lived assets of this business by $ 22.5 million to reflect our best estimate of fair value less costs to sell using all information available at that time. During the second quarter of 2017, we received an offer from a strategic buyer to purchase our Government Services business for approximately $35.0 million, which was higher than our previous estimate of fair value less costs to sell. As a result, in the second quarter of 2017 we recorded a $17.4 million impairment recovery to adjust the fair value of certain previously impaired assets to the valuation of the assets as implied by the agreed-upon sales price, less estimated costs to sell. Subsequent to the second quarter, on May 31, 2017, we completed the sale of this business for $35.5 million, subject to certain post-closing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Consolidated Cases of Augustus, Hall, and Davis, et al. v. American Commercial</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Services</w:t>
      </w:r>
      <w:r>
        <w:rPr>
          <w:rFonts w:ascii="Arial" w:cs="Arial" w:eastAsia="Arial" w:hAnsi="Arial"/>
          <w:sz w:val="18"/>
          <w:szCs w:val="18"/>
          <w:color w:val="auto"/>
        </w:rPr>
        <w:t>, on a class-wide basis for $ 110.0 million (the “Augustus Settlement Agreement”). On March 17, 2017, the Augustus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Agreement was amended to address certain procedural matters. The Augustus Settlement Agreement, as amended, is contingent upon the approval of the Superior Court of California, Los Angeles County (the “Superior Court”). On April 6, 2017, the Superior Court granted preliminary approval of the class action settlement. Notice to the class members was sent on April 24, 2017 and they have until June 8, 2017 to file any objections to the settlement. The Superior Court scheduled a final approval hearing for June 30, 2017.</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also entered into a Settlement Term Sheet on January 30, 2017 with plaintiff in connection with </w:t>
      </w:r>
      <w:r>
        <w:rPr>
          <w:rFonts w:ascii="Arial" w:cs="Arial" w:eastAsia="Arial" w:hAnsi="Arial"/>
          <w:sz w:val="18"/>
          <w:szCs w:val="18"/>
          <w:i w:val="1"/>
          <w:iCs w:val="1"/>
          <w:color w:val="auto"/>
        </w:rPr>
        <w:t>Karapetyan v. ABM Industries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Incorporated and ABM Security Services, Inc., et al. </w:t>
      </w:r>
      <w:r>
        <w:rPr>
          <w:rFonts w:ascii="Arial" w:cs="Arial" w:eastAsia="Arial" w:hAnsi="Arial"/>
          <w:sz w:val="18"/>
          <w:szCs w:val="18"/>
          <w:color w:val="auto"/>
        </w:rPr>
        <w:t>(the “</w:t>
      </w:r>
      <w:r>
        <w:rPr>
          <w:rFonts w:ascii="Arial" w:cs="Arial" w:eastAsia="Arial" w:hAnsi="Arial"/>
          <w:sz w:val="18"/>
          <w:szCs w:val="18"/>
          <w:i w:val="1"/>
          <w:iCs w:val="1"/>
          <w:color w:val="auto"/>
        </w:rPr>
        <w:t xml:space="preserve">Karapetyan </w:t>
      </w:r>
      <w:r>
        <w:rPr>
          <w:rFonts w:ascii="Arial" w:cs="Arial" w:eastAsia="Arial" w:hAnsi="Arial"/>
          <w:sz w:val="18"/>
          <w:szCs w:val="18"/>
          <w:color w:val="auto"/>
        </w:rPr>
        <w:t>case”) to settle the case on a class-wide basis for $5.0 million. The</w:t>
      </w:r>
      <w:r>
        <w:rPr>
          <w:rFonts w:ascii="Arial" w:cs="Arial" w:eastAsia="Arial" w:hAnsi="Arial"/>
          <w:sz w:val="18"/>
          <w:szCs w:val="18"/>
          <w:i w:val="1"/>
          <w:iCs w:val="1"/>
          <w:color w:val="auto"/>
        </w:rPr>
        <w:t xml:space="preserve"> Karapetyan </w:t>
      </w:r>
      <w:r>
        <w:rPr>
          <w:rFonts w:ascii="Arial" w:cs="Arial" w:eastAsia="Arial" w:hAnsi="Arial"/>
          <w:sz w:val="18"/>
          <w:szCs w:val="18"/>
          <w:color w:val="auto"/>
        </w:rPr>
        <w:t>case is a putative class action in which the plaintiff seeks to represent a class of security guards that alleges violations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California state laws relating to meal and rest breaks and other wage and hour claims. On April 17, 2017, ABM Industries Incorporated, ABM Security Services, Inc., ABM Onsite Services, Inc., and ABM Onsite Services – West, Inc.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(the “Karapetyan Settlement Agreement”) on a class-wide basis for $5.0 million. This settlement is contingent upon the final approval by the United States District Court for the Central District of California and the final approval by the Superior Court of the Augustus Settlement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6" w:name="page27"/>
    <w:bookmarkEnd w:id="26"/>
    <w:p>
      <w:pPr>
        <w:jc w:val="both"/>
        <w:ind w:right="20" w:firstLine="648"/>
        <w:spacing w:after="0" w:line="260" w:lineRule="auto"/>
        <w:rPr>
          <w:sz w:val="20"/>
          <w:szCs w:val="20"/>
          <w:color w:val="auto"/>
        </w:rPr>
      </w:pPr>
      <w:r>
        <w:rPr>
          <w:rFonts w:ascii="Arial" w:cs="Arial" w:eastAsia="Arial" w:hAnsi="Arial"/>
          <w:sz w:val="18"/>
          <w:szCs w:val="18"/>
          <w:color w:val="auto"/>
        </w:rPr>
        <w:t>If the Augustus Settlement Agreement is approved by the Superior Court, we will be obligated to pay $110.0 million with respect to the settlement amount and an additional $6.3 million related to payroll taxes. Under the terms of the Augustus Settlement Agreement, we will pay $55.0 million of the $110.0 million by either April 1, 2017 or within fourteen days after final approval by the Superior Court, whichever date is later; we will pay the remaining $55.0 million by either September 1, 2017 or within fourteen days after the final approval by the Superior Court, whichever date is later. We expect to fund the payments from operating cash flows and from our available line of credit.</w:t>
      </w:r>
    </w:p>
    <w:p>
      <w:pPr>
        <w:spacing w:after="0" w:line="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These settlements are tax deductible and will result in an estimated $50 million in cash tax savings, which we expect to receive primarily in 2018. As a result of these probable settlements, we are reevaluating certain uses of cash in the short term, including share repurchases.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January 31, 2017, we performed an actuarial review for the majority of our casualty insurance programs. This review indicated unfavorable developments in our estimates of ultimate losses related to certain general liability and workers’ compensation claims. During the three months ended April 30, 2017, we continued to see a similar trend in adverse developments related to prior year claims. After analyzing the recent loss developments against benchmarks and applying actuarial projection methods to determine the estimate of ultimate losses, we increased our reserves for known claims as well as our estimate of the loss amounts associated with incurred but not reported claims for prior periods by $5.0 million at January 31, 2017. As we continue to see a similar trend in adverse developments, at April 30, 2017 we increased our reserves by an additional $5.0 million, resulting in a total increase to our reserves for claims related to prior periods of $10.0 million. During the third quarter of 2017, comprehensive actuarial evaluations are expected to be completed for our significant insurance programs using recent claims data.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Highlights</w:t>
      </w:r>
    </w:p>
    <w:p>
      <w:pPr>
        <w:spacing w:after="0" w:line="171" w:lineRule="exact"/>
        <w:rPr>
          <w:sz w:val="20"/>
          <w:szCs w:val="20"/>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increased by $53.4 million, or 4.2%, during the three months ended April 30, 2017, as compared to the three months ended April 30, 2016. Organic revenue increased 3.6%.</w:t>
      </w:r>
    </w:p>
    <w:p>
      <w:pPr>
        <w:spacing w:after="0" w:line="90" w:lineRule="exact"/>
        <w:rPr>
          <w:rFonts w:ascii="Arial" w:cs="Arial" w:eastAsia="Arial" w:hAnsi="Arial"/>
          <w:sz w:val="18"/>
          <w:szCs w:val="18"/>
          <w:color w:val="auto"/>
        </w:rPr>
      </w:pPr>
    </w:p>
    <w:p>
      <w:pPr>
        <w:jc w:val="both"/>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Operating profit increased by $39.2 million during the three months ended April 30, 2017, as compared to the three months ended April 30, 2016. The increase in operating profit is primarily attributable to: the aforementioned $17.4 million impairment recovery; two less working days; and procurement and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Operating profit was also favorably impacted by the absence of specific reserves for certain client receivables recorded in the prior year quarter and lower restructuring-related expenses. This increase was partially offset by operational issues in certain geographic markets within our aviation business.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$50.1 million during the six months ended April 30, 2017.</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of $18.9 million were paid to shareholders, and dividends totaling $0.340 per common share were declared during the six months ended April 30, 2017.</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April 30, 2017, total outstanding borrowings under our line of credit were $277.9 million, and we had up to $393.2 million of borrowing capacity under our line of credit, subject to covenant restrictions.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3720"/>
        <w:spacing w:after="0" w:line="455" w:lineRule="auto"/>
        <w:rPr>
          <w:sz w:val="20"/>
          <w:szCs w:val="20"/>
          <w:color w:val="auto"/>
        </w:rPr>
      </w:pPr>
      <w:r>
        <w:rPr>
          <w:rFonts w:ascii="Arial" w:cs="Arial" w:eastAsia="Arial" w:hAnsi="Arial"/>
          <w:sz w:val="18"/>
          <w:szCs w:val="18"/>
          <w:b w:val="1"/>
          <w:bCs w:val="1"/>
          <w:i w:val="1"/>
          <w:iCs w:val="1"/>
          <w:color w:val="auto"/>
        </w:rPr>
        <w:t>Three Months Ended April 30, 2017 Compared with the Three Months Ended April 30, 2016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7"/>
        </w:trPr>
        <w:tc>
          <w:tcPr>
            <w:tcW w:w="53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4.2%</w:t>
            </w: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1,164.6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1,127.5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3.3%</w:t>
            </w:r>
          </w:p>
        </w:tc>
      </w:tr>
      <w:tr>
        <w:trPr>
          <w:trHeight w:val="278"/>
        </w:trPr>
        <w:tc>
          <w:tcPr>
            <w:tcW w:w="4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83 bps</w:t>
            </w:r>
          </w:p>
        </w:tc>
        <w:tc>
          <w:tcPr>
            <w:tcW w:w="1340" w:type="dxa"/>
            <w:vAlign w:val="bottom"/>
            <w:shd w:val="clear" w:color="auto" w:fill="CCEEFF"/>
          </w:tcPr>
          <w:p>
            <w:pPr>
              <w:spacing w:after="0"/>
              <w:rPr>
                <w:sz w:val="24"/>
                <w:szCs w:val="24"/>
                <w:color w:val="auto"/>
              </w:rPr>
            </w:pP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(1.6)%</w:t>
            </w:r>
          </w:p>
        </w:tc>
      </w:tr>
      <w:tr>
        <w:trPr>
          <w:trHeight w:val="278"/>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(34.2)%</w:t>
            </w: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(11.9)%</w:t>
            </w:r>
          </w:p>
        </w:tc>
      </w:tr>
      <w:tr>
        <w:trPr>
          <w:trHeight w:val="278"/>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recovery</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46"/>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7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7.9%</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3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w w:val="99"/>
              </w:rPr>
              <w:t>(28.1)%</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3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loss from discontinued operations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rPr>
              <w:t>84.6%</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56"/>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(25.6)%</w:t>
            </w:r>
          </w:p>
        </w:tc>
      </w:tr>
      <w:tr>
        <w:trPr>
          <w:trHeight w:val="264"/>
        </w:trPr>
        <w:tc>
          <w:tcPr>
            <w:tcW w:w="40" w:type="dxa"/>
            <w:vAlign w:val="bottom"/>
          </w:tcPr>
          <w:p>
            <w:pPr>
              <w:spacing w:after="0"/>
              <w:rPr>
                <w:sz w:val="22"/>
                <w:szCs w:val="22"/>
                <w:color w:val="auto"/>
              </w:rPr>
            </w:pPr>
          </w:p>
        </w:tc>
        <w:tc>
          <w:tcPr>
            <w:tcW w:w="526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43"/>
        </w:trPr>
        <w:tc>
          <w:tcPr>
            <w:tcW w:w="53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3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Revenues increased by $53.4 million, or 4.2%, during the three months ended April 30, 2017, as compared to the three months ended April 30, 2016. The increase in revenues was primarily attributable to organic growth in Aviation, Government Services, and Technical Solutions and to $8.7 million of incremental revenues from acquisitions.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expenses increased by $ 37.1 million, or 3.3%, during the three months ended April 30, 2017, as compared to the three months ended April 30, 2016. Gross margin increased by 83 bps to 11.1% in the three months ended April 30, 2017 from 10.3% in the three months ended April 30, 2016. The increase in gross margin was primarily associated with two less working days during the three months ended April 30, 2017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operational issues in certain geographic markets within our aviation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Selling, general and administrative expenses decreased by $ 1.7 million, or 1.6%, during the three months ended April 30, 2017, as compared to the three months ended April 30, 2016. The decrease in selling, general and administrative expenses was primarily related to a $6.1 million reduction in bad debt expense primarily associated with the absence of specific reserves for certain client receivables and to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decrease was partially offset by $2.4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71"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8"/>
          <w:szCs w:val="18"/>
          <w:color w:val="auto"/>
        </w:rPr>
        <w:t xml:space="preserve">Restructuring and related expenses decreased by $3.0 million, or 34.2%, during the three months ended April 30, 2017, as compared to the three months ended April 30,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Recovery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an offer from a strategic buyer to purchase our held-for-sale Government Services business for $35.0 million, we recorded a $17.4 million impairment recovery during the three months ended April 30, 2017 to adjust the fair value of certain previously impaired assets. Subsequently, on May 31, 2017, we completed the sale of this business for $35.5 million, subject to certain post-closing adjustments. Refer to “Developments and Trends—Government Services,” above, for additional details.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6"/>
          </w:tcPr>
          <w:p>
            <w:pPr>
              <w:ind w:left="120"/>
              <w:spacing w:after="0"/>
              <w:rPr>
                <w:sz w:val="20"/>
                <w:szCs w:val="20"/>
                <w:color w:val="auto"/>
              </w:rPr>
            </w:pPr>
            <w:r>
              <w:rPr>
                <w:rFonts w:ascii="Arial" w:cs="Arial" w:eastAsia="Arial" w:hAnsi="Arial"/>
                <w:sz w:val="15"/>
                <w:szCs w:val="15"/>
                <w:b w:val="1"/>
                <w:bCs w:val="1"/>
                <w:color w:val="auto"/>
              </w:rPr>
              <w:t>Three Months Ended April 30,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41"/>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ind w:left="320"/>
              <w:spacing w:after="0"/>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Business &amp; Industry</w:t>
            </w:r>
          </w:p>
        </w:tc>
        <w:tc>
          <w:tcPr>
            <w:tcW w:w="400" w:type="dxa"/>
            <w:vAlign w:val="bottom"/>
          </w:tcPr>
          <w:p>
            <w:pPr>
              <w:spacing w:after="0"/>
              <w:rPr>
                <w:sz w:val="22"/>
                <w:szCs w:val="22"/>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732.6</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22"/>
                <w:szCs w:val="22"/>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360" w:type="dxa"/>
            <w:vAlign w:val="bottom"/>
          </w:tcPr>
          <w:p>
            <w:pPr>
              <w:jc w:val="center"/>
              <w:ind w:left="18"/>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62"/>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Emerging Industries Group</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360" w:type="dxa"/>
            <w:vAlign w:val="bottom"/>
          </w:tcPr>
          <w:p>
            <w:pPr>
              <w:jc w:val="center"/>
              <w:ind w:left="3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Technical Solutions</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Government Services</w:t>
            </w:r>
          </w:p>
        </w:tc>
        <w:tc>
          <w:tcPr>
            <w:tcW w:w="4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15.2</w:t>
            </w:r>
          </w:p>
        </w:tc>
        <w:tc>
          <w:tcPr>
            <w:tcW w:w="1360" w:type="dxa"/>
            <w:vAlign w:val="bottom"/>
            <w:tcBorders>
              <w:bottom w:val="single" w:sz="8" w:color="CCEEFF"/>
            </w:tcBorders>
          </w:tcPr>
          <w:p>
            <w:pPr>
              <w:jc w:val="center"/>
              <w:ind w:left="18"/>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1,310.5</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1,257.1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53.4</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b w:val="1"/>
                <w:bCs w:val="1"/>
                <w:color w:val="auto"/>
              </w:rPr>
              <w:t>Operating profit (loss)</w:t>
            </w: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8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Business &amp; Industry</w:t>
            </w:r>
          </w:p>
        </w:tc>
        <w:tc>
          <w:tcPr>
            <w:tcW w:w="4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41.0</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i w:val="1"/>
                <w:iCs w:val="1"/>
                <w:color w:val="auto"/>
              </w:rPr>
              <w:t>114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2.7 %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i w:val="1"/>
                <w:iCs w:val="1"/>
                <w:color w:val="auto"/>
              </w:rPr>
              <w:t>57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Emerging Industries Group</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3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6.6 %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i w:val="1"/>
                <w:iCs w:val="1"/>
                <w:color w:val="auto"/>
              </w:rPr>
              <w:t>(39)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Technical Solutions</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i w:val="1"/>
                <w:iCs w:val="1"/>
                <w:color w:val="auto"/>
              </w:rPr>
              <w:t>534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Government Services</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42.3%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8"/>
        </w:trPr>
        <w:tc>
          <w:tcPr>
            <w:tcW w:w="5680" w:type="dxa"/>
            <w:vAlign w:val="bottom"/>
            <w:gridSpan w:val="7"/>
          </w:tcPr>
          <w:p>
            <w:pPr>
              <w:ind w:left="2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360" w:type="dxa"/>
            <w:vAlign w:val="bottom"/>
          </w:tcPr>
          <w:p>
            <w:pPr>
              <w:jc w:val="center"/>
              <w:ind w:left="18"/>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4"/>
            <w:shd w:val="clear" w:color="auto" w:fill="CCEEFF"/>
          </w:tcPr>
          <w:p>
            <w:pPr>
              <w:spacing w:after="0"/>
              <w:rPr>
                <w:sz w:val="20"/>
                <w:szCs w:val="20"/>
                <w:color w:val="auto"/>
              </w:rPr>
            </w:pPr>
            <w:r>
              <w:rPr>
                <w:rFonts w:ascii="Arial" w:cs="Arial" w:eastAsia="Arial" w:hAnsi="Arial"/>
                <w:sz w:val="16"/>
                <w:szCs w:val="16"/>
                <w:color w:val="auto"/>
                <w:shd w:val="clear" w:color="auto" w:fill="CCEEFF"/>
              </w:rPr>
              <w:t>Adjustment for tax deductions for energy efficient government buildings,</w:t>
            </w:r>
          </w:p>
        </w:tc>
        <w:tc>
          <w:tcPr>
            <w:tcW w:w="20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included in Technical Solutions</w:t>
            </w:r>
          </w:p>
        </w:tc>
        <w:tc>
          <w:tcPr>
            <w:tcW w:w="4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3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39.2</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*Not meaningful</w:t>
            </w: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Business &amp; Industry</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 Ended April 30,</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Pr>
          <w:p>
            <w:pPr>
              <w:spacing w:after="0"/>
              <w:rPr>
                <w:sz w:val="19"/>
                <w:szCs w:val="19"/>
                <w:color w:val="auto"/>
              </w:rPr>
            </w:pPr>
          </w:p>
        </w:tc>
        <w:tc>
          <w:tcPr>
            <w:tcW w:w="1400" w:type="dxa"/>
            <w:vAlign w:val="bottom"/>
          </w:tcPr>
          <w:p>
            <w:pPr>
              <w:jc w:val="right"/>
              <w:ind w:right="576"/>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gridSpan w:val="2"/>
          </w:tcPr>
          <w:p>
            <w:pPr>
              <w:jc w:val="right"/>
              <w:ind w:right="99"/>
              <w:spacing w:after="0"/>
              <w:rPr>
                <w:sz w:val="20"/>
                <w:szCs w:val="20"/>
                <w:color w:val="auto"/>
              </w:rPr>
            </w:pPr>
            <w:r>
              <w:rPr>
                <w:rFonts w:ascii="Arial" w:cs="Arial" w:eastAsia="Arial" w:hAnsi="Arial"/>
                <w:sz w:val="18"/>
                <w:szCs w:val="18"/>
                <w:color w:val="auto"/>
                <w:w w:val="96"/>
              </w:rPr>
              <w:t>32.6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00"/>
              <w:spacing w:after="0"/>
              <w:rPr>
                <w:sz w:val="20"/>
                <w:szCs w:val="20"/>
                <w:color w:val="auto"/>
              </w:rPr>
            </w:pPr>
            <w:r>
              <w:rPr>
                <w:rFonts w:ascii="Arial" w:cs="Arial" w:eastAsia="Arial" w:hAnsi="Arial"/>
                <w:sz w:val="18"/>
                <w:szCs w:val="18"/>
                <w:color w:val="auto"/>
              </w:rPr>
              <w:t>8.4</w:t>
            </w:r>
          </w:p>
        </w:tc>
        <w:tc>
          <w:tcPr>
            <w:tcW w:w="1360" w:type="dxa"/>
            <w:vAlign w:val="bottom"/>
          </w:tcPr>
          <w:p>
            <w:pPr>
              <w:jc w:val="right"/>
              <w:ind w:right="578"/>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i w:val="1"/>
                <w:iCs w:val="1"/>
                <w:color w:val="auto"/>
              </w:rPr>
              <w:t>114 bps</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B&amp;I revenues increased by $2.2 million, or 0.3%, during the three months ended April 30, 2017, as compared to the three months ended April 30, 2016. The increase was primarily attributable to growth in our U.K. janitorial operations and expansion of existing U.S. facility services accounts. This increase was partially offset by lower U.S. parking revenues. Management reimbursement revenues for this segment totaled $58.1 million and $57.2 million for the three months ended April 30,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$8.4 million, or 25.9%, during the three months ended April 30, 2017, as compared to the three months ended April 30, 2016. Operating profit margin increased by 114 bps to 5.6% in the three months ended April 30, 2017 from 4.5% in the three months ended April 30, 2016. The increase in operating profit margin was primarily associated with two less working days during the three months ended April 30, 2017 and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lower profit margins associated with certain leased location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29.2</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14.4%</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38.5%</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57 bps</w:t>
            </w:r>
          </w:p>
        </w:tc>
        <w:tc>
          <w:tcPr>
            <w:tcW w:w="13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Aviation revenues increased by $29.2 million, or 14.4%, during the three months ended April 30, 2017, as compared to the three months ended April 30, 2016. The increase was primarily attributable to U.S. organic growth in passenger services, cabin cleaning, transportation, and parking and to new business in our U.K. operations. Management reimbursement revenues for this segment totaled $16.2 million and $21.1 million for the three months ended April 30,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$2.1 million, or 38.5%, during the three months ended April 30, 2017, as compared to the three months ended April 30, 2016. Operating profit margin increased by 57 bps to 3.3% in the three months ended April 30, 2017 from 2.7% in the three months ended April 30, 2016. The increase in operating profit margin was primarily attributable to savings and lower allocated costs from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color w:val="000000"/>
        </w:rPr>
        <w:t>initiatives, higher equity earnings in an unconsolidated affiliate, and the absence of a specific reserve established for a client</w:t>
      </w:r>
      <w:r>
        <w:rPr>
          <w:rFonts w:ascii="Arial" w:cs="Arial" w:eastAsia="Arial" w:hAnsi="Arial"/>
          <w:sz w:val="18"/>
          <w:szCs w:val="18"/>
          <w:b w:val="1"/>
          <w:bCs w:val="1"/>
          <w:color w:val="FF9900"/>
        </w:rPr>
        <w:t xml:space="preserve"> </w:t>
      </w:r>
      <w:r>
        <w:rPr>
          <w:rFonts w:ascii="Arial" w:cs="Arial" w:eastAsia="Arial" w:hAnsi="Arial"/>
          <w:sz w:val="18"/>
          <w:szCs w:val="18"/>
          <w:color w:val="000000"/>
        </w:rPr>
        <w:t>receivable. This increase was partially offset by operational issues in certain geographic markets.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6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80" w:type="dxa"/>
            <w:vAlign w:val="bottom"/>
          </w:tcPr>
          <w:p>
            <w:pPr>
              <w:jc w:val="right"/>
              <w:ind w:right="54"/>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80" w:type="dxa"/>
            <w:vAlign w:val="bottom"/>
          </w:tcPr>
          <w:p>
            <w:pPr>
              <w:jc w:val="right"/>
              <w:ind w:right="574"/>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(7.3)%</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6.6%</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634"/>
              <w:spacing w:after="0"/>
              <w:rPr>
                <w:sz w:val="20"/>
                <w:szCs w:val="20"/>
                <w:color w:val="auto"/>
              </w:rPr>
            </w:pPr>
            <w:r>
              <w:rPr>
                <w:rFonts w:ascii="Arial" w:cs="Arial" w:eastAsia="Arial" w:hAnsi="Arial"/>
                <w:sz w:val="14"/>
                <w:szCs w:val="14"/>
                <w:i w:val="1"/>
                <w:iCs w:val="1"/>
                <w:color w:val="auto"/>
              </w:rPr>
              <w:t>(39) bps</w:t>
            </w:r>
          </w:p>
        </w:tc>
        <w:tc>
          <w:tcPr>
            <w:tcW w:w="13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Emerging Industries Group revenues decreased by $3.0 million, or 1.5%, during the three months ended April 30, 2017, as compared to the three months ended April 30, 2016. The decrease was primarily related to the losses of a multi-location High Tech janitorial contract and certain Education facility services contracts. This decrease was partially offset by new Healthcare janitorial business.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decreased by $0.9 million, or 7.3%, during the three months ended April 30, 2017, as compared to the three months ended April 30, 2016. Operating profit margin decreased by 39 bps to 6.3% in the three months ended April 30, 2017 from 6.6% in the three months ended April 30, 2016. The decrease in operating profit margin was primarily attributable to lower contribution margin from certain High Tech contracts, including the loss of a multi-location janitorial account, and higher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The decrease in operating profit margin for this segment was partially offset by two less working days during the three months ended April 30,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Technical Solutions</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6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9.9</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9.8%</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tcPr>
          <w:p>
            <w:pPr>
              <w:jc w:val="right"/>
              <w:ind w:right="634"/>
              <w:spacing w:after="0"/>
              <w:rPr>
                <w:sz w:val="20"/>
                <w:szCs w:val="20"/>
                <w:color w:val="auto"/>
              </w:rPr>
            </w:pPr>
            <w:r>
              <w:rPr>
                <w:rFonts w:ascii="Arial" w:cs="Arial" w:eastAsia="Arial" w:hAnsi="Arial"/>
                <w:sz w:val="18"/>
                <w:szCs w:val="18"/>
                <w:color w:val="auto"/>
              </w:rPr>
              <w:t>6.3</w:t>
            </w:r>
          </w:p>
        </w:tc>
        <w:tc>
          <w:tcPr>
            <w:tcW w:w="1300" w:type="dxa"/>
            <w:vAlign w:val="bottom"/>
          </w:tcPr>
          <w:p>
            <w:pPr>
              <w:jc w:val="center"/>
              <w:ind w:right="410"/>
              <w:spacing w:after="0"/>
              <w:rPr>
                <w:sz w:val="20"/>
                <w:szCs w:val="20"/>
                <w:color w:val="auto"/>
              </w:rPr>
            </w:pPr>
            <w:r>
              <w:rPr>
                <w:rFonts w:ascii="Arial" w:cs="Arial" w:eastAsia="Arial" w:hAnsi="Arial"/>
                <w:sz w:val="18"/>
                <w:szCs w:val="18"/>
                <w:color w:val="auto"/>
              </w:rPr>
              <w:t>NM*</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634"/>
              <w:spacing w:after="0"/>
              <w:rPr>
                <w:sz w:val="20"/>
                <w:szCs w:val="20"/>
                <w:color w:val="auto"/>
              </w:rPr>
            </w:pPr>
            <w:r>
              <w:rPr>
                <w:rFonts w:ascii="Arial" w:cs="Arial" w:eastAsia="Arial" w:hAnsi="Arial"/>
                <w:sz w:val="14"/>
                <w:szCs w:val="14"/>
                <w:i w:val="1"/>
                <w:iCs w:val="1"/>
                <w:color w:val="auto"/>
              </w:rPr>
              <w:t>534 bps</w:t>
            </w:r>
          </w:p>
        </w:tc>
        <w:tc>
          <w:tcPr>
            <w:tcW w:w="1300" w:type="dxa"/>
            <w:vAlign w:val="bottom"/>
            <w:shd w:val="clear" w:color="auto" w:fill="CCEEFF"/>
          </w:tcPr>
          <w:p>
            <w:pPr>
              <w:spacing w:after="0"/>
              <w:rPr>
                <w:sz w:val="23"/>
                <w:szCs w:val="23"/>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Technical Solutions revenues increased by $9.9 million, or 9.8%, during the three months ended April 30, 2017, as compared to the three months ended April 30, 2016. This increase was primarily attributable to higher project revenues and incremental revenues from acquisitions of $3.3 million.</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Operating profit increased by $6.3 million during the three months ended April 30, 2017, as compared to the three months ended April 30, 2016. Operating profit margin increased by 534 bps to 9.6% in the three months ended April 30, 2017 from 4.2% in the three months ended April 30, 2016. The increase in operating profit margin was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31" w:name="page32"/>
    <w:bookmarkEnd w:id="31"/>
    <w:p>
      <w:pPr>
        <w:jc w:val="both"/>
        <w:spacing w:after="0" w:line="292" w:lineRule="auto"/>
        <w:rPr>
          <w:sz w:val="20"/>
          <w:szCs w:val="20"/>
          <w:color w:val="auto"/>
        </w:rPr>
      </w:pPr>
      <w:r>
        <w:rPr>
          <w:rFonts w:ascii="Arial" w:cs="Arial" w:eastAsia="Arial" w:hAnsi="Arial"/>
          <w:sz w:val="18"/>
          <w:szCs w:val="18"/>
          <w:color w:val="auto"/>
        </w:rPr>
        <w:t>primarily attributable to the contribution of higher margin project revenues and the management of our selling, general and administrative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Government Services</w:t>
            </w: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15.2</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54.7%</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Operating profit (loss)</w:t>
            </w:r>
          </w:p>
        </w:tc>
        <w:tc>
          <w:tcPr>
            <w:tcW w:w="400" w:type="dxa"/>
            <w:vAlign w:val="bottom"/>
          </w:tcPr>
          <w:p>
            <w:pPr>
              <w:spacing w:after="0"/>
              <w:rPr>
                <w:sz w:val="23"/>
                <w:szCs w:val="23"/>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19.7</w:t>
            </w:r>
          </w:p>
        </w:tc>
        <w:tc>
          <w:tcPr>
            <w:tcW w:w="1300" w:type="dxa"/>
            <w:vAlign w:val="bottom"/>
          </w:tcPr>
          <w:p>
            <w:pPr>
              <w:jc w:val="center"/>
              <w:ind w:right="390"/>
              <w:spacing w:after="0"/>
              <w:rPr>
                <w:sz w:val="20"/>
                <w:szCs w:val="20"/>
                <w:color w:val="auto"/>
              </w:rPr>
            </w:pPr>
            <w:r>
              <w:rPr>
                <w:rFonts w:ascii="Arial" w:cs="Arial" w:eastAsia="Arial" w:hAnsi="Arial"/>
                <w:sz w:val="18"/>
                <w:szCs w:val="18"/>
                <w:color w:val="auto"/>
                <w:w w:val="97"/>
              </w:rPr>
              <w:t>NM*</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NM*</w:t>
            </w:r>
          </w:p>
        </w:tc>
        <w:tc>
          <w:tcPr>
            <w:tcW w:w="1300" w:type="dxa"/>
            <w:vAlign w:val="bottom"/>
            <w:shd w:val="clear" w:color="auto" w:fill="CCEEFF"/>
          </w:tcPr>
          <w:p>
            <w:pPr>
              <w:spacing w:after="0"/>
              <w:rPr>
                <w:sz w:val="23"/>
                <w:szCs w:val="23"/>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Government Services revenues increased by $15.2 million, or 54.7%, during the three months ended April 30, 2017, as compared to the three months ended April 30, 2016. The increase was primarily attributable to mission support, facility services, construction, and healthcare projects.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was $18.2 million during the three months ended April 30, 2017, an increase of $19.7 million, as compared to an operating loss of $1.5 million during the three months ended April 30, 2016. The increase in operating profit was primarily attributable to the aforementioned $17.4 million impairment recovery, the absence of a specific reserve established for a client receivable, and the termination of amortization expense associated with the held-for-sale classification.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(3.9)</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(9.6)%</w:t>
            </w:r>
          </w:p>
        </w:tc>
      </w:tr>
    </w:tbl>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Corporate expenses decreased by $3.9 million, or 9.6%, during the three months ended April 30, 2017, as compared to the three months ended April 30, 2016. The decrease in corporate expenses was primarily related to:</w:t>
      </w:r>
    </w:p>
    <w:p>
      <w:pPr>
        <w:spacing w:after="0" w:line="98" w:lineRule="exact"/>
        <w:rPr>
          <w:sz w:val="20"/>
          <w:szCs w:val="20"/>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 $5.2 million specific reserve established in the three months ended April 30, 2016 for a portion of a client receivable that is the subject of ongoing litigation; and</w:t>
      </w:r>
    </w:p>
    <w:p>
      <w:pPr>
        <w:spacing w:after="0" w:line="88" w:lineRule="exact"/>
        <w:rPr>
          <w:rFonts w:ascii="Arial" w:cs="Arial" w:eastAsia="Arial" w:hAnsi="Arial"/>
          <w:sz w:val="18"/>
          <w:szCs w:val="18"/>
          <w:color w:val="auto"/>
        </w:rPr>
      </w:pPr>
    </w:p>
    <w:p>
      <w:pPr>
        <w:ind w:right="200" w:firstLine="332"/>
        <w:spacing w:after="0" w:line="491"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$2.8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This decrease was partially offset by a $1.4 million increase in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4160"/>
        <w:spacing w:after="0" w:line="489" w:lineRule="auto"/>
        <w:rPr>
          <w:sz w:val="20"/>
          <w:szCs w:val="20"/>
          <w:color w:val="auto"/>
        </w:rPr>
      </w:pPr>
      <w:r>
        <w:rPr>
          <w:rFonts w:ascii="Arial" w:cs="Arial" w:eastAsia="Arial" w:hAnsi="Arial"/>
          <w:sz w:val="18"/>
          <w:szCs w:val="18"/>
          <w:b w:val="1"/>
          <w:bCs w:val="1"/>
          <w:i w:val="1"/>
          <w:iCs w:val="1"/>
          <w:color w:val="auto"/>
        </w:rPr>
        <w:t>Six Months Ended April 30, 2017 Compared with the Six Months Ended April 30, 2016 Consolidated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Six Months Ended April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7"/>
        </w:trPr>
        <w:tc>
          <w:tcPr>
            <w:tcW w:w="5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2,637.2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111.7</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4.4%</w:t>
            </w: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2,359.7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2,268.9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4.0%</w:t>
            </w:r>
          </w:p>
        </w:tc>
      </w:tr>
      <w:tr>
        <w:trPr>
          <w:trHeight w:val="278"/>
        </w:trPr>
        <w:tc>
          <w:tcPr>
            <w:tcW w:w="40" w:type="dxa"/>
            <w:vAlign w:val="bottom"/>
            <w:shd w:val="clear" w:color="auto" w:fill="CCEEFF"/>
          </w:tcPr>
          <w:p>
            <w:pPr>
              <w:spacing w:after="0"/>
              <w:rPr>
                <w:sz w:val="24"/>
                <w:szCs w:val="24"/>
                <w:color w:val="auto"/>
              </w:rPr>
            </w:pPr>
          </w:p>
        </w:tc>
        <w:tc>
          <w:tcPr>
            <w:tcW w:w="5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 bps</w:t>
            </w:r>
          </w:p>
        </w:tc>
        <w:tc>
          <w:tcPr>
            <w:tcW w:w="1240" w:type="dxa"/>
            <w:vAlign w:val="bottom"/>
            <w:shd w:val="clear" w:color="auto" w:fill="CCEEFF"/>
          </w:tcPr>
          <w:p>
            <w:pPr>
              <w:spacing w:after="0"/>
              <w:rPr>
                <w:sz w:val="24"/>
                <w:szCs w:val="24"/>
                <w:color w:val="auto"/>
              </w:rPr>
            </w:pP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(2.1)%</w:t>
            </w:r>
          </w:p>
        </w:tc>
      </w:tr>
      <w:tr>
        <w:trPr>
          <w:trHeight w:val="278"/>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(32.6)%</w:t>
            </w: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(12.7)%</w:t>
            </w:r>
          </w:p>
        </w:tc>
      </w:tr>
      <w:tr>
        <w:trPr>
          <w:trHeight w:val="278"/>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recovery</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46"/>
        </w:trPr>
        <w:tc>
          <w:tcPr>
            <w:tcW w:w="56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49.4</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74"/>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(28.8)%</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(24.0)%</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loss from discontinued operations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56"/>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64"/>
        </w:trPr>
        <w:tc>
          <w:tcPr>
            <w:tcW w:w="40" w:type="dxa"/>
            <w:vAlign w:val="bottom"/>
            <w:tcBorders>
              <w:bottom w:val="single" w:sz="8" w:color="CCEEFF"/>
            </w:tcBorders>
          </w:tcPr>
          <w:p>
            <w:pPr>
              <w:spacing w:after="0"/>
              <w:rPr>
                <w:sz w:val="22"/>
                <w:szCs w:val="22"/>
                <w:color w:val="auto"/>
              </w:rPr>
            </w:pPr>
          </w:p>
        </w:tc>
        <w:tc>
          <w:tcPr>
            <w:tcW w:w="5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43"/>
        </w:trPr>
        <w:tc>
          <w:tcPr>
            <w:tcW w:w="5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Revenues increased by $111.7 million, or 4.4%, during the six months ended April 30, 2017, as compared to the six months ended April 30, 2016. The increase in revenues was primarily attributable to organic growth in Aviation, Government Services, Technical Solutions, and B&amp;I and to $20.8 million of incremental revenues from acquisitions.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expenses increased by $90.8 million, or 4.0%, during the six months ended April 30, 2017, as compared to the six months ended April 30, 2016. Gross margin increased by 36 bps to 10.5% in the six months ended April 30, 2017 from 10.2% in the six months ended April 30, 2016. The increase in gross margin was primarily attributable to one less working day during the six months ended April 30, 2017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operational issues in certain geographic markets within our aviation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Selling, general and administrative expenses decreased by $4.2 million, or 2.1%, during the six months ended April 30, 2017, as compared to the six months ended April 30, 2016. The decrease in selling, general and administrative expenses was primarily related to:</w:t>
      </w:r>
    </w:p>
    <w:p>
      <w:pPr>
        <w:spacing w:after="0" w:line="9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$7.8 million reduction in bad debt expense primarily associated with the absence of specific reserves for certain client receivables;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$3.2 million reimbursement of previously expensed fees associated with a concluded internal investigation into a foreign entity formerly affiliated with a joint venture during the six months ended April 30, 2017;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0" w:right="239" w:bottom="1440" w:gutter="0" w:footer="0" w:header="0"/>
        </w:sectPr>
      </w:pPr>
    </w:p>
    <w:bookmarkStart w:id="33" w:name="page34"/>
    <w:bookmarkEnd w:id="33"/>
    <w:p>
      <w:pPr>
        <w:ind w:right="6380" w:firstLine="332"/>
        <w:spacing w:after="0" w:line="43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decrease was partially offset by:</w:t>
      </w:r>
    </w:p>
    <w:p>
      <w:pPr>
        <w:ind w:left="660" w:right="20" w:hanging="328"/>
        <w:spacing w:after="0" w:line="29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$3.1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$2.3 million increase in legal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Restructuring and related expenses decreased by $5.2 million, or 32.6%, during the six months ended April 30, 2017, as compared to the six months ended April 30,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Recovery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an offer from a strategic buyer to purchase our held-for-sale Government Services business for $35.0 million, we recorded a $17.4 million impairment recovery during the six months ended April 30, 2017 to adjust the fair value of certain previously impaired assets. Subsequently, on May 31, 2017, we completed the sale of this business for $35.5 million, subject to certain post-closing adjustments. Refer to “Developments and Trends—Government Services,” above,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effective tax rates on income from continuing operations for the six months ended April 30, 2017 and 2016 were 32.7% and 13.6%, respectively. The effective tax rate for the six months ended April 30, 2017 was favorably impacted by $2.1 million of excess tax benefits related to the vesting of share-based compensation awards and the 2017 Work Opportunity Tax Credits (“WOTC”) for new hires. The effective tax rate for the six months ended April 30, 2016 was favorably impacted by $4.8 million of WOTC from the retroactive reinstatement of the WOTC for calendar year 2015 and the impact of the 2016 WOTC for new hires.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from Discontinued Operations</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 xml:space="preserve">Net loss from discontinued operations was $73.2 million during the six months ended April 30, 2017 related to a legal reserve established in connection with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settlement agreements. Refer to </w:t>
      </w:r>
      <w:r>
        <w:rPr>
          <w:rFonts w:ascii="Arial" w:cs="Arial" w:eastAsia="Arial" w:hAnsi="Arial"/>
          <w:sz w:val="18"/>
          <w:szCs w:val="18"/>
          <w:i w:val="1"/>
          <w:iCs w:val="1"/>
          <w:color w:val="auto"/>
        </w:rPr>
        <w:t>“</w:t>
      </w:r>
      <w:r>
        <w:rPr>
          <w:rFonts w:ascii="Arial" w:cs="Arial" w:eastAsia="Arial" w:hAnsi="Arial"/>
          <w:sz w:val="18"/>
          <w:szCs w:val="18"/>
          <w:color w:val="auto"/>
        </w:rPr>
        <w:t>Developments and Trends—Legal,” above, for additional details.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During the six months ended April 30, 2017 we recognized as a component of our comprehensive income a foreign currency translation gain of $6.3 million compared with a loss of $4.4 million during the six months ended April 30, 2016. This change was related to the weakening of the U.S. Dollar (“USD”) against the Great Britain Pound during the six months ended April 30, 2017.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6"/>
          </w:tcPr>
          <w:p>
            <w:pPr>
              <w:ind w:left="140"/>
              <w:spacing w:after="0"/>
              <w:rPr>
                <w:sz w:val="20"/>
                <w:szCs w:val="20"/>
                <w:color w:val="auto"/>
              </w:rPr>
            </w:pPr>
            <w:r>
              <w:rPr>
                <w:rFonts w:ascii="Arial" w:cs="Arial" w:eastAsia="Arial" w:hAnsi="Arial"/>
                <w:sz w:val="15"/>
                <w:szCs w:val="15"/>
                <w:b w:val="1"/>
                <w:bCs w:val="1"/>
                <w:color w:val="auto"/>
              </w:rPr>
              <w:t>Six Months Ended April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2"/>
          </w:tcPr>
          <w:p>
            <w:pPr>
              <w:ind w:left="420"/>
              <w:spacing w:after="0"/>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1,487.6</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1,474.0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0.9%</w:t>
            </w:r>
          </w:p>
        </w:tc>
        <w:tc>
          <w:tcPr>
            <w:tcW w:w="0" w:type="dxa"/>
            <w:vAlign w:val="bottom"/>
          </w:tcPr>
          <w:p>
            <w:pPr>
              <w:spacing w:after="0"/>
              <w:rPr>
                <w:sz w:val="1"/>
                <w:szCs w:val="1"/>
                <w:color w:val="auto"/>
              </w:rPr>
            </w:pPr>
          </w:p>
        </w:tc>
      </w:tr>
      <w:tr>
        <w:trPr>
          <w:trHeight w:val="278"/>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464.2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62"/>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394.1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78"/>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1460" w:type="dxa"/>
            <w:vAlign w:val="bottom"/>
            <w:tcBorders>
              <w:bottom w:val="single" w:sz="8" w:color="CCEEFF"/>
            </w:tcBorders>
          </w:tcPr>
          <w:p>
            <w:pPr>
              <w:jc w:val="center"/>
              <w:ind w:left="38"/>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2,637.2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2,525.5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4.4%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79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2.8%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2.3 %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49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9"/>
              </w:rPr>
              <w:t>(12.4)%</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6.2%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7.1 %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(85)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8.6%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4.3 %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431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1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27.0%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5.9%</w:t>
            </w:r>
          </w:p>
        </w:tc>
        <w:tc>
          <w:tcPr>
            <w:tcW w:w="0" w:type="dxa"/>
            <w:vAlign w:val="bottom"/>
          </w:tcPr>
          <w:p>
            <w:pPr>
              <w:spacing w:after="0"/>
              <w:rPr>
                <w:sz w:val="1"/>
                <w:szCs w:val="1"/>
                <w:color w:val="auto"/>
              </w:rPr>
            </w:pPr>
          </w:p>
        </w:tc>
      </w:tr>
      <w:tr>
        <w:trPr>
          <w:trHeight w:val="19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6"/>
        </w:trPr>
        <w:tc>
          <w:tcPr>
            <w:tcW w:w="5680" w:type="dxa"/>
            <w:vAlign w:val="bottom"/>
            <w:gridSpan w:val="7"/>
            <w:shd w:val="clear" w:color="auto" w:fill="CCEEFF"/>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9"/>
              </w:rPr>
              <w:t>(22.2)%</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49.4</w:t>
            </w:r>
          </w:p>
        </w:tc>
        <w:tc>
          <w:tcPr>
            <w:tcW w:w="1460" w:type="dxa"/>
            <w:vAlign w:val="bottom"/>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Business &amp; Industry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260" w:type="dxa"/>
            <w:vAlign w:val="bottom"/>
          </w:tcPr>
          <w:p>
            <w:pPr>
              <w:jc w:val="right"/>
              <w:ind w:right="456"/>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Increase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1,474.0</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14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0"/>
              <w:spacing w:after="0"/>
              <w:rPr>
                <w:sz w:val="20"/>
                <w:szCs w:val="20"/>
                <w:color w:val="auto"/>
              </w:rPr>
            </w:pPr>
            <w:r>
              <w:rPr>
                <w:rFonts w:ascii="Arial" w:cs="Arial" w:eastAsia="Arial" w:hAnsi="Arial"/>
                <w:sz w:val="18"/>
                <w:szCs w:val="18"/>
                <w:color w:val="auto"/>
              </w:rPr>
              <w:t>12.4</w:t>
            </w:r>
          </w:p>
        </w:tc>
        <w:tc>
          <w:tcPr>
            <w:tcW w:w="1460" w:type="dxa"/>
            <w:vAlign w:val="bottom"/>
          </w:tcPr>
          <w:p>
            <w:pPr>
              <w:jc w:val="right"/>
              <w:ind w:right="558"/>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0"/>
              <w:spacing w:after="0"/>
              <w:rPr>
                <w:sz w:val="20"/>
                <w:szCs w:val="20"/>
                <w:color w:val="auto"/>
              </w:rPr>
            </w:pPr>
            <w:r>
              <w:rPr>
                <w:rFonts w:ascii="Arial" w:cs="Arial" w:eastAsia="Arial" w:hAnsi="Arial"/>
                <w:sz w:val="14"/>
                <w:szCs w:val="14"/>
                <w:i w:val="1"/>
                <w:iCs w:val="1"/>
                <w:color w:val="auto"/>
              </w:rPr>
              <w:t>79 bps</w:t>
            </w: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B&amp;I revenues increased by $13.6 million, or 0.9%, during the six months ended April 30, 2017, as compared to the six months ended April 30, 2016. The increase was primarily attributable to the expansion of existing facility services and janitorial accounts, partially offset by lower parking revenues. Management reimbursement revenues for this segment totaled $115.9 million and $113.7 million for the six months ended April 30,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$12.4 million, or 20.2%, during the six months ended April 30, 2017, as compared to the six months ended April 30, 2016. Operating profit margin increased by 79 bps to 4.9% in the six months ended April 30, 2017 from 4.1% in the six months ended April 30, 2016. The increase in operating profit margin was primarily related to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one less working day during the six months ended April 30, 2017, lower legal settlement costs, and the absence of a specific reserve established for a client receivable. This increase was partially offset by lower profit margins associated with certain leased location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464.2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57.4</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14.1%</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3.6</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38.6%</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49 bps</w:t>
            </w:r>
          </w:p>
        </w:tc>
        <w:tc>
          <w:tcPr>
            <w:tcW w:w="13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Aviation revenues increased by $57.4 million, or 14.1%, during the six months ended April 30, 2017, as compared to the six months ended April 30, 2016. The increase was primarily attributable to U.S. organic growth in passenger services, cabin cleaning, transportation, parking, and facility services and to new business in our U.K. operations. Management reimbursement revenues for this segment totaled $32.7 million and $40.8 million for the six months ended April 30,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$ 3.6 million, or 38.6%, during the six months ended April 30, 2017, as compared to the six months ended April 30, 2016. Operating profit margin increased by 49 bps to 2.8% in the six months ended April 30, 2017 from 2.3% in the six months ended April 30, 2016. The increase in operating profit margin was primarily attributable to savings and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absence of both a penalty imposed by a regulatory agency and a specific reserve established for a client receivable. This increase was partially offset by operational issues in certain geographic markets.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6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392.6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(1.5)</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60" w:type="dxa"/>
            <w:vAlign w:val="bottom"/>
          </w:tcPr>
          <w:p>
            <w:pPr>
              <w:jc w:val="right"/>
              <w:ind w:right="554"/>
              <w:spacing w:after="0"/>
              <w:rPr>
                <w:sz w:val="20"/>
                <w:szCs w:val="20"/>
                <w:color w:val="auto"/>
              </w:rPr>
            </w:pPr>
            <w:r>
              <w:rPr>
                <w:rFonts w:ascii="Arial" w:cs="Arial" w:eastAsia="Arial" w:hAnsi="Arial"/>
                <w:sz w:val="18"/>
                <w:szCs w:val="18"/>
                <w:color w:val="auto"/>
              </w:rPr>
              <w:t>(3.4)</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(12.4)%</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7.1%</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(85) bps</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Emerging Industries Group revenues decreased by $1.5 million, or 0.4%, during the six months ended April 30, 2017, as compared to the six months ended April 30, 2016. The decrease was primarily related to the losses of a multi-location High Tech janitorial contract and certain Education facility services contracts. The decrease in revenues for this segment was partially offset by net new janitorial business in the Education and Healthcare industry groups.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decreased by $3.4 million, or 12.4%, during the six months ended April 30, 2017, as compared to the six months ended April 30, 2016. Operating profit margin decreased by 85 bps to 6.2% in the six months ended April 30, 2017 from 7.1% in the six months ended April 30, 2016. The decrease in operating profit margin was primarily attributable to lower contribution margin from certain High Tech contracts, including the loss of a multi-location janitorial account, and higher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The decrease in operating profit margin for this segment was partially offset by one less working day during the six months ended April 30, 2017.</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Technical Solutions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218.5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24.1</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12.4%</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tcPr>
          <w:p>
            <w:pPr>
              <w:jc w:val="right"/>
              <w:ind w:right="614"/>
              <w:spacing w:after="0"/>
              <w:rPr>
                <w:sz w:val="20"/>
                <w:szCs w:val="20"/>
                <w:color w:val="auto"/>
              </w:rPr>
            </w:pPr>
            <w:r>
              <w:rPr>
                <w:rFonts w:ascii="Arial" w:cs="Arial" w:eastAsia="Arial" w:hAnsi="Arial"/>
                <w:sz w:val="18"/>
                <w:szCs w:val="18"/>
                <w:color w:val="auto"/>
              </w:rPr>
              <w:t>10.5</w:t>
            </w:r>
          </w:p>
        </w:tc>
        <w:tc>
          <w:tcPr>
            <w:tcW w:w="1340" w:type="dxa"/>
            <w:vAlign w:val="bottom"/>
          </w:tcPr>
          <w:p>
            <w:pPr>
              <w:jc w:val="center"/>
              <w:ind w:right="390"/>
              <w:spacing w:after="0"/>
              <w:rPr>
                <w:sz w:val="20"/>
                <w:szCs w:val="20"/>
                <w:color w:val="auto"/>
              </w:rPr>
            </w:pPr>
            <w:r>
              <w:rPr>
                <w:rFonts w:ascii="Arial" w:cs="Arial" w:eastAsia="Arial" w:hAnsi="Arial"/>
                <w:sz w:val="18"/>
                <w:szCs w:val="18"/>
                <w:color w:val="auto"/>
                <w:w w:val="97"/>
              </w:rPr>
              <w:t>NM*</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431 bps</w:t>
            </w:r>
          </w:p>
        </w:tc>
        <w:tc>
          <w:tcPr>
            <w:tcW w:w="1340" w:type="dxa"/>
            <w:vAlign w:val="bottom"/>
            <w:shd w:val="clear" w:color="auto" w:fill="CCEEFF"/>
          </w:tcPr>
          <w:p>
            <w:pPr>
              <w:spacing w:after="0"/>
              <w:rPr>
                <w:sz w:val="23"/>
                <w:szCs w:val="23"/>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Technical Solutions revenues increased by $24.1 million, or 12.4%, during the six months ended April 30, 2017, as compared to the six months ended April 30, 2016. This increase was primarily attributable to higher project revenues and incremental revenues from acquisitions of $12.0 million.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profit increased by $10.5 million during the six months ended April 30, 2017, as compared to the six months ended April 30,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2016. Operating profit margin increased by 431 bps to 8.6% in the six months ended April 30, 2017 from 4.3% in the 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 The increase in operating profit margin was primarily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attributable to the contribution of higher margin project revenues and the management of our selling, general and administrative expenses.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Government Services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6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18.1</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32.1%</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Operating profit (loss)</w:t>
            </w:r>
          </w:p>
        </w:tc>
        <w:tc>
          <w:tcPr>
            <w:tcW w:w="44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21.3</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rPr>
              <w:t>NM*</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NM*</w:t>
            </w:r>
          </w:p>
        </w:tc>
        <w:tc>
          <w:tcPr>
            <w:tcW w:w="1320" w:type="dxa"/>
            <w:vAlign w:val="bottom"/>
            <w:shd w:val="clear" w:color="auto" w:fill="CCEEFF"/>
          </w:tcPr>
          <w:p>
            <w:pPr>
              <w:spacing w:after="0"/>
              <w:rPr>
                <w:sz w:val="23"/>
                <w:szCs w:val="23"/>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Government Services revenues increased by $18.1 million, or 32.1%, during the six months ended April 30, 2017, as compared to the six months ended April 30, 2016. The increase was primarily attributable to mission support, construction, healthcare, and facility services projects.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was $20.0 million during the six months ended April 30, 2017, an increase of $21.3 million, as compared to an operating loss of $1.3 million during the six months ended April 30, 2016. The increase in operating profit was primarily attributable to the aforementioned $17.4 million impairment recovery, the absence of a specific reserve established for a client receivable, expense management, and the termination of amortization expense associated with the held-for-sale classification.</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April 30,</w:t>
            </w:r>
          </w:p>
        </w:tc>
        <w:tc>
          <w:tcPr>
            <w:tcW w:w="7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(4.5)</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(5.9)%</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decreased by $4.5 million, or 5.9%, during the six months ended April 30, 2017, as compared to the six months ended April 30, 2016. The decrease in corporate expenses was primarily related to:</w:t>
      </w:r>
    </w:p>
    <w:p>
      <w:pPr>
        <w:spacing w:after="0" w:line="91" w:lineRule="exact"/>
        <w:rPr>
          <w:sz w:val="20"/>
          <w:szCs w:val="20"/>
          <w:color w:val="auto"/>
        </w:rPr>
      </w:pPr>
    </w:p>
    <w:p>
      <w:pPr>
        <w:ind w:left="66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a $5.2 million specific reserve established in the three months ended April 30, 2016 for a portion of a client receivable that is the subject of ongoing litigation;</w:t>
      </w:r>
    </w:p>
    <w:p>
      <w:pPr>
        <w:spacing w:after="0" w:line="88" w:lineRule="exact"/>
        <w:rPr>
          <w:rFonts w:ascii="Arial" w:cs="Arial" w:eastAsia="Arial" w:hAnsi="Arial"/>
          <w:sz w:val="18"/>
          <w:szCs w:val="18"/>
          <w:color w:val="auto"/>
        </w:rPr>
      </w:pPr>
    </w:p>
    <w:p>
      <w:pPr>
        <w:ind w:left="660" w:hanging="328"/>
        <w:spacing w:after="0" w:line="29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$4.9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and</w:t>
      </w:r>
    </w:p>
    <w:p>
      <w:pPr>
        <w:spacing w:after="0" w:line="8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$3.2 million reimbursement of previously expensed fees associated with a concluded internal investigation into a foreign entity formerly affiliated with a joint venture during the six months ended April 30, 2017.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6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$2.6 million increase in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$2.3 million increase in legal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 million increase in sales tax reserve for certain sales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primary sources of liquidity are operating cash flows and borrowing capacity under our line of credit.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As discussed within “Developments and Trends” above, the expected settlements of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cases will have an impact on our liquidity. As a result, we are reevaluating certain uses of cash in the short term, including share repurchases. In addition to normal working capital requirements, we anticipate that our short-term cash requirements will include funding legal settlements, dividend payments, and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external support fees. We anticipate long-term cash uses will include strategic acquisitions, share repurchases, and capital expenditures.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operating cash flows and borrowing capacity under our line of credit are sufficient to fund our cash requirements for the next twelve months. In the event that our plans change or our cash requirements are greater than we anticipate, we may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On a long-term basis, we will continue to rely on our line of credit for any long-term funding not provided by operating cash flows. In addition, we anticipate that future cash generated from operations will be favorably impacted by working capital improvements driven by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plan to reinvest our foreign earnings to fund future non-U.S. growth and expansion. As a result, we have not provided for federal and state income taxes or foreign withholding taxes that may result if such earnings of our foreign subsidiaries are remitted to the United States. We believe that our cash on hand in the United States, along with our line of credit and future domestic cash flows, are sufficient to satisfy our domestic liquidity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April 30, 2017, the total outstanding amounts under our $800.0 million line of credit in the form of cash borrowings and standby letters of credit were $277.9 million and $128.9 million, respectively. At April 30, 2017, we had up to $393.2 million of borrowing capacity under our line of credit. Current covenant restrictions limit our borrowing capacity to $262.1 million, however the leverage ratio could increase for up to four fiscal quarters if we complete a material acquisition, as defined in the credit agreement.</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On January 6, 2017, ABM entered into an amendment (the “Seventh Amendment”) to our line of credit that amends, among other things, the calculations of certain financial covenants to incorporate adjustments with respect to particular cash and non-cash charges, including any reserves, taken in connection with certain litigation. Other covenants under our line of credit include limitations on liens, dispositions, fundamental changes, investments, and certain transactions and payments. As of April 30, 2017, we were in compliance with these covenants and expect to be in compliance in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2017, we expect accelerated cash tax savings related to coverage provided by IFM will be between $10 million and $15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On September 2, 2015, our Board of Directors authorized a program to repurchase up to $200.0 million shares of our common stock. Purchases may take place on the open market or otherwise, and all or part of the repurchases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0"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April 30, 2017, authorization for $134.1 million of repurchases remained under our share repurchase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gridSpan w:val="4"/>
          </w:tcPr>
          <w:p>
            <w:pPr>
              <w:jc w:val="right"/>
              <w:ind w:right="1410"/>
              <w:spacing w:after="0"/>
              <w:rPr>
                <w:sz w:val="20"/>
                <w:szCs w:val="20"/>
                <w:color w:val="auto"/>
              </w:rPr>
            </w:pPr>
            <w:r>
              <w:rPr>
                <w:rFonts w:ascii="Arial" w:cs="Arial" w:eastAsia="Arial" w:hAnsi="Arial"/>
                <w:sz w:val="18"/>
                <w:szCs w:val="18"/>
                <w:b w:val="1"/>
                <w:bCs w:val="1"/>
                <w:color w:val="auto"/>
              </w:rPr>
              <w:t>Six Months Ended April 30,</w:t>
            </w:r>
          </w:p>
        </w:tc>
      </w:tr>
      <w:tr>
        <w:trPr>
          <w:trHeight w:val="224"/>
        </w:trPr>
        <w:tc>
          <w:tcPr>
            <w:tcW w:w="60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5"/>
        </w:trPr>
        <w:tc>
          <w:tcPr>
            <w:tcW w:w="604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29.82</w:t>
            </w:r>
          </w:p>
        </w:tc>
      </w:tr>
      <w:tr>
        <w:trPr>
          <w:trHeight w:val="275"/>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$50.1 million during the six months ended April 30, 2017.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April 30,</w:t>
            </w:r>
          </w:p>
        </w:tc>
      </w:tr>
      <w:tr>
        <w:trPr>
          <w:trHeight w:val="198"/>
        </w:trPr>
        <w:tc>
          <w:tcPr>
            <w:tcW w:w="78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Pr>
          <w:p>
            <w:pPr>
              <w:spacing w:after="0"/>
              <w:rPr>
                <w:sz w:val="17"/>
                <w:szCs w:val="17"/>
                <w:color w:val="auto"/>
              </w:rPr>
            </w:pPr>
          </w:p>
        </w:tc>
        <w:tc>
          <w:tcPr>
            <w:tcW w:w="1340" w:type="dxa"/>
            <w:vAlign w:val="bottom"/>
          </w:tcPr>
          <w:p>
            <w:pPr>
              <w:jc w:val="right"/>
              <w:ind w:right="570"/>
              <w:spacing w:after="0" w:line="18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70"/>
              <w:spacing w:after="0" w:line="182" w:lineRule="exact"/>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9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operating activities of continuing operations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65"/>
        </w:trPr>
        <w:tc>
          <w:tcPr>
            <w:tcW w:w="7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cash used in operating activities of discontinued operations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8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 of continuing operations</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65"/>
        </w:trPr>
        <w:tc>
          <w:tcPr>
            <w:tcW w:w="78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 of discontinued operations</w:t>
            </w:r>
          </w:p>
        </w:tc>
        <w:tc>
          <w:tcPr>
            <w:tcW w:w="38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5"/>
        </w:trPr>
        <w:tc>
          <w:tcPr>
            <w:tcW w:w="78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8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operating activities of continuing operations decreased by $28.9 million during the six months ended April 30, 2017, as compared to the six months ended April 30, 2016. This decrease was primarily related to the timing of client receivable collections, partially offset by the timing of vendor payments.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operating activities of discontinued operations decreased by $20.5 million during the six months ended April 30, 2017, as compared to the six months ended April 30, 2016. This decrease was primarily attributable to the absence of $20.6 million in taxes paid related to the sale of our Security business.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of continuing operations decreased by $45.3 million during the six months ended April 30, 2017, as compared to the six months ended April 30, 2016. The decrease was primarily related to a $62.4 million year-over-year decrease in cash paid, net of cash acquired, for acquisitions.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of discontinued operations decreased by $3.1 million during the six months ended April 30, 2017, as compared to the six months ended April 30, 2016. The decrease was related to the absence of the payment of the final working capital adjustment from the sale of our Security business.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Net cash used in financing activities was $0.5 million during the six months ended April 30, 2017 as compared to net cash provided by financing activities of $28.6 million during the six months ended April 30, 2016, a change of $29.1 million. The change was primarily related to lower net borrowings of $41.3 million associated with greater financing activity in the first quarter of 2016 to fund the Westway acquisition and to $7.9 million lower proceeds from energy savings performance contract projects during the six months ended April 30, 2017, partially offset by $13.6 million in lower common stock repurchases.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April 30, 2017, the total amount accrued for all probable litigation losses where a reasonable estimate of the loss could be made was $129.0 million. This $ 129.0 million includes the accrual of $115.0 million in connection with the probable settlements of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Karapetyan </w:t>
      </w:r>
      <w:r>
        <w:rPr>
          <w:rFonts w:ascii="Arial" w:cs="Arial" w:eastAsia="Arial" w:hAnsi="Arial"/>
          <w:sz w:val="18"/>
          <w:szCs w:val="18"/>
          <w:color w:val="auto"/>
        </w:rPr>
        <w:t>cases, as well as an accrual for payroll taxes related to the probable settlements of $6.8 million. The remaining $7.2 million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to various other probable litigation losses.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$16 million.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12,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ectPr>
          <w:pgSz w:w="11900" w:h="16838" w:orient="portrait"/>
          <w:cols w:equalWidth="0" w:num="1">
            <w:col w:w="11340"/>
          </w:cols>
          <w:pgMar w:left="240" w:top="522" w:right="319" w:bottom="1440" w:gutter="0" w:footer="0" w:header="0"/>
        </w:sect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7" w:lineRule="exact"/>
        <w:rPr>
          <w:sz w:val="20"/>
          <w:szCs w:val="20"/>
          <w:color w:val="auto"/>
        </w:rPr>
      </w:pPr>
    </w:p>
    <w:p>
      <w:pPr>
        <w:ind w:left="40" w:right="180"/>
        <w:spacing w:after="0" w:line="235" w:lineRule="auto"/>
        <w:rPr>
          <w:sz w:val="20"/>
          <w:szCs w:val="20"/>
          <w:color w:val="auto"/>
        </w:rPr>
      </w:pPr>
      <w:r>
        <w:rPr>
          <w:rFonts w:ascii="Arial" w:cs="Arial" w:eastAsia="Arial" w:hAnsi="Arial"/>
          <w:sz w:val="15"/>
          <w:szCs w:val="15"/>
          <w:color w:val="auto"/>
        </w:rPr>
        <w:t xml:space="preserve">In May 2017, the Financial Accounting Standards Board (“FASB”) issued Accounting Standards Update (“ASU”) 2017-10, </w:t>
      </w:r>
      <w:r>
        <w:rPr>
          <w:rFonts w:ascii="Arial" w:cs="Arial" w:eastAsia="Arial" w:hAnsi="Arial"/>
          <w:sz w:val="15"/>
          <w:szCs w:val="15"/>
          <w:i w:val="1"/>
          <w:iCs w:val="1"/>
          <w:color w:val="auto"/>
        </w:rPr>
        <w:t>Service Concession</w:t>
      </w:r>
      <w:r>
        <w:rPr>
          <w:rFonts w:ascii="Arial" w:cs="Arial" w:eastAsia="Arial" w:hAnsi="Arial"/>
          <w:sz w:val="15"/>
          <w:szCs w:val="15"/>
          <w:color w:val="auto"/>
        </w:rPr>
        <w:t xml:space="preserve"> </w:t>
      </w:r>
      <w:r>
        <w:rPr>
          <w:rFonts w:ascii="Arial" w:cs="Arial" w:eastAsia="Arial" w:hAnsi="Arial"/>
          <w:sz w:val="15"/>
          <w:szCs w:val="15"/>
          <w:i w:val="1"/>
          <w:iCs w:val="1"/>
          <w:color w:val="auto"/>
        </w:rPr>
        <w:t>Arrangements (Topic 853): Determining the Customer of the Operation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 w:lineRule="exact"/>
        <w:rPr>
          <w:sz w:val="20"/>
          <w:szCs w:val="20"/>
          <w:color w:val="auto"/>
        </w:rPr>
      </w:pPr>
    </w:p>
    <w:p>
      <w:pPr>
        <w:ind w:left="40" w:right="60"/>
        <w:spacing w:after="0" w:line="239" w:lineRule="auto"/>
        <w:rPr>
          <w:sz w:val="20"/>
          <w:szCs w:val="20"/>
          <w:color w:val="auto"/>
        </w:rPr>
      </w:pPr>
      <w:r>
        <w:rPr>
          <w:rFonts w:ascii="Arial" w:cs="Arial" w:eastAsia="Arial" w:hAnsi="Arial"/>
          <w:sz w:val="15"/>
          <w:szCs w:val="15"/>
          <w:color w:val="auto"/>
        </w:rPr>
        <w:t xml:space="preserve">In May 2017, the FASB issued ASU 2017-09, </w:t>
      </w:r>
      <w:r>
        <w:rPr>
          <w:rFonts w:ascii="Arial" w:cs="Arial" w:eastAsia="Arial" w:hAnsi="Arial"/>
          <w:sz w:val="15"/>
          <w:szCs w:val="15"/>
          <w:i w:val="1"/>
          <w:iCs w:val="1"/>
          <w:color w:val="auto"/>
        </w:rPr>
        <w:t>Compensation—</w:t>
      </w:r>
    </w:p>
    <w:p>
      <w:pPr>
        <w:spacing w:after="0" w:line="1" w:lineRule="exact"/>
        <w:rPr>
          <w:sz w:val="20"/>
          <w:szCs w:val="20"/>
          <w:color w:val="auto"/>
        </w:rPr>
      </w:pPr>
    </w:p>
    <w:p>
      <w:pPr>
        <w:ind w:left="40"/>
        <w:spacing w:after="0" w:line="244" w:lineRule="auto"/>
        <w:rPr>
          <w:sz w:val="20"/>
          <w:szCs w:val="20"/>
          <w:color w:val="auto"/>
        </w:rPr>
      </w:pPr>
      <w:r>
        <w:rPr>
          <w:rFonts w:ascii="Arial" w:cs="Arial" w:eastAsia="Arial" w:hAnsi="Arial"/>
          <w:sz w:val="15"/>
          <w:szCs w:val="15"/>
          <w:i w:val="1"/>
          <w:iCs w:val="1"/>
          <w:color w:val="auto"/>
        </w:rPr>
        <w:t>Stock Compensation (Topic 718): Scope of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right="360"/>
        <w:spacing w:after="0" w:line="239"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Compensation—</w:t>
      </w:r>
    </w:p>
    <w:p>
      <w:pPr>
        <w:spacing w:after="0" w:line="1" w:lineRule="exact"/>
        <w:rPr>
          <w:sz w:val="20"/>
          <w:szCs w:val="20"/>
          <w:color w:val="auto"/>
        </w:rPr>
      </w:pPr>
    </w:p>
    <w:p>
      <w:pPr>
        <w:ind w:left="40"/>
        <w:spacing w:after="0" w:line="233" w:lineRule="auto"/>
        <w:rPr>
          <w:sz w:val="20"/>
          <w:szCs w:val="20"/>
          <w:color w:val="auto"/>
        </w:rPr>
      </w:pPr>
      <w:r>
        <w:rPr>
          <w:rFonts w:ascii="Arial" w:cs="Arial" w:eastAsia="Arial" w:hAnsi="Arial"/>
          <w:sz w:val="15"/>
          <w:szCs w:val="15"/>
          <w:i w:val="1"/>
          <w:iCs w:val="1"/>
          <w:color w:val="auto"/>
        </w:rPr>
        <w:t>Retirement Benefits (Topic 715): Improving the Presentation of Net Periodic Pension Cost and Net Periodic Postretirement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right="240"/>
        <w:spacing w:after="0" w:line="239" w:lineRule="auto"/>
        <w:rPr>
          <w:sz w:val="20"/>
          <w:szCs w:val="20"/>
          <w:color w:val="auto"/>
        </w:rPr>
      </w:pPr>
      <w:r>
        <w:rPr>
          <w:rFonts w:ascii="Arial" w:cs="Arial" w:eastAsia="Arial" w:hAnsi="Arial"/>
          <w:sz w:val="15"/>
          <w:szCs w:val="15"/>
          <w:color w:val="auto"/>
        </w:rPr>
        <w:t xml:space="preserve">In January 2017, the FASB issued ASU 2017-04, </w:t>
      </w:r>
      <w:r>
        <w:rPr>
          <w:rFonts w:ascii="Arial" w:cs="Arial" w:eastAsia="Arial" w:hAnsi="Arial"/>
          <w:sz w:val="15"/>
          <w:szCs w:val="15"/>
          <w:i w:val="1"/>
          <w:iCs w:val="1"/>
          <w:color w:val="auto"/>
        </w:rPr>
        <w:t>Intangibles—</w:t>
      </w:r>
    </w:p>
    <w:p>
      <w:pPr>
        <w:spacing w:after="0" w:line="1" w:lineRule="exact"/>
        <w:rPr>
          <w:sz w:val="20"/>
          <w:szCs w:val="20"/>
          <w:color w:val="auto"/>
        </w:rPr>
      </w:pPr>
    </w:p>
    <w:p>
      <w:pPr>
        <w:jc w:val="both"/>
        <w:ind w:left="40" w:right="740"/>
        <w:spacing w:after="0" w:line="236" w:lineRule="auto"/>
        <w:rPr>
          <w:sz w:val="20"/>
          <w:szCs w:val="20"/>
          <w:color w:val="auto"/>
        </w:rPr>
      </w:pPr>
      <w:r>
        <w:rPr>
          <w:rFonts w:ascii="Arial" w:cs="Arial" w:eastAsia="Arial" w:hAnsi="Arial"/>
          <w:sz w:val="15"/>
          <w:szCs w:val="15"/>
          <w:i w:val="1"/>
          <w:iCs w:val="1"/>
          <w:color w:val="auto"/>
        </w:rPr>
        <w:t>Goodwill and Other (Topic 350): Simplifying the Test for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25400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7"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This ASU provides clarity on determining the customer in a service concession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308610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This ASU clarifies which changes to the terms or conditions of a share-based payment award require an entity to apply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826770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To align with the presentation of compensation costs arising from services rendered by employees, this ASU requires classification of the service cost component of pension expense as an operating expense. The other components of pension expense, such as interest cost, amortization of prior service cost, and gains or losses, are required to be presented outside of operating expenses. This ASU also allows the service cost component to be eligible for capitalization,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 w:lineRule="exact"/>
        <w:rPr>
          <w:sz w:val="20"/>
          <w:szCs w:val="20"/>
          <w:color w:val="auto"/>
        </w:rPr>
      </w:pPr>
    </w:p>
    <w:p>
      <w:pPr>
        <w:ind w:right="60"/>
        <w:spacing w:after="0" w:line="231" w:lineRule="auto"/>
        <w:rPr>
          <w:sz w:val="20"/>
          <w:szCs w:val="20"/>
          <w:color w:val="auto"/>
        </w:rPr>
      </w:pPr>
      <w:r>
        <w:rPr>
          <w:rFonts w:ascii="Arial" w:cs="Arial" w:eastAsia="Arial" w:hAnsi="Arial"/>
          <w:sz w:val="15"/>
          <w:szCs w:val="15"/>
          <w:color w:val="auto"/>
        </w:rPr>
        <w:t>Under previous U.S. GAAP, entities were required to test goodwill for impairment using a two step approach. Under this ASU, an entity will assess goodwill for impairment by comparing the fair value of a reporting unit to its carrying amount, which is the equivalent of step one under existing guidance. Therefore, this ASU simplifies previous U.S. GAAP by removing the second step of the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315595</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b w:val="1"/>
          <w:bCs w:val="1"/>
          <w:color w:val="auto"/>
        </w:rPr>
        <w:t xml:space="preserve">Effective Date/Method of Adoption </w:t>
      </w:r>
      <w:r>
        <w:rPr>
          <w:rFonts w:ascii="Arial" w:cs="Arial" w:eastAsia="Arial" w:hAnsi="Arial"/>
          <w:sz w:val="15"/>
          <w:szCs w:val="15"/>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-125730</wp:posOffset>
            </wp:positionV>
            <wp:extent cx="1732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right="300"/>
        <w:spacing w:after="0" w:line="236" w:lineRule="auto"/>
        <w:rPr>
          <w:sz w:val="20"/>
          <w:szCs w:val="20"/>
          <w:color w:val="auto"/>
        </w:rPr>
      </w:pPr>
      <w:r>
        <w:rPr>
          <w:rFonts w:ascii="Arial" w:cs="Arial" w:eastAsia="Arial" w:hAnsi="Arial"/>
          <w:sz w:val="15"/>
          <w:szCs w:val="15"/>
          <w:color w:val="auto"/>
        </w:rPr>
        <w:t>We will adopt this standard in conjunction with ASU 2014-09,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Adoption of this standard will be applied prospectively to awards modified on or after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720090</wp:posOffset>
            </wp:positionV>
            <wp:extent cx="1732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Adoption of this standard will be applied retrospectively for the classification requirements and prospectively for the capitalization of the service cost component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520700</wp:posOffset>
            </wp:positionV>
            <wp:extent cx="1732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We early adopted this standard in the second quarter of 2017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1028700</wp:posOffset>
            </wp:positionV>
            <wp:extent cx="1732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660"/>
        <w:spacing w:after="0" w:line="272" w:lineRule="auto"/>
        <w:rPr>
          <w:sz w:val="20"/>
          <w:szCs w:val="20"/>
          <w:color w:val="auto"/>
        </w:rPr>
      </w:pPr>
      <w:r>
        <w:rPr>
          <w:rFonts w:ascii="Arial" w:cs="Arial" w:eastAsia="Arial" w:hAnsi="Arial"/>
          <w:sz w:val="15"/>
          <w:szCs w:val="15"/>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-9525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right="40"/>
        <w:spacing w:after="0" w:line="235" w:lineRule="auto"/>
        <w:rPr>
          <w:sz w:val="20"/>
          <w:szCs w:val="20"/>
          <w:color w:val="auto"/>
        </w:rPr>
      </w:pPr>
      <w:r>
        <w:rPr>
          <w:rFonts w:ascii="Arial" w:cs="Arial" w:eastAsia="Arial" w:hAnsi="Arial"/>
          <w:sz w:val="15"/>
          <w:szCs w:val="15"/>
          <w:color w:val="auto"/>
        </w:rPr>
        <w:t>We are currently evaluating the impact of this ASU on our consolidated financial statements and will continue to evaluate alongside our evaluation of implementing ASU 2014-09.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8"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The impact of this new standard will depend on the extent and nature of future changes to the terms of our share-based payment awards. Historically, we have not had significant changes to our share-based payment awards and therefore do not expect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55880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As ABM’s defined benefit and postretirement benefit plans were previously amended to preclude new participants, the adoption of this guidance will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622300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There was no impact on our consolidated financial statements upon adoption based on the underlying excess of fair value over carrying value of our reporting units, as initially assessed. Future impact to our consolidated financial statements will depend on the outcomes of future goodwill impairment tests; however, we do not expect a material impact based on current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4">
            <w:col w:w="2940" w:space="180"/>
            <w:col w:w="2880" w:space="200"/>
            <w:col w:w="2600" w:space="240"/>
            <w:col w:w="2300"/>
          </w:cols>
          <w:pgMar w:left="240" w:top="522" w:right="319" w:bottom="1440" w:gutter="0" w:footer="0" w:header="0"/>
          <w:type w:val="continuous"/>
        </w:sectPr>
      </w:pPr>
    </w:p>
    <w:p>
      <w:pPr>
        <w:ind w:left="40" w:right="40"/>
        <w:spacing w:after="0" w:line="241" w:lineRule="auto"/>
        <w:rPr>
          <w:sz w:val="20"/>
          <w:szCs w:val="20"/>
          <w:color w:val="auto"/>
        </w:rPr>
      </w:pPr>
      <w:r>
        <w:rPr>
          <w:rFonts w:ascii="Arial" w:cs="Arial" w:eastAsia="Arial" w:hAnsi="Arial"/>
          <w:sz w:val="15"/>
          <w:szCs w:val="15"/>
          <w:color w:val="auto"/>
        </w:rPr>
        <w:t xml:space="preserve">In January 2017, the FASB issued ASU 2017-01,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805): Clarifying the Definition of a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1886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7" w:lineRule="exact"/>
        <w:rPr>
          <w:sz w:val="20"/>
          <w:szCs w:val="20"/>
          <w:color w:val="auto"/>
        </w:rPr>
      </w:pPr>
    </w:p>
    <w:p>
      <w:pPr>
        <w:ind w:left="40"/>
        <w:spacing w:after="0" w:line="272"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1886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5"/>
          <w:szCs w:val="15"/>
          <w:color w:val="auto"/>
        </w:rPr>
        <w:t>This ASU creates a narrower framework to be applied in the determination of whether a set of assets and activities constitutes a business, which reduces the number of transactions that qualify as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5715</wp:posOffset>
            </wp:positionV>
            <wp:extent cx="1886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109220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ind w:right="120"/>
        <w:spacing w:after="0" w:line="249" w:lineRule="auto"/>
        <w:rPr>
          <w:sz w:val="20"/>
          <w:szCs w:val="20"/>
          <w:color w:val="auto"/>
        </w:rPr>
      </w:pPr>
      <w:r>
        <w:rPr>
          <w:rFonts w:ascii="Arial" w:cs="Arial" w:eastAsia="Arial" w:hAnsi="Arial"/>
          <w:sz w:val="15"/>
          <w:szCs w:val="15"/>
          <w:color w:val="auto"/>
        </w:rPr>
        <w:t>We early adopted this standard in the second quarter of 2017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308610</wp:posOffset>
            </wp:positionV>
            <wp:extent cx="1732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November 1, 2019</w:t>
      </w:r>
    </w:p>
    <w:p>
      <w:pPr>
        <w:spacing w:after="0" w:line="152"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wp:posOffset>
            </wp:positionV>
            <wp:extent cx="17322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5"/>
          <w:szCs w:val="15"/>
          <w:color w:val="auto"/>
        </w:rPr>
        <w:t>We do not expect this guidance to reduce the number of our transactions that qualify as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209550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312420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4">
            <w:col w:w="2780" w:space="340"/>
            <w:col w:w="2900" w:space="180"/>
            <w:col w:w="2660" w:space="180"/>
            <w:col w:w="2300"/>
          </w:cols>
          <w:pgMar w:left="240" w:top="522" w:right="319" w:bottom="1440" w:gutter="0" w:footer="0" w:header="0"/>
          <w:type w:val="continuous"/>
        </w:sectPr>
      </w:pPr>
    </w:p>
    <w:bookmarkStart w:id="41" w:name="page42"/>
    <w:bookmarkEnd w:id="41"/>
    <w:p>
      <w:pPr>
        <w:spacing w:after="0" w:line="2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1886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6585" cy="8890"/>
                    </a:xfrm>
                    <a:prstGeom prst="rect">
                      <a:avLst/>
                    </a:prstGeom>
                    <a:noFill/>
                  </pic:spPr>
                </pic:pic>
              </a:graphicData>
            </a:graphic>
          </wp:anchor>
        </w:drawing>
        <w:t xml:space="preserve">In May 2014, the FASB issued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720090</wp:posOffset>
            </wp:positionV>
            <wp:extent cx="1886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210185</wp:posOffset>
            </wp:positionV>
            <wp:extent cx="1886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-861060</wp:posOffset>
            </wp:positionV>
            <wp:extent cx="1886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1732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32"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107950</wp:posOffset>
            </wp:positionV>
            <wp:extent cx="1732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5"/>
          <w:szCs w:val="15"/>
          <w:color w:val="auto"/>
        </w:rPr>
        <w:t>We have begun our process for implementing this guidance, including a preliminary review of all revenue streams to identify changes from our current method of revenue recognition. We are continuing to evaluate the impact of this ASU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107950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-963295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840" w:space="240"/>
            <w:col w:w="2880" w:space="200"/>
            <w:col w:w="2560" w:space="280"/>
            <w:col w:w="2260"/>
          </w:cols>
          <w:pgMar w:left="280" w:top="697" w:right="35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60"/>
          </w:cols>
          <w:pgMar w:left="280" w:top="697"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560" w:firstLine="648"/>
        <w:spacing w:after="0" w:line="29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We are currently migrating many of our financial reporting and processes to our shared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transformation initiative. We plan to continue migrating such processes during 2017.</w:t>
      </w:r>
    </w:p>
    <w:p>
      <w:pPr>
        <w:spacing w:after="0" w:line="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other changes in our internal control over financial reporting during the second quarter of 2017 identified in connection with the evaluation required by Rule 13a-15(d) and 15d-15(d) of the Exchange Act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12, “Commitments and Contingencies,” to the Financial Statements in this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2016, in response to Item 1A., “Risk Factors,” of Part I of the Annual Report.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0"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52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3"/>
        </w:trPr>
        <w:tc>
          <w:tcPr>
            <w:tcW w:w="1142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r>
      <w:tr>
        <w:trPr>
          <w:trHeight w:val="370"/>
        </w:trPr>
        <w:tc>
          <w:tcPr>
            <w:tcW w:w="11420" w:type="dxa"/>
            <w:vAlign w:val="bottom"/>
            <w:gridSpan w:val="9"/>
          </w:tcPr>
          <w:p>
            <w:pPr>
              <w:ind w:left="660"/>
              <w:spacing w:after="0"/>
              <w:rPr>
                <w:sz w:val="20"/>
                <w:szCs w:val="20"/>
                <w:color w:val="auto"/>
              </w:rPr>
            </w:pPr>
            <w:r>
              <w:rPr>
                <w:rFonts w:ascii="Arial" w:cs="Arial" w:eastAsia="Arial" w:hAnsi="Arial"/>
                <w:sz w:val="18"/>
                <w:szCs w:val="18"/>
                <w:color w:val="auto"/>
              </w:rPr>
              <w:t>(a) Exhibits</w:t>
            </w:r>
          </w:p>
        </w:tc>
      </w:tr>
      <w:tr>
        <w:trPr>
          <w:trHeight w:val="395"/>
        </w:trPr>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gridSpan w:val="5"/>
          </w:tcPr>
          <w:p>
            <w:pPr>
              <w:ind w:left="3500"/>
              <w:spacing w:after="0"/>
              <w:rPr>
                <w:sz w:val="20"/>
                <w:szCs w:val="20"/>
                <w:color w:val="auto"/>
              </w:rPr>
            </w:pPr>
            <w:r>
              <w:rPr>
                <w:rFonts w:ascii="Arial" w:cs="Arial" w:eastAsia="Arial" w:hAnsi="Arial"/>
                <w:sz w:val="18"/>
                <w:szCs w:val="18"/>
                <w:b w:val="1"/>
                <w:bCs w:val="1"/>
                <w:color w:val="auto"/>
              </w:rPr>
              <w:t>Exhibit Description</w:t>
            </w: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9900" w:type="dxa"/>
            <w:vAlign w:val="bottom"/>
            <w:gridSpan w:val="6"/>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Executive Employment Agreement, dated as of January 16, 2016, by and between ABM Industries Incorporated and Tom</w:t>
              </w:r>
            </w:hyperlink>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Marano</w:t>
              </w:r>
            </w:hyperlink>
          </w:p>
        </w:tc>
        <w:tc>
          <w:tcPr>
            <w:tcW w:w="924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0"/>
                <w:szCs w:val="20"/>
                <w:color w:val="auto"/>
              </w:rPr>
            </w:pPr>
          </w:p>
        </w:tc>
        <w:tc>
          <w:tcPr>
            <w:tcW w:w="80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Certification of Principal Executive Officer pursuant to Section 302 of the Sarbanes-Oxley Act of 2002</w:t>
              </w:r>
            </w:hyperlink>
          </w:p>
        </w:tc>
        <w:tc>
          <w:tcPr>
            <w:tcW w:w="1840" w:type="dxa"/>
            <w:vAlign w:val="bottom"/>
            <w:gridSpan w:val="3"/>
          </w:tcPr>
          <w:p>
            <w:pPr>
              <w:spacing w:after="0"/>
              <w:rPr>
                <w:sz w:val="20"/>
                <w:szCs w:val="20"/>
                <w:color w:val="auto"/>
              </w:rPr>
            </w:pPr>
          </w:p>
        </w:tc>
      </w:tr>
      <w:tr>
        <w:trPr>
          <w:trHeight w:val="25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80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of Principal Financial Officer pursuant to Section 302 of the Sarbanes-Oxley Act of 2002</w:t>
              </w:r>
            </w:hyperlink>
          </w:p>
        </w:tc>
        <w:tc>
          <w:tcPr>
            <w:tcW w:w="1900" w:type="dxa"/>
            <w:vAlign w:val="bottom"/>
            <w:gridSpan w:val="4"/>
          </w:tcPr>
          <w:p>
            <w:pPr>
              <w:spacing w:after="0"/>
              <w:rPr>
                <w:sz w:val="21"/>
                <w:szCs w:val="21"/>
                <w:color w:val="auto"/>
              </w:rPr>
            </w:pPr>
          </w:p>
        </w:tc>
      </w:tr>
      <w:tr>
        <w:trPr>
          <w:trHeight w:val="25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95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 pursuant to 18 U.S.C. Section 1350, as adopted pursuant to Section 906 of the Sarbanes-Oxley Act of 2002</w:t>
              </w:r>
            </w:hyperlink>
          </w:p>
        </w:tc>
        <w:tc>
          <w:tcPr>
            <w:tcW w:w="320" w:type="dxa"/>
            <w:vAlign w:val="bottom"/>
            <w:gridSpan w:val="2"/>
          </w:tcPr>
          <w:p>
            <w:pPr>
              <w:spacing w:after="0"/>
              <w:rPr>
                <w:sz w:val="21"/>
                <w:szCs w:val="21"/>
                <w:color w:val="auto"/>
              </w:rPr>
            </w:pPr>
          </w:p>
        </w:tc>
      </w:tr>
      <w:tr>
        <w:trPr>
          <w:trHeight w:val="29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62" w:lineRule="exact"/>
        <w:rPr>
          <w:sz w:val="20"/>
          <w:szCs w:val="20"/>
          <w:color w:val="auto"/>
        </w:rPr>
      </w:pPr>
    </w:p>
    <w:p>
      <w:pPr>
        <w:ind w:left="740" w:hanging="69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filed herewith</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2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8,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8, 2017</w:t>
      </w:r>
      <w:r>
        <w:rPr>
          <w:sz w:val="20"/>
          <w:szCs w:val="20"/>
          <w:color w:val="auto"/>
        </w:rPr>
        <w:tab/>
      </w:r>
      <w:r>
        <w:rPr>
          <w:rFonts w:ascii="Arial" w:cs="Arial" w:eastAsia="Arial" w:hAnsi="Arial"/>
          <w:sz w:val="18"/>
          <w:szCs w:val="18"/>
          <w:u w:val="single" w:color="auto"/>
          <w:color w:val="auto"/>
        </w:rPr>
        <w:t>/s/ Dean A. Chin</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Chief Accounting Officer,</w:t>
      </w:r>
    </w:p>
    <w:p>
      <w:pPr>
        <w:ind w:left="6540"/>
        <w:spacing w:after="0" w:line="234"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20"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Jan 16, 2016, between the Executive who is acknowledging</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agreement with its terms Tom Marano (“Executive”) and ABM (referred to herein as “Company” or “ABM”).</w:t>
      </w:r>
    </w:p>
    <w:p>
      <w:pPr>
        <w:spacing w:after="0" w:line="141" w:lineRule="exact"/>
        <w:rPr>
          <w:sz w:val="20"/>
          <w:szCs w:val="20"/>
          <w:color w:val="auto"/>
        </w:rPr>
      </w:pPr>
    </w:p>
    <w:p>
      <w:pPr>
        <w:ind w:left="660" w:hanging="652"/>
        <w:spacing w:after="0" w:line="29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In consideration of the terms and commitments contained in this Agreement, Executive agrees to and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41" w:lineRule="exact"/>
        <w:rPr>
          <w:rFonts w:ascii="Arial" w:cs="Arial" w:eastAsia="Arial" w:hAnsi="Arial"/>
          <w:sz w:val="18"/>
          <w:szCs w:val="18"/>
          <w:b w:val="1"/>
          <w:bCs w:val="1"/>
          <w:color w:val="auto"/>
        </w:rPr>
      </w:pPr>
    </w:p>
    <w:p>
      <w:pPr>
        <w:jc w:val="both"/>
        <w:ind w:left="660" w:hanging="652"/>
        <w:spacing w:after="0" w:line="272"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RESPONSIBILITIES AND TITLE. </w:t>
      </w:r>
      <w:r>
        <w:rPr>
          <w:rFonts w:ascii="Arial" w:cs="Arial" w:eastAsia="Arial" w:hAnsi="Arial"/>
          <w:sz w:val="18"/>
          <w:szCs w:val="18"/>
          <w:color w:val="auto"/>
        </w:rPr>
        <w:t>Executive shall assume and perform such duties, functions and responsibilities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with Company as may be assigned from time to time by the Company. Executive's title shall be Executive Vice President of ABM Aviation, subject to modification as determined by the Company's Chief Executive Officer (“CEO”).</w:t>
      </w:r>
    </w:p>
    <w:p>
      <w:pPr>
        <w:spacing w:after="0" w:line="160"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a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less applicable state and federal withholdings, paid according to the Company's standard payroll practices. Executive will also be eligible for short-term discretionary incentive awards pursuant to the terms of the Performance Incentive Program or any applicable successor program (“Bonus”) or applicable severance policy, subject to the terms and conditions of the applicable program. Further, Executive is eligible to receive awards under the 2006 Equity Incentive Plan, as amended and restated, or any applicable successor plan, subject to the terms and conditions of the applicable plan and as determined by the Company in its discretion.</w:t>
      </w:r>
    </w:p>
    <w:p>
      <w:pPr>
        <w:spacing w:after="0" w:line="172" w:lineRule="exact"/>
        <w:rPr>
          <w:rFonts w:ascii="Arial" w:cs="Arial" w:eastAsia="Arial" w:hAnsi="Arial"/>
          <w:sz w:val="18"/>
          <w:szCs w:val="18"/>
          <w:b w:val="1"/>
          <w:bCs w:val="1"/>
          <w:color w:val="auto"/>
        </w:rPr>
      </w:pPr>
    </w:p>
    <w:p>
      <w:pPr>
        <w:jc w:val="both"/>
        <w:ind w:left="660" w:hanging="652"/>
        <w:spacing w:after="0" w:line="26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POLICIES. </w:t>
      </w:r>
      <w:r>
        <w:rPr>
          <w:rFonts w:ascii="Arial" w:cs="Arial" w:eastAsia="Arial" w:hAnsi="Arial"/>
          <w:sz w:val="18"/>
          <w:szCs w:val="18"/>
          <w:color w:val="auto"/>
        </w:rPr>
        <w:t>Executive shall dedicate his/her full business time and attention to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duties hereunder, perform his/her duties in good faith and to a professional standard, and fully comply with all laws and regulations pertaining to the performance of his/her responsibilities, all ethical rules, ABM’s Code of Business Conduct and Ethics, ABM’s Recoupment Policy as well as any and all of policies, procedures and instructions of Company and ABM.</w:t>
      </w:r>
    </w:p>
    <w:p>
      <w:pPr>
        <w:spacing w:after="0" w:line="166" w:lineRule="exact"/>
        <w:rPr>
          <w:rFonts w:ascii="Arial" w:cs="Arial" w:eastAsia="Arial" w:hAnsi="Arial"/>
          <w:sz w:val="18"/>
          <w:szCs w:val="18"/>
          <w:b w:val="1"/>
          <w:bCs w:val="1"/>
          <w:color w:val="auto"/>
        </w:rPr>
      </w:pPr>
    </w:p>
    <w:p>
      <w:pPr>
        <w:jc w:val="both"/>
        <w:ind w:left="660" w:hanging="652"/>
        <w:spacing w:after="0" w:line="26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consideration of the compensation, contract term, potential Severance Benefits,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w:t>
      </w:r>
    </w:p>
    <w:p>
      <w:pPr>
        <w:spacing w:after="0" w:line="166" w:lineRule="exact"/>
        <w:rPr>
          <w:rFonts w:ascii="Arial" w:cs="Arial" w:eastAsia="Arial" w:hAnsi="Arial"/>
          <w:sz w:val="18"/>
          <w:szCs w:val="18"/>
          <w:b w:val="1"/>
          <w:bCs w:val="1"/>
          <w:color w:val="auto"/>
        </w:rPr>
      </w:pPr>
    </w:p>
    <w:p>
      <w:pPr>
        <w:jc w:val="right"/>
        <w:ind w:left="1300" w:hanging="648"/>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b w:val="1"/>
          <w:bCs w:val="1"/>
          <w:color w:val="464646"/>
        </w:rPr>
        <w:t xml:space="preserve">CONFIDENTIAL </w:t>
      </w:r>
      <w:r>
        <w:rPr>
          <w:rFonts w:ascii="Arial" w:cs="Arial" w:eastAsia="Arial" w:hAnsi="Arial"/>
          <w:sz w:val="18"/>
          <w:szCs w:val="18"/>
          <w:b w:val="1"/>
          <w:bCs w:val="1"/>
          <w:color w:val="000000"/>
        </w:rPr>
        <w:t>INFORMATION DEFINED.</w:t>
      </w:r>
      <w:r>
        <w:rPr>
          <w:rFonts w:ascii="Arial" w:cs="Arial" w:eastAsia="Arial" w:hAnsi="Arial"/>
          <w:sz w:val="18"/>
          <w:szCs w:val="18"/>
          <w:b w:val="1"/>
          <w:bCs w:val="1"/>
          <w:color w:val="464646"/>
        </w:rPr>
        <w:t xml:space="preserve"> </w:t>
      </w:r>
      <w:r>
        <w:rPr>
          <w:rFonts w:ascii="Arial" w:cs="Arial" w:eastAsia="Arial" w:hAnsi="Arial"/>
          <w:sz w:val="18"/>
          <w:szCs w:val="18"/>
          <w:color w:val="464646"/>
        </w:rPr>
        <w:t>Confidential</w:t>
      </w:r>
      <w:r>
        <w:rPr>
          <w:rFonts w:ascii="Arial" w:cs="Arial" w:eastAsia="Arial" w:hAnsi="Arial"/>
          <w:sz w:val="18"/>
          <w:szCs w:val="18"/>
          <w:b w:val="1"/>
          <w:bCs w:val="1"/>
          <w:color w:val="464646"/>
        </w:rPr>
        <w:t xml:space="preserve"> </w:t>
      </w:r>
      <w:r>
        <w:rPr>
          <w:rFonts w:ascii="Arial" w:cs="Arial" w:eastAsia="Arial" w:hAnsi="Arial"/>
          <w:sz w:val="18"/>
          <w:szCs w:val="18"/>
          <w:color w:val="000000"/>
        </w:rPr>
        <w:t>Information</w:t>
      </w:r>
      <w:r>
        <w:rPr>
          <w:rFonts w:ascii="Arial" w:cs="Arial" w:eastAsia="Arial" w:hAnsi="Arial"/>
          <w:sz w:val="18"/>
          <w:szCs w:val="18"/>
          <w:b w:val="1"/>
          <w:bCs w:val="1"/>
          <w:color w:val="464646"/>
        </w:rPr>
        <w:t xml:space="preserve"> </w:t>
      </w:r>
      <w:r>
        <w:rPr>
          <w:rFonts w:ascii="Arial" w:cs="Arial" w:eastAsia="Arial" w:hAnsi="Arial"/>
          <w:sz w:val="18"/>
          <w:szCs w:val="18"/>
          <w:color w:val="464646"/>
        </w:rPr>
        <w:t>includes but is</w:t>
      </w:r>
      <w:r>
        <w:rPr>
          <w:rFonts w:ascii="Arial" w:cs="Arial" w:eastAsia="Arial" w:hAnsi="Arial"/>
          <w:sz w:val="18"/>
          <w:szCs w:val="18"/>
          <w:b w:val="1"/>
          <w:bCs w:val="1"/>
          <w:color w:val="464646"/>
        </w:rPr>
        <w:t xml:space="preserve"> </w:t>
      </w:r>
      <w:r>
        <w:rPr>
          <w:rFonts w:ascii="Arial" w:cs="Arial" w:eastAsia="Arial" w:hAnsi="Arial"/>
          <w:sz w:val="18"/>
          <w:szCs w:val="18"/>
          <w:color w:val="000000"/>
        </w:rPr>
        <w:t>not</w:t>
      </w:r>
      <w:r>
        <w:rPr>
          <w:rFonts w:ascii="Arial" w:cs="Arial" w:eastAsia="Arial" w:hAnsi="Arial"/>
          <w:sz w:val="18"/>
          <w:szCs w:val="18"/>
          <w:b w:val="1"/>
          <w:bCs w:val="1"/>
          <w:color w:val="464646"/>
        </w:rPr>
        <w:t xml:space="preserve"> </w:t>
      </w:r>
      <w:r>
        <w:rPr>
          <w:rFonts w:ascii="Arial" w:cs="Arial" w:eastAsia="Arial" w:hAnsi="Arial"/>
          <w:sz w:val="18"/>
          <w:szCs w:val="18"/>
          <w:color w:val="464646"/>
        </w:rPr>
        <w:t>limited</w:t>
      </w:r>
      <w:r>
        <w:rPr>
          <w:rFonts w:ascii="Arial" w:cs="Arial" w:eastAsia="Arial" w:hAnsi="Arial"/>
          <w:sz w:val="18"/>
          <w:szCs w:val="18"/>
          <w:b w:val="1"/>
          <w:bCs w:val="1"/>
          <w:color w:val="464646"/>
        </w:rPr>
        <w:t xml:space="preserve"> </w:t>
      </w:r>
      <w:r>
        <w:rPr>
          <w:rFonts w:ascii="Arial" w:cs="Arial" w:eastAsia="Arial" w:hAnsi="Arial"/>
          <w:sz w:val="18"/>
          <w:szCs w:val="18"/>
          <w:color w:val="000000"/>
        </w:rPr>
        <w:t>to: (i)</w:t>
      </w:r>
      <w:r>
        <w:rPr>
          <w:rFonts w:ascii="Arial" w:cs="Arial" w:eastAsia="Arial" w:hAnsi="Arial"/>
          <w:sz w:val="18"/>
          <w:szCs w:val="18"/>
          <w:b w:val="1"/>
          <w:bCs w:val="1"/>
          <w:color w:val="464646"/>
        </w:rPr>
        <w:t xml:space="preserve"> </w:t>
      </w:r>
      <w:r>
        <w:rPr>
          <w:rFonts w:ascii="Arial" w:cs="Arial" w:eastAsia="Arial" w:hAnsi="Arial"/>
          <w:sz w:val="18"/>
          <w:szCs w:val="18"/>
          <w:color w:val="464646"/>
        </w:rPr>
        <w:t>Company</w:t>
      </w:r>
      <w:r>
        <w:rPr>
          <w:rFonts w:ascii="Arial" w:cs="Arial" w:eastAsia="Arial" w:hAnsi="Arial"/>
          <w:sz w:val="18"/>
          <w:szCs w:val="18"/>
          <w:b w:val="1"/>
          <w:bCs w:val="1"/>
          <w:color w:val="464646"/>
        </w:rPr>
        <w:t xml:space="preserve"> </w:t>
      </w:r>
      <w:r>
        <w:rPr>
          <w:rFonts w:ascii="Arial" w:cs="Arial" w:eastAsia="Arial" w:hAnsi="Arial"/>
          <w:sz w:val="18"/>
          <w:szCs w:val="18"/>
          <w:color w:val="000000"/>
        </w:rPr>
        <w:t>and</w:t>
      </w:r>
      <w:r>
        <w:rPr>
          <w:rFonts w:ascii="Arial" w:cs="Arial" w:eastAsia="Arial" w:hAnsi="Arial"/>
          <w:sz w:val="18"/>
          <w:szCs w:val="18"/>
          <w:b w:val="1"/>
          <w:bCs w:val="1"/>
          <w:color w:val="464646"/>
        </w:rPr>
        <w:t xml:space="preserve"> </w:t>
      </w:r>
      <w:r>
        <w:rPr>
          <w:rFonts w:ascii="Arial" w:cs="Arial" w:eastAsia="Arial" w:hAnsi="Arial"/>
          <w:sz w:val="18"/>
          <w:szCs w:val="18"/>
          <w:color w:val="464646"/>
        </w:rPr>
        <w:t>its</w:t>
      </w:r>
      <w:r>
        <w:rPr>
          <w:rFonts w:ascii="Arial" w:cs="Arial" w:eastAsia="Arial" w:hAnsi="Arial"/>
          <w:sz w:val="18"/>
          <w:szCs w:val="18"/>
          <w:b w:val="1"/>
          <w:bCs w:val="1"/>
          <w:color w:val="464646"/>
        </w:rPr>
        <w:t xml:space="preserve"> </w:t>
      </w:r>
      <w:r>
        <w:rPr>
          <w:rFonts w:ascii="Arial" w:cs="Arial" w:eastAsia="Arial" w:hAnsi="Arial"/>
          <w:sz w:val="18"/>
          <w:szCs w:val="18"/>
          <w:color w:val="464646"/>
        </w:rPr>
        <w:t xml:space="preserve">subsidiary companies’ trade secrets, </w:t>
      </w:r>
      <w:r>
        <w:rPr>
          <w:rFonts w:ascii="Arial" w:cs="Arial" w:eastAsia="Arial" w:hAnsi="Arial"/>
          <w:sz w:val="18"/>
          <w:szCs w:val="18"/>
          <w:color w:val="000000"/>
        </w:rPr>
        <w:t>knowhow, ideas, applications,</w:t>
      </w:r>
      <w:r>
        <w:rPr>
          <w:rFonts w:ascii="Arial" w:cs="Arial" w:eastAsia="Arial" w:hAnsi="Arial"/>
          <w:sz w:val="18"/>
          <w:szCs w:val="18"/>
          <w:color w:val="464646"/>
        </w:rPr>
        <w:t xml:space="preserve"> systems, </w:t>
      </w:r>
      <w:r>
        <w:rPr>
          <w:rFonts w:ascii="Arial" w:cs="Arial" w:eastAsia="Arial" w:hAnsi="Arial"/>
          <w:sz w:val="18"/>
          <w:szCs w:val="18"/>
          <w:color w:val="000000"/>
        </w:rPr>
        <w:t>processes and other confidential information</w:t>
      </w:r>
      <w:r>
        <w:rPr>
          <w:rFonts w:ascii="Arial" w:cs="Arial" w:eastAsia="Arial" w:hAnsi="Arial"/>
          <w:sz w:val="18"/>
          <w:szCs w:val="18"/>
          <w:color w:val="464646"/>
        </w:rPr>
        <w:t xml:space="preserve"> </w:t>
      </w:r>
      <w:r>
        <w:rPr>
          <w:rFonts w:ascii="Arial" w:cs="Arial" w:eastAsia="Arial" w:hAnsi="Arial"/>
          <w:sz w:val="18"/>
          <w:szCs w:val="18"/>
          <w:color w:val="000000"/>
        </w:rPr>
        <w:t xml:space="preserve">which is not </w:t>
      </w:r>
      <w:r>
        <w:rPr>
          <w:rFonts w:ascii="Arial" w:cs="Arial" w:eastAsia="Arial" w:hAnsi="Arial"/>
          <w:sz w:val="18"/>
          <w:szCs w:val="18"/>
          <w:color w:val="464646"/>
        </w:rPr>
        <w:t>generally known to and/or</w:t>
      </w:r>
      <w:r>
        <w:rPr>
          <w:rFonts w:ascii="Arial" w:cs="Arial" w:eastAsia="Arial" w:hAnsi="Arial"/>
          <w:sz w:val="18"/>
          <w:szCs w:val="18"/>
          <w:color w:val="000000"/>
        </w:rPr>
        <w:t xml:space="preserve"> readily </w:t>
      </w:r>
      <w:r>
        <w:rPr>
          <w:rFonts w:ascii="Arial" w:cs="Arial" w:eastAsia="Arial" w:hAnsi="Arial"/>
          <w:sz w:val="18"/>
          <w:szCs w:val="18"/>
          <w:color w:val="464646"/>
        </w:rPr>
        <w:t>ascertainable through</w:t>
      </w:r>
      <w:r>
        <w:rPr>
          <w:rFonts w:ascii="Arial" w:cs="Arial" w:eastAsia="Arial" w:hAnsi="Arial"/>
          <w:sz w:val="18"/>
          <w:szCs w:val="18"/>
          <w:color w:val="000000"/>
        </w:rPr>
        <w:t xml:space="preserve"> proper </w:t>
      </w:r>
      <w:r>
        <w:rPr>
          <w:rFonts w:ascii="Arial" w:cs="Arial" w:eastAsia="Arial" w:hAnsi="Arial"/>
          <w:sz w:val="18"/>
          <w:szCs w:val="18"/>
          <w:color w:val="464646"/>
        </w:rPr>
        <w:t>means by</w:t>
      </w:r>
      <w:r>
        <w:rPr>
          <w:rFonts w:ascii="Arial" w:cs="Arial" w:eastAsia="Arial" w:hAnsi="Arial"/>
          <w:sz w:val="18"/>
          <w:szCs w:val="18"/>
          <w:color w:val="000000"/>
        </w:rPr>
        <w:t xml:space="preserve"> the general public; (ii) </w:t>
      </w:r>
      <w:r>
        <w:rPr>
          <w:rFonts w:ascii="Arial" w:cs="Arial" w:eastAsia="Arial" w:hAnsi="Arial"/>
          <w:sz w:val="18"/>
          <w:szCs w:val="18"/>
          <w:color w:val="464646"/>
        </w:rPr>
        <w:t>plans</w:t>
      </w:r>
      <w:r>
        <w:rPr>
          <w:rFonts w:ascii="Arial" w:cs="Arial" w:eastAsia="Arial" w:hAnsi="Arial"/>
          <w:sz w:val="18"/>
          <w:szCs w:val="18"/>
          <w:color w:val="000000"/>
        </w:rPr>
        <w:t xml:space="preserve"> for </w:t>
      </w:r>
      <w:r>
        <w:rPr>
          <w:rFonts w:ascii="Arial" w:cs="Arial" w:eastAsia="Arial" w:hAnsi="Arial"/>
          <w:sz w:val="18"/>
          <w:szCs w:val="18"/>
          <w:color w:val="464646"/>
        </w:rPr>
        <w:t>business</w:t>
      </w:r>
      <w:r>
        <w:rPr>
          <w:rFonts w:ascii="Arial" w:cs="Arial" w:eastAsia="Arial" w:hAnsi="Arial"/>
          <w:sz w:val="18"/>
          <w:szCs w:val="18"/>
          <w:color w:val="000000"/>
        </w:rPr>
        <w:t xml:space="preserve"> development, </w:t>
      </w:r>
      <w:r>
        <w:rPr>
          <w:rFonts w:ascii="Arial" w:cs="Arial" w:eastAsia="Arial" w:hAnsi="Arial"/>
          <w:sz w:val="18"/>
          <w:szCs w:val="18"/>
          <w:color w:val="464646"/>
        </w:rPr>
        <w:t>marketing,</w:t>
      </w:r>
      <w:r>
        <w:rPr>
          <w:rFonts w:ascii="Arial" w:cs="Arial" w:eastAsia="Arial" w:hAnsi="Arial"/>
          <w:sz w:val="18"/>
          <w:szCs w:val="18"/>
          <w:color w:val="000000"/>
        </w:rPr>
        <w:t xml:space="preserve"> </w:t>
      </w:r>
      <w:r>
        <w:rPr>
          <w:rFonts w:ascii="Arial" w:cs="Arial" w:eastAsia="Arial" w:hAnsi="Arial"/>
          <w:sz w:val="18"/>
          <w:szCs w:val="18"/>
          <w:color w:val="2F2F2F"/>
        </w:rPr>
        <w:t>business plans and strategies, budgets</w:t>
      </w:r>
      <w:r>
        <w:rPr>
          <w:rFonts w:ascii="Arial" w:cs="Arial" w:eastAsia="Arial" w:hAnsi="Arial"/>
          <w:sz w:val="18"/>
          <w:szCs w:val="18"/>
          <w:color w:val="000000"/>
        </w:rPr>
        <w:t xml:space="preserve"> </w:t>
      </w:r>
      <w:r>
        <w:rPr>
          <w:rFonts w:ascii="Arial" w:cs="Arial" w:eastAsia="Arial" w:hAnsi="Arial"/>
          <w:sz w:val="18"/>
          <w:szCs w:val="18"/>
          <w:color w:val="3F3F3F"/>
        </w:rPr>
        <w:t>and</w:t>
      </w:r>
      <w:r>
        <w:rPr>
          <w:rFonts w:ascii="Arial" w:cs="Arial" w:eastAsia="Arial" w:hAnsi="Arial"/>
          <w:sz w:val="18"/>
          <w:szCs w:val="18"/>
          <w:color w:val="000000"/>
        </w:rPr>
        <w:t xml:space="preserve"> </w:t>
      </w:r>
      <w:r>
        <w:rPr>
          <w:rFonts w:ascii="Arial" w:cs="Arial" w:eastAsia="Arial" w:hAnsi="Arial"/>
          <w:sz w:val="18"/>
          <w:szCs w:val="18"/>
          <w:color w:val="2F2F2F"/>
        </w:rPr>
        <w:t>financial statements of any kind, costs and suppliers,</w:t>
      </w:r>
      <w:r>
        <w:rPr>
          <w:rFonts w:ascii="Arial" w:cs="Arial" w:eastAsia="Arial" w:hAnsi="Arial"/>
          <w:sz w:val="18"/>
          <w:szCs w:val="18"/>
          <w:color w:val="000000"/>
        </w:rPr>
        <w:t xml:space="preserve"> </w:t>
      </w:r>
      <w:r>
        <w:rPr>
          <w:rFonts w:ascii="Arial" w:cs="Arial" w:eastAsia="Arial" w:hAnsi="Arial"/>
          <w:sz w:val="18"/>
          <w:szCs w:val="18"/>
          <w:color w:val="3F3F3F"/>
        </w:rPr>
        <w:t xml:space="preserve">including </w:t>
      </w:r>
      <w:r>
        <w:rPr>
          <w:rFonts w:ascii="Arial" w:cs="Arial" w:eastAsia="Arial" w:hAnsi="Arial"/>
          <w:sz w:val="18"/>
          <w:szCs w:val="18"/>
          <w:color w:val="2F2F2F"/>
        </w:rPr>
        <w:t>methods, policies, procedures, practices, devices and other means used</w:t>
      </w:r>
      <w:r>
        <w:rPr>
          <w:rFonts w:ascii="Arial" w:cs="Arial" w:eastAsia="Arial" w:hAnsi="Arial"/>
          <w:sz w:val="18"/>
          <w:szCs w:val="18"/>
          <w:color w:val="3F3F3F"/>
        </w:rPr>
        <w:t xml:space="preserve"> by </w:t>
      </w:r>
      <w:r>
        <w:rPr>
          <w:rFonts w:ascii="Arial" w:cs="Arial" w:eastAsia="Arial" w:hAnsi="Arial"/>
          <w:sz w:val="18"/>
          <w:szCs w:val="18"/>
          <w:color w:val="2F2F2F"/>
        </w:rPr>
        <w:t>Company and</w:t>
      </w:r>
      <w:r>
        <w:rPr>
          <w:rFonts w:ascii="Arial" w:cs="Arial" w:eastAsia="Arial" w:hAnsi="Arial"/>
          <w:sz w:val="18"/>
          <w:szCs w:val="18"/>
          <w:color w:val="3F3F3F"/>
        </w:rPr>
        <w:t xml:space="preserve"> its </w:t>
      </w:r>
      <w:r>
        <w:rPr>
          <w:rFonts w:ascii="Arial" w:cs="Arial" w:eastAsia="Arial" w:hAnsi="Arial"/>
          <w:sz w:val="18"/>
          <w:szCs w:val="18"/>
          <w:color w:val="2F2F2F"/>
        </w:rPr>
        <w:t>subsidiaries in the</w:t>
      </w:r>
      <w:r>
        <w:rPr>
          <w:rFonts w:ascii="Arial" w:cs="Arial" w:eastAsia="Arial" w:hAnsi="Arial"/>
          <w:sz w:val="18"/>
          <w:szCs w:val="18"/>
          <w:color w:val="3F3F3F"/>
        </w:rPr>
        <w:t xml:space="preserve"> </w:t>
      </w:r>
      <w:r>
        <w:rPr>
          <w:rFonts w:ascii="Arial" w:cs="Arial" w:eastAsia="Arial" w:hAnsi="Arial"/>
          <w:sz w:val="18"/>
          <w:szCs w:val="18"/>
          <w:color w:val="2F2F2F"/>
        </w:rPr>
        <w:t xml:space="preserve">operation of its business, pricing plans and </w:t>
      </w:r>
      <w:r>
        <w:rPr>
          <w:rFonts w:ascii="Arial" w:cs="Arial" w:eastAsia="Arial" w:hAnsi="Arial"/>
          <w:sz w:val="18"/>
          <w:szCs w:val="18"/>
          <w:color w:val="3F3F3F"/>
        </w:rPr>
        <w:t>strategies,</w:t>
      </w:r>
      <w:r>
        <w:rPr>
          <w:rFonts w:ascii="Arial" w:cs="Arial" w:eastAsia="Arial" w:hAnsi="Arial"/>
          <w:sz w:val="18"/>
          <w:szCs w:val="18"/>
          <w:color w:val="2F2F2F"/>
        </w:rPr>
        <w:t xml:space="preserve"> as well as information about Company </w:t>
      </w:r>
      <w:r>
        <w:rPr>
          <w:rFonts w:ascii="Arial" w:cs="Arial" w:eastAsia="Arial" w:hAnsi="Arial"/>
          <w:sz w:val="18"/>
          <w:szCs w:val="18"/>
          <w:color w:val="3F3F3F"/>
        </w:rPr>
        <w:t>and aff</w:t>
      </w:r>
      <w:r>
        <w:rPr>
          <w:rFonts w:ascii="Arial" w:cs="Arial" w:eastAsia="Arial" w:hAnsi="Arial"/>
          <w:sz w:val="18"/>
          <w:szCs w:val="18"/>
          <w:color w:val="1A1A1A"/>
        </w:rPr>
        <w:t>iliated</w:t>
      </w:r>
      <w:r>
        <w:rPr>
          <w:rFonts w:ascii="Arial" w:cs="Arial" w:eastAsia="Arial" w:hAnsi="Arial"/>
          <w:sz w:val="18"/>
          <w:szCs w:val="18"/>
          <w:color w:val="2F2F2F"/>
        </w:rPr>
        <w:t xml:space="preserve"> </w:t>
      </w:r>
      <w:r>
        <w:rPr>
          <w:rFonts w:ascii="Arial" w:cs="Arial" w:eastAsia="Arial" w:hAnsi="Arial"/>
          <w:sz w:val="18"/>
          <w:szCs w:val="18"/>
          <w:color w:val="3F3F3F"/>
        </w:rPr>
        <w:t>entity</w:t>
      </w:r>
      <w:r>
        <w:rPr>
          <w:rFonts w:ascii="Arial" w:cs="Arial" w:eastAsia="Arial" w:hAnsi="Arial"/>
          <w:sz w:val="18"/>
          <w:szCs w:val="18"/>
          <w:color w:val="2F2F2F"/>
        </w:rPr>
        <w:t xml:space="preserve"> pricing structures  and  fees,  </w:t>
      </w:r>
      <w:r>
        <w:rPr>
          <w:rFonts w:ascii="Arial" w:cs="Arial" w:eastAsia="Arial" w:hAnsi="Arial"/>
          <w:sz w:val="18"/>
          <w:szCs w:val="18"/>
          <w:color w:val="3F3F3F"/>
        </w:rPr>
        <w:t>unpublished</w:t>
      </w:r>
      <w:r>
        <w:rPr>
          <w:rFonts w:ascii="Arial" w:cs="Arial" w:eastAsia="Arial" w:hAnsi="Arial"/>
          <w:sz w:val="18"/>
          <w:szCs w:val="18"/>
          <w:color w:val="2F2F2F"/>
        </w:rPr>
        <w:t xml:space="preserve"> financial  information,  contract  provisions,  </w:t>
      </w:r>
      <w:r>
        <w:rPr>
          <w:rFonts w:ascii="Arial" w:cs="Arial" w:eastAsia="Arial" w:hAnsi="Arial"/>
          <w:sz w:val="18"/>
          <w:szCs w:val="18"/>
          <w:color w:val="3F3F3F"/>
        </w:rPr>
        <w:t>train</w:t>
      </w:r>
      <w:r>
        <w:rPr>
          <w:rFonts w:ascii="Arial" w:cs="Arial" w:eastAsia="Arial" w:hAnsi="Arial"/>
          <w:sz w:val="18"/>
          <w:szCs w:val="18"/>
          <w:color w:val="1A1A1A"/>
        </w:rPr>
        <w:t>ing</w:t>
      </w:r>
      <w:r>
        <w:rPr>
          <w:rFonts w:ascii="Arial" w:cs="Arial" w:eastAsia="Arial" w:hAnsi="Arial"/>
          <w:sz w:val="18"/>
          <w:szCs w:val="18"/>
          <w:color w:val="2F2F2F"/>
        </w:rPr>
        <w:t xml:space="preserve"> materials,  profit  margins  and  bid information; (iii) </w:t>
      </w:r>
      <w:r>
        <w:rPr>
          <w:rFonts w:ascii="Arial" w:cs="Arial" w:eastAsia="Arial" w:hAnsi="Arial"/>
          <w:sz w:val="18"/>
          <w:szCs w:val="18"/>
          <w:color w:val="1A1A1A"/>
        </w:rPr>
        <w:t>Infor</w:t>
      </w:r>
      <w:r>
        <w:rPr>
          <w:rFonts w:ascii="Arial" w:cs="Arial" w:eastAsia="Arial" w:hAnsi="Arial"/>
          <w:sz w:val="18"/>
          <w:szCs w:val="18"/>
          <w:color w:val="3F3F3F"/>
        </w:rPr>
        <w:t>mation</w:t>
      </w:r>
      <w:r>
        <w:rPr>
          <w:rFonts w:ascii="Arial" w:cs="Arial" w:eastAsia="Arial" w:hAnsi="Arial"/>
          <w:sz w:val="18"/>
          <w:szCs w:val="18"/>
          <w:color w:val="2F2F2F"/>
        </w:rPr>
        <w:t xml:space="preserve"> regarding the skills, abilities, performance </w:t>
      </w:r>
      <w:r>
        <w:rPr>
          <w:rFonts w:ascii="Arial" w:cs="Arial" w:eastAsia="Arial" w:hAnsi="Arial"/>
          <w:sz w:val="18"/>
          <w:szCs w:val="18"/>
          <w:color w:val="3F3F3F"/>
        </w:rPr>
        <w:t>and</w:t>
      </w:r>
      <w:r>
        <w:rPr>
          <w:rFonts w:ascii="Arial" w:cs="Arial" w:eastAsia="Arial" w:hAnsi="Arial"/>
          <w:sz w:val="18"/>
          <w:szCs w:val="18"/>
          <w:color w:val="2F2F2F"/>
        </w:rPr>
        <w:t xml:space="preserve"> compensation </w:t>
      </w:r>
      <w:r>
        <w:rPr>
          <w:rFonts w:ascii="Arial" w:cs="Arial" w:eastAsia="Arial" w:hAnsi="Arial"/>
          <w:sz w:val="18"/>
          <w:szCs w:val="18"/>
          <w:color w:val="1A1A1A"/>
        </w:rPr>
        <w:t>of</w:t>
      </w:r>
      <w:r>
        <w:rPr>
          <w:rFonts w:ascii="Arial" w:cs="Arial" w:eastAsia="Arial" w:hAnsi="Arial"/>
          <w:sz w:val="18"/>
          <w:szCs w:val="18"/>
          <w:color w:val="2F2F2F"/>
        </w:rPr>
        <w:t xml:space="preserve"> other </w:t>
      </w:r>
      <w:r>
        <w:rPr>
          <w:rFonts w:ascii="Arial" w:cs="Arial" w:eastAsia="Arial" w:hAnsi="Arial"/>
          <w:sz w:val="18"/>
          <w:szCs w:val="18"/>
          <w:color w:val="3F3F3F"/>
        </w:rPr>
        <w:t>emp</w:t>
      </w:r>
      <w:r>
        <w:rPr>
          <w:rFonts w:ascii="Arial" w:cs="Arial" w:eastAsia="Arial" w:hAnsi="Arial"/>
          <w:sz w:val="18"/>
          <w:szCs w:val="18"/>
          <w:color w:val="1A1A1A"/>
        </w:rPr>
        <w:t>loyee</w:t>
      </w:r>
      <w:r>
        <w:rPr>
          <w:rFonts w:ascii="Arial" w:cs="Arial" w:eastAsia="Arial" w:hAnsi="Arial"/>
          <w:sz w:val="18"/>
          <w:szCs w:val="18"/>
          <w:color w:val="3F3F3F"/>
        </w:rPr>
        <w:t>s</w:t>
      </w:r>
      <w:r>
        <w:rPr>
          <w:rFonts w:ascii="Arial" w:cs="Arial" w:eastAsia="Arial" w:hAnsi="Arial"/>
          <w:sz w:val="18"/>
          <w:szCs w:val="18"/>
          <w:color w:val="2F2F2F"/>
        </w:rPr>
        <w:t xml:space="preserve"> of </w:t>
      </w:r>
      <w:r>
        <w:rPr>
          <w:rFonts w:ascii="Arial" w:cs="Arial" w:eastAsia="Arial" w:hAnsi="Arial"/>
          <w:sz w:val="18"/>
          <w:szCs w:val="18"/>
          <w:color w:val="3F3F3F"/>
        </w:rPr>
        <w:t>the</w:t>
      </w:r>
      <w:r>
        <w:rPr>
          <w:rFonts w:ascii="Arial" w:cs="Arial" w:eastAsia="Arial" w:hAnsi="Arial"/>
          <w:sz w:val="18"/>
          <w:szCs w:val="18"/>
          <w:color w:val="2F2F2F"/>
        </w:rPr>
        <w:t xml:space="preserve"> Company or its subsidiaries, or of </w:t>
      </w:r>
      <w:r>
        <w:rPr>
          <w:rFonts w:ascii="Arial" w:cs="Arial" w:eastAsia="Arial" w:hAnsi="Arial"/>
          <w:sz w:val="18"/>
          <w:szCs w:val="18"/>
          <w:color w:val="3F3F3F"/>
        </w:rPr>
        <w:t>the emp</w:t>
      </w:r>
      <w:r>
        <w:rPr>
          <w:rFonts w:ascii="Arial" w:cs="Arial" w:eastAsia="Arial" w:hAnsi="Arial"/>
          <w:sz w:val="18"/>
          <w:szCs w:val="18"/>
          <w:color w:val="1A1A1A"/>
        </w:rPr>
        <w:t>loye</w:t>
      </w:r>
      <w:r>
        <w:rPr>
          <w:rFonts w:ascii="Arial" w:cs="Arial" w:eastAsia="Arial" w:hAnsi="Arial"/>
          <w:sz w:val="18"/>
          <w:szCs w:val="18"/>
          <w:color w:val="3F3F3F"/>
        </w:rPr>
        <w:t>es of</w:t>
      </w:r>
      <w:r>
        <w:rPr>
          <w:rFonts w:ascii="Arial" w:cs="Arial" w:eastAsia="Arial" w:hAnsi="Arial"/>
          <w:sz w:val="18"/>
          <w:szCs w:val="18"/>
          <w:color w:val="2F2F2F"/>
        </w:rPr>
        <w:t xml:space="preserve"> any company that contracts </w:t>
      </w:r>
      <w:r>
        <w:rPr>
          <w:rFonts w:ascii="Arial" w:cs="Arial" w:eastAsia="Arial" w:hAnsi="Arial"/>
          <w:sz w:val="18"/>
          <w:szCs w:val="18"/>
          <w:color w:val="3F3F3F"/>
        </w:rPr>
        <w:t>to</w:t>
      </w:r>
      <w:r>
        <w:rPr>
          <w:rFonts w:ascii="Arial" w:cs="Arial" w:eastAsia="Arial" w:hAnsi="Arial"/>
          <w:sz w:val="18"/>
          <w:szCs w:val="18"/>
          <w:color w:val="2F2F2F"/>
        </w:rPr>
        <w:t xml:space="preserve"> provide services </w:t>
      </w:r>
      <w:r>
        <w:rPr>
          <w:rFonts w:ascii="Arial" w:cs="Arial" w:eastAsia="Arial" w:hAnsi="Arial"/>
          <w:sz w:val="18"/>
          <w:szCs w:val="18"/>
          <w:color w:val="3F3F3F"/>
        </w:rPr>
        <w:t>to</w:t>
      </w:r>
      <w:r>
        <w:rPr>
          <w:rFonts w:ascii="Arial" w:cs="Arial" w:eastAsia="Arial" w:hAnsi="Arial"/>
          <w:sz w:val="18"/>
          <w:szCs w:val="18"/>
          <w:color w:val="2F2F2F"/>
        </w:rPr>
        <w:t xml:space="preserve"> the Company or its subsidiaries;</w:t>
      </w:r>
    </w:p>
    <w:p>
      <w:pPr>
        <w:spacing w:after="0" w:line="4" w:lineRule="exact"/>
        <w:rPr>
          <w:rFonts w:ascii="Arial" w:cs="Arial" w:eastAsia="Arial" w:hAnsi="Arial"/>
          <w:sz w:val="18"/>
          <w:szCs w:val="18"/>
          <w:b w:val="1"/>
          <w:bCs w:val="1"/>
          <w:color w:val="auto"/>
        </w:rPr>
      </w:pPr>
    </w:p>
    <w:p>
      <w:pPr>
        <w:jc w:val="both"/>
        <w:ind w:left="1300" w:firstLine="5"/>
        <w:spacing w:after="0" w:line="252" w:lineRule="auto"/>
        <w:tabs>
          <w:tab w:leader="none" w:pos="1603" w:val="left"/>
        </w:tabs>
        <w:numPr>
          <w:ilvl w:val="1"/>
          <w:numId w:val="19"/>
        </w:numPr>
        <w:rPr>
          <w:rFonts w:ascii="Arial" w:cs="Arial" w:eastAsia="Arial" w:hAnsi="Arial"/>
          <w:sz w:val="18"/>
          <w:szCs w:val="18"/>
          <w:color w:val="2F2F2F"/>
        </w:rPr>
      </w:pPr>
      <w:r>
        <w:rPr>
          <w:rFonts w:ascii="Arial" w:cs="Arial" w:eastAsia="Arial" w:hAnsi="Arial"/>
          <w:sz w:val="18"/>
          <w:szCs w:val="18"/>
          <w:color w:val="2F2F2F"/>
        </w:rPr>
        <w:t xml:space="preserve">information of third parties </w:t>
      </w:r>
      <w:r>
        <w:rPr>
          <w:rFonts w:ascii="Arial" w:cs="Arial" w:eastAsia="Arial" w:hAnsi="Arial"/>
          <w:sz w:val="18"/>
          <w:szCs w:val="18"/>
          <w:color w:val="3F3F3F"/>
        </w:rPr>
        <w:t>to</w:t>
      </w:r>
      <w:r>
        <w:rPr>
          <w:rFonts w:ascii="Arial" w:cs="Arial" w:eastAsia="Arial" w:hAnsi="Arial"/>
          <w:sz w:val="18"/>
          <w:szCs w:val="18"/>
          <w:color w:val="2F2F2F"/>
        </w:rPr>
        <w:t xml:space="preserve"> which Executive had access by virtue of </w:t>
      </w:r>
      <w:r>
        <w:rPr>
          <w:rFonts w:ascii="Arial" w:cs="Arial" w:eastAsia="Arial" w:hAnsi="Arial"/>
          <w:sz w:val="18"/>
          <w:szCs w:val="18"/>
          <w:color w:val="3F3F3F"/>
        </w:rPr>
        <w:t>Executive’s</w:t>
      </w:r>
      <w:r>
        <w:rPr>
          <w:rFonts w:ascii="Arial" w:cs="Arial" w:eastAsia="Arial" w:hAnsi="Arial"/>
          <w:sz w:val="18"/>
          <w:szCs w:val="18"/>
          <w:color w:val="2F2F2F"/>
        </w:rPr>
        <w:t xml:space="preserve"> employment, including, but not limited to information on customers, prospective customers, and/or vendors, including </w:t>
      </w:r>
      <w:r>
        <w:rPr>
          <w:rFonts w:ascii="Arial" w:cs="Arial" w:eastAsia="Arial" w:hAnsi="Arial"/>
          <w:sz w:val="18"/>
          <w:szCs w:val="18"/>
          <w:color w:val="3F3F3F"/>
        </w:rPr>
        <w:t>current</w:t>
      </w:r>
      <w:r>
        <w:rPr>
          <w:rFonts w:ascii="Arial" w:cs="Arial" w:eastAsia="Arial" w:hAnsi="Arial"/>
          <w:sz w:val="18"/>
          <w:szCs w:val="18"/>
          <w:color w:val="2F2F2F"/>
        </w:rPr>
        <w:t xml:space="preserve"> or prospective customers’ names, </w:t>
      </w:r>
      <w:r>
        <w:rPr>
          <w:rFonts w:ascii="Arial" w:cs="Arial" w:eastAsia="Arial" w:hAnsi="Arial"/>
          <w:sz w:val="18"/>
          <w:szCs w:val="18"/>
          <w:color w:val="3F3F3F"/>
        </w:rPr>
        <w:t>contact</w:t>
      </w:r>
      <w:r>
        <w:rPr>
          <w:rFonts w:ascii="Arial" w:cs="Arial" w:eastAsia="Arial" w:hAnsi="Arial"/>
          <w:sz w:val="18"/>
          <w:szCs w:val="18"/>
          <w:color w:val="2F2F2F"/>
        </w:rPr>
        <w:t xml:space="preserve"> </w:t>
      </w:r>
      <w:r>
        <w:rPr>
          <w:rFonts w:ascii="Arial" w:cs="Arial" w:eastAsia="Arial" w:hAnsi="Arial"/>
          <w:sz w:val="18"/>
          <w:szCs w:val="18"/>
          <w:color w:val="1A1A1A"/>
        </w:rPr>
        <w:t>info</w:t>
      </w:r>
      <w:r>
        <w:rPr>
          <w:rFonts w:ascii="Arial" w:cs="Arial" w:eastAsia="Arial" w:hAnsi="Arial"/>
          <w:sz w:val="18"/>
          <w:szCs w:val="18"/>
          <w:color w:val="3F3F3F"/>
        </w:rPr>
        <w:t>rmation</w:t>
      </w:r>
      <w:r>
        <w:rPr>
          <w:rFonts w:ascii="Arial" w:cs="Arial" w:eastAsia="Arial" w:hAnsi="Arial"/>
          <w:sz w:val="18"/>
          <w:szCs w:val="18"/>
          <w:color w:val="1A1A1A"/>
        </w:rPr>
        <w:t xml:space="preserve">, </w:t>
      </w:r>
      <w:r>
        <w:rPr>
          <w:rFonts w:ascii="Arial" w:cs="Arial" w:eastAsia="Arial" w:hAnsi="Arial"/>
          <w:sz w:val="18"/>
          <w:szCs w:val="18"/>
          <w:color w:val="2F2F2F"/>
        </w:rPr>
        <w:t>organizational</w:t>
      </w:r>
      <w:r>
        <w:rPr>
          <w:rFonts w:ascii="Arial" w:cs="Arial" w:eastAsia="Arial" w:hAnsi="Arial"/>
          <w:sz w:val="18"/>
          <w:szCs w:val="18"/>
          <w:color w:val="1A1A1A"/>
        </w:rPr>
        <w:t xml:space="preserve"> </w:t>
      </w:r>
      <w:r>
        <w:rPr>
          <w:rFonts w:ascii="Arial" w:cs="Arial" w:eastAsia="Arial" w:hAnsi="Arial"/>
          <w:sz w:val="18"/>
          <w:szCs w:val="18"/>
          <w:color w:val="3F3F3F"/>
        </w:rPr>
        <w:t>structure(s), and</w:t>
      </w:r>
      <w:r>
        <w:rPr>
          <w:rFonts w:ascii="Arial" w:cs="Arial" w:eastAsia="Arial" w:hAnsi="Arial"/>
          <w:sz w:val="18"/>
          <w:szCs w:val="18"/>
          <w:color w:val="1A1A1A"/>
        </w:rPr>
        <w:t xml:space="preserve"> </w:t>
      </w:r>
      <w:r>
        <w:rPr>
          <w:rFonts w:ascii="Arial" w:cs="Arial" w:eastAsia="Arial" w:hAnsi="Arial"/>
          <w:sz w:val="18"/>
          <w:szCs w:val="18"/>
          <w:color w:val="2F2F2F"/>
        </w:rPr>
        <w:t>their representatives responsible for considering</w:t>
      </w:r>
      <w:r>
        <w:rPr>
          <w:rFonts w:ascii="Arial" w:cs="Arial" w:eastAsia="Arial" w:hAnsi="Arial"/>
          <w:sz w:val="18"/>
          <w:szCs w:val="18"/>
          <w:color w:val="1A1A1A"/>
        </w:rPr>
        <w:t xml:space="preserve"> </w:t>
      </w:r>
      <w:r>
        <w:rPr>
          <w:rFonts w:ascii="Arial" w:cs="Arial" w:eastAsia="Arial" w:hAnsi="Arial"/>
          <w:sz w:val="18"/>
          <w:szCs w:val="18"/>
          <w:color w:val="3F3F3F"/>
        </w:rPr>
        <w:t>the entry</w:t>
      </w:r>
      <w:r>
        <w:rPr>
          <w:rFonts w:ascii="Arial" w:cs="Arial" w:eastAsia="Arial" w:hAnsi="Arial"/>
          <w:sz w:val="18"/>
          <w:szCs w:val="18"/>
          <w:color w:val="1A1A1A"/>
        </w:rPr>
        <w:t xml:space="preserve"> </w:t>
      </w:r>
      <w:r>
        <w:rPr>
          <w:rFonts w:ascii="Arial" w:cs="Arial" w:eastAsia="Arial" w:hAnsi="Arial"/>
          <w:sz w:val="18"/>
          <w:szCs w:val="18"/>
          <w:color w:val="2F2F2F"/>
        </w:rPr>
        <w:t>or entering into</w:t>
      </w:r>
      <w:r>
        <w:rPr>
          <w:rFonts w:ascii="Arial" w:cs="Arial" w:eastAsia="Arial" w:hAnsi="Arial"/>
          <w:sz w:val="18"/>
          <w:szCs w:val="18"/>
          <w:color w:val="1A1A1A"/>
        </w:rPr>
        <w:t xml:space="preserve"> </w:t>
      </w:r>
      <w:r>
        <w:rPr>
          <w:rFonts w:ascii="Arial" w:cs="Arial" w:eastAsia="Arial" w:hAnsi="Arial"/>
          <w:sz w:val="18"/>
          <w:szCs w:val="18"/>
          <w:color w:val="2F2F2F"/>
        </w:rPr>
        <w:t xml:space="preserve">agreements for </w:t>
      </w:r>
      <w:r>
        <w:rPr>
          <w:rFonts w:ascii="Arial" w:cs="Arial" w:eastAsia="Arial" w:hAnsi="Arial"/>
          <w:sz w:val="18"/>
          <w:szCs w:val="18"/>
          <w:color w:val="3F3F3F"/>
        </w:rPr>
        <w:t>those services,</w:t>
      </w:r>
      <w:r>
        <w:rPr>
          <w:rFonts w:ascii="Arial" w:cs="Arial" w:eastAsia="Arial" w:hAnsi="Arial"/>
          <w:sz w:val="18"/>
          <w:szCs w:val="18"/>
          <w:color w:val="2F2F2F"/>
        </w:rPr>
        <w:t xml:space="preserve"> and/or products provided by Company </w:t>
      </w:r>
      <w:r>
        <w:rPr>
          <w:rFonts w:ascii="Arial" w:cs="Arial" w:eastAsia="Arial" w:hAnsi="Arial"/>
          <w:sz w:val="18"/>
          <w:szCs w:val="18"/>
          <w:color w:val="3F3F3F"/>
        </w:rPr>
        <w:t>and</w:t>
      </w:r>
      <w:r>
        <w:rPr>
          <w:rFonts w:ascii="Arial" w:cs="Arial" w:eastAsia="Arial" w:hAnsi="Arial"/>
          <w:sz w:val="18"/>
          <w:szCs w:val="18"/>
          <w:color w:val="2F2F2F"/>
        </w:rPr>
        <w:t xml:space="preserve"> its </w:t>
      </w:r>
      <w:r>
        <w:rPr>
          <w:rFonts w:ascii="Arial" w:cs="Arial" w:eastAsia="Arial" w:hAnsi="Arial"/>
          <w:sz w:val="18"/>
          <w:szCs w:val="18"/>
          <w:color w:val="3F3F3F"/>
        </w:rPr>
        <w:t>subsidiaries;</w:t>
      </w:r>
      <w:r>
        <w:rPr>
          <w:rFonts w:ascii="Arial" w:cs="Arial" w:eastAsia="Arial" w:hAnsi="Arial"/>
          <w:sz w:val="18"/>
          <w:szCs w:val="18"/>
          <w:color w:val="2F2F2F"/>
        </w:rPr>
        <w:t xml:space="preserve"> customer leads or referrals; customer preferences, needs, </w:t>
      </w:r>
      <w:r>
        <w:rPr>
          <w:rFonts w:ascii="Arial" w:cs="Arial" w:eastAsia="Arial" w:hAnsi="Arial"/>
          <w:sz w:val="18"/>
          <w:szCs w:val="18"/>
          <w:color w:val="3F3F3F"/>
        </w:rPr>
        <w:t>and</w:t>
      </w:r>
      <w:r>
        <w:rPr>
          <w:rFonts w:ascii="Arial" w:cs="Arial" w:eastAsia="Arial" w:hAnsi="Arial"/>
          <w:sz w:val="18"/>
          <w:szCs w:val="18"/>
          <w:color w:val="2F2F2F"/>
        </w:rPr>
        <w:t xml:space="preserve"> requirements (including customer likes and dislikes, </w:t>
      </w:r>
      <w:r>
        <w:rPr>
          <w:rFonts w:ascii="Arial" w:cs="Arial" w:eastAsia="Arial" w:hAnsi="Arial"/>
          <w:sz w:val="18"/>
          <w:szCs w:val="18"/>
          <w:color w:val="3F3F3F"/>
        </w:rPr>
        <w:t>as</w:t>
      </w:r>
      <w:r>
        <w:rPr>
          <w:rFonts w:ascii="Arial" w:cs="Arial" w:eastAsia="Arial" w:hAnsi="Arial"/>
          <w:sz w:val="18"/>
          <w:szCs w:val="18"/>
          <w:color w:val="2F2F2F"/>
        </w:rPr>
        <w:t xml:space="preserve"> well </w:t>
      </w:r>
      <w:r>
        <w:rPr>
          <w:rFonts w:ascii="Arial" w:cs="Arial" w:eastAsia="Arial" w:hAnsi="Arial"/>
          <w:sz w:val="18"/>
          <w:szCs w:val="18"/>
          <w:color w:val="3F3F3F"/>
        </w:rPr>
        <w:t>as supply and</w:t>
      </w:r>
      <w:r>
        <w:rPr>
          <w:rFonts w:ascii="Arial" w:cs="Arial" w:eastAsia="Arial" w:hAnsi="Arial"/>
          <w:sz w:val="18"/>
          <w:szCs w:val="18"/>
          <w:color w:val="2F2F2F"/>
        </w:rPr>
        <w:t xml:space="preserve"> staffing requirements) </w:t>
      </w:r>
      <w:r>
        <w:rPr>
          <w:rFonts w:ascii="Arial" w:cs="Arial" w:eastAsia="Arial" w:hAnsi="Arial"/>
          <w:sz w:val="18"/>
          <w:szCs w:val="18"/>
          <w:color w:val="3F3F3F"/>
        </w:rPr>
        <w:t>and</w:t>
      </w:r>
      <w:r>
        <w:rPr>
          <w:rFonts w:ascii="Arial" w:cs="Arial" w:eastAsia="Arial" w:hAnsi="Arial"/>
          <w:sz w:val="18"/>
          <w:szCs w:val="18"/>
          <w:color w:val="2F2F2F"/>
        </w:rPr>
        <w:t xml:space="preserve"> the manner in </w:t>
      </w:r>
      <w:r>
        <w:rPr>
          <w:rFonts w:ascii="Arial" w:cs="Arial" w:eastAsia="Arial" w:hAnsi="Arial"/>
          <w:sz w:val="18"/>
          <w:szCs w:val="18"/>
          <w:color w:val="3F3F3F"/>
        </w:rPr>
        <w:t>which</w:t>
      </w:r>
      <w:r>
        <w:rPr>
          <w:rFonts w:ascii="Arial" w:cs="Arial" w:eastAsia="Arial" w:hAnsi="Arial"/>
          <w:sz w:val="18"/>
          <w:szCs w:val="18"/>
          <w:color w:val="2F2F2F"/>
        </w:rPr>
        <w:t xml:space="preserve"> they have been met </w:t>
      </w:r>
      <w:r>
        <w:rPr>
          <w:rFonts w:ascii="Arial" w:cs="Arial" w:eastAsia="Arial" w:hAnsi="Arial"/>
          <w:sz w:val="18"/>
          <w:szCs w:val="18"/>
          <w:color w:val="3F3F3F"/>
        </w:rPr>
        <w:t>by</w:t>
      </w:r>
      <w:r>
        <w:rPr>
          <w:rFonts w:ascii="Arial" w:cs="Arial" w:eastAsia="Arial" w:hAnsi="Arial"/>
          <w:sz w:val="18"/>
          <w:szCs w:val="18"/>
          <w:color w:val="2F2F2F"/>
        </w:rPr>
        <w:t xml:space="preserve"> Company or its subsidiaries; customer </w:t>
      </w:r>
      <w:r>
        <w:rPr>
          <w:rFonts w:ascii="Arial" w:cs="Arial" w:eastAsia="Arial" w:hAnsi="Arial"/>
          <w:sz w:val="18"/>
          <w:szCs w:val="18"/>
          <w:color w:val="3F3F3F"/>
        </w:rPr>
        <w:t>billing procedures,</w:t>
      </w:r>
      <w:r>
        <w:rPr>
          <w:rFonts w:ascii="Arial" w:cs="Arial" w:eastAsia="Arial" w:hAnsi="Arial"/>
          <w:sz w:val="18"/>
          <w:szCs w:val="18"/>
          <w:color w:val="2F2F2F"/>
        </w:rPr>
        <w:t xml:space="preserve"> credit limits </w:t>
      </w:r>
      <w:r>
        <w:rPr>
          <w:rFonts w:ascii="Arial" w:cs="Arial" w:eastAsia="Arial" w:hAnsi="Arial"/>
          <w:sz w:val="18"/>
          <w:szCs w:val="18"/>
          <w:color w:val="3F3F3F"/>
        </w:rPr>
        <w:t>and payment</w:t>
      </w:r>
      <w:r>
        <w:rPr>
          <w:rFonts w:ascii="Arial" w:cs="Arial" w:eastAsia="Arial" w:hAnsi="Arial"/>
          <w:sz w:val="18"/>
          <w:szCs w:val="18"/>
          <w:color w:val="2F2F2F"/>
        </w:rPr>
        <w:t xml:space="preserve"> practices; and </w:t>
      </w:r>
      <w:r>
        <w:rPr>
          <w:rFonts w:ascii="Arial" w:cs="Arial" w:eastAsia="Arial" w:hAnsi="Arial"/>
          <w:sz w:val="18"/>
          <w:szCs w:val="18"/>
          <w:color w:val="3F3F3F"/>
        </w:rPr>
        <w:t>customer</w:t>
      </w:r>
      <w:r>
        <w:rPr>
          <w:rFonts w:ascii="Arial" w:cs="Arial" w:eastAsia="Arial" w:hAnsi="Arial"/>
          <w:sz w:val="18"/>
          <w:szCs w:val="18"/>
          <w:color w:val="2F2F2F"/>
        </w:rPr>
        <w:t xml:space="preserve"> information with </w:t>
      </w:r>
      <w:r>
        <w:rPr>
          <w:rFonts w:ascii="Arial" w:cs="Arial" w:eastAsia="Arial" w:hAnsi="Arial"/>
          <w:sz w:val="18"/>
          <w:szCs w:val="18"/>
          <w:color w:val="3F3F3F"/>
        </w:rPr>
        <w:t>respect to</w:t>
      </w:r>
      <w:r>
        <w:rPr>
          <w:rFonts w:ascii="Arial" w:cs="Arial" w:eastAsia="Arial" w:hAnsi="Arial"/>
          <w:sz w:val="18"/>
          <w:szCs w:val="18"/>
          <w:color w:val="2F2F2F"/>
        </w:rPr>
        <w:t xml:space="preserve"> contract </w:t>
      </w:r>
      <w:r>
        <w:rPr>
          <w:rFonts w:ascii="Arial" w:cs="Arial" w:eastAsia="Arial" w:hAnsi="Arial"/>
          <w:sz w:val="18"/>
          <w:szCs w:val="18"/>
          <w:color w:val="3F3F3F"/>
        </w:rPr>
        <w:t>and relationship terms and conditions, pricing,</w:t>
      </w:r>
      <w:r>
        <w:rPr>
          <w:rFonts w:ascii="Arial" w:cs="Arial" w:eastAsia="Arial" w:hAnsi="Arial"/>
          <w:sz w:val="18"/>
          <w:szCs w:val="18"/>
          <w:color w:val="2F2F2F"/>
        </w:rPr>
        <w:t xml:space="preserve"> costs, profits, </w:t>
      </w:r>
      <w:r>
        <w:rPr>
          <w:rFonts w:ascii="Arial" w:cs="Arial" w:eastAsia="Arial" w:hAnsi="Arial"/>
          <w:sz w:val="18"/>
          <w:szCs w:val="18"/>
          <w:color w:val="3F3F3F"/>
        </w:rPr>
        <w:t>sales, markets,</w:t>
      </w:r>
      <w:r>
        <w:rPr>
          <w:rFonts w:ascii="Arial" w:cs="Arial" w:eastAsia="Arial" w:hAnsi="Arial"/>
          <w:sz w:val="18"/>
          <w:szCs w:val="18"/>
          <w:color w:val="2F2F2F"/>
        </w:rPr>
        <w:t xml:space="preserve"> plans for </w:t>
      </w:r>
      <w:r>
        <w:rPr>
          <w:rFonts w:ascii="Arial" w:cs="Arial" w:eastAsia="Arial" w:hAnsi="Arial"/>
          <w:sz w:val="18"/>
          <w:szCs w:val="18"/>
          <w:color w:val="3F3F3F"/>
        </w:rPr>
        <w:t>future</w:t>
      </w:r>
      <w:r>
        <w:rPr>
          <w:rFonts w:ascii="Arial" w:cs="Arial" w:eastAsia="Arial" w:hAnsi="Arial"/>
          <w:sz w:val="18"/>
          <w:szCs w:val="18"/>
          <w:color w:val="2F2F2F"/>
        </w:rPr>
        <w:t xml:space="preserve"> business </w:t>
      </w:r>
      <w:r>
        <w:rPr>
          <w:rFonts w:ascii="Arial" w:cs="Arial" w:eastAsia="Arial" w:hAnsi="Arial"/>
          <w:sz w:val="18"/>
          <w:szCs w:val="18"/>
          <w:color w:val="3F3F3F"/>
        </w:rPr>
        <w:t>and</w:t>
      </w:r>
      <w:r>
        <w:rPr>
          <w:rFonts w:ascii="Arial" w:cs="Arial" w:eastAsia="Arial" w:hAnsi="Arial"/>
          <w:sz w:val="18"/>
          <w:szCs w:val="18"/>
          <w:color w:val="2F2F2F"/>
        </w:rPr>
        <w:t xml:space="preserve"> other development; purchasing </w:t>
      </w:r>
      <w:r>
        <w:rPr>
          <w:rFonts w:ascii="Arial" w:cs="Arial" w:eastAsia="Arial" w:hAnsi="Arial"/>
          <w:sz w:val="18"/>
          <w:szCs w:val="18"/>
          <w:color w:val="3F3F3F"/>
        </w:rPr>
        <w:t>techniques;</w:t>
      </w:r>
      <w:r>
        <w:rPr>
          <w:rFonts w:ascii="Arial" w:cs="Arial" w:eastAsia="Arial" w:hAnsi="Arial"/>
          <w:sz w:val="18"/>
          <w:szCs w:val="18"/>
          <w:color w:val="2F2F2F"/>
        </w:rPr>
        <w:t xml:space="preserve"> supplier </w:t>
      </w:r>
      <w:r>
        <w:rPr>
          <w:rFonts w:ascii="Arial" w:cs="Arial" w:eastAsia="Arial" w:hAnsi="Arial"/>
          <w:sz w:val="18"/>
          <w:szCs w:val="18"/>
          <w:color w:val="3F3F3F"/>
        </w:rPr>
        <w:t>lists;</w:t>
      </w:r>
      <w:r>
        <w:rPr>
          <w:rFonts w:ascii="Arial" w:cs="Arial" w:eastAsia="Arial" w:hAnsi="Arial"/>
          <w:sz w:val="18"/>
          <w:szCs w:val="18"/>
          <w:color w:val="2F2F2F"/>
        </w:rPr>
        <w:t xml:space="preserve"> (v) information </w:t>
      </w:r>
      <w:r>
        <w:rPr>
          <w:rFonts w:ascii="Arial" w:cs="Arial" w:eastAsia="Arial" w:hAnsi="Arial"/>
          <w:sz w:val="18"/>
          <w:szCs w:val="18"/>
          <w:color w:val="3F3F3F"/>
        </w:rPr>
        <w:t>contained</w:t>
      </w:r>
      <w:r>
        <w:rPr>
          <w:rFonts w:ascii="Arial" w:cs="Arial" w:eastAsia="Arial" w:hAnsi="Arial"/>
          <w:sz w:val="18"/>
          <w:szCs w:val="18"/>
          <w:color w:val="2F2F2F"/>
        </w:rPr>
        <w:t xml:space="preserve"> in </w:t>
      </w:r>
      <w:r>
        <w:rPr>
          <w:rFonts w:ascii="Arial" w:cs="Arial" w:eastAsia="Arial" w:hAnsi="Arial"/>
          <w:sz w:val="18"/>
          <w:szCs w:val="18"/>
          <w:color w:val="3F3F3F"/>
        </w:rPr>
        <w:t>Company’s</w:t>
      </w:r>
      <w:r>
        <w:rPr>
          <w:rFonts w:ascii="Arial" w:cs="Arial" w:eastAsia="Arial" w:hAnsi="Arial"/>
          <w:sz w:val="18"/>
          <w:szCs w:val="18"/>
          <w:color w:val="2F2F2F"/>
        </w:rPr>
        <w:t xml:space="preserve"> LCMS database, JDE, </w:t>
      </w:r>
      <w:r>
        <w:rPr>
          <w:rFonts w:ascii="Arial" w:cs="Arial" w:eastAsia="Arial" w:hAnsi="Arial"/>
          <w:sz w:val="18"/>
          <w:szCs w:val="18"/>
          <w:color w:val="3F3F3F"/>
        </w:rPr>
        <w:t>LMS</w:t>
      </w:r>
      <w:r>
        <w:rPr>
          <w:rFonts w:ascii="Arial" w:cs="Arial" w:eastAsia="Arial" w:hAnsi="Arial"/>
          <w:sz w:val="18"/>
          <w:szCs w:val="18"/>
          <w:color w:val="2F2F2F"/>
        </w:rPr>
        <w:t xml:space="preserve"> or similar </w:t>
      </w:r>
      <w:r>
        <w:rPr>
          <w:rFonts w:ascii="Arial" w:cs="Arial" w:eastAsia="Arial" w:hAnsi="Arial"/>
          <w:sz w:val="18"/>
          <w:szCs w:val="18"/>
          <w:color w:val="3F3F3F"/>
        </w:rPr>
        <w:t>systems; and</w:t>
      </w:r>
      <w:r>
        <w:rPr>
          <w:rFonts w:ascii="Arial" w:cs="Arial" w:eastAsia="Arial" w:hAnsi="Arial"/>
          <w:sz w:val="18"/>
          <w:szCs w:val="18"/>
          <w:color w:val="2F2F2F"/>
        </w:rPr>
        <w:t xml:space="preserve"> (vi) </w:t>
      </w:r>
      <w:r>
        <w:rPr>
          <w:rFonts w:ascii="Arial" w:cs="Arial" w:eastAsia="Arial" w:hAnsi="Arial"/>
          <w:sz w:val="18"/>
          <w:szCs w:val="18"/>
          <w:color w:val="3F3F3F"/>
        </w:rPr>
        <w:t>any</w:t>
      </w:r>
      <w:r>
        <w:rPr>
          <w:rFonts w:ascii="Arial" w:cs="Arial" w:eastAsia="Arial" w:hAnsi="Arial"/>
          <w:sz w:val="18"/>
          <w:szCs w:val="18"/>
          <w:color w:val="2F2F2F"/>
        </w:rPr>
        <w:t xml:space="preserve"> and all information </w:t>
      </w:r>
      <w:r>
        <w:rPr>
          <w:rFonts w:ascii="Arial" w:cs="Arial" w:eastAsia="Arial" w:hAnsi="Arial"/>
          <w:sz w:val="18"/>
          <w:szCs w:val="18"/>
          <w:color w:val="3F3F3F"/>
        </w:rPr>
        <w:t>related</w:t>
      </w:r>
      <w:r>
        <w:rPr>
          <w:rFonts w:ascii="Arial" w:cs="Arial" w:eastAsia="Arial" w:hAnsi="Arial"/>
          <w:sz w:val="18"/>
          <w:szCs w:val="18"/>
          <w:color w:val="2F2F2F"/>
        </w:rPr>
        <w:t xml:space="preserve"> to past, </w:t>
      </w:r>
      <w:r>
        <w:rPr>
          <w:rFonts w:ascii="Arial" w:cs="Arial" w:eastAsia="Arial" w:hAnsi="Arial"/>
          <w:sz w:val="18"/>
          <w:szCs w:val="18"/>
          <w:color w:val="3F3F3F"/>
        </w:rPr>
        <w:t>current</w:t>
      </w:r>
      <w:r>
        <w:rPr>
          <w:rFonts w:ascii="Arial" w:cs="Arial" w:eastAsia="Arial" w:hAnsi="Arial"/>
          <w:sz w:val="18"/>
          <w:szCs w:val="18"/>
          <w:color w:val="2F2F2F"/>
        </w:rPr>
        <w:t xml:space="preserve"> or future </w:t>
      </w:r>
      <w:r>
        <w:rPr>
          <w:rFonts w:ascii="Arial" w:cs="Arial" w:eastAsia="Arial" w:hAnsi="Arial"/>
          <w:sz w:val="18"/>
          <w:szCs w:val="18"/>
          <w:color w:val="3F3F3F"/>
        </w:rPr>
        <w:t>acquis</w:t>
      </w:r>
      <w:r>
        <w:rPr>
          <w:rFonts w:ascii="Arial" w:cs="Arial" w:eastAsia="Arial" w:hAnsi="Arial"/>
          <w:sz w:val="18"/>
          <w:szCs w:val="18"/>
          <w:color w:val="1A1A1A"/>
        </w:rPr>
        <w:t>itions</w:t>
      </w:r>
      <w:r>
        <w:rPr>
          <w:rFonts w:ascii="Arial" w:cs="Arial" w:eastAsia="Arial" w:hAnsi="Arial"/>
          <w:sz w:val="18"/>
          <w:szCs w:val="18"/>
          <w:color w:val="2F2F2F"/>
        </w:rPr>
        <w:t xml:space="preserve"> between </w:t>
      </w:r>
      <w:r>
        <w:rPr>
          <w:rFonts w:ascii="Arial" w:cs="Arial" w:eastAsia="Arial" w:hAnsi="Arial"/>
          <w:sz w:val="18"/>
          <w:szCs w:val="18"/>
          <w:color w:val="3F3F3F"/>
        </w:rPr>
        <w:t>Company or Company-affiliated entities including</w:t>
      </w:r>
      <w:r>
        <w:rPr>
          <w:rFonts w:ascii="Arial" w:cs="Arial" w:eastAsia="Arial" w:hAnsi="Arial"/>
          <w:sz w:val="18"/>
          <w:szCs w:val="18"/>
          <w:color w:val="2F2F2F"/>
        </w:rPr>
        <w:t xml:space="preserve"> information used </w:t>
      </w:r>
      <w:r>
        <w:rPr>
          <w:rFonts w:ascii="Arial" w:cs="Arial" w:eastAsia="Arial" w:hAnsi="Arial"/>
          <w:sz w:val="18"/>
          <w:szCs w:val="18"/>
          <w:color w:val="3F3F3F"/>
        </w:rPr>
        <w:t>or</w:t>
      </w:r>
      <w:r>
        <w:rPr>
          <w:rFonts w:ascii="Arial" w:cs="Arial" w:eastAsia="Arial" w:hAnsi="Arial"/>
          <w:sz w:val="18"/>
          <w:szCs w:val="18"/>
          <w:color w:val="2F2F2F"/>
        </w:rPr>
        <w:t xml:space="preserve"> relied upon for </w:t>
      </w:r>
      <w:r>
        <w:rPr>
          <w:rFonts w:ascii="Arial" w:cs="Arial" w:eastAsia="Arial" w:hAnsi="Arial"/>
          <w:sz w:val="18"/>
          <w:szCs w:val="18"/>
          <w:color w:val="3F3F3F"/>
        </w:rPr>
        <w:t>said acquisition</w:t>
      </w:r>
      <w:r>
        <w:rPr>
          <w:rFonts w:ascii="Arial" w:cs="Arial" w:eastAsia="Arial" w:hAnsi="Arial"/>
          <w:sz w:val="18"/>
          <w:szCs w:val="18"/>
          <w:color w:val="2F2F2F"/>
        </w:rPr>
        <w:t xml:space="preserve"> (“Confidential Information”</w:t>
      </w:r>
      <w:r>
        <w:rPr>
          <w:rFonts w:ascii="Arial" w:cs="Arial" w:eastAsia="Arial" w:hAnsi="Arial"/>
          <w:sz w:val="18"/>
          <w:szCs w:val="18"/>
          <w:color w:val="3F3F3F"/>
        </w:rPr>
        <w: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NON-DISCLOSURE. </w:t>
      </w:r>
      <w:r>
        <w:rPr>
          <w:rFonts w:ascii="Arial" w:cs="Arial" w:eastAsia="Arial" w:hAnsi="Arial"/>
          <w:sz w:val="18"/>
          <w:szCs w:val="18"/>
          <w:color w:val="auto"/>
        </w:rPr>
        <w:t>Company and Executive acknowledge and agree that Company has invested significant effort,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Company was assured that all such Confidential Information will be held in trust and confidence in accordance with this Agreement and applicable law. Executive hereby acknowledges and agrees to use this Confidential Information solely for the benefit of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18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 xml:space="preserve">NON-SOLICITATION OF EMPLOYEES. </w:t>
      </w:r>
      <w:r>
        <w:rPr>
          <w:rFonts w:ascii="Arial" w:cs="Arial" w:eastAsia="Arial" w:hAnsi="Arial"/>
          <w:sz w:val="18"/>
          <w:szCs w:val="18"/>
          <w:color w:val="auto"/>
        </w:rPr>
        <w:t>Executive acknowledges and agrees that Company has developed its work force as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result of its investment of substantial time, effort, and expense. During the course and solely as a result of Executive's employment with Company, Executive will come into contact with officers, directors, employees, and/or independent contractors of Company and affiliated-entities,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Company and for a period of twelve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w:t>
      </w:r>
    </w:p>
    <w:p>
      <w:pPr>
        <w:spacing w:after="0" w:line="178"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Executive acknowledges and agrees that Company and its subsidiaries have</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solicited, and developed their customers and developed customer relationships as the result of their investment of significant time, effort, and expense and that Company has a legitimate business interest in protecting these relationships. Executive further acknowledges that Executive would not have been privy to these relationships were it not for Executive’s employment by Company. Executive further acknowledges and agrees that the loss of such customers and clients would damage Company and potentially cause Company great and irreparable harm. Consequently, Executive covenants and agrees that during and for twelve months following the termination of Executive’s employment with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jc w:val="both"/>
        <w:ind w:left="1300"/>
        <w:spacing w:after="0" w:line="307" w:lineRule="auto"/>
        <w:rPr>
          <w:sz w:val="20"/>
          <w:szCs w:val="20"/>
          <w:color w:val="auto"/>
        </w:rPr>
      </w:pPr>
      <w:r>
        <w:rPr>
          <w:rFonts w:ascii="Arial" w:cs="Arial" w:eastAsia="Arial" w:hAnsi="Arial"/>
          <w:sz w:val="18"/>
          <w:szCs w:val="18"/>
          <w:color w:val="auto"/>
        </w:rPr>
        <w:t>Executive performed work, services, or engaged in business activity on behalf of the Company within the twelve-month period preceding the effective date of Executive’s termination of employment and/or (b) where the Company has business operations and Executive was provided Confidential Information regarding the Company’s business activities in those territories within the twelve month period preceding the effective date of Executive’s termination of employment. This Section 5.4 shall not apply if the State of Employment is California.</w:t>
      </w:r>
    </w:p>
    <w:p>
      <w:pPr>
        <w:spacing w:after="0" w:line="14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 xml:space="preserve">POST EMPLOYMENT COMPETITION. </w:t>
      </w:r>
      <w:r>
        <w:rPr>
          <w:rFonts w:ascii="Arial" w:cs="Arial" w:eastAsia="Arial" w:hAnsi="Arial"/>
          <w:sz w:val="18"/>
          <w:szCs w:val="18"/>
          <w:color w:val="auto"/>
        </w:rPr>
        <w:t>Executive agrees that while employed by the Company and for a period of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 affiliated entity of which Executive had Confidential Information, in the twelve-month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twelve-month period preceding the effective date of Executive’s termination of employment; and/or (ii) where the Company has business operations and Executive was provided Confidential Information regarding the Company’s business activities in those territories within the twelve-month period preceding the effective date of Executive’s termination of employment. The restrictions in Section 5.5 shall only apply if, within the twelve-month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 Further, Section 5.5 shall not apply if the State of Employment is California.</w:t>
      </w:r>
    </w:p>
    <w:p>
      <w:pPr>
        <w:spacing w:after="0" w:line="178"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Following the severance of Executive’s employment for any reason, Executive agrees not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statement or take any action which disparages, defames, or places in a negative light Company, Company-affiliated entities, or its or their reputation, goodwill, commercial interests or past and present officers, directors, employees, consultants, and/or agents.</w:t>
      </w:r>
    </w:p>
    <w:p>
      <w:pPr>
        <w:spacing w:after="0" w:line="166"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b w:val="1"/>
          <w:bCs w:val="1"/>
          <w:color w:val="auto"/>
        </w:rPr>
        <w:t xml:space="preserve">CREATIONS. </w:t>
      </w:r>
      <w:r>
        <w:rPr>
          <w:rFonts w:ascii="Arial" w:cs="Arial" w:eastAsia="Arial" w:hAnsi="Arial"/>
          <w:sz w:val="18"/>
          <w:szCs w:val="18"/>
          <w:color w:val="auto"/>
        </w:rPr>
        <w:t>The terms and conditions set forth in Appendix A attached hereto are hereby incorporated by reference as</w:t>
      </w:r>
      <w:r>
        <w:rPr>
          <w:rFonts w:ascii="Arial" w:cs="Arial" w:eastAsia="Arial" w:hAnsi="Arial"/>
          <w:sz w:val="18"/>
          <w:szCs w:val="18"/>
          <w:b w:val="1"/>
          <w:bCs w:val="1"/>
          <w:color w:val="auto"/>
        </w:rPr>
        <w:t xml:space="preserve"> </w:t>
      </w:r>
      <w:r>
        <w:rPr>
          <w:rFonts w:ascii="Arial" w:cs="Arial" w:eastAsia="Arial" w:hAnsi="Arial"/>
          <w:sz w:val="18"/>
          <w:szCs w:val="18"/>
          <w:color w:val="auto"/>
        </w:rPr>
        <w:t>though fully set forth herein.</w:t>
      </w:r>
    </w:p>
    <w:p>
      <w:pPr>
        <w:spacing w:after="0" w:line="141"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color w:val="auto"/>
        </w:rPr>
        <w:t xml:space="preserve">CONFIDENTIAL INFORMATION OF OTHERS. </w:t>
      </w:r>
      <w:r>
        <w:rPr>
          <w:rFonts w:ascii="Arial" w:cs="Arial" w:eastAsia="Arial" w:hAnsi="Arial"/>
          <w:sz w:val="18"/>
          <w:szCs w:val="18"/>
          <w:color w:val="auto"/>
        </w:rPr>
        <w:t>Executive will not use, disclose to the Company or induce the Company to use</w:t>
      </w:r>
      <w:r>
        <w:rPr>
          <w:rFonts w:ascii="Arial" w:cs="Arial" w:eastAsia="Arial" w:hAnsi="Arial"/>
          <w:sz w:val="18"/>
          <w:szCs w:val="18"/>
          <w:b w:val="1"/>
          <w:bCs w:val="1"/>
          <w:color w:val="auto"/>
        </w:rPr>
        <w:t xml:space="preserve"> </w:t>
      </w:r>
      <w:r>
        <w:rPr>
          <w:rFonts w:ascii="Arial" w:cs="Arial" w:eastAsia="Arial" w:hAnsi="Arial"/>
          <w:sz w:val="18"/>
          <w:szCs w:val="18"/>
          <w:color w:val="auto"/>
        </w:rPr>
        <w:t>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Senior Vice President of Human Resources. Executive has not entered into, and Executive agrees Executive will not enter into, any oral or written agreement in conflict with this Agreement.</w:t>
      </w:r>
    </w:p>
    <w:p>
      <w:pPr>
        <w:spacing w:after="0" w:line="18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color w:val="auto"/>
        </w:rPr>
        <w:t xml:space="preserve">COOPERATION WITH LEGAL MATTERS. </w:t>
      </w:r>
      <w:r>
        <w:rPr>
          <w:rFonts w:ascii="Arial" w:cs="Arial" w:eastAsia="Arial" w:hAnsi="Arial"/>
          <w:sz w:val="18"/>
          <w:szCs w:val="18"/>
          <w:color w:val="auto"/>
        </w:rPr>
        <w:t>During Executive’s employment with Company and thereafter, Executive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jc w:val="both"/>
        <w:ind w:left="1300"/>
        <w:spacing w:after="0" w:line="300" w:lineRule="auto"/>
        <w:rPr>
          <w:sz w:val="20"/>
          <w:szCs w:val="20"/>
          <w:color w:val="auto"/>
        </w:rPr>
      </w:pPr>
      <w:r>
        <w:rPr>
          <w:rFonts w:ascii="Arial" w:cs="Arial" w:eastAsia="Arial" w:hAnsi="Arial"/>
          <w:sz w:val="18"/>
          <w:szCs w:val="18"/>
          <w:color w:val="auto"/>
        </w:rPr>
        <w:t>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 affiliated entity, or Executive’s knowledge of or employment with the Company. In performing responsibilities under this Section following termination of employment for any reason and after Executive has received all Severance Benefits (as defined below) which Executive is eligible to receive pursuant to Section 7.2 (“Severance Period”), if any, Executive shall be compensated for Executive’s time at an hourly rate of $250 per hour. However, during any period in which Executive is an employee of the Company or during the Severance Period, Executive shall not be so compensated.</w:t>
      </w:r>
    </w:p>
    <w:p>
      <w:pPr>
        <w:spacing w:after="0" w:line="157"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5.10</w:t>
        <w:tab/>
        <w:t xml:space="preserve">REMEDIES AND DAMAGES. </w:t>
      </w:r>
      <w:r>
        <w:rPr>
          <w:rFonts w:ascii="Arial" w:cs="Arial" w:eastAsia="Arial" w:hAnsi="Arial"/>
          <w:sz w:val="18"/>
          <w:szCs w:val="18"/>
          <w:color w:val="auto"/>
        </w:rPr>
        <w:t>The parties agree that compliance with Sections 5.1 -5.7 of the Agreement and Appendix A is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protect the business and goodwill of Company, that the restrictions contained herein are reasonable and that any breach of this Section will result in irreparable and continuing harm to Company, for which monetary damages will not provide adequate relief. Accordingly, in the event of any actual or threatened breach of any covenant or promise made by Executive in Section 5,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177"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b w:val="1"/>
          <w:bCs w:val="1"/>
          <w:color w:val="auto"/>
        </w:rPr>
        <w:t>5.11</w:t>
      </w:r>
      <w:r>
        <w:rPr>
          <w:rFonts w:ascii="Arial" w:cs="Arial" w:eastAsia="Arial" w:hAnsi="Arial"/>
          <w:sz w:val="18"/>
          <w:szCs w:val="18"/>
          <w:b w:val="1"/>
          <w:bCs w:val="1"/>
          <w:color w:val="2F2F2F"/>
        </w:rPr>
        <w:tab/>
        <w:t xml:space="preserve">LIMITATIONS. </w:t>
      </w:r>
      <w:r>
        <w:rPr>
          <w:rFonts w:ascii="Arial" w:cs="Arial" w:eastAsia="Arial" w:hAnsi="Arial"/>
          <w:sz w:val="18"/>
          <w:szCs w:val="18"/>
          <w:color w:val="2F2F2F"/>
        </w:rPr>
        <w:t>Nothing in this Agreement</w:t>
      </w:r>
      <w:r>
        <w:rPr>
          <w:rFonts w:ascii="Arial" w:cs="Arial" w:eastAsia="Arial" w:hAnsi="Arial"/>
          <w:sz w:val="18"/>
          <w:szCs w:val="18"/>
          <w:b w:val="1"/>
          <w:bCs w:val="1"/>
          <w:color w:val="2F2F2F"/>
        </w:rPr>
        <w:t xml:space="preserve"> </w:t>
      </w:r>
      <w:r>
        <w:rPr>
          <w:rFonts w:ascii="Arial" w:cs="Arial" w:eastAsia="Arial" w:hAnsi="Arial"/>
          <w:sz w:val="18"/>
          <w:szCs w:val="18"/>
          <w:color w:val="3F3F3F"/>
        </w:rPr>
        <w:t>shall</w:t>
      </w:r>
      <w:r>
        <w:rPr>
          <w:rFonts w:ascii="Arial" w:cs="Arial" w:eastAsia="Arial" w:hAnsi="Arial"/>
          <w:sz w:val="18"/>
          <w:szCs w:val="18"/>
          <w:b w:val="1"/>
          <w:bCs w:val="1"/>
          <w:color w:val="2F2F2F"/>
        </w:rPr>
        <w:t xml:space="preserve"> </w:t>
      </w:r>
      <w:r>
        <w:rPr>
          <w:rFonts w:ascii="Arial" w:cs="Arial" w:eastAsia="Arial" w:hAnsi="Arial"/>
          <w:sz w:val="18"/>
          <w:szCs w:val="18"/>
          <w:color w:val="2F2F2F"/>
        </w:rPr>
        <w:t>be binding</w:t>
      </w:r>
      <w:r>
        <w:rPr>
          <w:rFonts w:ascii="Arial" w:cs="Arial" w:eastAsia="Arial" w:hAnsi="Arial"/>
          <w:sz w:val="18"/>
          <w:szCs w:val="18"/>
          <w:b w:val="1"/>
          <w:bCs w:val="1"/>
          <w:color w:val="2F2F2F"/>
        </w:rPr>
        <w:t xml:space="preserve"> </w:t>
      </w:r>
      <w:r>
        <w:rPr>
          <w:rFonts w:ascii="Arial" w:cs="Arial" w:eastAsia="Arial" w:hAnsi="Arial"/>
          <w:sz w:val="18"/>
          <w:szCs w:val="18"/>
          <w:color w:val="3F3F3F"/>
        </w:rPr>
        <w:t>upon the</w:t>
      </w:r>
      <w:r>
        <w:rPr>
          <w:rFonts w:ascii="Arial" w:cs="Arial" w:eastAsia="Arial" w:hAnsi="Arial"/>
          <w:sz w:val="18"/>
          <w:szCs w:val="18"/>
          <w:b w:val="1"/>
          <w:bCs w:val="1"/>
          <w:color w:val="2F2F2F"/>
        </w:rPr>
        <w:t xml:space="preserve"> </w:t>
      </w:r>
      <w:r>
        <w:rPr>
          <w:rFonts w:ascii="Arial" w:cs="Arial" w:eastAsia="Arial" w:hAnsi="Arial"/>
          <w:sz w:val="18"/>
          <w:szCs w:val="18"/>
          <w:color w:val="2F2F2F"/>
        </w:rPr>
        <w:t>parties to</w:t>
      </w:r>
      <w:r>
        <w:rPr>
          <w:rFonts w:ascii="Arial" w:cs="Arial" w:eastAsia="Arial" w:hAnsi="Arial"/>
          <w:sz w:val="18"/>
          <w:szCs w:val="18"/>
          <w:b w:val="1"/>
          <w:bCs w:val="1"/>
          <w:color w:val="2F2F2F"/>
        </w:rPr>
        <w:t xml:space="preserve"> </w:t>
      </w:r>
      <w:r>
        <w:rPr>
          <w:rFonts w:ascii="Arial" w:cs="Arial" w:eastAsia="Arial" w:hAnsi="Arial"/>
          <w:sz w:val="18"/>
          <w:szCs w:val="18"/>
          <w:color w:val="3F3F3F"/>
        </w:rPr>
        <w:t>the extent</w:t>
      </w:r>
      <w:r>
        <w:rPr>
          <w:rFonts w:ascii="Arial" w:cs="Arial" w:eastAsia="Arial" w:hAnsi="Arial"/>
          <w:sz w:val="18"/>
          <w:szCs w:val="18"/>
          <w:b w:val="1"/>
          <w:bCs w:val="1"/>
          <w:color w:val="2F2F2F"/>
        </w:rPr>
        <w:t xml:space="preserve"> </w:t>
      </w:r>
      <w:r>
        <w:rPr>
          <w:rFonts w:ascii="Arial" w:cs="Arial" w:eastAsia="Arial" w:hAnsi="Arial"/>
          <w:sz w:val="18"/>
          <w:szCs w:val="18"/>
          <w:color w:val="2F2F2F"/>
        </w:rPr>
        <w:t>it is void or unenforceable</w:t>
      </w:r>
      <w:r>
        <w:rPr>
          <w:rFonts w:ascii="Arial" w:cs="Arial" w:eastAsia="Arial" w:hAnsi="Arial"/>
          <w:sz w:val="18"/>
          <w:szCs w:val="18"/>
          <w:b w:val="1"/>
          <w:bCs w:val="1"/>
          <w:color w:val="2F2F2F"/>
        </w:rPr>
        <w:t xml:space="preserve"> </w:t>
      </w:r>
      <w:r>
        <w:rPr>
          <w:rFonts w:ascii="Arial" w:cs="Arial" w:eastAsia="Arial" w:hAnsi="Arial"/>
          <w:sz w:val="18"/>
          <w:szCs w:val="18"/>
          <w:color w:val="3F3F3F"/>
        </w:rPr>
        <w:t>for</w:t>
      </w:r>
      <w:r>
        <w:rPr>
          <w:rFonts w:ascii="Arial" w:cs="Arial" w:eastAsia="Arial" w:hAnsi="Arial"/>
          <w:sz w:val="18"/>
          <w:szCs w:val="18"/>
          <w:b w:val="1"/>
          <w:bCs w:val="1"/>
          <w:color w:val="2F2F2F"/>
        </w:rPr>
        <w:t xml:space="preserve"> </w:t>
      </w:r>
      <w:r>
        <w:rPr>
          <w:rFonts w:ascii="Arial" w:cs="Arial" w:eastAsia="Arial" w:hAnsi="Arial"/>
          <w:sz w:val="18"/>
          <w:szCs w:val="18"/>
          <w:color w:val="2F2F2F"/>
        </w:rPr>
        <w:t>any</w:t>
      </w:r>
      <w:r>
        <w:rPr>
          <w:rFonts w:ascii="Arial" w:cs="Arial" w:eastAsia="Arial" w:hAnsi="Arial"/>
          <w:sz w:val="18"/>
          <w:szCs w:val="18"/>
          <w:b w:val="1"/>
          <w:bCs w:val="1"/>
          <w:color w:val="2F2F2F"/>
        </w:rPr>
        <w:t xml:space="preserve"> </w:t>
      </w:r>
      <w:r>
        <w:rPr>
          <w:rFonts w:ascii="Arial" w:cs="Arial" w:eastAsia="Arial" w:hAnsi="Arial"/>
          <w:sz w:val="18"/>
          <w:szCs w:val="18"/>
          <w:color w:val="3F3F3F"/>
        </w:rPr>
        <w:t xml:space="preserve">reason </w:t>
      </w:r>
      <w:r>
        <w:rPr>
          <w:rFonts w:ascii="Arial" w:cs="Arial" w:eastAsia="Arial" w:hAnsi="Arial"/>
          <w:sz w:val="18"/>
          <w:szCs w:val="18"/>
          <w:color w:val="2F2F2F"/>
        </w:rPr>
        <w:t>in</w:t>
      </w:r>
      <w:r>
        <w:rPr>
          <w:rFonts w:ascii="Arial" w:cs="Arial" w:eastAsia="Arial" w:hAnsi="Arial"/>
          <w:sz w:val="18"/>
          <w:szCs w:val="18"/>
          <w:color w:val="3F3F3F"/>
        </w:rPr>
        <w:t xml:space="preserve"> the State </w:t>
      </w:r>
      <w:r>
        <w:rPr>
          <w:rFonts w:ascii="Arial" w:cs="Arial" w:eastAsia="Arial" w:hAnsi="Arial"/>
          <w:sz w:val="18"/>
          <w:szCs w:val="18"/>
          <w:color w:val="2F2F2F"/>
        </w:rPr>
        <w:t>of</w:t>
      </w:r>
      <w:r>
        <w:rPr>
          <w:rFonts w:ascii="Arial" w:cs="Arial" w:eastAsia="Arial" w:hAnsi="Arial"/>
          <w:sz w:val="18"/>
          <w:szCs w:val="18"/>
          <w:color w:val="3F3F3F"/>
        </w:rPr>
        <w:t xml:space="preserve"> Employment, </w:t>
      </w:r>
      <w:r>
        <w:rPr>
          <w:rFonts w:ascii="Arial" w:cs="Arial" w:eastAsia="Arial" w:hAnsi="Arial"/>
          <w:sz w:val="18"/>
          <w:szCs w:val="18"/>
          <w:color w:val="2F2F2F"/>
        </w:rPr>
        <w:t>including, without limitation,</w:t>
      </w:r>
      <w:r>
        <w:rPr>
          <w:rFonts w:ascii="Arial" w:cs="Arial" w:eastAsia="Arial" w:hAnsi="Arial"/>
          <w:sz w:val="18"/>
          <w:szCs w:val="18"/>
          <w:color w:val="3F3F3F"/>
        </w:rPr>
        <w:t xml:space="preserve"> as a </w:t>
      </w:r>
      <w:r>
        <w:rPr>
          <w:rFonts w:ascii="Arial" w:cs="Arial" w:eastAsia="Arial" w:hAnsi="Arial"/>
          <w:sz w:val="18"/>
          <w:szCs w:val="18"/>
          <w:color w:val="2F2F2F"/>
        </w:rPr>
        <w:t>result of any law</w:t>
      </w:r>
      <w:r>
        <w:rPr>
          <w:rFonts w:ascii="Arial" w:cs="Arial" w:eastAsia="Arial" w:hAnsi="Arial"/>
          <w:sz w:val="18"/>
          <w:szCs w:val="18"/>
          <w:color w:val="3F3F3F"/>
        </w:rPr>
        <w:t xml:space="preserve"> regulating </w:t>
      </w:r>
      <w:r>
        <w:rPr>
          <w:rFonts w:ascii="Arial" w:cs="Arial" w:eastAsia="Arial" w:hAnsi="Arial"/>
          <w:sz w:val="18"/>
          <w:szCs w:val="18"/>
          <w:color w:val="2F2F2F"/>
        </w:rPr>
        <w:t>competition or proscribing</w:t>
      </w:r>
      <w:r>
        <w:rPr>
          <w:rFonts w:ascii="Arial" w:cs="Arial" w:eastAsia="Arial" w:hAnsi="Arial"/>
          <w:sz w:val="18"/>
          <w:szCs w:val="18"/>
          <w:color w:val="3F3F3F"/>
        </w:rPr>
        <w:t xml:space="preserve"> </w:t>
      </w:r>
      <w:r>
        <w:rPr>
          <w:rFonts w:ascii="Arial" w:cs="Arial" w:eastAsia="Arial" w:hAnsi="Arial"/>
          <w:sz w:val="18"/>
          <w:szCs w:val="18"/>
          <w:color w:val="2F2F2F"/>
        </w:rPr>
        <w:t xml:space="preserve">unlawful business </w:t>
      </w:r>
      <w:r>
        <w:rPr>
          <w:rFonts w:ascii="Arial" w:cs="Arial" w:eastAsia="Arial" w:hAnsi="Arial"/>
          <w:sz w:val="18"/>
          <w:szCs w:val="18"/>
          <w:color w:val="3F3F3F"/>
        </w:rPr>
        <w:t>practices; provided,</w:t>
      </w:r>
      <w:r>
        <w:rPr>
          <w:rFonts w:ascii="Arial" w:cs="Arial" w:eastAsia="Arial" w:hAnsi="Arial"/>
          <w:sz w:val="18"/>
          <w:szCs w:val="18"/>
          <w:color w:val="2F2F2F"/>
        </w:rPr>
        <w:t xml:space="preserve"> however, </w:t>
      </w:r>
      <w:r>
        <w:rPr>
          <w:rFonts w:ascii="Arial" w:cs="Arial" w:eastAsia="Arial" w:hAnsi="Arial"/>
          <w:sz w:val="18"/>
          <w:szCs w:val="18"/>
          <w:color w:val="3F3F3F"/>
        </w:rPr>
        <w:t>that</w:t>
      </w:r>
      <w:r>
        <w:rPr>
          <w:rFonts w:ascii="Arial" w:cs="Arial" w:eastAsia="Arial" w:hAnsi="Arial"/>
          <w:sz w:val="18"/>
          <w:szCs w:val="18"/>
          <w:color w:val="2F2F2F"/>
        </w:rPr>
        <w:t xml:space="preserve"> to </w:t>
      </w:r>
      <w:r>
        <w:rPr>
          <w:rFonts w:ascii="Arial" w:cs="Arial" w:eastAsia="Arial" w:hAnsi="Arial"/>
          <w:sz w:val="18"/>
          <w:szCs w:val="18"/>
          <w:color w:val="3F3F3F"/>
        </w:rPr>
        <w:t>the</w:t>
      </w:r>
      <w:r>
        <w:rPr>
          <w:rFonts w:ascii="Arial" w:cs="Arial" w:eastAsia="Arial" w:hAnsi="Arial"/>
          <w:sz w:val="18"/>
          <w:szCs w:val="18"/>
          <w:color w:val="2F2F2F"/>
        </w:rPr>
        <w:t xml:space="preserve"> extent </w:t>
      </w:r>
      <w:r>
        <w:rPr>
          <w:rFonts w:ascii="Arial" w:cs="Arial" w:eastAsia="Arial" w:hAnsi="Arial"/>
          <w:sz w:val="18"/>
          <w:szCs w:val="18"/>
          <w:color w:val="3F3F3F"/>
        </w:rPr>
        <w:t>that any provision in</w:t>
      </w:r>
      <w:r>
        <w:rPr>
          <w:rFonts w:ascii="Arial" w:cs="Arial" w:eastAsia="Arial" w:hAnsi="Arial"/>
          <w:sz w:val="18"/>
          <w:szCs w:val="18"/>
          <w:color w:val="2F2F2F"/>
        </w:rPr>
        <w:t xml:space="preserve"> this Agreement </w:t>
      </w:r>
      <w:r>
        <w:rPr>
          <w:rFonts w:ascii="Arial" w:cs="Arial" w:eastAsia="Arial" w:hAnsi="Arial"/>
          <w:sz w:val="18"/>
          <w:szCs w:val="18"/>
          <w:color w:val="3F3F3F"/>
        </w:rPr>
        <w:t>could be</w:t>
      </w:r>
      <w:r>
        <w:rPr>
          <w:rFonts w:ascii="Arial" w:cs="Arial" w:eastAsia="Arial" w:hAnsi="Arial"/>
          <w:sz w:val="18"/>
          <w:szCs w:val="18"/>
          <w:color w:val="2F2F2F"/>
        </w:rPr>
        <w:t xml:space="preserve"> modified </w:t>
      </w:r>
      <w:r>
        <w:rPr>
          <w:rFonts w:ascii="Arial" w:cs="Arial" w:eastAsia="Arial" w:hAnsi="Arial"/>
          <w:sz w:val="18"/>
          <w:szCs w:val="18"/>
          <w:color w:val="3F3F3F"/>
        </w:rPr>
        <w:t>to</w:t>
      </w:r>
      <w:r>
        <w:rPr>
          <w:rFonts w:ascii="Arial" w:cs="Arial" w:eastAsia="Arial" w:hAnsi="Arial"/>
          <w:sz w:val="18"/>
          <w:szCs w:val="18"/>
          <w:color w:val="2F2F2F"/>
        </w:rPr>
        <w:t xml:space="preserve"> </w:t>
      </w:r>
      <w:r>
        <w:rPr>
          <w:rFonts w:ascii="Arial" w:cs="Arial" w:eastAsia="Arial" w:hAnsi="Arial"/>
          <w:sz w:val="18"/>
          <w:szCs w:val="18"/>
          <w:color w:val="3F3F3F"/>
        </w:rPr>
        <w:t xml:space="preserve">render it enforceable </w:t>
      </w:r>
      <w:r>
        <w:rPr>
          <w:rFonts w:ascii="Arial" w:cs="Arial" w:eastAsia="Arial" w:hAnsi="Arial"/>
          <w:sz w:val="18"/>
          <w:szCs w:val="18"/>
          <w:color w:val="2F2F2F"/>
        </w:rPr>
        <w:t>under</w:t>
      </w:r>
      <w:r>
        <w:rPr>
          <w:rFonts w:ascii="Arial" w:cs="Arial" w:eastAsia="Arial" w:hAnsi="Arial"/>
          <w:sz w:val="18"/>
          <w:szCs w:val="18"/>
          <w:color w:val="3F3F3F"/>
        </w:rPr>
        <w:t xml:space="preserve"> applicable law, </w:t>
      </w:r>
      <w:r>
        <w:rPr>
          <w:rFonts w:ascii="Arial" w:cs="Arial" w:eastAsia="Arial" w:hAnsi="Arial"/>
          <w:sz w:val="18"/>
          <w:szCs w:val="18"/>
          <w:color w:val="2F2F2F"/>
        </w:rPr>
        <w:t>it</w:t>
      </w:r>
      <w:r>
        <w:rPr>
          <w:rFonts w:ascii="Arial" w:cs="Arial" w:eastAsia="Arial" w:hAnsi="Arial"/>
          <w:sz w:val="18"/>
          <w:szCs w:val="18"/>
          <w:color w:val="3F3F3F"/>
        </w:rPr>
        <w:t xml:space="preserve"> shall be </w:t>
      </w:r>
      <w:r>
        <w:rPr>
          <w:rFonts w:ascii="Arial" w:cs="Arial" w:eastAsia="Arial" w:hAnsi="Arial"/>
          <w:sz w:val="18"/>
          <w:szCs w:val="18"/>
          <w:color w:val="2F2F2F"/>
        </w:rPr>
        <w:t>deemed</w:t>
      </w:r>
      <w:r>
        <w:rPr>
          <w:rFonts w:ascii="Arial" w:cs="Arial" w:eastAsia="Arial" w:hAnsi="Arial"/>
          <w:sz w:val="18"/>
          <w:szCs w:val="18"/>
          <w:color w:val="3F3F3F"/>
        </w:rPr>
        <w:t xml:space="preserve"> so modified and enforced </w:t>
      </w:r>
      <w:r>
        <w:rPr>
          <w:rFonts w:ascii="Arial" w:cs="Arial" w:eastAsia="Arial" w:hAnsi="Arial"/>
          <w:sz w:val="18"/>
          <w:szCs w:val="18"/>
          <w:color w:val="2F2F2F"/>
        </w:rPr>
        <w:t>to</w:t>
      </w:r>
      <w:r>
        <w:rPr>
          <w:rFonts w:ascii="Arial" w:cs="Arial" w:eastAsia="Arial" w:hAnsi="Arial"/>
          <w:sz w:val="18"/>
          <w:szCs w:val="18"/>
          <w:color w:val="3F3F3F"/>
        </w:rPr>
        <w:t xml:space="preserve"> the fullest </w:t>
      </w:r>
      <w:r>
        <w:rPr>
          <w:rFonts w:ascii="Arial" w:cs="Arial" w:eastAsia="Arial" w:hAnsi="Arial"/>
          <w:sz w:val="18"/>
          <w:szCs w:val="18"/>
          <w:color w:val="2F2F2F"/>
        </w:rPr>
        <w:t>extent</w:t>
      </w:r>
      <w:r>
        <w:rPr>
          <w:rFonts w:ascii="Arial" w:cs="Arial" w:eastAsia="Arial" w:hAnsi="Arial"/>
          <w:sz w:val="18"/>
          <w:szCs w:val="18"/>
          <w:color w:val="3F3F3F"/>
        </w:rPr>
        <w:t xml:space="preserve"> allowed </w:t>
      </w:r>
      <w:r>
        <w:rPr>
          <w:rFonts w:ascii="Arial" w:cs="Arial" w:eastAsia="Arial" w:hAnsi="Arial"/>
          <w:sz w:val="18"/>
          <w:szCs w:val="18"/>
          <w:color w:val="2F2F2F"/>
        </w:rPr>
        <w:t>by law</w:t>
      </w:r>
      <w:r>
        <w:rPr>
          <w:rFonts w:ascii="Arial" w:cs="Arial" w:eastAsia="Arial" w:hAnsi="Arial"/>
          <w:sz w:val="18"/>
          <w:szCs w:val="18"/>
          <w:color w:val="565656"/>
        </w:rPr>
        <w:t>.</w:t>
      </w:r>
    </w:p>
    <w:p>
      <w:pPr>
        <w:spacing w:after="0" w:line="166" w:lineRule="exact"/>
        <w:rPr>
          <w:sz w:val="20"/>
          <w:szCs w:val="20"/>
          <w:color w:val="auto"/>
        </w:rPr>
      </w:pPr>
    </w:p>
    <w:p>
      <w:pPr>
        <w:jc w:val="both"/>
        <w:ind w:left="660" w:hanging="652"/>
        <w:spacing w:after="0" w:line="259"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383838"/>
        </w:rPr>
        <w:t xml:space="preserve">AT-WILL. </w:t>
      </w:r>
      <w:r>
        <w:rPr>
          <w:rFonts w:ascii="Arial" w:cs="Arial" w:eastAsia="Arial" w:hAnsi="Arial"/>
          <w:sz w:val="18"/>
          <w:szCs w:val="18"/>
          <w:color w:val="282828"/>
        </w:rPr>
        <w:t>The</w:t>
      </w:r>
      <w:r>
        <w:rPr>
          <w:rFonts w:ascii="Arial" w:cs="Arial" w:eastAsia="Arial" w:hAnsi="Arial"/>
          <w:sz w:val="18"/>
          <w:szCs w:val="18"/>
          <w:b w:val="1"/>
          <w:bCs w:val="1"/>
          <w:color w:val="383838"/>
        </w:rPr>
        <w:t xml:space="preserve"> </w:t>
      </w:r>
      <w:r>
        <w:rPr>
          <w:rFonts w:ascii="Arial" w:cs="Arial" w:eastAsia="Arial" w:hAnsi="Arial"/>
          <w:sz w:val="18"/>
          <w:szCs w:val="18"/>
          <w:color w:val="383838"/>
        </w:rPr>
        <w:t>employment</w:t>
      </w:r>
      <w:r>
        <w:rPr>
          <w:rFonts w:ascii="Arial" w:cs="Arial" w:eastAsia="Arial" w:hAnsi="Arial"/>
          <w:sz w:val="18"/>
          <w:szCs w:val="18"/>
          <w:b w:val="1"/>
          <w:bCs w:val="1"/>
          <w:color w:val="383838"/>
        </w:rPr>
        <w:t xml:space="preserve"> </w:t>
      </w:r>
      <w:r>
        <w:rPr>
          <w:rFonts w:ascii="Arial" w:cs="Arial" w:eastAsia="Arial" w:hAnsi="Arial"/>
          <w:sz w:val="18"/>
          <w:szCs w:val="18"/>
          <w:color w:val="282828"/>
        </w:rPr>
        <w:t>of</w:t>
      </w:r>
      <w:r>
        <w:rPr>
          <w:rFonts w:ascii="Arial" w:cs="Arial" w:eastAsia="Arial" w:hAnsi="Arial"/>
          <w:sz w:val="18"/>
          <w:szCs w:val="18"/>
          <w:b w:val="1"/>
          <w:bCs w:val="1"/>
          <w:color w:val="383838"/>
        </w:rPr>
        <w:t xml:space="preserve"> </w:t>
      </w:r>
      <w:r>
        <w:rPr>
          <w:rFonts w:ascii="Arial" w:cs="Arial" w:eastAsia="Arial" w:hAnsi="Arial"/>
          <w:sz w:val="18"/>
          <w:szCs w:val="18"/>
          <w:color w:val="383838"/>
        </w:rPr>
        <w:t>Executive shall be “at-will” at all times. The Company</w:t>
      </w:r>
      <w:r>
        <w:rPr>
          <w:rFonts w:ascii="Arial" w:cs="Arial" w:eastAsia="Arial" w:hAnsi="Arial"/>
          <w:sz w:val="18"/>
          <w:szCs w:val="18"/>
          <w:b w:val="1"/>
          <w:bCs w:val="1"/>
          <w:color w:val="383838"/>
        </w:rPr>
        <w:t xml:space="preserve"> </w:t>
      </w:r>
      <w:r>
        <w:rPr>
          <w:rFonts w:ascii="Arial" w:cs="Arial" w:eastAsia="Arial" w:hAnsi="Arial"/>
          <w:sz w:val="18"/>
          <w:szCs w:val="18"/>
          <w:color w:val="282828"/>
        </w:rPr>
        <w:t>o</w:t>
      </w:r>
      <w:r>
        <w:rPr>
          <w:rFonts w:ascii="Arial" w:cs="Arial" w:eastAsia="Arial" w:hAnsi="Arial"/>
          <w:sz w:val="18"/>
          <w:szCs w:val="18"/>
          <w:color w:val="4F4F4F"/>
        </w:rPr>
        <w:t>r</w:t>
      </w:r>
      <w:r>
        <w:rPr>
          <w:rFonts w:ascii="Arial" w:cs="Arial" w:eastAsia="Arial" w:hAnsi="Arial"/>
          <w:sz w:val="18"/>
          <w:szCs w:val="18"/>
          <w:b w:val="1"/>
          <w:bCs w:val="1"/>
          <w:color w:val="383838"/>
        </w:rPr>
        <w:t xml:space="preserve"> </w:t>
      </w:r>
      <w:r>
        <w:rPr>
          <w:rFonts w:ascii="Arial" w:cs="Arial" w:eastAsia="Arial" w:hAnsi="Arial"/>
          <w:sz w:val="18"/>
          <w:szCs w:val="18"/>
          <w:color w:val="383838"/>
        </w:rPr>
        <w:t>Executive may terminate Executive’s</w:t>
      </w:r>
      <w:r>
        <w:rPr>
          <w:rFonts w:ascii="Arial" w:cs="Arial" w:eastAsia="Arial" w:hAnsi="Arial"/>
          <w:sz w:val="18"/>
          <w:szCs w:val="18"/>
          <w:b w:val="1"/>
          <w:bCs w:val="1"/>
          <w:color w:val="383838"/>
        </w:rPr>
        <w:t xml:space="preserve"> </w:t>
      </w:r>
      <w:r>
        <w:rPr>
          <w:rFonts w:ascii="Arial" w:cs="Arial" w:eastAsia="Arial" w:hAnsi="Arial"/>
          <w:sz w:val="18"/>
          <w:szCs w:val="18"/>
          <w:color w:val="383838"/>
        </w:rPr>
        <w:t xml:space="preserve">employment </w:t>
      </w:r>
      <w:r>
        <w:rPr>
          <w:rFonts w:ascii="Arial" w:cs="Arial" w:eastAsia="Arial" w:hAnsi="Arial"/>
          <w:sz w:val="18"/>
          <w:szCs w:val="18"/>
          <w:color w:val="282828"/>
        </w:rPr>
        <w:t>with</w:t>
      </w:r>
      <w:r>
        <w:rPr>
          <w:rFonts w:ascii="Arial" w:cs="Arial" w:eastAsia="Arial" w:hAnsi="Arial"/>
          <w:sz w:val="18"/>
          <w:szCs w:val="18"/>
          <w:color w:val="383838"/>
        </w:rPr>
        <w:t xml:space="preserve"> the Company at any time, </w:t>
      </w:r>
      <w:r>
        <w:rPr>
          <w:rFonts w:ascii="Arial" w:cs="Arial" w:eastAsia="Arial" w:hAnsi="Arial"/>
          <w:sz w:val="18"/>
          <w:szCs w:val="18"/>
          <w:color w:val="282828"/>
        </w:rPr>
        <w:t>without</w:t>
      </w:r>
      <w:r>
        <w:rPr>
          <w:rFonts w:ascii="Arial" w:cs="Arial" w:eastAsia="Arial" w:hAnsi="Arial"/>
          <w:sz w:val="18"/>
          <w:szCs w:val="18"/>
          <w:color w:val="383838"/>
        </w:rPr>
        <w:t xml:space="preserve"> any advance notice, </w:t>
      </w:r>
      <w:r>
        <w:rPr>
          <w:rFonts w:ascii="Arial" w:cs="Arial" w:eastAsia="Arial" w:hAnsi="Arial"/>
          <w:sz w:val="18"/>
          <w:szCs w:val="18"/>
          <w:color w:val="282828"/>
        </w:rPr>
        <w:t>for</w:t>
      </w:r>
      <w:r>
        <w:rPr>
          <w:rFonts w:ascii="Arial" w:cs="Arial" w:eastAsia="Arial" w:hAnsi="Arial"/>
          <w:sz w:val="18"/>
          <w:szCs w:val="18"/>
          <w:color w:val="383838"/>
        </w:rPr>
        <w:t xml:space="preserve"> any reason or no reason at </w:t>
      </w:r>
      <w:r>
        <w:rPr>
          <w:rFonts w:ascii="Arial" w:cs="Arial" w:eastAsia="Arial" w:hAnsi="Arial"/>
          <w:sz w:val="18"/>
          <w:szCs w:val="18"/>
          <w:color w:val="282828"/>
        </w:rPr>
        <w:t>all, notwithstanding</w:t>
      </w:r>
      <w:r>
        <w:rPr>
          <w:rFonts w:ascii="Arial" w:cs="Arial" w:eastAsia="Arial" w:hAnsi="Arial"/>
          <w:sz w:val="18"/>
          <w:szCs w:val="18"/>
          <w:color w:val="383838"/>
        </w:rPr>
        <w:t xml:space="preserve"> anything to the contrary contained in </w:t>
      </w:r>
      <w:r>
        <w:rPr>
          <w:rFonts w:ascii="Arial" w:cs="Arial" w:eastAsia="Arial" w:hAnsi="Arial"/>
          <w:sz w:val="18"/>
          <w:szCs w:val="18"/>
          <w:color w:val="282828"/>
        </w:rPr>
        <w:t>or</w:t>
      </w:r>
      <w:r>
        <w:rPr>
          <w:rFonts w:ascii="Arial" w:cs="Arial" w:eastAsia="Arial" w:hAnsi="Arial"/>
          <w:sz w:val="18"/>
          <w:szCs w:val="18"/>
          <w:color w:val="383838"/>
        </w:rPr>
        <w:t xml:space="preserve"> arising </w:t>
      </w:r>
      <w:r>
        <w:rPr>
          <w:rFonts w:ascii="Arial" w:cs="Arial" w:eastAsia="Arial" w:hAnsi="Arial"/>
          <w:sz w:val="18"/>
          <w:szCs w:val="18"/>
          <w:color w:val="282828"/>
        </w:rPr>
        <w:t>from</w:t>
      </w:r>
      <w:r>
        <w:rPr>
          <w:rFonts w:ascii="Arial" w:cs="Arial" w:eastAsia="Arial" w:hAnsi="Arial"/>
          <w:sz w:val="18"/>
          <w:szCs w:val="18"/>
          <w:color w:val="383838"/>
        </w:rPr>
        <w:t xml:space="preserve"> any </w:t>
      </w:r>
      <w:r>
        <w:rPr>
          <w:rFonts w:ascii="Arial" w:cs="Arial" w:eastAsia="Arial" w:hAnsi="Arial"/>
          <w:sz w:val="18"/>
          <w:szCs w:val="18"/>
          <w:color w:val="282828"/>
        </w:rPr>
        <w:t>statements,</w:t>
      </w:r>
      <w:r>
        <w:rPr>
          <w:rFonts w:ascii="Arial" w:cs="Arial" w:eastAsia="Arial" w:hAnsi="Arial"/>
          <w:sz w:val="18"/>
          <w:szCs w:val="18"/>
          <w:color w:val="383838"/>
        </w:rPr>
        <w:t xml:space="preserve"> policies </w:t>
      </w:r>
      <w:r>
        <w:rPr>
          <w:rFonts w:ascii="Arial" w:cs="Arial" w:eastAsia="Arial" w:hAnsi="Arial"/>
          <w:sz w:val="18"/>
          <w:szCs w:val="18"/>
          <w:color w:val="282828"/>
        </w:rPr>
        <w:t>or</w:t>
      </w:r>
      <w:r>
        <w:rPr>
          <w:rFonts w:ascii="Arial" w:cs="Arial" w:eastAsia="Arial" w:hAnsi="Arial"/>
          <w:sz w:val="18"/>
          <w:szCs w:val="18"/>
          <w:color w:val="383838"/>
        </w:rPr>
        <w:t xml:space="preserve"> practices of the Company relating to the employment, discipline </w:t>
      </w:r>
      <w:r>
        <w:rPr>
          <w:rFonts w:ascii="Arial" w:cs="Arial" w:eastAsia="Arial" w:hAnsi="Arial"/>
          <w:sz w:val="18"/>
          <w:szCs w:val="18"/>
          <w:color w:val="282828"/>
        </w:rPr>
        <w:t>or</w:t>
      </w:r>
      <w:r>
        <w:rPr>
          <w:rFonts w:ascii="Arial" w:cs="Arial" w:eastAsia="Arial" w:hAnsi="Arial"/>
          <w:sz w:val="18"/>
          <w:szCs w:val="18"/>
          <w:color w:val="383838"/>
        </w:rPr>
        <w:t xml:space="preserve"> termination of its employees. Following the termination of Executive’s employment, the Company shall pay to Executive all compensation to which Executive is entitled up through the date of termination. </w:t>
      </w:r>
      <w:r>
        <w:rPr>
          <w:rFonts w:ascii="Arial" w:cs="Arial" w:eastAsia="Arial" w:hAnsi="Arial"/>
          <w:sz w:val="18"/>
          <w:szCs w:val="18"/>
          <w:color w:val="282828"/>
        </w:rPr>
        <w:t>The</w:t>
      </w:r>
      <w:r>
        <w:rPr>
          <w:rFonts w:ascii="Arial" w:cs="Arial" w:eastAsia="Arial" w:hAnsi="Arial"/>
          <w:sz w:val="18"/>
          <w:szCs w:val="18"/>
          <w:color w:val="4F4F4F"/>
        </w:rPr>
        <w:t>r</w:t>
      </w:r>
      <w:r>
        <w:rPr>
          <w:rFonts w:ascii="Arial" w:cs="Arial" w:eastAsia="Arial" w:hAnsi="Arial"/>
          <w:sz w:val="18"/>
          <w:szCs w:val="18"/>
          <w:color w:val="282828"/>
        </w:rPr>
        <w:t>eafter</w:t>
      </w:r>
      <w:r>
        <w:rPr>
          <w:rFonts w:ascii="Arial" w:cs="Arial" w:eastAsia="Arial" w:hAnsi="Arial"/>
          <w:sz w:val="18"/>
          <w:szCs w:val="18"/>
          <w:color w:val="4F4F4F"/>
        </w:rPr>
        <w:t>,</w:t>
      </w:r>
      <w:r>
        <w:rPr>
          <w:rFonts w:ascii="Arial" w:cs="Arial" w:eastAsia="Arial" w:hAnsi="Arial"/>
          <w:sz w:val="18"/>
          <w:szCs w:val="18"/>
          <w:color w:val="383838"/>
        </w:rPr>
        <w:t xml:space="preserve"> all obligations of the Company under this </w:t>
      </w:r>
      <w:r>
        <w:rPr>
          <w:rFonts w:ascii="Arial" w:cs="Arial" w:eastAsia="Arial" w:hAnsi="Arial"/>
          <w:sz w:val="18"/>
          <w:szCs w:val="18"/>
          <w:color w:val="282828"/>
        </w:rPr>
        <w:t xml:space="preserve">Agreement </w:t>
      </w:r>
      <w:r>
        <w:rPr>
          <w:rFonts w:ascii="Arial" w:cs="Arial" w:eastAsia="Arial" w:hAnsi="Arial"/>
          <w:sz w:val="18"/>
          <w:szCs w:val="18"/>
          <w:color w:val="383838"/>
        </w:rPr>
        <w:t>shall cease other than those set forth in Section 7.</w:t>
      </w:r>
    </w:p>
    <w:p>
      <w:pPr>
        <w:spacing w:after="0" w:line="172" w:lineRule="exact"/>
        <w:rPr>
          <w:rFonts w:ascii="Arial" w:cs="Arial" w:eastAsia="Arial" w:hAnsi="Arial"/>
          <w:sz w:val="18"/>
          <w:szCs w:val="18"/>
          <w:b w:val="1"/>
          <w:bCs w:val="1"/>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383838"/>
        </w:rPr>
      </w:pPr>
      <w:r>
        <w:rPr>
          <w:rFonts w:ascii="Arial" w:cs="Arial" w:eastAsia="Arial" w:hAnsi="Arial"/>
          <w:sz w:val="18"/>
          <w:szCs w:val="18"/>
          <w:b w:val="1"/>
          <w:bCs w:val="1"/>
          <w:color w:val="383838"/>
        </w:rPr>
        <w:t>TERMINATION OF EMPLOYMENT.</w:t>
      </w:r>
    </w:p>
    <w:p>
      <w:pPr>
        <w:spacing w:after="0" w:line="225" w:lineRule="exact"/>
        <w:rPr>
          <w:rFonts w:ascii="Arial" w:cs="Arial" w:eastAsia="Arial" w:hAnsi="Arial"/>
          <w:sz w:val="18"/>
          <w:szCs w:val="18"/>
          <w:b w:val="1"/>
          <w:bCs w:val="1"/>
          <w:color w:val="383838"/>
        </w:rPr>
      </w:pPr>
    </w:p>
    <w:p>
      <w:pPr>
        <w:ind w:left="1300" w:hanging="648"/>
        <w:spacing w:after="0" w:line="255" w:lineRule="auto"/>
        <w:rPr>
          <w:rFonts w:ascii="Arial" w:cs="Arial" w:eastAsia="Arial" w:hAnsi="Arial"/>
          <w:sz w:val="18"/>
          <w:szCs w:val="18"/>
          <w:b w:val="1"/>
          <w:bCs w:val="1"/>
          <w:color w:val="383838"/>
        </w:rPr>
      </w:pPr>
      <w:r>
        <w:rPr>
          <w:rFonts w:ascii="Arial" w:cs="Arial" w:eastAsia="Arial" w:hAnsi="Arial"/>
          <w:sz w:val="18"/>
          <w:szCs w:val="18"/>
          <w:b w:val="1"/>
          <w:bCs w:val="1"/>
          <w:color w:val="383838"/>
        </w:rPr>
        <w:t>7.1</w:t>
      </w:r>
      <w:r>
        <w:rPr>
          <w:rFonts w:ascii="Arial" w:cs="Arial" w:eastAsia="Arial" w:hAnsi="Arial"/>
          <w:sz w:val="18"/>
          <w:szCs w:val="18"/>
          <w:b w:val="1"/>
          <w:bCs w:val="1"/>
          <w:color w:val="4F4F4F"/>
        </w:rPr>
        <w:t>TER</w:t>
      </w:r>
      <w:r>
        <w:rPr>
          <w:rFonts w:ascii="Arial" w:cs="Arial" w:eastAsia="Arial" w:hAnsi="Arial"/>
          <w:sz w:val="18"/>
          <w:szCs w:val="18"/>
          <w:b w:val="1"/>
          <w:bCs w:val="1"/>
          <w:color w:val="282828"/>
        </w:rPr>
        <w:t>MINATION</w:t>
      </w:r>
      <w:r>
        <w:rPr>
          <w:rFonts w:ascii="Arial" w:cs="Arial" w:eastAsia="Arial" w:hAnsi="Arial"/>
          <w:sz w:val="18"/>
          <w:szCs w:val="18"/>
          <w:b w:val="1"/>
          <w:bCs w:val="1"/>
          <w:color w:val="4F4F4F"/>
        </w:rPr>
        <w:t xml:space="preserve"> </w:t>
      </w:r>
      <w:r>
        <w:rPr>
          <w:rFonts w:ascii="Arial" w:cs="Arial" w:eastAsia="Arial" w:hAnsi="Arial"/>
          <w:sz w:val="18"/>
          <w:szCs w:val="18"/>
          <w:b w:val="1"/>
          <w:bCs w:val="1"/>
          <w:color w:val="383838"/>
        </w:rPr>
        <w:t>BY COMPANY FOR CAUSE.</w:t>
      </w:r>
      <w:r>
        <w:rPr>
          <w:rFonts w:ascii="Arial" w:cs="Arial" w:eastAsia="Arial" w:hAnsi="Arial"/>
          <w:sz w:val="18"/>
          <w:szCs w:val="18"/>
          <w:b w:val="1"/>
          <w:bCs w:val="1"/>
          <w:color w:val="4F4F4F"/>
        </w:rPr>
        <w:t xml:space="preserve"> </w:t>
      </w:r>
      <w:r>
        <w:rPr>
          <w:rFonts w:ascii="Arial" w:cs="Arial" w:eastAsia="Arial" w:hAnsi="Arial"/>
          <w:sz w:val="18"/>
          <w:szCs w:val="18"/>
          <w:color w:val="383838"/>
        </w:rPr>
        <w:t>Where the Company terminates Executive’s employment</w:t>
      </w:r>
      <w:r>
        <w:rPr>
          <w:rFonts w:ascii="Arial" w:cs="Arial" w:eastAsia="Arial" w:hAnsi="Arial"/>
          <w:sz w:val="18"/>
          <w:szCs w:val="18"/>
          <w:b w:val="1"/>
          <w:bCs w:val="1"/>
          <w:color w:val="4F4F4F"/>
        </w:rPr>
        <w:t xml:space="preserve"> </w:t>
      </w:r>
      <w:r>
        <w:rPr>
          <w:rFonts w:ascii="Arial" w:cs="Arial" w:eastAsia="Arial" w:hAnsi="Arial"/>
          <w:sz w:val="18"/>
          <w:szCs w:val="18"/>
          <w:color w:val="282828"/>
        </w:rPr>
        <w:t>for</w:t>
      </w:r>
      <w:r>
        <w:rPr>
          <w:rFonts w:ascii="Arial" w:cs="Arial" w:eastAsia="Arial" w:hAnsi="Arial"/>
          <w:sz w:val="18"/>
          <w:szCs w:val="18"/>
          <w:b w:val="1"/>
          <w:bCs w:val="1"/>
          <w:color w:val="4F4F4F"/>
        </w:rPr>
        <w:t xml:space="preserve"> </w:t>
      </w:r>
      <w:r>
        <w:rPr>
          <w:rFonts w:ascii="Arial" w:cs="Arial" w:eastAsia="Arial" w:hAnsi="Arial"/>
          <w:sz w:val="18"/>
          <w:szCs w:val="18"/>
          <w:color w:val="383838"/>
        </w:rPr>
        <w:t>Cause, all</w:t>
      </w:r>
      <w:r>
        <w:rPr>
          <w:rFonts w:ascii="Arial" w:cs="Arial" w:eastAsia="Arial" w:hAnsi="Arial"/>
          <w:sz w:val="18"/>
          <w:szCs w:val="18"/>
          <w:b w:val="1"/>
          <w:bCs w:val="1"/>
          <w:color w:val="4F4F4F"/>
        </w:rPr>
        <w:t xml:space="preserve"> </w:t>
      </w:r>
      <w:r>
        <w:rPr>
          <w:rFonts w:ascii="Arial" w:cs="Arial" w:eastAsia="Arial" w:hAnsi="Arial"/>
          <w:sz w:val="18"/>
          <w:szCs w:val="18"/>
          <w:color w:val="383838"/>
        </w:rPr>
        <w:t xml:space="preserve">obligations </w:t>
      </w:r>
      <w:r>
        <w:rPr>
          <w:rFonts w:ascii="Arial" w:cs="Arial" w:eastAsia="Arial" w:hAnsi="Arial"/>
          <w:sz w:val="18"/>
          <w:szCs w:val="18"/>
          <w:color w:val="282828"/>
        </w:rPr>
        <w:t>of</w:t>
      </w:r>
      <w:r>
        <w:rPr>
          <w:rFonts w:ascii="Arial" w:cs="Arial" w:eastAsia="Arial" w:hAnsi="Arial"/>
          <w:sz w:val="18"/>
          <w:szCs w:val="18"/>
          <w:color w:val="383838"/>
        </w:rPr>
        <w:t xml:space="preserve"> the Company under this Agreement shall cease, other than those </w:t>
      </w:r>
      <w:r>
        <w:rPr>
          <w:rFonts w:ascii="Arial" w:cs="Arial" w:eastAsia="Arial" w:hAnsi="Arial"/>
          <w:sz w:val="18"/>
          <w:szCs w:val="18"/>
          <w:color w:val="4F4F4F"/>
        </w:rPr>
        <w:t>set</w:t>
      </w:r>
      <w:r>
        <w:rPr>
          <w:rFonts w:ascii="Arial" w:cs="Arial" w:eastAsia="Arial" w:hAnsi="Arial"/>
          <w:sz w:val="18"/>
          <w:szCs w:val="18"/>
          <w:color w:val="383838"/>
        </w:rPr>
        <w:t xml:space="preserve"> forth </w:t>
      </w:r>
      <w:r>
        <w:rPr>
          <w:rFonts w:ascii="Arial" w:cs="Arial" w:eastAsia="Arial" w:hAnsi="Arial"/>
          <w:sz w:val="18"/>
          <w:szCs w:val="18"/>
          <w:color w:val="282828"/>
        </w:rPr>
        <w:t>in</w:t>
      </w:r>
      <w:r>
        <w:rPr>
          <w:rFonts w:ascii="Arial" w:cs="Arial" w:eastAsia="Arial" w:hAnsi="Arial"/>
          <w:sz w:val="18"/>
          <w:szCs w:val="18"/>
          <w:color w:val="383838"/>
        </w:rPr>
        <w:t xml:space="preserve"> Section 6. For purposes of </w:t>
      </w:r>
      <w:r>
        <w:rPr>
          <w:rFonts w:ascii="Arial" w:cs="Arial" w:eastAsia="Arial" w:hAnsi="Arial"/>
          <w:sz w:val="18"/>
          <w:szCs w:val="18"/>
          <w:color w:val="4F4F4F"/>
        </w:rPr>
        <w:t>this</w:t>
      </w:r>
      <w:r>
        <w:rPr>
          <w:rFonts w:ascii="Arial" w:cs="Arial" w:eastAsia="Arial" w:hAnsi="Arial"/>
          <w:sz w:val="18"/>
          <w:szCs w:val="18"/>
          <w:color w:val="383838"/>
        </w:rPr>
        <w:t xml:space="preserve"> Agreement, “Cause” shall mean the occurrence of one </w:t>
      </w:r>
      <w:r>
        <w:rPr>
          <w:rFonts w:ascii="Arial" w:cs="Arial" w:eastAsia="Arial" w:hAnsi="Arial"/>
          <w:sz w:val="18"/>
          <w:szCs w:val="18"/>
          <w:color w:val="282828"/>
        </w:rPr>
        <w:t>of</w:t>
      </w:r>
      <w:r>
        <w:rPr>
          <w:rFonts w:ascii="Arial" w:cs="Arial" w:eastAsia="Arial" w:hAnsi="Arial"/>
          <w:sz w:val="18"/>
          <w:szCs w:val="18"/>
          <w:color w:val="383838"/>
        </w:rPr>
        <w:t xml:space="preserve"> the following: </w:t>
      </w:r>
      <w:r>
        <w:rPr>
          <w:rFonts w:ascii="Arial" w:cs="Arial" w:eastAsia="Arial" w:hAnsi="Arial"/>
          <w:sz w:val="18"/>
          <w:szCs w:val="18"/>
          <w:color w:val="282828"/>
        </w:rPr>
        <w:t>(i)</w:t>
      </w:r>
      <w:r>
        <w:rPr>
          <w:rFonts w:ascii="Arial" w:cs="Arial" w:eastAsia="Arial" w:hAnsi="Arial"/>
          <w:sz w:val="18"/>
          <w:szCs w:val="18"/>
          <w:color w:val="383838"/>
        </w:rPr>
        <w:t xml:space="preserve"> Executive’s serious misconduct, dishonesty, disloyalty, or </w:t>
      </w:r>
      <w:r>
        <w:rPr>
          <w:rFonts w:ascii="Arial" w:cs="Arial" w:eastAsia="Arial" w:hAnsi="Arial"/>
          <w:sz w:val="18"/>
          <w:szCs w:val="18"/>
          <w:color w:val="282828"/>
        </w:rPr>
        <w:t>insubordination;</w:t>
      </w:r>
      <w:r>
        <w:rPr>
          <w:rFonts w:ascii="Arial" w:cs="Arial" w:eastAsia="Arial" w:hAnsi="Arial"/>
          <w:sz w:val="18"/>
          <w:szCs w:val="18"/>
          <w:color w:val="383838"/>
        </w:rPr>
        <w:t xml:space="preserve"> (ii) </w:t>
      </w:r>
      <w:r>
        <w:rPr>
          <w:rFonts w:ascii="Arial" w:cs="Arial" w:eastAsia="Arial" w:hAnsi="Arial"/>
          <w:sz w:val="18"/>
          <w:szCs w:val="18"/>
          <w:color w:val="4F4F4F"/>
        </w:rPr>
        <w:t>Executive’s</w:t>
      </w:r>
      <w:r>
        <w:rPr>
          <w:rFonts w:ascii="Arial" w:cs="Arial" w:eastAsia="Arial" w:hAnsi="Arial"/>
          <w:sz w:val="18"/>
          <w:szCs w:val="18"/>
          <w:color w:val="383838"/>
        </w:rPr>
        <w:t xml:space="preserve"> conviction (or </w:t>
      </w:r>
      <w:r>
        <w:rPr>
          <w:rFonts w:ascii="Arial" w:cs="Arial" w:eastAsia="Arial" w:hAnsi="Arial"/>
          <w:sz w:val="18"/>
          <w:szCs w:val="18"/>
          <w:color w:val="4F4F4F"/>
        </w:rPr>
        <w:t>entry</w:t>
      </w:r>
      <w:r>
        <w:rPr>
          <w:rFonts w:ascii="Arial" w:cs="Arial" w:eastAsia="Arial" w:hAnsi="Arial"/>
          <w:sz w:val="18"/>
          <w:szCs w:val="18"/>
          <w:color w:val="383838"/>
        </w:rPr>
        <w:t xml:space="preserve"> of </w:t>
      </w:r>
      <w:r>
        <w:rPr>
          <w:rFonts w:ascii="Arial" w:cs="Arial" w:eastAsia="Arial" w:hAnsi="Arial"/>
          <w:sz w:val="18"/>
          <w:szCs w:val="18"/>
          <w:color w:val="4F4F4F"/>
        </w:rPr>
        <w:t>a</w:t>
      </w:r>
      <w:r>
        <w:rPr>
          <w:rFonts w:ascii="Arial" w:cs="Arial" w:eastAsia="Arial" w:hAnsi="Arial"/>
          <w:sz w:val="18"/>
          <w:szCs w:val="18"/>
          <w:color w:val="383838"/>
        </w:rPr>
        <w:t xml:space="preserve"> plea bargain admitting criminal guilt) of any felony or a misdemeanor </w:t>
      </w:r>
      <w:r>
        <w:rPr>
          <w:rFonts w:ascii="Arial" w:cs="Arial" w:eastAsia="Arial" w:hAnsi="Arial"/>
          <w:sz w:val="18"/>
          <w:szCs w:val="18"/>
          <w:color w:val="282828"/>
        </w:rPr>
        <w:t>involving</w:t>
      </w:r>
      <w:r>
        <w:rPr>
          <w:rFonts w:ascii="Arial" w:cs="Arial" w:eastAsia="Arial" w:hAnsi="Arial"/>
          <w:sz w:val="18"/>
          <w:szCs w:val="18"/>
          <w:color w:val="383838"/>
        </w:rPr>
        <w:t xml:space="preserve"> moral turpitude; (iii) drug or alcohol abuse that has a material or potentially material effect </w:t>
      </w:r>
      <w:r>
        <w:rPr>
          <w:rFonts w:ascii="Arial" w:cs="Arial" w:eastAsia="Arial" w:hAnsi="Arial"/>
          <w:sz w:val="18"/>
          <w:szCs w:val="18"/>
          <w:color w:val="282828"/>
        </w:rPr>
        <w:t>o</w:t>
      </w:r>
      <w:r>
        <w:rPr>
          <w:rFonts w:ascii="Arial" w:cs="Arial" w:eastAsia="Arial" w:hAnsi="Arial"/>
          <w:sz w:val="18"/>
          <w:szCs w:val="18"/>
          <w:color w:val="4F4F4F"/>
        </w:rPr>
        <w:t>n</w:t>
      </w:r>
      <w:r>
        <w:rPr>
          <w:rFonts w:ascii="Arial" w:cs="Arial" w:eastAsia="Arial" w:hAnsi="Arial"/>
          <w:sz w:val="18"/>
          <w:szCs w:val="18"/>
          <w:color w:val="383838"/>
        </w:rPr>
        <w:t xml:space="preserve"> the Company’s </w:t>
      </w:r>
      <w:r>
        <w:rPr>
          <w:rFonts w:ascii="Arial" w:cs="Arial" w:eastAsia="Arial" w:hAnsi="Arial"/>
          <w:sz w:val="18"/>
          <w:szCs w:val="18"/>
          <w:color w:val="4F4F4F"/>
        </w:rPr>
        <w:t>reputation</w:t>
      </w:r>
      <w:r>
        <w:rPr>
          <w:rFonts w:ascii="Arial" w:cs="Arial" w:eastAsia="Arial" w:hAnsi="Arial"/>
          <w:sz w:val="18"/>
          <w:szCs w:val="18"/>
          <w:color w:val="383838"/>
        </w:rPr>
        <w:t xml:space="preserve"> and/or on the performance </w:t>
      </w:r>
      <w:r>
        <w:rPr>
          <w:rFonts w:ascii="Arial" w:cs="Arial" w:eastAsia="Arial" w:hAnsi="Arial"/>
          <w:sz w:val="18"/>
          <w:szCs w:val="18"/>
          <w:color w:val="282828"/>
        </w:rPr>
        <w:t>of</w:t>
      </w:r>
      <w:r>
        <w:rPr>
          <w:rFonts w:ascii="Arial" w:cs="Arial" w:eastAsia="Arial" w:hAnsi="Arial"/>
          <w:sz w:val="18"/>
          <w:szCs w:val="18"/>
          <w:color w:val="383838"/>
        </w:rPr>
        <w:t xml:space="preserve"> Executive’s duties and </w:t>
      </w:r>
      <w:r>
        <w:rPr>
          <w:rFonts w:ascii="Arial" w:cs="Arial" w:eastAsia="Arial" w:hAnsi="Arial"/>
          <w:sz w:val="18"/>
          <w:szCs w:val="18"/>
          <w:color w:val="4F4F4F"/>
        </w:rPr>
        <w:t>res</w:t>
      </w:r>
      <w:r>
        <w:rPr>
          <w:rFonts w:ascii="Arial" w:cs="Arial" w:eastAsia="Arial" w:hAnsi="Arial"/>
          <w:sz w:val="18"/>
          <w:szCs w:val="18"/>
          <w:color w:val="282828"/>
        </w:rPr>
        <w:t>ponsib</w:t>
      </w:r>
      <w:r>
        <w:rPr>
          <w:rFonts w:ascii="Arial" w:cs="Arial" w:eastAsia="Arial" w:hAnsi="Arial"/>
          <w:sz w:val="18"/>
          <w:szCs w:val="18"/>
          <w:color w:val="4F4F4F"/>
        </w:rPr>
        <w:t>i</w:t>
      </w:r>
      <w:r>
        <w:rPr>
          <w:rFonts w:ascii="Arial" w:cs="Arial" w:eastAsia="Arial" w:hAnsi="Arial"/>
          <w:sz w:val="18"/>
          <w:szCs w:val="18"/>
          <w:color w:val="282828"/>
        </w:rPr>
        <w:t>lities under</w:t>
      </w:r>
      <w:r>
        <w:rPr>
          <w:rFonts w:ascii="Arial" w:cs="Arial" w:eastAsia="Arial" w:hAnsi="Arial"/>
          <w:sz w:val="18"/>
          <w:szCs w:val="18"/>
          <w:color w:val="383838"/>
        </w:rPr>
        <w:t xml:space="preserve"> this Agreement; (iv) </w:t>
      </w:r>
      <w:r>
        <w:rPr>
          <w:rFonts w:ascii="Arial" w:cs="Arial" w:eastAsia="Arial" w:hAnsi="Arial"/>
          <w:sz w:val="18"/>
          <w:szCs w:val="18"/>
          <w:color w:val="4F4F4F"/>
        </w:rPr>
        <w:t>Executive’</w:t>
      </w:r>
      <w:r>
        <w:rPr>
          <w:rFonts w:ascii="Arial" w:cs="Arial" w:eastAsia="Arial" w:hAnsi="Arial"/>
          <w:sz w:val="18"/>
          <w:szCs w:val="18"/>
          <w:color w:val="282828"/>
        </w:rPr>
        <w:t>s</w:t>
      </w:r>
      <w:r>
        <w:rPr>
          <w:rFonts w:ascii="Arial" w:cs="Arial" w:eastAsia="Arial" w:hAnsi="Arial"/>
          <w:sz w:val="18"/>
          <w:szCs w:val="18"/>
          <w:color w:val="4F4F4F"/>
        </w:rPr>
        <w:t xml:space="preserve"> </w:t>
      </w:r>
      <w:r>
        <w:rPr>
          <w:rFonts w:ascii="Arial" w:cs="Arial" w:eastAsia="Arial" w:hAnsi="Arial"/>
          <w:sz w:val="18"/>
          <w:szCs w:val="18"/>
          <w:color w:val="383838"/>
        </w:rPr>
        <w:t>failure to substantially perform Executive’s duties and responsibilities under this</w:t>
      </w:r>
      <w:r>
        <w:rPr>
          <w:rFonts w:ascii="Arial" w:cs="Arial" w:eastAsia="Arial" w:hAnsi="Arial"/>
          <w:sz w:val="18"/>
          <w:szCs w:val="18"/>
          <w:color w:val="4F4F4F"/>
        </w:rPr>
        <w:t xml:space="preserve"> </w:t>
      </w:r>
      <w:r>
        <w:rPr>
          <w:rFonts w:ascii="Arial" w:cs="Arial" w:eastAsia="Arial" w:hAnsi="Arial"/>
          <w:sz w:val="18"/>
          <w:szCs w:val="18"/>
          <w:color w:val="282828"/>
        </w:rPr>
        <w:t>Agreement</w:t>
      </w:r>
      <w:r>
        <w:rPr>
          <w:rFonts w:ascii="Arial" w:cs="Arial" w:eastAsia="Arial" w:hAnsi="Arial"/>
          <w:sz w:val="18"/>
          <w:szCs w:val="18"/>
          <w:color w:val="4F4F4F"/>
        </w:rPr>
        <w:t xml:space="preserve"> </w:t>
      </w:r>
      <w:r>
        <w:rPr>
          <w:rFonts w:ascii="Arial" w:cs="Arial" w:eastAsia="Arial" w:hAnsi="Arial"/>
          <w:sz w:val="18"/>
          <w:szCs w:val="18"/>
          <w:color w:val="383838"/>
        </w:rPr>
        <w:t>for reasons other than</w:t>
      </w:r>
      <w:r>
        <w:rPr>
          <w:rFonts w:ascii="Arial" w:cs="Arial" w:eastAsia="Arial" w:hAnsi="Arial"/>
          <w:sz w:val="18"/>
          <w:szCs w:val="18"/>
          <w:color w:val="4F4F4F"/>
        </w:rPr>
        <w:t xml:space="preserve"> </w:t>
      </w:r>
      <w:r>
        <w:rPr>
          <w:rFonts w:ascii="Arial" w:cs="Arial" w:eastAsia="Arial" w:hAnsi="Arial"/>
          <w:sz w:val="18"/>
          <w:szCs w:val="18"/>
          <w:color w:val="383838"/>
        </w:rPr>
        <w:t xml:space="preserve">death </w:t>
      </w:r>
      <w:r>
        <w:rPr>
          <w:rFonts w:ascii="Arial" w:cs="Arial" w:eastAsia="Arial" w:hAnsi="Arial"/>
          <w:sz w:val="18"/>
          <w:szCs w:val="18"/>
          <w:color w:val="282828"/>
        </w:rPr>
        <w:t>or</w:t>
      </w:r>
      <w:r>
        <w:rPr>
          <w:rFonts w:ascii="Arial" w:cs="Arial" w:eastAsia="Arial" w:hAnsi="Arial"/>
          <w:sz w:val="18"/>
          <w:szCs w:val="18"/>
          <w:color w:val="383838"/>
        </w:rPr>
        <w:t xml:space="preserve"> Disability, as defined below; (v) Executive’s repeated inattention to duty for reasons other than death or Disability; </w:t>
      </w:r>
      <w:r>
        <w:rPr>
          <w:rFonts w:ascii="Arial" w:cs="Arial" w:eastAsia="Arial" w:hAnsi="Arial"/>
          <w:sz w:val="18"/>
          <w:szCs w:val="18"/>
          <w:color w:val="282828"/>
        </w:rPr>
        <w:t>(vi)</w:t>
      </w:r>
      <w:r>
        <w:rPr>
          <w:rFonts w:ascii="Arial" w:cs="Arial" w:eastAsia="Arial" w:hAnsi="Arial"/>
          <w:sz w:val="18"/>
          <w:szCs w:val="18"/>
          <w:color w:val="383838"/>
        </w:rPr>
        <w:t xml:space="preserve"> </w:t>
      </w:r>
      <w:r>
        <w:rPr>
          <w:rFonts w:ascii="Arial" w:cs="Arial" w:eastAsia="Arial" w:hAnsi="Arial"/>
          <w:sz w:val="18"/>
          <w:szCs w:val="18"/>
          <w:color w:val="4F4F4F"/>
        </w:rPr>
        <w:t>Execut</w:t>
      </w:r>
      <w:r>
        <w:rPr>
          <w:rFonts w:ascii="Arial" w:cs="Arial" w:eastAsia="Arial" w:hAnsi="Arial"/>
          <w:sz w:val="18"/>
          <w:szCs w:val="18"/>
          <w:color w:val="282828"/>
        </w:rPr>
        <w:t>ive’s</w:t>
      </w:r>
      <w:r>
        <w:rPr>
          <w:rFonts w:ascii="Arial" w:cs="Arial" w:eastAsia="Arial" w:hAnsi="Arial"/>
          <w:sz w:val="18"/>
          <w:szCs w:val="18"/>
          <w:color w:val="4F4F4F"/>
        </w:rPr>
        <w:t xml:space="preserve"> </w:t>
      </w:r>
      <w:r>
        <w:rPr>
          <w:rFonts w:ascii="Arial" w:cs="Arial" w:eastAsia="Arial" w:hAnsi="Arial"/>
          <w:sz w:val="18"/>
          <w:szCs w:val="18"/>
          <w:color w:val="383838"/>
        </w:rPr>
        <w:t>material violation of the</w:t>
      </w:r>
      <w:r>
        <w:rPr>
          <w:rFonts w:ascii="Arial" w:cs="Arial" w:eastAsia="Arial" w:hAnsi="Arial"/>
          <w:sz w:val="18"/>
          <w:szCs w:val="18"/>
          <w:color w:val="4F4F4F"/>
        </w:rPr>
        <w:t xml:space="preserve"> Company</w:t>
      </w:r>
      <w:r>
        <w:rPr>
          <w:rFonts w:ascii="Arial" w:cs="Arial" w:eastAsia="Arial" w:hAnsi="Arial"/>
          <w:sz w:val="18"/>
          <w:szCs w:val="18"/>
          <w:color w:val="282828"/>
        </w:rPr>
        <w:t>’s</w:t>
      </w:r>
      <w:r>
        <w:rPr>
          <w:rFonts w:ascii="Arial" w:cs="Arial" w:eastAsia="Arial" w:hAnsi="Arial"/>
          <w:sz w:val="18"/>
          <w:szCs w:val="18"/>
          <w:color w:val="4F4F4F"/>
        </w:rPr>
        <w:t xml:space="preserve"> </w:t>
      </w:r>
      <w:r>
        <w:rPr>
          <w:rFonts w:ascii="Arial" w:cs="Arial" w:eastAsia="Arial" w:hAnsi="Arial"/>
          <w:sz w:val="18"/>
          <w:szCs w:val="18"/>
          <w:color w:val="383838"/>
        </w:rPr>
        <w:t>Code of Business Conduct; and (vii) any other material breach of this</w:t>
      </w:r>
      <w:r>
        <w:rPr>
          <w:rFonts w:ascii="Arial" w:cs="Arial" w:eastAsia="Arial" w:hAnsi="Arial"/>
          <w:sz w:val="18"/>
          <w:szCs w:val="18"/>
          <w:color w:val="4F4F4F"/>
        </w:rPr>
        <w:t xml:space="preserve"> </w:t>
      </w:r>
      <w:r>
        <w:rPr>
          <w:rFonts w:ascii="Arial" w:cs="Arial" w:eastAsia="Arial" w:hAnsi="Arial"/>
          <w:sz w:val="18"/>
          <w:szCs w:val="18"/>
          <w:color w:val="383838"/>
        </w:rPr>
        <w:t>Agreement by Executive.</w:t>
      </w:r>
    </w:p>
    <w:p>
      <w:pPr>
        <w:spacing w:after="0" w:line="178" w:lineRule="exact"/>
        <w:rPr>
          <w:sz w:val="20"/>
          <w:szCs w:val="20"/>
          <w:color w:val="auto"/>
        </w:rPr>
      </w:pPr>
    </w:p>
    <w:p>
      <w:pPr>
        <w:ind w:left="1300" w:hanging="647"/>
        <w:spacing w:after="0" w:line="294" w:lineRule="auto"/>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TERMINATION BY COMPANY WITHOUT CAUSE. </w:t>
      </w:r>
      <w:r>
        <w:rPr>
          <w:rFonts w:ascii="Arial" w:cs="Arial" w:eastAsia="Arial" w:hAnsi="Arial"/>
          <w:sz w:val="18"/>
          <w:szCs w:val="18"/>
          <w:color w:val="auto"/>
        </w:rPr>
        <w:t>Where the Company terminates Executive’s employment in the absence of</w:t>
      </w:r>
      <w:r>
        <w:rPr>
          <w:rFonts w:ascii="Arial" w:cs="Arial" w:eastAsia="Arial" w:hAnsi="Arial"/>
          <w:sz w:val="18"/>
          <w:szCs w:val="18"/>
          <w:b w:val="1"/>
          <w:bCs w:val="1"/>
          <w:color w:val="auto"/>
        </w:rPr>
        <w:t xml:space="preserve"> </w:t>
      </w:r>
      <w:r>
        <w:rPr>
          <w:rFonts w:ascii="Arial" w:cs="Arial" w:eastAsia="Arial" w:hAnsi="Arial"/>
          <w:sz w:val="18"/>
          <w:szCs w:val="18"/>
          <w:color w:val="auto"/>
        </w:rPr>
        <w:t>a good faith determination of Cause by the, and Executive’s employment</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 not terminated due to death or Disability (as defined below), severance benefits (“Severance Benefits”), eligibility is twelve</w:t>
      </w:r>
    </w:p>
    <w:p>
      <w:pPr>
        <w:spacing w:after="0" w:line="50" w:lineRule="exact"/>
        <w:rPr>
          <w:sz w:val="20"/>
          <w:szCs w:val="20"/>
          <w:color w:val="auto"/>
        </w:rPr>
      </w:pPr>
    </w:p>
    <w:p>
      <w:pPr>
        <w:jc w:val="both"/>
        <w:ind w:left="1300" w:firstLine="5"/>
        <w:spacing w:after="0" w:line="303" w:lineRule="auto"/>
        <w:tabs>
          <w:tab w:leader="none" w:pos="16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months of base salary plus pro-rated bonus, determined by actual results, and paid at the same time as other Executive bonuses, which Executive may be eligible to receive shall be governed by the terms of the ABM Severance Policy, or any policy or plan of the Company as in effect as of the termination date (collectively, the “Policy”), which Policy may be modified, amended, suspended and/or terminated at any time for any reason by the Company in its sole discretion; provided, that, notwithstanding anything to the contrary set forth in the Policy, Executive’s eligibility to receive the Severance Benefits is conditioned on Executive’s continued compliance with all continuing obligations under this Agreement, including but not limited to those set forth In Section 5. Executive shall not have any other rights or claims under this Agreement, and all other obligations of the Company under this Agreement shall cease.</w:t>
      </w:r>
    </w:p>
    <w:p>
      <w:pPr>
        <w:spacing w:after="0" w:line="14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give written notice of Executive’s resignation of employment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during this Agreement pursuant to Section 6, and thereafter, all obligations of the Company under this Agreement shall cease.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171"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363636"/>
        </w:rPr>
        <w:t xml:space="preserve">DEATH OR DISABILITY. </w:t>
      </w:r>
      <w:r>
        <w:rPr>
          <w:rFonts w:ascii="Arial" w:cs="Arial" w:eastAsia="Arial" w:hAnsi="Arial"/>
          <w:sz w:val="18"/>
          <w:szCs w:val="18"/>
          <w:color w:val="363636"/>
        </w:rPr>
        <w:t>Executive’s employment</w:t>
      </w:r>
      <w:r>
        <w:rPr>
          <w:rFonts w:ascii="Arial" w:cs="Arial" w:eastAsia="Arial" w:hAnsi="Arial"/>
          <w:sz w:val="18"/>
          <w:szCs w:val="18"/>
          <w:b w:val="1"/>
          <w:bCs w:val="1"/>
          <w:color w:val="363636"/>
        </w:rPr>
        <w:t xml:space="preserve"> </w:t>
      </w:r>
      <w:r>
        <w:rPr>
          <w:rFonts w:ascii="Arial" w:cs="Arial" w:eastAsia="Arial" w:hAnsi="Arial"/>
          <w:sz w:val="18"/>
          <w:szCs w:val="18"/>
          <w:color w:val="1D1D1D"/>
        </w:rPr>
        <w:t>hereunder</w:t>
      </w:r>
      <w:r>
        <w:rPr>
          <w:rFonts w:ascii="Arial" w:cs="Arial" w:eastAsia="Arial" w:hAnsi="Arial"/>
          <w:sz w:val="18"/>
          <w:szCs w:val="18"/>
          <w:b w:val="1"/>
          <w:bCs w:val="1"/>
          <w:color w:val="363636"/>
        </w:rPr>
        <w:t xml:space="preserve"> </w:t>
      </w:r>
      <w:r>
        <w:rPr>
          <w:rFonts w:ascii="Arial" w:cs="Arial" w:eastAsia="Arial" w:hAnsi="Arial"/>
          <w:sz w:val="18"/>
          <w:szCs w:val="18"/>
          <w:color w:val="363636"/>
        </w:rPr>
        <w:t>shall automatically terminate upon the death of Executive and</w:t>
      </w:r>
      <w:r>
        <w:rPr>
          <w:rFonts w:ascii="Arial" w:cs="Arial" w:eastAsia="Arial" w:hAnsi="Arial"/>
          <w:sz w:val="18"/>
          <w:szCs w:val="18"/>
          <w:b w:val="1"/>
          <w:bCs w:val="1"/>
          <w:color w:val="363636"/>
        </w:rPr>
        <w:t xml:space="preserve"> </w:t>
      </w:r>
      <w:r>
        <w:rPr>
          <w:rFonts w:ascii="Arial" w:cs="Arial" w:eastAsia="Arial" w:hAnsi="Arial"/>
          <w:sz w:val="18"/>
          <w:szCs w:val="18"/>
          <w:color w:val="363636"/>
        </w:rPr>
        <w:t>may be terminated at the Company’s discretion as a result of Executive’s Disability</w:t>
      </w:r>
      <w:r>
        <w:rPr>
          <w:rFonts w:ascii="Arial" w:cs="Arial" w:eastAsia="Arial" w:hAnsi="Arial"/>
          <w:sz w:val="18"/>
          <w:szCs w:val="18"/>
          <w:color w:val="525252"/>
        </w:rPr>
        <w:t>.</w:t>
      </w:r>
      <w:r>
        <w:rPr>
          <w:rFonts w:ascii="Arial" w:cs="Arial" w:eastAsia="Arial" w:hAnsi="Arial"/>
          <w:sz w:val="18"/>
          <w:szCs w:val="18"/>
          <w:color w:val="363636"/>
        </w:rPr>
        <w:t xml:space="preserve"> “Disability” means Executive’s substantial inability to perform Executive’s essential duties and responsibilities under this Agreement for either 90 consecutive days o</w:t>
      </w:r>
      <w:r>
        <w:rPr>
          <w:rFonts w:ascii="Arial" w:cs="Arial" w:eastAsia="Arial" w:hAnsi="Arial"/>
          <w:sz w:val="18"/>
          <w:szCs w:val="18"/>
          <w:color w:val="525252"/>
        </w:rPr>
        <w:t>r</w:t>
      </w:r>
      <w:r>
        <w:rPr>
          <w:rFonts w:ascii="Arial" w:cs="Arial" w:eastAsia="Arial" w:hAnsi="Arial"/>
          <w:sz w:val="18"/>
          <w:szCs w:val="18"/>
          <w:color w:val="363636"/>
        </w:rPr>
        <w:t xml:space="preserve"> a total of 120 days out of 365 consecutive days as a result of a physical or mental illness, </w:t>
      </w:r>
      <w:r>
        <w:rPr>
          <w:rFonts w:ascii="Arial" w:cs="Arial" w:eastAsia="Arial" w:hAnsi="Arial"/>
          <w:sz w:val="18"/>
          <w:szCs w:val="18"/>
          <w:color w:val="1D1D1D"/>
        </w:rPr>
        <w:t>injury</w:t>
      </w:r>
      <w:r>
        <w:rPr>
          <w:rFonts w:ascii="Arial" w:cs="Arial" w:eastAsia="Arial" w:hAnsi="Arial"/>
          <w:sz w:val="18"/>
          <w:szCs w:val="18"/>
          <w:color w:val="363636"/>
        </w:rPr>
        <w:t xml:space="preserve"> or impairment, all as determined in good faith by the Company. If Executive’s employment is terminated by </w:t>
      </w:r>
      <w:r>
        <w:rPr>
          <w:rFonts w:ascii="Arial" w:cs="Arial" w:eastAsia="Arial" w:hAnsi="Arial"/>
          <w:sz w:val="18"/>
          <w:szCs w:val="18"/>
          <w:color w:val="525252"/>
        </w:rPr>
        <w:t>t</w:t>
      </w:r>
      <w:r>
        <w:rPr>
          <w:rFonts w:ascii="Arial" w:cs="Arial" w:eastAsia="Arial" w:hAnsi="Arial"/>
          <w:sz w:val="18"/>
          <w:szCs w:val="18"/>
          <w:color w:val="363636"/>
        </w:rPr>
        <w:t>he Company due to Executive’s death or Disability, Executive, or, upon death, to Executive’s designated beneficiary o</w:t>
      </w:r>
      <w:r>
        <w:rPr>
          <w:rFonts w:ascii="Arial" w:cs="Arial" w:eastAsia="Arial" w:hAnsi="Arial"/>
          <w:sz w:val="18"/>
          <w:szCs w:val="18"/>
          <w:color w:val="525252"/>
        </w:rPr>
        <w:t>r</w:t>
      </w:r>
      <w:r>
        <w:rPr>
          <w:rFonts w:ascii="Arial" w:cs="Arial" w:eastAsia="Arial" w:hAnsi="Arial"/>
          <w:sz w:val="18"/>
          <w:szCs w:val="18"/>
          <w:color w:val="363636"/>
        </w:rPr>
        <w:t xml:space="preserve"> estate, as applicable, shall be eligible to receive a prorated Bonus based on the length of performance in the applicable performance period </w:t>
      </w:r>
      <w:r>
        <w:rPr>
          <w:rFonts w:ascii="Arial" w:cs="Arial" w:eastAsia="Arial" w:hAnsi="Arial"/>
          <w:sz w:val="18"/>
          <w:szCs w:val="18"/>
          <w:color w:val="525252"/>
        </w:rPr>
        <w:t>pr</w:t>
      </w:r>
      <w:r>
        <w:rPr>
          <w:rFonts w:ascii="Arial" w:cs="Arial" w:eastAsia="Arial" w:hAnsi="Arial"/>
          <w:sz w:val="18"/>
          <w:szCs w:val="18"/>
          <w:color w:val="363636"/>
        </w:rPr>
        <w:t>ior to death or Disability. In the case of Disability, Executive’s eligibility to receive the prorated Bonus is conditioned on: (i) Executive having first signed a release agreement in the form provided by the Company and the release becoming irrevocable by its terms within sixty (60) calendar days following th</w:t>
      </w:r>
      <w:r>
        <w:rPr>
          <w:rFonts w:ascii="Arial" w:cs="Arial" w:eastAsia="Arial" w:hAnsi="Arial"/>
          <w:sz w:val="18"/>
          <w:szCs w:val="18"/>
          <w:color w:val="525252"/>
        </w:rPr>
        <w:t>e</w:t>
      </w:r>
      <w:r>
        <w:rPr>
          <w:rFonts w:ascii="Arial" w:cs="Arial" w:eastAsia="Arial" w:hAnsi="Arial"/>
          <w:sz w:val="18"/>
          <w:szCs w:val="18"/>
          <w:color w:val="363636"/>
        </w:rPr>
        <w:t xml:space="preserve"> date of </w:t>
      </w:r>
      <w:r>
        <w:rPr>
          <w:rFonts w:ascii="Arial" w:cs="Arial" w:eastAsia="Arial" w:hAnsi="Arial"/>
          <w:sz w:val="18"/>
          <w:szCs w:val="18"/>
          <w:color w:val="525252"/>
        </w:rPr>
        <w:t>E</w:t>
      </w:r>
      <w:r>
        <w:rPr>
          <w:rFonts w:ascii="Arial" w:cs="Arial" w:eastAsia="Arial" w:hAnsi="Arial"/>
          <w:sz w:val="18"/>
          <w:szCs w:val="18"/>
          <w:color w:val="363636"/>
        </w:rPr>
        <w:t>xecutive’s termination of employment; and (ii) Executive’s continued complianc</w:t>
      </w:r>
      <w:r>
        <w:rPr>
          <w:rFonts w:ascii="Arial" w:cs="Arial" w:eastAsia="Arial" w:hAnsi="Arial"/>
          <w:sz w:val="18"/>
          <w:szCs w:val="18"/>
          <w:color w:val="525252"/>
        </w:rPr>
        <w:t>e</w:t>
      </w:r>
      <w:r>
        <w:rPr>
          <w:rFonts w:ascii="Arial" w:cs="Arial" w:eastAsia="Arial" w:hAnsi="Arial"/>
          <w:sz w:val="18"/>
          <w:szCs w:val="18"/>
          <w:color w:val="363636"/>
        </w:rPr>
        <w:t xml:space="preserve"> with all continuin</w:t>
      </w:r>
      <w:r>
        <w:rPr>
          <w:rFonts w:ascii="Arial" w:cs="Arial" w:eastAsia="Arial" w:hAnsi="Arial"/>
          <w:sz w:val="18"/>
          <w:szCs w:val="18"/>
          <w:color w:val="525252"/>
        </w:rPr>
        <w:t>g</w:t>
      </w:r>
      <w:r>
        <w:rPr>
          <w:rFonts w:ascii="Arial" w:cs="Arial" w:eastAsia="Arial" w:hAnsi="Arial"/>
          <w:sz w:val="18"/>
          <w:szCs w:val="18"/>
          <w:color w:val="363636"/>
        </w:rPr>
        <w:t xml:space="preserve"> obligations under this Ag</w:t>
      </w:r>
      <w:r>
        <w:rPr>
          <w:rFonts w:ascii="Arial" w:cs="Arial" w:eastAsia="Arial" w:hAnsi="Arial"/>
          <w:sz w:val="18"/>
          <w:szCs w:val="18"/>
          <w:color w:val="525252"/>
        </w:rPr>
        <w:t>r</w:t>
      </w:r>
      <w:r>
        <w:rPr>
          <w:rFonts w:ascii="Arial" w:cs="Arial" w:eastAsia="Arial" w:hAnsi="Arial"/>
          <w:sz w:val="18"/>
          <w:szCs w:val="18"/>
          <w:color w:val="363636"/>
        </w:rPr>
        <w:t xml:space="preserve">eement, including but not limited to </w:t>
      </w:r>
      <w:r>
        <w:rPr>
          <w:rFonts w:ascii="Arial" w:cs="Arial" w:eastAsia="Arial" w:hAnsi="Arial"/>
          <w:sz w:val="18"/>
          <w:szCs w:val="18"/>
          <w:color w:val="525252"/>
        </w:rPr>
        <w:t>t</w:t>
      </w:r>
      <w:r>
        <w:rPr>
          <w:rFonts w:ascii="Arial" w:cs="Arial" w:eastAsia="Arial" w:hAnsi="Arial"/>
          <w:sz w:val="18"/>
          <w:szCs w:val="18"/>
          <w:color w:val="363636"/>
        </w:rPr>
        <w:t xml:space="preserve">hose set forth </w:t>
      </w:r>
      <w:r>
        <w:rPr>
          <w:rFonts w:ascii="Arial" w:cs="Arial" w:eastAsia="Arial" w:hAnsi="Arial"/>
          <w:sz w:val="18"/>
          <w:szCs w:val="18"/>
          <w:color w:val="525252"/>
        </w:rPr>
        <w:t>i</w:t>
      </w:r>
      <w:r>
        <w:rPr>
          <w:rFonts w:ascii="Arial" w:cs="Arial" w:eastAsia="Arial" w:hAnsi="Arial"/>
          <w:sz w:val="18"/>
          <w:szCs w:val="18"/>
          <w:color w:val="363636"/>
        </w:rPr>
        <w:t>n Section 5</w:t>
      </w:r>
      <w:r>
        <w:rPr>
          <w:rFonts w:ascii="Arial" w:cs="Arial" w:eastAsia="Arial" w:hAnsi="Arial"/>
          <w:sz w:val="18"/>
          <w:szCs w:val="18"/>
          <w:color w:val="525252"/>
        </w:rPr>
        <w:t>. T</w:t>
      </w:r>
      <w:r>
        <w:rPr>
          <w:rFonts w:ascii="Arial" w:cs="Arial" w:eastAsia="Arial" w:hAnsi="Arial"/>
          <w:sz w:val="18"/>
          <w:szCs w:val="18"/>
          <w:color w:val="363636"/>
        </w:rPr>
        <w:t>hereafter, Executive and Executive’s designated beneficiary or estate, as applicable, shall not have any other rights or claims unde</w:t>
      </w:r>
      <w:r>
        <w:rPr>
          <w:rFonts w:ascii="Arial" w:cs="Arial" w:eastAsia="Arial" w:hAnsi="Arial"/>
          <w:sz w:val="18"/>
          <w:szCs w:val="18"/>
          <w:color w:val="525252"/>
        </w:rPr>
        <w:t>r</w:t>
      </w:r>
      <w:r>
        <w:rPr>
          <w:rFonts w:ascii="Arial" w:cs="Arial" w:eastAsia="Arial" w:hAnsi="Arial"/>
          <w:sz w:val="18"/>
          <w:szCs w:val="18"/>
          <w:color w:val="363636"/>
        </w:rPr>
        <w:t xml:space="preserve"> this Agreement, and all other obligations of the Company under this Agreement shall cease.</w:t>
      </w:r>
    </w:p>
    <w:p>
      <w:pPr>
        <w:spacing w:after="0" w:line="177"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 xml:space="preserve">TIMING OF PAYMENTS. </w:t>
      </w:r>
      <w:r>
        <w:rPr>
          <w:rFonts w:ascii="Arial" w:cs="Arial" w:eastAsia="Arial" w:hAnsi="Arial"/>
          <w:sz w:val="18"/>
          <w:szCs w:val="18"/>
          <w:color w:val="auto"/>
        </w:rPr>
        <w:t>In the event that Executive becomes entitled to receive Severance Benefits pursuant to 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receive such payments pursuant to the terms set forth in the Policy. Any pro-rated Bonus that becomes payable to Executive pursuant to Section 7.4 shall be paid to Executive at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calendar year in which Executive incurs a Disability, For the avoidance of doubt, the parties intend that any payments that become payable to Executive pursuant to Section 7.4 shall be exempt from 409A of the Internal Revenue Code as a short-term deferral within the meaning of Treasury Regulation section 1.409A-1(d).</w:t>
      </w:r>
    </w:p>
    <w:p>
      <w:pPr>
        <w:spacing w:after="0" w:line="178"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 xml:space="preserve">EXCESS PARACHUTE PAYMENTS. </w:t>
      </w:r>
      <w:r>
        <w:rPr>
          <w:rFonts w:ascii="Arial" w:cs="Arial" w:eastAsia="Arial" w:hAnsi="Arial"/>
          <w:sz w:val="18"/>
          <w:szCs w:val="18"/>
          <w:color w:val="auto"/>
        </w:rPr>
        <w:t>Subject to a Release between Executive and the Company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Compensation Committee of ABM, if the Severance Benefits, an equity award, and/or any other benefit provided based on an agreement between Executive and the Company would be an excess parachute payment (“Total Benefits”), but for the application of this Section, then the Total Benefits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less than ninety percent (90%) of the After-Tax Amount of the Total Benefits without regard to this clause. Whether requested by the Executive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jc w:val="both"/>
        <w:ind w:left="1300"/>
        <w:spacing w:after="0" w:line="300" w:lineRule="auto"/>
        <w:rPr>
          <w:sz w:val="20"/>
          <w:szCs w:val="20"/>
          <w:color w:val="auto"/>
        </w:rPr>
      </w:pPr>
      <w:r>
        <w:rPr>
          <w:rFonts w:ascii="Arial" w:cs="Arial" w:eastAsia="Arial" w:hAnsi="Arial"/>
          <w:sz w:val="18"/>
          <w:szCs w:val="18"/>
          <w:color w:val="auto"/>
        </w:rPr>
        <w:t>or the Company, the determination of whether any reduction Total Benefits to be provided to Executive is required pursuant this Section, and the value to be assigned to the Executive’s covenants in Section 5 hereof for purposes of determining the amount, if any, of the “excess parachute payment” under Section 280G of the Code will be made at the expense of the Company by the Company’s independent accountants or benefits consultant. The determination of whether any reduction in Severance Benefits, equity award(s) and/or any other agreement or otherwise is required pursuant to the preceding sentence will be made at the expense of the Company by independent accountants selected by Company or the Company’s benefits consultant. The fact that Executive’s right to Total Benefits may be reduced by reason of the limitations contained in this paragraph will not of itself limit or otherwise affect any other rights of Executive under any other agreement. In the event that any payment or benefit intended to be provided is required to be reduced pursuant to this Section, Executive will be entitled to designate the payments and/or benefits to be so reduced in order to give effect to this Section, provided, however, that payments that do not constitute deferred compensation within the meaning of Section 409A will be reduced first. The Company will provide Executive with all information reasonably requested by Executive to permit Executive to make such designation. In the event that Executive fails to make such designation within ten (10) business days after receiving notice from the Company of a reduction under this Section, the Company may affect such reduction in any manner it deems appropriate. The term “excess parachute payment” as used in this paragraph means a payment that creates an obligation for Executive to pay excise taxes under Section 280G of the Internal Revenue Code of 1986, as amended, or any successor statute.</w:t>
      </w:r>
    </w:p>
    <w:p>
      <w:pPr>
        <w:spacing w:after="0" w:line="153"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b w:val="1"/>
          <w:bCs w:val="1"/>
          <w:color w:val="auto"/>
        </w:rPr>
        <w:t xml:space="preserve">ACTIONS UPON TERMINATION. </w:t>
      </w:r>
      <w:r>
        <w:rPr>
          <w:rFonts w:ascii="Arial" w:cs="Arial" w:eastAsia="Arial" w:hAnsi="Arial"/>
          <w:sz w:val="18"/>
          <w:szCs w:val="18"/>
          <w:color w:val="auto"/>
        </w:rPr>
        <w:t>Upon termination of Executive’s employment for any reason, Executive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183"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 xml:space="preserve">WITHHOLDING AUTHORIZA TION. </w:t>
      </w:r>
      <w:r>
        <w:rPr>
          <w:rFonts w:ascii="Arial" w:cs="Arial" w:eastAsia="Arial" w:hAnsi="Arial"/>
          <w:sz w:val="18"/>
          <w:szCs w:val="18"/>
          <w:color w:val="auto"/>
        </w:rPr>
        <w:t>To the fullest extent permitted under the laws of the State of Employment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authorizes Company to withhold from any Severance Benefits otherwise due to Executive and from any other funds held for Executive’s benefit by Company, any damages or losses sustained by Company as a result of any material breach or other material violation of this Agreement by Executive, pending resolution of any underlying dispute.</w:t>
      </w:r>
    </w:p>
    <w:p>
      <w:pPr>
        <w:spacing w:after="0" w:line="166"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 xml:space="preserve">ADDRESSES. </w:t>
      </w:r>
      <w:r>
        <w:rPr>
          <w:rFonts w:ascii="Arial" w:cs="Arial" w:eastAsia="Arial" w:hAnsi="Arial"/>
          <w:sz w:val="18"/>
          <w:szCs w:val="18"/>
          <w:color w:val="auto"/>
        </w:rPr>
        <w:t>Any notice required or permitted to be given pursuant to this Agreement shall be in writing and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sent prepaid by certified mail, overnight express, or electronically to the party named at the address set forth below or at such other address as either party may hereafter designate in writing to the other party:</w:t>
      </w:r>
    </w:p>
    <w:p>
      <w:pPr>
        <w:spacing w:after="0" w:line="163"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Tom Marano</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3 Cordoba Court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Palm Coast, Florida 32137</w:t>
      </w:r>
    </w:p>
    <w:p>
      <w:pPr>
        <w:spacing w:after="0" w:line="200" w:lineRule="exact"/>
        <w:rPr>
          <w:sz w:val="20"/>
          <w:szCs w:val="20"/>
          <w:color w:val="auto"/>
        </w:rPr>
      </w:pPr>
    </w:p>
    <w:p>
      <w:pPr>
        <w:spacing w:after="0" w:line="21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ABM</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10176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Senior Vice President of Human Resources</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0" w:lineRule="exact"/>
        <w:rPr>
          <w:sz w:val="20"/>
          <w:szCs w:val="20"/>
          <w:color w:val="auto"/>
        </w:rPr>
      </w:pPr>
    </w:p>
    <w:p>
      <w:pPr>
        <w:ind w:left="1300" w:hanging="647"/>
        <w:spacing w:after="0" w:line="294" w:lineRule="auto"/>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 xml:space="preserve">RECEIPT. </w:t>
      </w:r>
      <w:r>
        <w:rPr>
          <w:rFonts w:ascii="Arial" w:cs="Arial" w:eastAsia="Arial" w:hAnsi="Arial"/>
          <w:sz w:val="18"/>
          <w:szCs w:val="18"/>
          <w:color w:val="auto"/>
        </w:rPr>
        <w:t>Any such notice shall be assumed to have been received when delivered in person or 48 hours after being sent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manner specified above.</w:t>
      </w:r>
    </w:p>
    <w:p>
      <w:pPr>
        <w:spacing w:after="0" w:line="14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9.1GOVERNING LAW. </w:t>
      </w:r>
      <w:r>
        <w:rPr>
          <w:rFonts w:ascii="Arial" w:cs="Arial" w:eastAsia="Arial" w:hAnsi="Arial"/>
          <w:sz w:val="18"/>
          <w:szCs w:val="18"/>
          <w:color w:val="auto"/>
        </w:rPr>
        <w:t>This Agreement shall be interpreted and enforced in accordance with the laws of the State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for purposes of this Agreement, shall mean the state where Executive is regularly and customarily employed and where Executive’s primary office is located.</w:t>
      </w:r>
    </w:p>
    <w:p>
      <w:pPr>
        <w:spacing w:after="0" w:line="160" w:lineRule="exact"/>
        <w:rPr>
          <w:rFonts w:ascii="Arial" w:cs="Arial" w:eastAsia="Arial" w:hAnsi="Arial"/>
          <w:sz w:val="18"/>
          <w:szCs w:val="18"/>
          <w:b w:val="1"/>
          <w:bCs w:val="1"/>
          <w:color w:val="auto"/>
        </w:rPr>
      </w:pPr>
    </w:p>
    <w:p>
      <w:pPr>
        <w:ind w:left="1300" w:right="20" w:hanging="648"/>
        <w:spacing w:after="0" w:line="29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9.2NO WAIVER. </w:t>
      </w:r>
      <w:r>
        <w:rPr>
          <w:rFonts w:ascii="Arial" w:cs="Arial" w:eastAsia="Arial" w:hAnsi="Arial"/>
          <w:sz w:val="18"/>
          <w:szCs w:val="18"/>
          <w:color w:val="auto"/>
        </w:rPr>
        <w:t>Failure by either party to enforce any term or condition of this Agreement at any time shall not preclude that party</w:t>
      </w:r>
      <w:r>
        <w:rPr>
          <w:rFonts w:ascii="Arial" w:cs="Arial" w:eastAsia="Arial" w:hAnsi="Arial"/>
          <w:sz w:val="18"/>
          <w:szCs w:val="18"/>
          <w:b w:val="1"/>
          <w:bCs w:val="1"/>
          <w:color w:val="auto"/>
        </w:rPr>
        <w:t xml:space="preserve"> </w:t>
      </w:r>
      <w:r>
        <w:rPr>
          <w:rFonts w:ascii="Arial" w:cs="Arial" w:eastAsia="Arial" w:hAnsi="Arial"/>
          <w:sz w:val="18"/>
          <w:szCs w:val="18"/>
          <w:color w:val="auto"/>
        </w:rPr>
        <w:t>from enforcing that provision, or any other provision of this Agreement, at any later time.</w:t>
      </w:r>
    </w:p>
    <w:p>
      <w:pPr>
        <w:spacing w:after="0" w:line="141" w:lineRule="exact"/>
        <w:rPr>
          <w:rFonts w:ascii="Arial" w:cs="Arial" w:eastAsia="Arial" w:hAnsi="Arial"/>
          <w:sz w:val="18"/>
          <w:szCs w:val="18"/>
          <w:b w:val="1"/>
          <w:bCs w:val="1"/>
          <w:color w:val="auto"/>
        </w:rPr>
      </w:pPr>
    </w:p>
    <w:p>
      <w:pPr>
        <w:ind w:left="130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9.3SEVERABILITY. </w:t>
      </w:r>
      <w:r>
        <w:rPr>
          <w:rFonts w:ascii="Arial" w:cs="Arial" w:eastAsia="Arial" w:hAnsi="Arial"/>
          <w:sz w:val="18"/>
          <w:szCs w:val="18"/>
          <w:color w:val="auto"/>
        </w:rPr>
        <w:t>It is the desire and intent of the parties that the provisions of this Agreement be enforced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73"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9.4SURVIVAL. </w:t>
      </w:r>
      <w:r>
        <w:rPr>
          <w:rFonts w:ascii="Arial" w:cs="Arial" w:eastAsia="Arial" w:hAnsi="Arial"/>
          <w:sz w:val="18"/>
          <w:szCs w:val="18"/>
          <w:color w:val="auto"/>
        </w:rPr>
        <w:t>All terms and conditions of this Agreement which by reasonable implication are meant to survive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but not limited to the provisions of Sections 5.1 - 5.9 of this Agreement, shall remain in full force and effect after the termination of this Agreement.</w:t>
      </w:r>
    </w:p>
    <w:p>
      <w:pPr>
        <w:spacing w:after="0" w:line="160"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9.5REPRESENTATIONS BY EXECUTIVE. </w:t>
      </w:r>
      <w:r>
        <w:rPr>
          <w:rFonts w:ascii="Arial" w:cs="Arial" w:eastAsia="Arial" w:hAnsi="Arial"/>
          <w:sz w:val="18"/>
          <w:szCs w:val="18"/>
          <w:color w:val="auto"/>
        </w:rPr>
        <w:t>Executive represents and agrees that Executive has carefully read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77" w:lineRule="exact"/>
        <w:rPr>
          <w:rFonts w:ascii="Arial" w:cs="Arial" w:eastAsia="Arial" w:hAnsi="Arial"/>
          <w:sz w:val="18"/>
          <w:szCs w:val="18"/>
          <w:b w:val="1"/>
          <w:bCs w:val="1"/>
          <w:color w:val="auto"/>
        </w:rPr>
      </w:pPr>
    </w:p>
    <w:p>
      <w:pPr>
        <w:ind w:left="1300" w:hanging="648"/>
        <w:spacing w:after="0" w:line="26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9.6ENTIRE AGREEMENT. </w:t>
      </w:r>
      <w:r>
        <w:rPr>
          <w:rFonts w:ascii="Arial" w:cs="Arial" w:eastAsia="Arial" w:hAnsi="Arial"/>
          <w:sz w:val="18"/>
          <w:szCs w:val="18"/>
          <w:color w:val="auto"/>
        </w:rPr>
        <w:t>Unless otherwise specified herein, this Agreement, together with Appendix A, sets forth every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and arrangement as to the employment relationship between Executive and Company, and may only be changed by a written amendment signed by both Executive and Company’s CEO, Senior Vice President of Human Resources or Vice President of Human Resources.</w:t>
      </w:r>
    </w:p>
    <w:p>
      <w:pPr>
        <w:spacing w:after="0" w:line="166" w:lineRule="exact"/>
        <w:rPr>
          <w:sz w:val="20"/>
          <w:szCs w:val="20"/>
          <w:color w:val="auto"/>
        </w:rPr>
      </w:pPr>
    </w:p>
    <w:p>
      <w:pPr>
        <w:jc w:val="both"/>
        <w:ind w:left="1960" w:hanging="647"/>
        <w:spacing w:after="0" w:line="272" w:lineRule="auto"/>
        <w:tabs>
          <w:tab w:leader="none" w:pos="1940" w:val="left"/>
        </w:tabs>
        <w:rPr>
          <w:sz w:val="20"/>
          <w:szCs w:val="20"/>
          <w:color w:val="auto"/>
        </w:rPr>
      </w:pPr>
      <w:r>
        <w:rPr>
          <w:rFonts w:ascii="Arial" w:cs="Arial" w:eastAsia="Arial" w:hAnsi="Arial"/>
          <w:sz w:val="18"/>
          <w:szCs w:val="18"/>
          <w:b w:val="1"/>
          <w:bCs w:val="1"/>
          <w:color w:val="auto"/>
        </w:rPr>
        <w:t>9.6.a</w:t>
        <w:tab/>
        <w:t xml:space="preserve">NO EXTERNAL EVIDENCE. </w:t>
      </w:r>
      <w:r>
        <w:rPr>
          <w:rFonts w:ascii="Arial" w:cs="Arial" w:eastAsia="Arial" w:hAnsi="Arial"/>
          <w:sz w:val="18"/>
          <w:szCs w:val="18"/>
          <w:color w:val="auto"/>
        </w:rPr>
        <w:t>The parties intend that this Agreement speak for itself, and that no evidence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its terms and conditions other than this Agreement itself may be introduced in any arbitration or judicial proceeding to interpret or enforce this Agreement.</w:t>
      </w:r>
    </w:p>
    <w:p>
      <w:pPr>
        <w:spacing w:after="0" w:line="161"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9.6b</w:t>
        <w:tab/>
        <w:t xml:space="preserve">OTHER AGREEMENTS. </w:t>
      </w:r>
      <w:r>
        <w:rPr>
          <w:rFonts w:ascii="Arial" w:cs="Arial" w:eastAsia="Arial" w:hAnsi="Arial"/>
          <w:sz w:val="18"/>
          <w:szCs w:val="18"/>
          <w:color w:val="auto"/>
        </w:rPr>
        <w:t>It is specifically understood and accepted that this Agreement supersedes all oral and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agreements between Executive and Company prior to the date of this Agreement. However, It is expressly understood that, notwithstanding any provision to the contrary contained in this Agreement (whether explicit or implicit), the terms and restrictions set forth in any Asset Purchase Agreement, Merger Agreement or Stock Purchase Agreement or any agreements ancillary thereto, entered into by and between Executive and any ABM-affiliated entity setting forth Executive’s duties under a Covenant Not</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ind w:left="1960" w:right="20"/>
        <w:spacing w:after="0" w:line="339" w:lineRule="auto"/>
        <w:rPr>
          <w:sz w:val="20"/>
          <w:szCs w:val="20"/>
          <w:color w:val="auto"/>
        </w:rPr>
      </w:pPr>
      <w:r>
        <w:rPr>
          <w:rFonts w:ascii="Arial" w:cs="Arial" w:eastAsia="Arial" w:hAnsi="Arial"/>
          <w:sz w:val="18"/>
          <w:szCs w:val="18"/>
          <w:color w:val="auto"/>
        </w:rPr>
        <w:t>To Compete in connection with the sale of such assets, shall remain in full force and effect during employment and thereafter.</w:t>
      </w:r>
    </w:p>
    <w:p>
      <w:pPr>
        <w:spacing w:after="0" w:line="116" w:lineRule="exact"/>
        <w:rPr>
          <w:sz w:val="20"/>
          <w:szCs w:val="20"/>
          <w:color w:val="auto"/>
        </w:rPr>
      </w:pPr>
    </w:p>
    <w:p>
      <w:pPr>
        <w:ind w:left="1960" w:right="80" w:hanging="647"/>
        <w:spacing w:after="0" w:line="294" w:lineRule="auto"/>
        <w:tabs>
          <w:tab w:leader="none" w:pos="1940" w:val="left"/>
        </w:tabs>
        <w:rPr>
          <w:sz w:val="20"/>
          <w:szCs w:val="20"/>
          <w:color w:val="auto"/>
        </w:rPr>
      </w:pPr>
      <w:r>
        <w:rPr>
          <w:rFonts w:ascii="Arial" w:cs="Arial" w:eastAsia="Arial" w:hAnsi="Arial"/>
          <w:sz w:val="18"/>
          <w:szCs w:val="18"/>
          <w:b w:val="1"/>
          <w:bCs w:val="1"/>
          <w:color w:val="auto"/>
        </w:rPr>
        <w:t>9.6c</w:t>
        <w:tab/>
        <w:t xml:space="preserve">AMENDMENTS. </w:t>
      </w:r>
      <w:r>
        <w:rPr>
          <w:rFonts w:ascii="Arial" w:cs="Arial" w:eastAsia="Arial" w:hAnsi="Arial"/>
          <w:sz w:val="18"/>
          <w:szCs w:val="18"/>
          <w:color w:val="auto"/>
        </w:rPr>
        <w:t>This Agreement may not be amended except in a writing approved by the CEO or CHRO and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Company have executed this Agreement as of the date set forth above.</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7"/>
          <w:szCs w:val="17"/>
          <w:b w:val="1"/>
          <w:bCs w:val="1"/>
          <w:color w:val="auto"/>
        </w:rPr>
        <w:t>Tom Marano</w:t>
      </w:r>
    </w:p>
    <w:p>
      <w:pPr>
        <w:spacing w:after="0" w:line="227"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 Tom Marano</w:t>
      </w:r>
    </w:p>
    <w:p>
      <w:pPr>
        <w:spacing w:after="0" w:line="225"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1/26/2016</w:t>
      </w:r>
    </w:p>
    <w:p>
      <w:pPr>
        <w:spacing w:after="0" w:line="22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COMPANY:</w:t>
        <w:tab/>
        <w:t>ABM</w:t>
      </w:r>
    </w:p>
    <w:p>
      <w:pPr>
        <w:spacing w:after="0" w:line="227"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 David Goodes</w:t>
      </w:r>
    </w:p>
    <w:p>
      <w:pPr>
        <w:spacing w:after="0" w:line="225"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1/27/2016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201" w:lineRule="exact"/>
        <w:rPr>
          <w:sz w:val="20"/>
          <w:szCs w:val="20"/>
          <w:color w:val="auto"/>
        </w:rPr>
      </w:pPr>
    </w:p>
    <w:p>
      <w:pPr>
        <w:jc w:val="both"/>
        <w:ind w:left="1300" w:hanging="644"/>
        <w:spacing w:after="0" w:line="252" w:lineRule="auto"/>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Executive hereby assigns, and agrees to assign, to the Company, without 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entire right, title and interest in and to (a) all Creations ,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92" w:lineRule="exact"/>
        <w:rPr>
          <w:rFonts w:ascii="Arial" w:cs="Arial" w:eastAsia="Arial" w:hAnsi="Arial"/>
          <w:sz w:val="18"/>
          <w:szCs w:val="18"/>
          <w:b w:val="1"/>
          <w:bCs w:val="1"/>
          <w:color w:val="auto"/>
        </w:rPr>
      </w:pPr>
    </w:p>
    <w:p>
      <w:pPr>
        <w:jc w:val="both"/>
        <w:ind w:left="1300" w:hanging="644"/>
        <w:spacing w:after="0" w:line="256" w:lineRule="auto"/>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w:t>
      </w:r>
      <w:r>
        <w:rPr>
          <w:rFonts w:ascii="Arial" w:cs="Arial" w:eastAsia="Arial" w:hAnsi="Arial"/>
          <w:sz w:val="18"/>
          <w:szCs w:val="18"/>
          <w:color w:val="auto"/>
        </w:rPr>
        <w:t>Executive agrees to disclose promptly and fully to Executive’s immediate supervisor at the Company, and to</w:t>
      </w:r>
      <w:r>
        <w:rPr>
          <w:rFonts w:ascii="Arial" w:cs="Arial" w:eastAsia="Arial" w:hAnsi="Arial"/>
          <w:sz w:val="18"/>
          <w:szCs w:val="18"/>
          <w:b w:val="1"/>
          <w:bCs w:val="1"/>
          <w:color w:val="auto"/>
        </w:rPr>
        <w:t xml:space="preserve"> </w:t>
      </w:r>
      <w:r>
        <w:rPr>
          <w:rFonts w:ascii="Arial" w:cs="Arial" w:eastAsia="Arial" w:hAnsi="Arial"/>
          <w:sz w:val="18"/>
          <w:szCs w:val="18"/>
          <w:color w:val="auto"/>
        </w:rPr>
        <w:t>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 year period following termination of Executive’s employment, which records will be available to and remain the sole property of the Company at all times.</w:t>
      </w:r>
    </w:p>
    <w:p>
      <w:pPr>
        <w:spacing w:after="0" w:line="178" w:lineRule="exact"/>
        <w:rPr>
          <w:rFonts w:ascii="Arial" w:cs="Arial" w:eastAsia="Arial" w:hAnsi="Arial"/>
          <w:sz w:val="18"/>
          <w:szCs w:val="18"/>
          <w:b w:val="1"/>
          <w:bCs w:val="1"/>
          <w:color w:val="auto"/>
        </w:rPr>
      </w:pPr>
    </w:p>
    <w:p>
      <w:pPr>
        <w:jc w:val="both"/>
        <w:ind w:left="1300" w:hanging="644"/>
        <w:spacing w:after="0" w:line="272" w:lineRule="auto"/>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 WITH REGISTRATION. </w:t>
      </w:r>
      <w:r>
        <w:rPr>
          <w:rFonts w:ascii="Arial" w:cs="Arial" w:eastAsia="Arial" w:hAnsi="Arial"/>
          <w:sz w:val="18"/>
          <w:szCs w:val="18"/>
          <w:color w:val="auto"/>
        </w:rPr>
        <w:t>Executive agrees that Executive will, at the Company’s request, promptly execute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title for any Creation required to be assigned by Section B. Executive further agrees to perform, during and after Executive’s employment, all acts deemed</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jc w:val="both"/>
        <w:ind w:left="1300"/>
        <w:spacing w:after="0" w:line="301" w:lineRule="auto"/>
        <w:rPr>
          <w:sz w:val="20"/>
          <w:szCs w:val="20"/>
          <w:color w:val="auto"/>
        </w:rPr>
      </w:pPr>
      <w:r>
        <w:rPr>
          <w:rFonts w:ascii="Arial" w:cs="Arial" w:eastAsia="Arial" w:hAnsi="Arial"/>
          <w:sz w:val="18"/>
          <w:szCs w:val="18"/>
          <w:color w:val="auto"/>
        </w:rPr>
        <w:t>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LABOR CODE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2870-2872</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63" w:lineRule="exact"/>
        <w:rPr>
          <w:sz w:val="20"/>
          <w:szCs w:val="20"/>
          <w:color w:val="auto"/>
        </w:rPr>
      </w:pPr>
    </w:p>
    <w:p>
      <w:pPr>
        <w:ind w:left="1300" w:hanging="644"/>
        <w:spacing w:after="0" w:line="292"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44" w:lineRule="exact"/>
        <w:rPr>
          <w:rFonts w:ascii="Arial" w:cs="Arial" w:eastAsia="Arial" w:hAnsi="Arial"/>
          <w:sz w:val="18"/>
          <w:szCs w:val="18"/>
          <w:color w:val="auto"/>
        </w:rPr>
      </w:pPr>
    </w:p>
    <w:p>
      <w:pPr>
        <w:ind w:left="1000" w:hanging="344"/>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25" w:lineRule="exact"/>
        <w:rPr>
          <w:rFonts w:ascii="Arial" w:cs="Arial" w:eastAsia="Arial" w:hAnsi="Arial"/>
          <w:sz w:val="18"/>
          <w:szCs w:val="18"/>
          <w:color w:val="auto"/>
        </w:rPr>
      </w:pPr>
    </w:p>
    <w:p>
      <w:pPr>
        <w:ind w:right="20" w:firstLine="8"/>
        <w:spacing w:after="0" w:line="292" w:lineRule="auto"/>
        <w:tabs>
          <w:tab w:leader="none" w:pos="2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purposes of this Agreement, ABM includes ABM Industries Incorporated and its affiliated and subsidiary companies. Executive understands and agrees that Executive’s employer may be a subsidiary of ABM Industries Incorporated and not ABM Industries Incorporated.</w:t>
      </w:r>
    </w:p>
    <w:p>
      <w:pPr>
        <w:sectPr>
          <w:pgSz w:w="11900" w:h="16838" w:orient="portrait"/>
          <w:cols w:equalWidth="0" w:num="1">
            <w:col w:w="11420"/>
          </w:cols>
          <w:pgMar w:left="240" w:top="11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8, 2017</w:t>
      </w:r>
      <w:r>
        <w:rPr>
          <w:sz w:val="20"/>
          <w:szCs w:val="20"/>
          <w:color w:val="auto"/>
        </w:rPr>
        <w:tab/>
      </w:r>
      <w:r>
        <w:rPr>
          <w:rFonts w:ascii="Arial" w:cs="Arial" w:eastAsia="Arial" w:hAnsi="Arial"/>
          <w:sz w:val="17"/>
          <w:szCs w:val="17"/>
          <w:u w:val="single" w:color="auto"/>
          <w:color w:val="auto"/>
        </w:rPr>
        <w:t>/s/ Scott Salmirs</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8,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3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2017,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8, 2017</w:t>
      </w:r>
      <w:r>
        <w:rPr>
          <w:sz w:val="20"/>
          <w:szCs w:val="20"/>
          <w:color w:val="auto"/>
        </w:rPr>
        <w:tab/>
      </w:r>
      <w:r>
        <w:rPr>
          <w:rFonts w:ascii="Arial" w:cs="Arial" w:eastAsia="Arial" w:hAnsi="Arial"/>
          <w:sz w:val="17"/>
          <w:szCs w:val="17"/>
          <w:u w:val="single" w:color="auto"/>
          <w:color w:val="auto"/>
        </w:rPr>
        <w:t>/s/ Scott Salmirs</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pacing w:after="0" w:line="392"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8,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6"/>
    </w:lvl>
  </w:abstractNum>
  <w:abstractNum w:abstractNumId="4">
    <w:nsid w:val="25E45D32"/>
    <w:multiLevelType w:val="hybridMultilevel"/>
    <w:lvl w:ilvl="0">
      <w:lvlJc w:val="left"/>
      <w:lvlText w:val="%1."/>
      <w:numFmt w:val="decimal"/>
      <w:start w:val="8"/>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amp;"/>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lvl w:ilvl="1">
      <w:lvlJc w:val="left"/>
      <w:lvlText w:val="(%2)"/>
      <w:numFmt w:val="lowerRoman"/>
      <w:start w:val="4"/>
    </w:lvl>
  </w:abstractNum>
  <w:abstractNum w:abstractNumId="19">
    <w:nsid w:val="8EDBDAB"/>
    <w:multiLevelType w:val="hybridMultilevel"/>
    <w:lvl w:ilvl="0">
      <w:lvlJc w:val="left"/>
      <w:lvlText w:val="%1."/>
      <w:numFmt w:val="decimal"/>
      <w:start w:val="6"/>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8"/>
    </w:lvl>
  </w:abstractNum>
  <w:abstractNum w:abstractNumId="22">
    <w:nsid w:val="B03E0C6"/>
    <w:multiLevelType w:val="hybridMultilevel"/>
    <w:lvl w:ilvl="0">
      <w:lvlJc w:val="left"/>
      <w:lvlText w:val="%1."/>
      <w:numFmt w:val="decimal"/>
      <w:start w:val="9"/>
    </w:lvl>
  </w:abstractNum>
  <w:abstractNum w:abstractNumId="23">
    <w:nsid w:val="189A769B"/>
    <w:multiLevelType w:val="hybridMultilevel"/>
    <w:lvl w:ilvl="0">
      <w:lvlJc w:val="left"/>
      <w:lvlText w:val="%1."/>
      <w:numFmt w:val="upperLetter"/>
      <w:start w:val="1"/>
    </w:lvl>
  </w:abstractNum>
  <w:abstractNum w:abstractNumId="24">
    <w:nsid w:val="54E49EB4"/>
    <w:multiLevelType w:val="hybridMultilevel"/>
    <w:lvl w:ilvl="0">
      <w:lvlJc w:val="left"/>
      <w:lvlText w:val="%1"/>
      <w:numFmt w:val="lowerLetter"/>
      <w:start w:val="1"/>
    </w:lvl>
    <w:lvl w:ilvl="1">
      <w:lvlJc w:val="left"/>
      <w:lvlText w:val="%2."/>
      <w:numFmt w:val="decimal"/>
      <w:start w:val="1"/>
    </w:lvl>
  </w:abstractNum>
  <w:abstractNum w:abstractNumId="25">
    <w:nsid w:val="71F32454"/>
    <w:multiLevelType w:val="hybridMultilevel"/>
    <w:lvl w:ilvl="0">
      <w:lvlJc w:val="left"/>
      <w:lvlText w:val="(%1)"/>
      <w:numFmt w:val="lowerLetter"/>
      <w:start w:val="2"/>
    </w:lvl>
    <w:lvl w:ilvl="1">
      <w:lvlJc w:val="left"/>
      <w:lvlText w:val="%2"/>
      <w:numFmt w:val="decimal"/>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2019-12-29T05:07:22Z</dcterms:created>
  <dcterms:modified xsi:type="dcterms:W3CDTF">2019-12-29T05:07:22Z</dcterms:modified>
</cp:coreProperties>
</file>