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826135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4420"/>
        <w:spacing w:after="0"/>
        <w:rPr>
          <w:sz w:val="20"/>
          <w:szCs w:val="20"/>
          <w:color w:val="auto"/>
        </w:rPr>
      </w:pPr>
      <w:r>
        <w:rPr>
          <w:rFonts w:ascii="Arial" w:cs="Arial" w:eastAsia="Arial" w:hAnsi="Arial"/>
          <w:sz w:val="18"/>
          <w:szCs w:val="18"/>
          <w:color w:val="auto"/>
        </w:rPr>
        <w:t>__________________________</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7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71" w:lineRule="exact"/>
        <w:rPr>
          <w:sz w:val="24"/>
          <w:szCs w:val="24"/>
          <w:color w:val="auto"/>
        </w:rPr>
      </w:pPr>
    </w:p>
    <w:p>
      <w:pPr>
        <w:ind w:left="720" w:right="20" w:hanging="685"/>
        <w:spacing w:after="0" w:line="260"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 w:lineRule="exact"/>
        <w:rPr>
          <w:sz w:val="24"/>
          <w:szCs w:val="24"/>
          <w:color w:val="auto"/>
        </w:rPr>
      </w:pPr>
    </w:p>
    <w:p>
      <w:pPr>
        <w:jc w:val="center"/>
        <w:ind w:left="560"/>
        <w:spacing w:after="0"/>
        <w:rPr>
          <w:sz w:val="20"/>
          <w:szCs w:val="20"/>
          <w:color w:val="auto"/>
        </w:rPr>
      </w:pPr>
      <w:r>
        <w:rPr>
          <w:rFonts w:ascii="Arial" w:cs="Arial" w:eastAsia="Arial" w:hAnsi="Arial"/>
          <w:sz w:val="22"/>
          <w:szCs w:val="22"/>
          <w:b w:val="1"/>
          <w:bCs w:val="1"/>
          <w:color w:val="auto"/>
        </w:rPr>
        <w:t xml:space="preserve">For the fiscal year ended </w:t>
      </w:r>
      <w:r>
        <w:rPr>
          <w:rFonts w:ascii="Arial" w:cs="Arial" w:eastAsia="Arial" w:hAnsi="Arial"/>
          <w:sz w:val="22"/>
          <w:szCs w:val="22"/>
          <w:b w:val="1"/>
          <w:bCs w:val="1"/>
          <w:u w:val="single" w:color="auto"/>
          <w:color w:val="auto"/>
        </w:rPr>
        <w:t>October 31, 2019</w:t>
      </w:r>
    </w:p>
    <w:p>
      <w:pPr>
        <w:spacing w:after="0" w:line="12" w:lineRule="exact"/>
        <w:rPr>
          <w:sz w:val="24"/>
          <w:szCs w:val="24"/>
          <w:color w:val="auto"/>
        </w:rPr>
      </w:pPr>
    </w:p>
    <w:p>
      <w:pPr>
        <w:jc w:val="center"/>
        <w:ind w:left="560"/>
        <w:spacing w:after="0"/>
        <w:rPr>
          <w:sz w:val="20"/>
          <w:szCs w:val="20"/>
          <w:color w:val="auto"/>
        </w:rPr>
      </w:pPr>
      <w:r>
        <w:rPr>
          <w:rFonts w:ascii="Arial" w:cs="Arial" w:eastAsia="Arial" w:hAnsi="Arial"/>
          <w:sz w:val="22"/>
          <w:szCs w:val="22"/>
          <w:color w:val="auto"/>
        </w:rPr>
        <w:t>or</w:t>
      </w:r>
    </w:p>
    <w:p>
      <w:pPr>
        <w:spacing w:after="0" w:line="122" w:lineRule="exact"/>
        <w:rPr>
          <w:sz w:val="24"/>
          <w:szCs w:val="24"/>
          <w:color w:val="auto"/>
        </w:rPr>
      </w:pPr>
    </w:p>
    <w:p>
      <w:pPr>
        <w:ind w:left="720" w:right="40" w:hanging="685"/>
        <w:spacing w:after="0" w:line="274"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3680"/>
        <w:spacing w:after="0"/>
        <w:tabs>
          <w:tab w:leader="none" w:pos="6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3980815</wp:posOffset>
            </wp:positionH>
            <wp:positionV relativeFrom="paragraph">
              <wp:posOffset>-3810</wp:posOffset>
            </wp:positionV>
            <wp:extent cx="9334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33450" cy="8890"/>
                    </a:xfrm>
                    <a:prstGeom prst="rect">
                      <a:avLst/>
                    </a:prstGeom>
                    <a:noFill/>
                  </pic:spPr>
                </pic:pic>
              </a:graphicData>
            </a:graphic>
          </wp:anchor>
        </w:drawing>
      </w:r>
    </w:p>
    <w:p>
      <w:pPr>
        <w:spacing w:after="0" w:line="15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1-8929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124460</wp:posOffset>
            </wp:positionV>
            <wp:extent cx="1449070" cy="831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318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ABM INDUSTRIES INCORPORATED</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31"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334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Delaware</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120" w:type="dxa"/>
            <w:vAlign w:val="bottom"/>
          </w:tcPr>
          <w:p>
            <w:pPr>
              <w:jc w:val="center"/>
              <w:ind w:left="950"/>
              <w:spacing w:after="0"/>
              <w:rPr>
                <w:sz w:val="20"/>
                <w:szCs w:val="20"/>
                <w:color w:val="auto"/>
              </w:rPr>
            </w:pPr>
            <w:r>
              <w:rPr>
                <w:rFonts w:ascii="Arial" w:cs="Arial" w:eastAsia="Arial" w:hAnsi="Arial"/>
                <w:sz w:val="18"/>
                <w:szCs w:val="18"/>
                <w:b w:val="1"/>
                <w:bCs w:val="1"/>
                <w:color w:val="auto"/>
                <w:w w:val="99"/>
              </w:rPr>
              <w:t>94-1369354</w:t>
            </w:r>
          </w:p>
        </w:tc>
      </w:tr>
      <w:tr>
        <w:trPr>
          <w:trHeight w:val="316"/>
        </w:trPr>
        <w:tc>
          <w:tcPr>
            <w:tcW w:w="3340" w:type="dxa"/>
            <w:vAlign w:val="bottom"/>
          </w:tcPr>
          <w:p>
            <w:pPr>
              <w:jc w:val="center"/>
              <w:ind w:right="30"/>
              <w:spacing w:after="0"/>
              <w:rPr>
                <w:sz w:val="20"/>
                <w:szCs w:val="20"/>
                <w:color w:val="auto"/>
              </w:rPr>
            </w:pPr>
            <w:r>
              <w:rPr>
                <w:rFonts w:ascii="Arial" w:cs="Arial" w:eastAsia="Arial" w:hAnsi="Arial"/>
                <w:sz w:val="18"/>
                <w:szCs w:val="18"/>
                <w:color w:val="auto"/>
              </w:rPr>
              <w:t>(State or other jurisdiction of</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120" w:type="dxa"/>
            <w:vAlign w:val="bottom"/>
          </w:tcPr>
          <w:p>
            <w:pPr>
              <w:jc w:val="center"/>
              <w:ind w:left="950"/>
              <w:spacing w:after="0"/>
              <w:rPr>
                <w:sz w:val="20"/>
                <w:szCs w:val="20"/>
                <w:color w:val="auto"/>
              </w:rPr>
            </w:pPr>
            <w:r>
              <w:rPr>
                <w:rFonts w:ascii="Arial" w:cs="Arial" w:eastAsia="Arial" w:hAnsi="Arial"/>
                <w:sz w:val="18"/>
                <w:szCs w:val="18"/>
                <w:color w:val="auto"/>
                <w:w w:val="99"/>
              </w:rPr>
              <w:t>(I.R.S. Employer</w:t>
            </w:r>
          </w:p>
        </w:tc>
      </w:tr>
      <w:tr>
        <w:trPr>
          <w:trHeight w:val="243"/>
        </w:trPr>
        <w:tc>
          <w:tcPr>
            <w:tcW w:w="3340" w:type="dxa"/>
            <w:vAlign w:val="bottom"/>
          </w:tcPr>
          <w:p>
            <w:pPr>
              <w:jc w:val="center"/>
              <w:ind w:right="30"/>
              <w:spacing w:after="0"/>
              <w:rPr>
                <w:sz w:val="20"/>
                <w:szCs w:val="20"/>
                <w:color w:val="auto"/>
              </w:rPr>
            </w:pPr>
            <w:r>
              <w:rPr>
                <w:rFonts w:ascii="Arial" w:cs="Arial" w:eastAsia="Arial" w:hAnsi="Arial"/>
                <w:sz w:val="18"/>
                <w:szCs w:val="18"/>
                <w:color w:val="auto"/>
                <w:w w:val="99"/>
              </w:rPr>
              <w:t>incorporation or organization)</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120" w:type="dxa"/>
            <w:vAlign w:val="bottom"/>
          </w:tcPr>
          <w:p>
            <w:pPr>
              <w:jc w:val="center"/>
              <w:ind w:left="950"/>
              <w:spacing w:after="0"/>
              <w:rPr>
                <w:sz w:val="20"/>
                <w:szCs w:val="20"/>
                <w:color w:val="auto"/>
              </w:rPr>
            </w:pPr>
            <w:r>
              <w:rPr>
                <w:rFonts w:ascii="Arial" w:cs="Arial" w:eastAsia="Arial" w:hAnsi="Arial"/>
                <w:sz w:val="18"/>
                <w:szCs w:val="18"/>
                <w:color w:val="auto"/>
                <w:w w:val="99"/>
              </w:rPr>
              <w:t>Identification No.)</w:t>
            </w:r>
          </w:p>
        </w:tc>
      </w:tr>
      <w:tr>
        <w:trPr>
          <w:trHeight w:val="403"/>
        </w:trPr>
        <w:tc>
          <w:tcPr>
            <w:tcW w:w="3340" w:type="dxa"/>
            <w:vAlign w:val="bottom"/>
          </w:tcPr>
          <w:p>
            <w:pPr>
              <w:spacing w:after="0"/>
              <w:rPr>
                <w:sz w:val="24"/>
                <w:szCs w:val="24"/>
                <w:color w:val="auto"/>
              </w:rPr>
            </w:pPr>
          </w:p>
        </w:tc>
        <w:tc>
          <w:tcPr>
            <w:tcW w:w="3960" w:type="dxa"/>
            <w:vAlign w:val="bottom"/>
            <w:gridSpan w:val="7"/>
          </w:tcPr>
          <w:p>
            <w:pPr>
              <w:jc w:val="right"/>
              <w:ind w:right="280"/>
              <w:spacing w:after="0"/>
              <w:rPr>
                <w:sz w:val="20"/>
                <w:szCs w:val="20"/>
                <w:color w:val="auto"/>
              </w:rPr>
            </w:pPr>
            <w:r>
              <w:rPr>
                <w:rFonts w:ascii="Arial" w:cs="Arial" w:eastAsia="Arial" w:hAnsi="Arial"/>
                <w:sz w:val="18"/>
                <w:szCs w:val="18"/>
                <w:color w:val="auto"/>
              </w:rPr>
              <w:t>__________________________</w:t>
            </w:r>
          </w:p>
        </w:tc>
        <w:tc>
          <w:tcPr>
            <w:tcW w:w="4120" w:type="dxa"/>
            <w:vAlign w:val="bottom"/>
          </w:tcPr>
          <w:p>
            <w:pPr>
              <w:spacing w:after="0"/>
              <w:rPr>
                <w:sz w:val="24"/>
                <w:szCs w:val="24"/>
                <w:color w:val="auto"/>
              </w:rPr>
            </w:pPr>
          </w:p>
        </w:tc>
      </w:tr>
      <w:tr>
        <w:trPr>
          <w:trHeight w:val="216"/>
        </w:trPr>
        <w:tc>
          <w:tcPr>
            <w:tcW w:w="3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0" w:type="dxa"/>
            <w:vAlign w:val="bottom"/>
            <w:gridSpan w:val="5"/>
          </w:tcPr>
          <w:p>
            <w:pPr>
              <w:jc w:val="center"/>
              <w:ind w:left="150"/>
              <w:spacing w:after="0" w:line="216" w:lineRule="exact"/>
              <w:rPr>
                <w:sz w:val="20"/>
                <w:szCs w:val="20"/>
                <w:color w:val="auto"/>
              </w:rPr>
            </w:pPr>
            <w:r>
              <w:rPr>
                <w:rFonts w:ascii="Arial" w:cs="Arial" w:eastAsia="Arial" w:hAnsi="Arial"/>
                <w:sz w:val="18"/>
                <w:szCs w:val="18"/>
                <w:b w:val="1"/>
                <w:bCs w:val="1"/>
                <w:color w:val="auto"/>
                <w:w w:val="99"/>
              </w:rPr>
              <w:t>One Liberty Plaza, 7</w:t>
            </w:r>
            <w:r>
              <w:rPr>
                <w:rFonts w:ascii="Arial" w:cs="Arial" w:eastAsia="Arial" w:hAnsi="Arial"/>
                <w:sz w:val="21"/>
                <w:szCs w:val="21"/>
                <w:b w:val="1"/>
                <w:bCs w:val="1"/>
                <w:color w:val="auto"/>
                <w:w w:val="99"/>
                <w:vertAlign w:val="superscript"/>
              </w:rPr>
              <w:t>th</w:t>
            </w:r>
            <w:r>
              <w:rPr>
                <w:rFonts w:ascii="Arial" w:cs="Arial" w:eastAsia="Arial" w:hAnsi="Arial"/>
                <w:sz w:val="18"/>
                <w:szCs w:val="18"/>
                <w:b w:val="1"/>
                <w:bCs w:val="1"/>
                <w:color w:val="auto"/>
                <w:w w:val="99"/>
              </w:rPr>
              <w:t xml:space="preserve"> Floor</w:t>
            </w:r>
          </w:p>
        </w:tc>
        <w:tc>
          <w:tcPr>
            <w:tcW w:w="4120" w:type="dxa"/>
            <w:vAlign w:val="bottom"/>
          </w:tcPr>
          <w:p>
            <w:pPr>
              <w:spacing w:after="0"/>
              <w:rPr>
                <w:sz w:val="18"/>
                <w:szCs w:val="18"/>
                <w:color w:val="auto"/>
              </w:rPr>
            </w:pPr>
          </w:p>
        </w:tc>
      </w:tr>
      <w:tr>
        <w:trPr>
          <w:trHeight w:val="253"/>
        </w:trPr>
        <w:tc>
          <w:tcPr>
            <w:tcW w:w="3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0" w:type="dxa"/>
            <w:vAlign w:val="bottom"/>
            <w:gridSpan w:val="5"/>
          </w:tcPr>
          <w:p>
            <w:pPr>
              <w:jc w:val="center"/>
              <w:ind w:left="130"/>
              <w:spacing w:after="0"/>
              <w:rPr>
                <w:sz w:val="20"/>
                <w:szCs w:val="20"/>
                <w:color w:val="auto"/>
              </w:rPr>
            </w:pPr>
            <w:r>
              <w:rPr>
                <w:rFonts w:ascii="Arial" w:cs="Arial" w:eastAsia="Arial" w:hAnsi="Arial"/>
                <w:sz w:val="18"/>
                <w:szCs w:val="18"/>
                <w:b w:val="1"/>
                <w:bCs w:val="1"/>
                <w:color w:val="auto"/>
                <w:w w:val="98"/>
              </w:rPr>
              <w:t>New York, New York 10006</w:t>
            </w:r>
          </w:p>
        </w:tc>
        <w:tc>
          <w:tcPr>
            <w:tcW w:w="4120" w:type="dxa"/>
            <w:vAlign w:val="bottom"/>
          </w:tcPr>
          <w:p>
            <w:pPr>
              <w:spacing w:after="0"/>
              <w:rPr>
                <w:sz w:val="21"/>
                <w:szCs w:val="21"/>
                <w:color w:val="auto"/>
              </w:rPr>
            </w:pPr>
          </w:p>
        </w:tc>
      </w:tr>
      <w:tr>
        <w:trPr>
          <w:trHeight w:val="316"/>
        </w:trPr>
        <w:tc>
          <w:tcPr>
            <w:tcW w:w="3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0" w:type="dxa"/>
            <w:vAlign w:val="bottom"/>
            <w:gridSpan w:val="5"/>
          </w:tcPr>
          <w:p>
            <w:pPr>
              <w:jc w:val="center"/>
              <w:ind w:left="150"/>
              <w:spacing w:after="0"/>
              <w:rPr>
                <w:sz w:val="20"/>
                <w:szCs w:val="20"/>
                <w:color w:val="auto"/>
              </w:rPr>
            </w:pPr>
            <w:r>
              <w:rPr>
                <w:rFonts w:ascii="Arial" w:cs="Arial" w:eastAsia="Arial" w:hAnsi="Arial"/>
                <w:sz w:val="18"/>
                <w:szCs w:val="18"/>
                <w:color w:val="auto"/>
                <w:w w:val="99"/>
              </w:rPr>
              <w:t>(Address of principal executive offices)</w:t>
            </w:r>
          </w:p>
        </w:tc>
        <w:tc>
          <w:tcPr>
            <w:tcW w:w="4120" w:type="dxa"/>
            <w:vAlign w:val="bottom"/>
          </w:tcPr>
          <w:p>
            <w:pPr>
              <w:spacing w:after="0"/>
              <w:rPr>
                <w:sz w:val="24"/>
                <w:szCs w:val="24"/>
                <w:color w:val="auto"/>
              </w:rPr>
            </w:pPr>
          </w:p>
        </w:tc>
      </w:tr>
      <w:tr>
        <w:trPr>
          <w:trHeight w:val="496"/>
        </w:trPr>
        <w:tc>
          <w:tcPr>
            <w:tcW w:w="3340" w:type="dxa"/>
            <w:vAlign w:val="bottom"/>
          </w:tcPr>
          <w:p>
            <w:pPr>
              <w:spacing w:after="0"/>
              <w:rPr>
                <w:sz w:val="24"/>
                <w:szCs w:val="24"/>
                <w:color w:val="auto"/>
              </w:rPr>
            </w:pPr>
          </w:p>
        </w:tc>
        <w:tc>
          <w:tcPr>
            <w:tcW w:w="2980" w:type="dxa"/>
            <w:vAlign w:val="bottom"/>
            <w:gridSpan w:val="4"/>
          </w:tcPr>
          <w:p>
            <w:pPr>
              <w:jc w:val="center"/>
              <w:spacing w:after="0"/>
              <w:rPr>
                <w:sz w:val="20"/>
                <w:szCs w:val="20"/>
                <w:color w:val="auto"/>
              </w:rPr>
            </w:pPr>
            <w:r>
              <w:rPr>
                <w:rFonts w:ascii="Arial" w:cs="Arial" w:eastAsia="Arial" w:hAnsi="Arial"/>
                <w:sz w:val="18"/>
                <w:szCs w:val="18"/>
                <w:b w:val="1"/>
                <w:bCs w:val="1"/>
                <w:u w:val="single" w:color="auto"/>
                <w:color w:val="auto"/>
              </w:rPr>
              <w:t>(212)</w:t>
            </w:r>
            <w:r>
              <w:rPr>
                <w:rFonts w:ascii="Arial" w:cs="Arial" w:eastAsia="Arial" w:hAnsi="Arial"/>
                <w:sz w:val="18"/>
                <w:szCs w:val="18"/>
                <w:b w:val="1"/>
                <w:bCs w:val="1"/>
                <w:color w:val="auto"/>
              </w:rPr>
              <w:t xml:space="preserve"> 297-0200</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20"/>
        </w:trPr>
        <w:tc>
          <w:tcPr>
            <w:tcW w:w="334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100" w:type="dxa"/>
            <w:vAlign w:val="bottom"/>
            <w:gridSpan w:val="4"/>
          </w:tcPr>
          <w:p>
            <w:pPr>
              <w:spacing w:after="0" w:line="20" w:lineRule="exact"/>
              <w:rPr>
                <w:sz w:val="1"/>
                <w:szCs w:val="1"/>
                <w:color w:val="auto"/>
              </w:rPr>
            </w:pPr>
          </w:p>
        </w:tc>
      </w:tr>
      <w:tr>
        <w:trPr>
          <w:trHeight w:val="295"/>
        </w:trPr>
        <w:tc>
          <w:tcPr>
            <w:tcW w:w="3340" w:type="dxa"/>
            <w:vAlign w:val="bottom"/>
          </w:tcPr>
          <w:p>
            <w:pPr>
              <w:spacing w:after="0"/>
              <w:rPr>
                <w:sz w:val="24"/>
                <w:szCs w:val="24"/>
                <w:color w:val="auto"/>
              </w:rPr>
            </w:pPr>
          </w:p>
        </w:tc>
        <w:tc>
          <w:tcPr>
            <w:tcW w:w="8080" w:type="dxa"/>
            <w:vAlign w:val="bottom"/>
            <w:gridSpan w:val="8"/>
          </w:tcPr>
          <w:p>
            <w:pPr>
              <w:jc w:val="center"/>
              <w:ind w:right="3250"/>
              <w:spacing w:after="0"/>
              <w:rPr>
                <w:sz w:val="20"/>
                <w:szCs w:val="20"/>
                <w:color w:val="auto"/>
              </w:rPr>
            </w:pPr>
            <w:r>
              <w:rPr>
                <w:rFonts w:ascii="Arial" w:cs="Arial" w:eastAsia="Arial" w:hAnsi="Arial"/>
                <w:sz w:val="18"/>
                <w:szCs w:val="18"/>
                <w:color w:val="auto"/>
                <w:w w:val="99"/>
              </w:rPr>
              <w:t>(Registrant’s telephone number, including area code)</w:t>
            </w:r>
          </w:p>
        </w:tc>
      </w:tr>
      <w:tr>
        <w:trPr>
          <w:trHeight w:val="378"/>
        </w:trPr>
        <w:tc>
          <w:tcPr>
            <w:tcW w:w="3340" w:type="dxa"/>
            <w:vAlign w:val="bottom"/>
          </w:tcPr>
          <w:p>
            <w:pPr>
              <w:spacing w:after="0"/>
              <w:rPr>
                <w:sz w:val="24"/>
                <w:szCs w:val="24"/>
                <w:color w:val="auto"/>
              </w:rPr>
            </w:pPr>
          </w:p>
        </w:tc>
        <w:tc>
          <w:tcPr>
            <w:tcW w:w="3400" w:type="dxa"/>
            <w:vAlign w:val="bottom"/>
            <w:gridSpan w:val="5"/>
          </w:tcPr>
          <w:p>
            <w:pPr>
              <w:jc w:val="right"/>
              <w:ind w:right="120"/>
              <w:spacing w:after="0"/>
              <w:rPr>
                <w:sz w:val="20"/>
                <w:szCs w:val="20"/>
                <w:color w:val="auto"/>
              </w:rPr>
            </w:pPr>
            <w:r>
              <w:rPr>
                <w:rFonts w:ascii="Arial" w:cs="Arial" w:eastAsia="Arial" w:hAnsi="Arial"/>
                <w:sz w:val="18"/>
                <w:szCs w:val="18"/>
                <w:color w:val="auto"/>
              </w:rPr>
              <w:t>__________________</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378"/>
        </w:trPr>
        <w:tc>
          <w:tcPr>
            <w:tcW w:w="3340" w:type="dxa"/>
            <w:vAlign w:val="bottom"/>
          </w:tcPr>
          <w:p>
            <w:pPr>
              <w:spacing w:after="0"/>
              <w:rPr>
                <w:sz w:val="24"/>
                <w:szCs w:val="24"/>
                <w:color w:val="auto"/>
              </w:rPr>
            </w:pPr>
          </w:p>
        </w:tc>
        <w:tc>
          <w:tcPr>
            <w:tcW w:w="8080" w:type="dxa"/>
            <w:vAlign w:val="bottom"/>
            <w:gridSpan w:val="8"/>
          </w:tcPr>
          <w:p>
            <w:pPr>
              <w:jc w:val="center"/>
              <w:ind w:right="3250"/>
              <w:spacing w:after="0"/>
              <w:rPr>
                <w:sz w:val="20"/>
                <w:szCs w:val="20"/>
                <w:color w:val="auto"/>
              </w:rPr>
            </w:pPr>
            <w:r>
              <w:rPr>
                <w:rFonts w:ascii="Arial" w:cs="Arial" w:eastAsia="Arial" w:hAnsi="Arial"/>
                <w:sz w:val="18"/>
                <w:szCs w:val="18"/>
                <w:color w:val="auto"/>
              </w:rPr>
              <w:t>Securities registered pursuant to Section 12(b) of the Act:</w:t>
            </w:r>
          </w:p>
        </w:tc>
      </w:tr>
      <w:tr>
        <w:trPr>
          <w:trHeight w:val="396"/>
        </w:trPr>
        <w:tc>
          <w:tcPr>
            <w:tcW w:w="334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color w:val="auto"/>
                <w:w w:val="98"/>
              </w:rPr>
              <w:t>Title of each class</w:t>
            </w:r>
          </w:p>
        </w:tc>
        <w:tc>
          <w:tcPr>
            <w:tcW w:w="4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Trading Symbol</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color w:val="auto"/>
                <w:w w:val="99"/>
              </w:rPr>
              <w:t>Name of each exchange on which registered</w:t>
            </w:r>
          </w:p>
        </w:tc>
      </w:tr>
      <w:tr>
        <w:trPr>
          <w:trHeight w:val="253"/>
        </w:trPr>
        <w:tc>
          <w:tcPr>
            <w:tcW w:w="3340" w:type="dxa"/>
            <w:vAlign w:val="bottom"/>
          </w:tcPr>
          <w:p>
            <w:pPr>
              <w:jc w:val="center"/>
              <w:ind w:left="350"/>
              <w:spacing w:after="0"/>
              <w:rPr>
                <w:sz w:val="20"/>
                <w:szCs w:val="20"/>
                <w:color w:val="auto"/>
              </w:rPr>
            </w:pPr>
            <w:r>
              <w:rPr>
                <w:rFonts w:ascii="Arial" w:cs="Arial" w:eastAsia="Arial" w:hAnsi="Arial"/>
                <w:sz w:val="18"/>
                <w:szCs w:val="18"/>
                <w:b w:val="1"/>
                <w:bCs w:val="1"/>
                <w:color w:val="auto"/>
                <w:w w:val="99"/>
              </w:rPr>
              <w:t>Common Stock, $0.01 par value</w:t>
            </w: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0" w:type="dxa"/>
            <w:vAlign w:val="bottom"/>
            <w:gridSpan w:val="5"/>
          </w:tcPr>
          <w:p>
            <w:pPr>
              <w:jc w:val="center"/>
              <w:ind w:right="560"/>
              <w:spacing w:after="0"/>
              <w:rPr>
                <w:sz w:val="20"/>
                <w:szCs w:val="20"/>
                <w:color w:val="auto"/>
              </w:rPr>
            </w:pPr>
            <w:r>
              <w:rPr>
                <w:rFonts w:ascii="Arial" w:cs="Arial" w:eastAsia="Arial" w:hAnsi="Arial"/>
                <w:sz w:val="18"/>
                <w:szCs w:val="18"/>
                <w:b w:val="1"/>
                <w:bCs w:val="1"/>
                <w:color w:val="auto"/>
                <w:w w:val="97"/>
              </w:rPr>
              <w:t>ABM</w:t>
            </w:r>
          </w:p>
        </w:tc>
        <w:tc>
          <w:tcPr>
            <w:tcW w:w="4120" w:type="dxa"/>
            <w:vAlign w:val="bottom"/>
          </w:tcPr>
          <w:p>
            <w:pPr>
              <w:jc w:val="center"/>
              <w:ind w:right="350"/>
              <w:spacing w:after="0"/>
              <w:rPr>
                <w:sz w:val="20"/>
                <w:szCs w:val="20"/>
                <w:color w:val="auto"/>
              </w:rPr>
            </w:pPr>
            <w:r>
              <w:rPr>
                <w:rFonts w:ascii="Arial" w:cs="Arial" w:eastAsia="Arial" w:hAnsi="Arial"/>
                <w:sz w:val="18"/>
                <w:szCs w:val="18"/>
                <w:b w:val="1"/>
                <w:bCs w:val="1"/>
                <w:color w:val="auto"/>
                <w:w w:val="99"/>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3366770</wp:posOffset>
            </wp:positionH>
            <wp:positionV relativeFrom="paragraph">
              <wp:posOffset>-2673985</wp:posOffset>
            </wp:positionV>
            <wp:extent cx="608965" cy="617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965" cy="617220"/>
                    </a:xfrm>
                    <a:prstGeom prst="rect">
                      <a:avLst/>
                    </a:prstGeom>
                    <a:noFill/>
                  </pic:spPr>
                </pic:pic>
              </a:graphicData>
            </a:graphic>
          </wp:anchor>
        </w:drawing>
      </w:r>
    </w:p>
    <w:p>
      <w:pPr>
        <w:spacing w:after="0" w:line="175" w:lineRule="exact"/>
        <w:rPr>
          <w:sz w:val="24"/>
          <w:szCs w:val="24"/>
          <w:color w:val="auto"/>
        </w:rPr>
      </w:pPr>
    </w:p>
    <w:p>
      <w:pPr>
        <w:ind w:left="4420"/>
        <w:spacing w:after="0"/>
        <w:rPr>
          <w:sz w:val="20"/>
          <w:szCs w:val="20"/>
          <w:color w:val="auto"/>
        </w:rPr>
      </w:pPr>
      <w:r>
        <w:rPr>
          <w:rFonts w:ascii="Arial" w:cs="Arial" w:eastAsia="Arial" w:hAnsi="Arial"/>
          <w:sz w:val="18"/>
          <w:szCs w:val="18"/>
          <w:color w:val="auto"/>
        </w:rPr>
        <w:t>__________________________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 None</w:t>
      </w:r>
    </w:p>
    <w:p>
      <w:pPr>
        <w:sectPr>
          <w:pgSz w:w="11900" w:h="16838" w:orient="portrait"/>
          <w:cols w:equalWidth="0" w:num="1">
            <w:col w:w="11420"/>
          </w:cols>
          <w:pgMar w:left="240" w:top="1416" w:right="239" w:bottom="1440" w:gutter="0" w:footer="0" w:header="0"/>
        </w:sectPr>
      </w:pPr>
    </w:p>
    <w:bookmarkStart w:id="1" w:name="page2"/>
    <w:bookmarkEnd w:id="1"/>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Yes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1" w:lineRule="exact"/>
        <w:rPr>
          <w:sz w:val="20"/>
          <w:szCs w:val="20"/>
          <w:color w:val="auto"/>
        </w:rPr>
      </w:pPr>
    </w:p>
    <w:p>
      <w:pPr>
        <w:sectPr>
          <w:pgSz w:w="11900" w:h="16838" w:orient="portrait"/>
          <w:cols w:equalWidth="0" w:num="5">
            <w:col w:w="9300" w:space="200"/>
            <w:col w:w="300" w:space="100"/>
            <w:col w:w="160" w:space="340"/>
            <w:col w:w="240" w:space="100"/>
            <w:col w:w="680"/>
          </w:cols>
          <w:pgMar w:left="240" w:top="687" w:right="239" w:bottom="1440" w:gutter="0" w:footer="0" w:header="0"/>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Yes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71" w:lineRule="exact"/>
        <w:rPr>
          <w:sz w:val="20"/>
          <w:szCs w:val="20"/>
          <w:color w:val="auto"/>
        </w:rPr>
      </w:pPr>
    </w:p>
    <w:p>
      <w:pPr>
        <w:sectPr>
          <w:pgSz w:w="11900" w:h="16838" w:orient="portrait"/>
          <w:cols w:equalWidth="0" w:num="5">
            <w:col w:w="9420" w:space="180"/>
            <w:col w:w="300" w:space="100"/>
            <w:col w:w="160" w:space="180"/>
            <w:col w:w="240" w:space="100"/>
            <w:col w:w="740"/>
          </w:cols>
          <w:pgMar w:left="240" w:top="687" w:right="239" w:bottom="1440" w:gutter="0" w:footer="0" w:header="0"/>
          <w:type w:val="continuous"/>
        </w:sectPr>
      </w:pPr>
    </w:p>
    <w:p>
      <w:pPr>
        <w:spacing w:after="0" w:line="25" w:lineRule="exact"/>
        <w:rPr>
          <w:sz w:val="20"/>
          <w:szCs w:val="20"/>
          <w:color w:val="auto"/>
        </w:rPr>
      </w:pPr>
    </w:p>
    <w:p>
      <w:pPr>
        <w:jc w:val="both"/>
        <w:spacing w:after="0" w:line="23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4" w:lineRule="exact"/>
        <w:rPr>
          <w:sz w:val="20"/>
          <w:szCs w:val="20"/>
          <w:color w:val="auto"/>
        </w:rPr>
      </w:pPr>
    </w:p>
    <w:p>
      <w:pPr>
        <w:jc w:val="both"/>
        <w:spacing w:after="0" w:line="231"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5"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1580" w:type="dxa"/>
            <w:vAlign w:val="bottom"/>
          </w:tcPr>
          <w:p>
            <w:pPr>
              <w:jc w:val="center"/>
              <w:ind w:right="50"/>
              <w:spacing w:after="0"/>
              <w:rPr>
                <w:sz w:val="20"/>
                <w:szCs w:val="20"/>
                <w:color w:val="auto"/>
              </w:rPr>
            </w:pPr>
            <w:r>
              <w:rPr>
                <w:rFonts w:ascii="Arial" w:cs="Arial" w:eastAsia="Arial" w:hAnsi="Arial"/>
                <w:sz w:val="18"/>
                <w:szCs w:val="18"/>
                <w:color w:val="auto"/>
                <w:w w:val="99"/>
              </w:rPr>
              <w:t>Large accelerated</w:t>
            </w:r>
          </w:p>
        </w:tc>
        <w:tc>
          <w:tcPr>
            <w:tcW w:w="48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300" w:type="dxa"/>
            <w:vAlign w:val="bottom"/>
          </w:tcPr>
          <w:p>
            <w:pPr>
              <w:jc w:val="center"/>
              <w:spacing w:after="0"/>
              <w:rPr>
                <w:sz w:val="20"/>
                <w:szCs w:val="20"/>
                <w:color w:val="auto"/>
              </w:rPr>
            </w:pPr>
            <w:r>
              <w:rPr>
                <w:rFonts w:ascii="Arial" w:cs="Arial" w:eastAsia="Arial" w:hAnsi="Arial"/>
                <w:sz w:val="18"/>
                <w:szCs w:val="18"/>
                <w:color w:val="auto"/>
              </w:rPr>
              <w:t>Accelerated</w:t>
            </w:r>
          </w:p>
        </w:tc>
        <w:tc>
          <w:tcPr>
            <w:tcW w:w="2240" w:type="dxa"/>
            <w:vAlign w:val="bottom"/>
            <w:vMerge w:val="restart"/>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w:t>
            </w:r>
          </w:p>
        </w:tc>
        <w:tc>
          <w:tcPr>
            <w:tcW w:w="50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920" w:type="dxa"/>
            <w:vAlign w:val="bottom"/>
          </w:tcPr>
          <w:p>
            <w:pPr>
              <w:jc w:val="center"/>
              <w:spacing w:after="0"/>
              <w:rPr>
                <w:sz w:val="20"/>
                <w:szCs w:val="20"/>
                <w:color w:val="auto"/>
              </w:rPr>
            </w:pPr>
            <w:r>
              <w:rPr>
                <w:rFonts w:ascii="Arial" w:cs="Arial" w:eastAsia="Arial" w:hAnsi="Arial"/>
                <w:sz w:val="18"/>
                <w:szCs w:val="18"/>
                <w:color w:val="auto"/>
              </w:rPr>
              <w:t>Smaller reporting</w:t>
            </w:r>
          </w:p>
        </w:tc>
        <w:tc>
          <w:tcPr>
            <w:tcW w:w="2800" w:type="dxa"/>
            <w:vAlign w:val="bottom"/>
            <w:vMerge w:val="restart"/>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w:t>
            </w:r>
          </w:p>
        </w:tc>
        <w:tc>
          <w:tcPr>
            <w:tcW w:w="24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51"/>
        </w:trPr>
        <w:tc>
          <w:tcPr>
            <w:tcW w:w="1580" w:type="dxa"/>
            <w:vAlign w:val="bottom"/>
            <w:vMerge w:val="restart"/>
          </w:tcPr>
          <w:p>
            <w:pPr>
              <w:jc w:val="center"/>
              <w:ind w:right="50"/>
              <w:spacing w:after="0"/>
              <w:rPr>
                <w:sz w:val="20"/>
                <w:szCs w:val="20"/>
                <w:color w:val="auto"/>
              </w:rPr>
            </w:pPr>
            <w:r>
              <w:rPr>
                <w:rFonts w:ascii="Arial" w:cs="Arial" w:eastAsia="Arial" w:hAnsi="Arial"/>
                <w:sz w:val="18"/>
                <w:szCs w:val="18"/>
                <w:color w:val="auto"/>
                <w:w w:val="96"/>
              </w:rPr>
              <w:t>filer</w:t>
            </w:r>
          </w:p>
        </w:tc>
        <w:tc>
          <w:tcPr>
            <w:tcW w:w="480" w:type="dxa"/>
            <w:vAlign w:val="bottom"/>
            <w:vMerge w:val="continue"/>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6"/>
              </w:rPr>
              <w:t>filer</w:t>
            </w:r>
          </w:p>
        </w:tc>
        <w:tc>
          <w:tcPr>
            <w:tcW w:w="224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1920" w:type="dxa"/>
            <w:vAlign w:val="bottom"/>
            <w:vMerge w:val="restart"/>
          </w:tcPr>
          <w:p>
            <w:pPr>
              <w:jc w:val="center"/>
              <w:spacing w:after="0"/>
              <w:rPr>
                <w:sz w:val="20"/>
                <w:szCs w:val="20"/>
                <w:color w:val="auto"/>
              </w:rPr>
            </w:pPr>
            <w:r>
              <w:rPr>
                <w:rFonts w:ascii="Arial" w:cs="Arial" w:eastAsia="Arial" w:hAnsi="Arial"/>
                <w:sz w:val="18"/>
                <w:szCs w:val="18"/>
                <w:color w:val="auto"/>
              </w:rPr>
              <w:t>company</w:t>
            </w:r>
          </w:p>
        </w:tc>
        <w:tc>
          <w:tcPr>
            <w:tcW w:w="280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158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2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2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49"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Aggregate market value of the registrant’s common stock held by non-affiliates of the registrant, based upon the closing price of a share of the registrant’s common stock on April 30, 2019 as reported on the New York Stock Exchange on that date: $2,498,832,469</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the registrant’s common stock outstanding as of December 17, 2019: 66,589,257</w:t>
      </w:r>
    </w:p>
    <w:p>
      <w:pPr>
        <w:spacing w:after="0" w:line="31"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_______________________________________________</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65"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Certain parts of the registrant’s Definitive Proxy Statement relating to the registrant’s 2020 Annual Meeting of Stockholders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7"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53"/>
        </w:trPr>
        <w:tc>
          <w:tcPr>
            <w:tcW w:w="11100" w:type="dxa"/>
            <w:vAlign w:val="bottom"/>
          </w:tcPr>
          <w:p>
            <w:pPr>
              <w:ind w:left="3260"/>
              <w:spacing w:after="0"/>
              <w:rPr>
                <w:sz w:val="20"/>
                <w:szCs w:val="20"/>
                <w:color w:val="auto"/>
              </w:rPr>
            </w:pPr>
            <w:r>
              <w:rPr>
                <w:rFonts w:ascii="Arial" w:cs="Arial" w:eastAsia="Arial" w:hAnsi="Arial"/>
                <w:sz w:val="18"/>
                <w:szCs w:val="18"/>
                <w:b w:val="1"/>
                <w:bCs w:val="1"/>
                <w:color w:val="auto"/>
              </w:rPr>
              <w:t>ABM INDUSTRIES INCORPORATED AND SUBSIDIARIES</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51"/>
        </w:trPr>
        <w:tc>
          <w:tcPr>
            <w:tcW w:w="11100" w:type="dxa"/>
            <w:vAlign w:val="bottom"/>
          </w:tcPr>
          <w:p>
            <w:pPr>
              <w:ind w:left="472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1"/>
        </w:trPr>
        <w:tc>
          <w:tcPr>
            <w:tcW w:w="11100" w:type="dxa"/>
            <w:vAlign w:val="bottom"/>
          </w:tcPr>
          <w:p>
            <w:pPr>
              <w:spacing w:after="0"/>
              <w:rPr>
                <w:rFonts w:ascii="Arial" w:cs="Arial" w:eastAsia="Arial" w:hAnsi="Arial"/>
                <w:sz w:val="14"/>
                <w:szCs w:val="14"/>
                <w:b w:val="1"/>
                <w:bCs w:val="1"/>
                <w:color w:val="auto"/>
              </w:rPr>
            </w:pPr>
            <w:hyperlink w:anchor="page4">
              <w:r>
                <w:rPr>
                  <w:rFonts w:ascii="Arial" w:cs="Arial" w:eastAsia="Arial" w:hAnsi="Arial"/>
                  <w:sz w:val="14"/>
                  <w:szCs w:val="14"/>
                  <w:b w:val="1"/>
                  <w:bCs w:val="1"/>
                  <w:color w:val="auto"/>
                </w:rPr>
                <w:t>FORWARD-LOOKING STATEMENTS</w:t>
              </w:r>
            </w:hyperlink>
          </w:p>
        </w:tc>
        <w:tc>
          <w:tcPr>
            <w:tcW w:w="1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4">
              <w:r>
                <w:rPr>
                  <w:rFonts w:ascii="Arial" w:cs="Arial" w:eastAsia="Arial" w:hAnsi="Arial"/>
                  <w:sz w:val="15"/>
                  <w:szCs w:val="15"/>
                  <w:color w:val="0000EE"/>
                  <w:w w:val="95"/>
                </w:rPr>
                <w:t>1</w:t>
              </w:r>
            </w:hyperlink>
          </w:p>
        </w:tc>
      </w:tr>
      <w:tr>
        <w:trPr>
          <w:trHeight w:val="196"/>
        </w:trPr>
        <w:tc>
          <w:tcPr>
            <w:tcW w:w="11100" w:type="dxa"/>
            <w:vAlign w:val="bottom"/>
          </w:tcPr>
          <w:p>
            <w:pPr>
              <w:spacing w:after="0"/>
              <w:rPr>
                <w:rFonts w:ascii="Arial" w:cs="Arial" w:eastAsia="Arial" w:hAnsi="Arial"/>
                <w:sz w:val="14"/>
                <w:szCs w:val="14"/>
                <w:b w:val="1"/>
                <w:bCs w:val="1"/>
                <w:color w:val="auto"/>
              </w:rPr>
            </w:pPr>
            <w:hyperlink w:anchor="page5">
              <w:r>
                <w:rPr>
                  <w:rFonts w:ascii="Arial" w:cs="Arial" w:eastAsia="Arial" w:hAnsi="Arial"/>
                  <w:sz w:val="14"/>
                  <w:szCs w:val="14"/>
                  <w:b w:val="1"/>
                  <w:bCs w:val="1"/>
                  <w:color w:val="auto"/>
                </w:rPr>
                <w:t>PART I</w:t>
              </w:r>
            </w:hyperlink>
          </w:p>
        </w:tc>
        <w:tc>
          <w:tcPr>
            <w:tcW w:w="16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rFonts w:ascii="Arial" w:cs="Arial" w:eastAsia="Arial" w:hAnsi="Arial"/>
                <w:sz w:val="15"/>
                <w:szCs w:val="15"/>
                <w:color w:val="0000FF"/>
                <w:w w:val="95"/>
              </w:rPr>
            </w:pPr>
            <w:hyperlink w:anchor="page5">
              <w:r>
                <w:rPr>
                  <w:rFonts w:ascii="Arial" w:cs="Arial" w:eastAsia="Arial" w:hAnsi="Arial"/>
                  <w:sz w:val="15"/>
                  <w:szCs w:val="15"/>
                  <w:color w:val="0000FF"/>
                  <w:w w:val="95"/>
                </w:rPr>
                <w:t>2</w:t>
              </w:r>
            </w:hyperlink>
          </w:p>
        </w:tc>
      </w:tr>
      <w:tr>
        <w:trPr>
          <w:trHeight w:val="196"/>
        </w:trPr>
        <w:tc>
          <w:tcPr>
            <w:tcW w:w="11100" w:type="dxa"/>
            <w:vAlign w:val="bottom"/>
          </w:tcPr>
          <w:p>
            <w:pPr>
              <w:spacing w:after="0"/>
              <w:rPr>
                <w:rFonts w:ascii="Arial" w:cs="Arial" w:eastAsia="Arial" w:hAnsi="Arial"/>
                <w:sz w:val="14"/>
                <w:szCs w:val="14"/>
                <w:color w:val="auto"/>
              </w:rPr>
            </w:pPr>
            <w:hyperlink w:anchor="page5">
              <w:r>
                <w:rPr>
                  <w:rFonts w:ascii="Arial" w:cs="Arial" w:eastAsia="Arial" w:hAnsi="Arial"/>
                  <w:sz w:val="14"/>
                  <w:szCs w:val="14"/>
                  <w:color w:val="auto"/>
                </w:rPr>
                <w:t>Item 1. Business.</w:t>
              </w:r>
            </w:hyperlink>
          </w:p>
        </w:tc>
        <w:tc>
          <w:tcPr>
            <w:tcW w:w="16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rFonts w:ascii="Arial" w:cs="Arial" w:eastAsia="Arial" w:hAnsi="Arial"/>
                <w:sz w:val="15"/>
                <w:szCs w:val="15"/>
                <w:color w:val="0000FF"/>
                <w:w w:val="95"/>
              </w:rPr>
            </w:pPr>
            <w:hyperlink w:anchor="page5">
              <w:r>
                <w:rPr>
                  <w:rFonts w:ascii="Arial" w:cs="Arial" w:eastAsia="Arial" w:hAnsi="Arial"/>
                  <w:sz w:val="15"/>
                  <w:szCs w:val="15"/>
                  <w:color w:val="0000FF"/>
                  <w:w w:val="95"/>
                </w:rPr>
                <w:t>2</w:t>
              </w:r>
            </w:hyperlink>
          </w:p>
        </w:tc>
      </w:tr>
      <w:tr>
        <w:trPr>
          <w:trHeight w:val="196"/>
        </w:trPr>
        <w:tc>
          <w:tcPr>
            <w:tcW w:w="11100" w:type="dxa"/>
            <w:vAlign w:val="bottom"/>
          </w:tcPr>
          <w:p>
            <w:pPr>
              <w:spacing w:after="0"/>
              <w:rPr>
                <w:rFonts w:ascii="Arial" w:cs="Arial" w:eastAsia="Arial" w:hAnsi="Arial"/>
                <w:sz w:val="14"/>
                <w:szCs w:val="14"/>
                <w:color w:val="auto"/>
              </w:rPr>
            </w:pPr>
            <w:hyperlink w:anchor="page10">
              <w:r>
                <w:rPr>
                  <w:rFonts w:ascii="Arial" w:cs="Arial" w:eastAsia="Arial" w:hAnsi="Arial"/>
                  <w:sz w:val="14"/>
                  <w:szCs w:val="14"/>
                  <w:color w:val="auto"/>
                </w:rPr>
                <w:t>Item 1A. Risk Factors.</w:t>
              </w:r>
            </w:hyperlink>
          </w:p>
        </w:tc>
        <w:tc>
          <w:tcPr>
            <w:tcW w:w="16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rFonts w:ascii="Arial" w:cs="Arial" w:eastAsia="Arial" w:hAnsi="Arial"/>
                <w:sz w:val="15"/>
                <w:szCs w:val="15"/>
                <w:color w:val="0000FF"/>
                <w:w w:val="95"/>
              </w:rPr>
            </w:pPr>
            <w:hyperlink w:anchor="page10">
              <w:r>
                <w:rPr>
                  <w:rFonts w:ascii="Arial" w:cs="Arial" w:eastAsia="Arial" w:hAnsi="Arial"/>
                  <w:sz w:val="15"/>
                  <w:szCs w:val="15"/>
                  <w:color w:val="0000FF"/>
                  <w:w w:val="95"/>
                </w:rPr>
                <w:t>7</w:t>
              </w:r>
            </w:hyperlink>
          </w:p>
        </w:tc>
      </w:tr>
      <w:tr>
        <w:trPr>
          <w:trHeight w:val="196"/>
        </w:trPr>
        <w:tc>
          <w:tcPr>
            <w:tcW w:w="11100" w:type="dxa"/>
            <w:vAlign w:val="bottom"/>
          </w:tcPr>
          <w:p>
            <w:pPr>
              <w:spacing w:after="0"/>
              <w:rPr>
                <w:rFonts w:ascii="Arial" w:cs="Arial" w:eastAsia="Arial" w:hAnsi="Arial"/>
                <w:sz w:val="14"/>
                <w:szCs w:val="14"/>
                <w:color w:val="auto"/>
              </w:rPr>
            </w:pPr>
            <w:hyperlink w:anchor="page16">
              <w:r>
                <w:rPr>
                  <w:rFonts w:ascii="Arial" w:cs="Arial" w:eastAsia="Arial" w:hAnsi="Arial"/>
                  <w:sz w:val="14"/>
                  <w:szCs w:val="14"/>
                  <w:color w:val="auto"/>
                </w:rPr>
                <w:t>Item 1B. Unresolved Staff Comments.</w:t>
              </w:r>
            </w:hyperlink>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6">
              <w:r>
                <w:rPr>
                  <w:rFonts w:ascii="Arial" w:cs="Arial" w:eastAsia="Arial" w:hAnsi="Arial"/>
                  <w:sz w:val="15"/>
                  <w:szCs w:val="15"/>
                  <w:color w:val="0000FF"/>
                  <w:w w:val="95"/>
                </w:rPr>
                <w:t>13</w:t>
              </w:r>
            </w:hyperlink>
          </w:p>
        </w:tc>
      </w:tr>
      <w:tr>
        <w:trPr>
          <w:trHeight w:val="196"/>
        </w:trPr>
        <w:tc>
          <w:tcPr>
            <w:tcW w:w="11100" w:type="dxa"/>
            <w:vAlign w:val="bottom"/>
          </w:tcPr>
          <w:p>
            <w:pPr>
              <w:spacing w:after="0"/>
              <w:rPr>
                <w:rFonts w:ascii="Arial" w:cs="Arial" w:eastAsia="Arial" w:hAnsi="Arial"/>
                <w:sz w:val="14"/>
                <w:szCs w:val="14"/>
                <w:color w:val="auto"/>
              </w:rPr>
            </w:pPr>
            <w:hyperlink w:anchor="page16">
              <w:r>
                <w:rPr>
                  <w:rFonts w:ascii="Arial" w:cs="Arial" w:eastAsia="Arial" w:hAnsi="Arial"/>
                  <w:sz w:val="14"/>
                  <w:szCs w:val="14"/>
                  <w:color w:val="auto"/>
                </w:rPr>
                <w:t>Item 2. Properties.</w:t>
              </w:r>
            </w:hyperlink>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6">
              <w:r>
                <w:rPr>
                  <w:rFonts w:ascii="Arial" w:cs="Arial" w:eastAsia="Arial" w:hAnsi="Arial"/>
                  <w:sz w:val="15"/>
                  <w:szCs w:val="15"/>
                  <w:color w:val="0000FF"/>
                  <w:w w:val="95"/>
                </w:rPr>
                <w:t>13</w:t>
              </w:r>
            </w:hyperlink>
          </w:p>
        </w:tc>
      </w:tr>
      <w:tr>
        <w:trPr>
          <w:trHeight w:val="196"/>
        </w:trPr>
        <w:tc>
          <w:tcPr>
            <w:tcW w:w="11100" w:type="dxa"/>
            <w:vAlign w:val="bottom"/>
          </w:tcPr>
          <w:p>
            <w:pPr>
              <w:spacing w:after="0"/>
              <w:rPr>
                <w:rFonts w:ascii="Arial" w:cs="Arial" w:eastAsia="Arial" w:hAnsi="Arial"/>
                <w:sz w:val="14"/>
                <w:szCs w:val="14"/>
                <w:color w:val="auto"/>
              </w:rPr>
            </w:pPr>
            <w:hyperlink w:anchor="page17">
              <w:r>
                <w:rPr>
                  <w:rFonts w:ascii="Arial" w:cs="Arial" w:eastAsia="Arial" w:hAnsi="Arial"/>
                  <w:sz w:val="14"/>
                  <w:szCs w:val="14"/>
                  <w:color w:val="auto"/>
                </w:rPr>
                <w:t>Item 3. Legal Proceedings.</w:t>
              </w:r>
            </w:hyperlink>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7">
              <w:r>
                <w:rPr>
                  <w:rFonts w:ascii="Arial" w:cs="Arial" w:eastAsia="Arial" w:hAnsi="Arial"/>
                  <w:sz w:val="15"/>
                  <w:szCs w:val="15"/>
                  <w:color w:val="0000FF"/>
                  <w:w w:val="95"/>
                </w:rPr>
                <w:t>14</w:t>
              </w:r>
            </w:hyperlink>
          </w:p>
        </w:tc>
      </w:tr>
      <w:tr>
        <w:trPr>
          <w:trHeight w:val="196"/>
        </w:trPr>
        <w:tc>
          <w:tcPr>
            <w:tcW w:w="11100" w:type="dxa"/>
            <w:vAlign w:val="bottom"/>
          </w:tcPr>
          <w:p>
            <w:pPr>
              <w:spacing w:after="0"/>
              <w:rPr>
                <w:rFonts w:ascii="Arial" w:cs="Arial" w:eastAsia="Arial" w:hAnsi="Arial"/>
                <w:sz w:val="14"/>
                <w:szCs w:val="14"/>
                <w:color w:val="auto"/>
              </w:rPr>
            </w:pPr>
            <w:hyperlink w:anchor="page18">
              <w:r>
                <w:rPr>
                  <w:rFonts w:ascii="Arial" w:cs="Arial" w:eastAsia="Arial" w:hAnsi="Arial"/>
                  <w:sz w:val="14"/>
                  <w:szCs w:val="14"/>
                  <w:color w:val="auto"/>
                </w:rPr>
                <w:t>Item 4. Mine Safety Disclosures.</w:t>
              </w:r>
            </w:hyperlink>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8">
              <w:r>
                <w:rPr>
                  <w:rFonts w:ascii="Arial" w:cs="Arial" w:eastAsia="Arial" w:hAnsi="Arial"/>
                  <w:sz w:val="15"/>
                  <w:szCs w:val="15"/>
                  <w:color w:val="0000FF"/>
                  <w:w w:val="95"/>
                </w:rPr>
                <w:t>15</w:t>
              </w:r>
            </w:hyperlink>
          </w:p>
        </w:tc>
      </w:tr>
      <w:tr>
        <w:trPr>
          <w:trHeight w:val="196"/>
        </w:trPr>
        <w:tc>
          <w:tcPr>
            <w:tcW w:w="11100" w:type="dxa"/>
            <w:vAlign w:val="bottom"/>
          </w:tcPr>
          <w:p>
            <w:pPr>
              <w:spacing w:after="0"/>
              <w:rPr>
                <w:rFonts w:ascii="Arial" w:cs="Arial" w:eastAsia="Arial" w:hAnsi="Arial"/>
                <w:sz w:val="14"/>
                <w:szCs w:val="14"/>
                <w:b w:val="1"/>
                <w:bCs w:val="1"/>
                <w:color w:val="auto"/>
              </w:rPr>
            </w:pPr>
            <w:hyperlink w:anchor="page19">
              <w:r>
                <w:rPr>
                  <w:rFonts w:ascii="Arial" w:cs="Arial" w:eastAsia="Arial" w:hAnsi="Arial"/>
                  <w:sz w:val="14"/>
                  <w:szCs w:val="14"/>
                  <w:b w:val="1"/>
                  <w:bCs w:val="1"/>
                  <w:color w:val="auto"/>
                </w:rPr>
                <w:t>PART II</w:t>
              </w:r>
            </w:hyperlink>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9">
              <w:r>
                <w:rPr>
                  <w:rFonts w:ascii="Arial" w:cs="Arial" w:eastAsia="Arial" w:hAnsi="Arial"/>
                  <w:sz w:val="15"/>
                  <w:szCs w:val="15"/>
                  <w:color w:val="0000FF"/>
                  <w:w w:val="95"/>
                </w:rPr>
                <w:t>16</w:t>
              </w:r>
            </w:hyperlink>
          </w:p>
        </w:tc>
      </w:tr>
      <w:tr>
        <w:trPr>
          <w:trHeight w:val="196"/>
        </w:trPr>
        <w:tc>
          <w:tcPr>
            <w:tcW w:w="11100" w:type="dxa"/>
            <w:vAlign w:val="bottom"/>
          </w:tcPr>
          <w:p>
            <w:pPr>
              <w:spacing w:after="0"/>
              <w:rPr>
                <w:rFonts w:ascii="Arial" w:cs="Arial" w:eastAsia="Arial" w:hAnsi="Arial"/>
                <w:sz w:val="14"/>
                <w:szCs w:val="14"/>
                <w:color w:val="auto"/>
              </w:rPr>
            </w:pPr>
            <w:hyperlink w:anchor="page19">
              <w:r>
                <w:rPr>
                  <w:rFonts w:ascii="Arial" w:cs="Arial" w:eastAsia="Arial" w:hAnsi="Arial"/>
                  <w:sz w:val="14"/>
                  <w:szCs w:val="14"/>
                  <w:color w:val="auto"/>
                </w:rPr>
                <w:t>Item 5. Market for Registrant’s Common Equity, Related Stockholder Matters and Issuer Purchases of Equity Securities.</w:t>
              </w:r>
            </w:hyperlink>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9">
              <w:r>
                <w:rPr>
                  <w:rFonts w:ascii="Arial" w:cs="Arial" w:eastAsia="Arial" w:hAnsi="Arial"/>
                  <w:sz w:val="15"/>
                  <w:szCs w:val="15"/>
                  <w:color w:val="0000FF"/>
                  <w:w w:val="95"/>
                </w:rPr>
                <w:t>16</w:t>
              </w:r>
            </w:hyperlink>
          </w:p>
        </w:tc>
      </w:tr>
      <w:tr>
        <w:trPr>
          <w:trHeight w:val="196"/>
        </w:trPr>
        <w:tc>
          <w:tcPr>
            <w:tcW w:w="11100" w:type="dxa"/>
            <w:vAlign w:val="bottom"/>
          </w:tcPr>
          <w:p>
            <w:pPr>
              <w:spacing w:after="0"/>
              <w:rPr>
                <w:rFonts w:ascii="Arial" w:cs="Arial" w:eastAsia="Arial" w:hAnsi="Arial"/>
                <w:sz w:val="14"/>
                <w:szCs w:val="14"/>
                <w:color w:val="auto"/>
              </w:rPr>
            </w:pPr>
            <w:hyperlink w:anchor="page21">
              <w:r>
                <w:rPr>
                  <w:rFonts w:ascii="Arial" w:cs="Arial" w:eastAsia="Arial" w:hAnsi="Arial"/>
                  <w:sz w:val="14"/>
                  <w:szCs w:val="14"/>
                  <w:color w:val="auto"/>
                </w:rPr>
                <w:t>Item 6. Selected Financial Data.</w:t>
              </w:r>
            </w:hyperlink>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21">
              <w:r>
                <w:rPr>
                  <w:rFonts w:ascii="Arial" w:cs="Arial" w:eastAsia="Arial" w:hAnsi="Arial"/>
                  <w:sz w:val="15"/>
                  <w:szCs w:val="15"/>
                  <w:color w:val="0000FF"/>
                  <w:w w:val="95"/>
                </w:rPr>
                <w:t>18</w:t>
              </w:r>
            </w:hyperlink>
          </w:p>
        </w:tc>
      </w:tr>
      <w:tr>
        <w:trPr>
          <w:trHeight w:val="196"/>
        </w:trPr>
        <w:tc>
          <w:tcPr>
            <w:tcW w:w="11100" w:type="dxa"/>
            <w:vAlign w:val="bottom"/>
          </w:tcPr>
          <w:p>
            <w:pPr>
              <w:spacing w:after="0"/>
              <w:rPr>
                <w:rFonts w:ascii="Arial" w:cs="Arial" w:eastAsia="Arial" w:hAnsi="Arial"/>
                <w:sz w:val="14"/>
                <w:szCs w:val="14"/>
                <w:color w:val="auto"/>
              </w:rPr>
            </w:pPr>
            <w:hyperlink w:anchor="page23">
              <w:r>
                <w:rPr>
                  <w:rFonts w:ascii="Arial" w:cs="Arial" w:eastAsia="Arial" w:hAnsi="Arial"/>
                  <w:sz w:val="14"/>
                  <w:szCs w:val="14"/>
                  <w:color w:val="auto"/>
                </w:rPr>
                <w:t>Item 7. Management’s Discussion and Analysis of Financial Condition and Results of Operations.</w:t>
              </w:r>
            </w:hyperlink>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23">
              <w:r>
                <w:rPr>
                  <w:rFonts w:ascii="Arial" w:cs="Arial" w:eastAsia="Arial" w:hAnsi="Arial"/>
                  <w:sz w:val="15"/>
                  <w:szCs w:val="15"/>
                  <w:color w:val="0000FF"/>
                  <w:w w:val="95"/>
                </w:rPr>
                <w:t>20</w:t>
              </w:r>
            </w:hyperlink>
          </w:p>
        </w:tc>
      </w:tr>
      <w:tr>
        <w:trPr>
          <w:trHeight w:val="196"/>
        </w:trPr>
        <w:tc>
          <w:tcPr>
            <w:tcW w:w="11100" w:type="dxa"/>
            <w:vAlign w:val="bottom"/>
          </w:tcPr>
          <w:p>
            <w:pPr>
              <w:spacing w:after="0"/>
              <w:rPr>
                <w:rFonts w:ascii="Arial" w:cs="Arial" w:eastAsia="Arial" w:hAnsi="Arial"/>
                <w:sz w:val="14"/>
                <w:szCs w:val="14"/>
                <w:color w:val="auto"/>
              </w:rPr>
            </w:pPr>
            <w:hyperlink w:anchor="page48">
              <w:r>
                <w:rPr>
                  <w:rFonts w:ascii="Arial" w:cs="Arial" w:eastAsia="Arial" w:hAnsi="Arial"/>
                  <w:sz w:val="14"/>
                  <w:szCs w:val="14"/>
                  <w:color w:val="auto"/>
                </w:rPr>
                <w:t>Item 7A. Quantitative and Qualitative Disclosures About Market Risk.</w:t>
              </w:r>
            </w:hyperlink>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48">
              <w:r>
                <w:rPr>
                  <w:rFonts w:ascii="Arial" w:cs="Arial" w:eastAsia="Arial" w:hAnsi="Arial"/>
                  <w:sz w:val="15"/>
                  <w:szCs w:val="15"/>
                  <w:color w:val="0000FF"/>
                  <w:w w:val="95"/>
                </w:rPr>
                <w:t>45</w:t>
              </w:r>
            </w:hyperlink>
          </w:p>
        </w:tc>
      </w:tr>
      <w:tr>
        <w:trPr>
          <w:trHeight w:val="196"/>
        </w:trPr>
        <w:tc>
          <w:tcPr>
            <w:tcW w:w="11100" w:type="dxa"/>
            <w:vAlign w:val="bottom"/>
          </w:tcPr>
          <w:p>
            <w:pPr>
              <w:spacing w:after="0"/>
              <w:rPr>
                <w:rFonts w:ascii="Arial" w:cs="Arial" w:eastAsia="Arial" w:hAnsi="Arial"/>
                <w:sz w:val="14"/>
                <w:szCs w:val="14"/>
                <w:color w:val="auto"/>
              </w:rPr>
            </w:pPr>
            <w:hyperlink w:anchor="page49">
              <w:r>
                <w:rPr>
                  <w:rFonts w:ascii="Arial" w:cs="Arial" w:eastAsia="Arial" w:hAnsi="Arial"/>
                  <w:sz w:val="14"/>
                  <w:szCs w:val="14"/>
                  <w:color w:val="auto"/>
                </w:rPr>
                <w:t>Item 8. Financial Statements and Supplementary Data.</w:t>
              </w:r>
            </w:hyperlink>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49">
              <w:r>
                <w:rPr>
                  <w:rFonts w:ascii="Arial" w:cs="Arial" w:eastAsia="Arial" w:hAnsi="Arial"/>
                  <w:sz w:val="15"/>
                  <w:szCs w:val="15"/>
                  <w:color w:val="0000FF"/>
                  <w:w w:val="95"/>
                </w:rPr>
                <w:t>46</w:t>
              </w:r>
            </w:hyperlink>
          </w:p>
        </w:tc>
      </w:tr>
      <w:tr>
        <w:trPr>
          <w:trHeight w:val="196"/>
        </w:trPr>
        <w:tc>
          <w:tcPr>
            <w:tcW w:w="11100" w:type="dxa"/>
            <w:vAlign w:val="bottom"/>
          </w:tcPr>
          <w:p>
            <w:pPr>
              <w:spacing w:after="0"/>
              <w:rPr>
                <w:rFonts w:ascii="Arial" w:cs="Arial" w:eastAsia="Arial" w:hAnsi="Arial"/>
                <w:sz w:val="14"/>
                <w:szCs w:val="14"/>
                <w:color w:val="auto"/>
              </w:rPr>
            </w:pPr>
            <w:hyperlink w:anchor="page100">
              <w:r>
                <w:rPr>
                  <w:rFonts w:ascii="Arial" w:cs="Arial" w:eastAsia="Arial" w:hAnsi="Arial"/>
                  <w:sz w:val="14"/>
                  <w:szCs w:val="14"/>
                  <w:color w:val="auto"/>
                </w:rPr>
                <w:t>Item 9. Changes in and Disagreements With Accountants on Accounting and Financial Disclosure.</w:t>
              </w:r>
            </w:hyperlink>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00">
              <w:r>
                <w:rPr>
                  <w:rFonts w:ascii="Arial" w:cs="Arial" w:eastAsia="Arial" w:hAnsi="Arial"/>
                  <w:sz w:val="15"/>
                  <w:szCs w:val="15"/>
                  <w:color w:val="0000FF"/>
                  <w:w w:val="95"/>
                </w:rPr>
                <w:t>97</w:t>
              </w:r>
            </w:hyperlink>
          </w:p>
        </w:tc>
      </w:tr>
      <w:tr>
        <w:trPr>
          <w:trHeight w:val="196"/>
        </w:trPr>
        <w:tc>
          <w:tcPr>
            <w:tcW w:w="11100" w:type="dxa"/>
            <w:vAlign w:val="bottom"/>
          </w:tcPr>
          <w:p>
            <w:pPr>
              <w:spacing w:after="0"/>
              <w:rPr>
                <w:rFonts w:ascii="Arial" w:cs="Arial" w:eastAsia="Arial" w:hAnsi="Arial"/>
                <w:sz w:val="14"/>
                <w:szCs w:val="14"/>
                <w:color w:val="auto"/>
              </w:rPr>
            </w:pPr>
            <w:hyperlink w:anchor="page100">
              <w:r>
                <w:rPr>
                  <w:rFonts w:ascii="Arial" w:cs="Arial" w:eastAsia="Arial" w:hAnsi="Arial"/>
                  <w:sz w:val="14"/>
                  <w:szCs w:val="14"/>
                  <w:color w:val="auto"/>
                </w:rPr>
                <w:t>Item 9A. Controls and Procedures.</w:t>
              </w:r>
            </w:hyperlink>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00">
              <w:r>
                <w:rPr>
                  <w:rFonts w:ascii="Arial" w:cs="Arial" w:eastAsia="Arial" w:hAnsi="Arial"/>
                  <w:sz w:val="15"/>
                  <w:szCs w:val="15"/>
                  <w:color w:val="0000FF"/>
                  <w:w w:val="95"/>
                </w:rPr>
                <w:t>97</w:t>
              </w:r>
            </w:hyperlink>
          </w:p>
        </w:tc>
      </w:tr>
      <w:tr>
        <w:trPr>
          <w:trHeight w:val="196"/>
        </w:trPr>
        <w:tc>
          <w:tcPr>
            <w:tcW w:w="11100" w:type="dxa"/>
            <w:vAlign w:val="bottom"/>
          </w:tcPr>
          <w:p>
            <w:pPr>
              <w:spacing w:after="0"/>
              <w:rPr>
                <w:rFonts w:ascii="Arial" w:cs="Arial" w:eastAsia="Arial" w:hAnsi="Arial"/>
                <w:sz w:val="14"/>
                <w:szCs w:val="14"/>
                <w:color w:val="auto"/>
              </w:rPr>
            </w:pPr>
            <w:hyperlink w:anchor="page100">
              <w:r>
                <w:rPr>
                  <w:rFonts w:ascii="Arial" w:cs="Arial" w:eastAsia="Arial" w:hAnsi="Arial"/>
                  <w:sz w:val="14"/>
                  <w:szCs w:val="14"/>
                  <w:color w:val="auto"/>
                </w:rPr>
                <w:t>Item 9B. Other Information.</w:t>
              </w:r>
            </w:hyperlink>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00">
              <w:r>
                <w:rPr>
                  <w:rFonts w:ascii="Arial" w:cs="Arial" w:eastAsia="Arial" w:hAnsi="Arial"/>
                  <w:sz w:val="15"/>
                  <w:szCs w:val="15"/>
                  <w:color w:val="0000FF"/>
                  <w:w w:val="95"/>
                </w:rPr>
                <w:t>97</w:t>
              </w:r>
            </w:hyperlink>
          </w:p>
        </w:tc>
      </w:tr>
      <w:tr>
        <w:trPr>
          <w:trHeight w:val="196"/>
        </w:trPr>
        <w:tc>
          <w:tcPr>
            <w:tcW w:w="11100" w:type="dxa"/>
            <w:vAlign w:val="bottom"/>
          </w:tcPr>
          <w:p>
            <w:pPr>
              <w:spacing w:after="0"/>
              <w:rPr>
                <w:rFonts w:ascii="Arial" w:cs="Arial" w:eastAsia="Arial" w:hAnsi="Arial"/>
                <w:sz w:val="14"/>
                <w:szCs w:val="14"/>
                <w:b w:val="1"/>
                <w:bCs w:val="1"/>
                <w:color w:val="auto"/>
              </w:rPr>
            </w:pPr>
            <w:hyperlink w:anchor="page101">
              <w:r>
                <w:rPr>
                  <w:rFonts w:ascii="Arial" w:cs="Arial" w:eastAsia="Arial" w:hAnsi="Arial"/>
                  <w:sz w:val="14"/>
                  <w:szCs w:val="14"/>
                  <w:b w:val="1"/>
                  <w:bCs w:val="1"/>
                  <w:color w:val="auto"/>
                </w:rPr>
                <w:t>PART III</w:t>
              </w:r>
            </w:hyperlink>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01">
              <w:r>
                <w:rPr>
                  <w:rFonts w:ascii="Arial" w:cs="Arial" w:eastAsia="Arial" w:hAnsi="Arial"/>
                  <w:sz w:val="15"/>
                  <w:szCs w:val="15"/>
                  <w:color w:val="0000FF"/>
                  <w:w w:val="95"/>
                </w:rPr>
                <w:t>98</w:t>
              </w:r>
            </w:hyperlink>
          </w:p>
        </w:tc>
      </w:tr>
      <w:tr>
        <w:trPr>
          <w:trHeight w:val="196"/>
        </w:trPr>
        <w:tc>
          <w:tcPr>
            <w:tcW w:w="11100" w:type="dxa"/>
            <w:vAlign w:val="bottom"/>
          </w:tcPr>
          <w:p>
            <w:pPr>
              <w:spacing w:after="0"/>
              <w:rPr>
                <w:rFonts w:ascii="Arial" w:cs="Arial" w:eastAsia="Arial" w:hAnsi="Arial"/>
                <w:sz w:val="14"/>
                <w:szCs w:val="14"/>
                <w:color w:val="auto"/>
              </w:rPr>
            </w:pPr>
            <w:hyperlink w:anchor="page101">
              <w:r>
                <w:rPr>
                  <w:rFonts w:ascii="Arial" w:cs="Arial" w:eastAsia="Arial" w:hAnsi="Arial"/>
                  <w:sz w:val="14"/>
                  <w:szCs w:val="14"/>
                  <w:color w:val="auto"/>
                </w:rPr>
                <w:t>Item 10. Directors, Executive Officers and Corporate Governance.</w:t>
              </w:r>
            </w:hyperlink>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01">
              <w:r>
                <w:rPr>
                  <w:rFonts w:ascii="Arial" w:cs="Arial" w:eastAsia="Arial" w:hAnsi="Arial"/>
                  <w:sz w:val="15"/>
                  <w:szCs w:val="15"/>
                  <w:color w:val="0000FF"/>
                  <w:w w:val="95"/>
                </w:rPr>
                <w:t>98</w:t>
              </w:r>
            </w:hyperlink>
          </w:p>
        </w:tc>
      </w:tr>
      <w:tr>
        <w:trPr>
          <w:trHeight w:val="196"/>
        </w:trPr>
        <w:tc>
          <w:tcPr>
            <w:tcW w:w="11100" w:type="dxa"/>
            <w:vAlign w:val="bottom"/>
          </w:tcPr>
          <w:p>
            <w:pPr>
              <w:spacing w:after="0"/>
              <w:rPr>
                <w:rFonts w:ascii="Arial" w:cs="Arial" w:eastAsia="Arial" w:hAnsi="Arial"/>
                <w:sz w:val="14"/>
                <w:szCs w:val="14"/>
                <w:color w:val="auto"/>
              </w:rPr>
            </w:pPr>
            <w:hyperlink w:anchor="page101">
              <w:r>
                <w:rPr>
                  <w:rFonts w:ascii="Arial" w:cs="Arial" w:eastAsia="Arial" w:hAnsi="Arial"/>
                  <w:sz w:val="14"/>
                  <w:szCs w:val="14"/>
                  <w:color w:val="auto"/>
                </w:rPr>
                <w:t>Item 11. Executive Compensation.</w:t>
              </w:r>
            </w:hyperlink>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01">
              <w:r>
                <w:rPr>
                  <w:rFonts w:ascii="Arial" w:cs="Arial" w:eastAsia="Arial" w:hAnsi="Arial"/>
                  <w:sz w:val="15"/>
                  <w:szCs w:val="15"/>
                  <w:color w:val="0000FF"/>
                  <w:w w:val="95"/>
                </w:rPr>
                <w:t>98</w:t>
              </w:r>
            </w:hyperlink>
          </w:p>
        </w:tc>
      </w:tr>
      <w:tr>
        <w:trPr>
          <w:trHeight w:val="196"/>
        </w:trPr>
        <w:tc>
          <w:tcPr>
            <w:tcW w:w="11100" w:type="dxa"/>
            <w:vAlign w:val="bottom"/>
          </w:tcPr>
          <w:p>
            <w:pPr>
              <w:spacing w:after="0"/>
              <w:rPr>
                <w:rFonts w:ascii="Arial" w:cs="Arial" w:eastAsia="Arial" w:hAnsi="Arial"/>
                <w:sz w:val="14"/>
                <w:szCs w:val="14"/>
                <w:color w:val="auto"/>
              </w:rPr>
            </w:pPr>
            <w:hyperlink w:anchor="page101">
              <w:r>
                <w:rPr>
                  <w:rFonts w:ascii="Arial" w:cs="Arial" w:eastAsia="Arial" w:hAnsi="Arial"/>
                  <w:sz w:val="14"/>
                  <w:szCs w:val="14"/>
                  <w:color w:val="auto"/>
                </w:rPr>
                <w:t>Item 12. Security Ownership of Certain Beneficial Owners and Management and Related Stockholder Matters.</w:t>
              </w:r>
            </w:hyperlink>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01">
              <w:r>
                <w:rPr>
                  <w:rFonts w:ascii="Arial" w:cs="Arial" w:eastAsia="Arial" w:hAnsi="Arial"/>
                  <w:sz w:val="15"/>
                  <w:szCs w:val="15"/>
                  <w:color w:val="0000FF"/>
                  <w:w w:val="95"/>
                </w:rPr>
                <w:t>98</w:t>
              </w:r>
            </w:hyperlink>
          </w:p>
        </w:tc>
      </w:tr>
      <w:tr>
        <w:trPr>
          <w:trHeight w:val="196"/>
        </w:trPr>
        <w:tc>
          <w:tcPr>
            <w:tcW w:w="11100" w:type="dxa"/>
            <w:vAlign w:val="bottom"/>
          </w:tcPr>
          <w:p>
            <w:pPr>
              <w:spacing w:after="0"/>
              <w:rPr>
                <w:rFonts w:ascii="Arial" w:cs="Arial" w:eastAsia="Arial" w:hAnsi="Arial"/>
                <w:sz w:val="14"/>
                <w:szCs w:val="14"/>
                <w:color w:val="auto"/>
              </w:rPr>
            </w:pPr>
            <w:hyperlink w:anchor="page101">
              <w:r>
                <w:rPr>
                  <w:rFonts w:ascii="Arial" w:cs="Arial" w:eastAsia="Arial" w:hAnsi="Arial"/>
                  <w:sz w:val="14"/>
                  <w:szCs w:val="14"/>
                  <w:color w:val="auto"/>
                </w:rPr>
                <w:t>Item 13. Certain Relationships and Related Transactions, and Director Independence.</w:t>
              </w:r>
            </w:hyperlink>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01">
              <w:r>
                <w:rPr>
                  <w:rFonts w:ascii="Arial" w:cs="Arial" w:eastAsia="Arial" w:hAnsi="Arial"/>
                  <w:sz w:val="15"/>
                  <w:szCs w:val="15"/>
                  <w:color w:val="0000FF"/>
                  <w:w w:val="95"/>
                </w:rPr>
                <w:t>98</w:t>
              </w:r>
            </w:hyperlink>
          </w:p>
        </w:tc>
      </w:tr>
      <w:tr>
        <w:trPr>
          <w:trHeight w:val="196"/>
        </w:trPr>
        <w:tc>
          <w:tcPr>
            <w:tcW w:w="11100" w:type="dxa"/>
            <w:vAlign w:val="bottom"/>
          </w:tcPr>
          <w:p>
            <w:pPr>
              <w:spacing w:after="0"/>
              <w:rPr>
                <w:rFonts w:ascii="Arial" w:cs="Arial" w:eastAsia="Arial" w:hAnsi="Arial"/>
                <w:sz w:val="14"/>
                <w:szCs w:val="14"/>
                <w:color w:val="auto"/>
              </w:rPr>
            </w:pPr>
            <w:hyperlink w:anchor="page101">
              <w:r>
                <w:rPr>
                  <w:rFonts w:ascii="Arial" w:cs="Arial" w:eastAsia="Arial" w:hAnsi="Arial"/>
                  <w:sz w:val="14"/>
                  <w:szCs w:val="14"/>
                  <w:color w:val="auto"/>
                </w:rPr>
                <w:t>Item 14. Principal Accounting Fees and Services.</w:t>
              </w:r>
            </w:hyperlink>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01">
              <w:r>
                <w:rPr>
                  <w:rFonts w:ascii="Arial" w:cs="Arial" w:eastAsia="Arial" w:hAnsi="Arial"/>
                  <w:sz w:val="15"/>
                  <w:szCs w:val="15"/>
                  <w:color w:val="0000FF"/>
                  <w:w w:val="95"/>
                </w:rPr>
                <w:t>98</w:t>
              </w:r>
            </w:hyperlink>
          </w:p>
        </w:tc>
      </w:tr>
      <w:tr>
        <w:trPr>
          <w:trHeight w:val="196"/>
        </w:trPr>
        <w:tc>
          <w:tcPr>
            <w:tcW w:w="11100" w:type="dxa"/>
            <w:vAlign w:val="bottom"/>
          </w:tcPr>
          <w:p>
            <w:pPr>
              <w:spacing w:after="0"/>
              <w:rPr>
                <w:rFonts w:ascii="Arial" w:cs="Arial" w:eastAsia="Arial" w:hAnsi="Arial"/>
                <w:sz w:val="14"/>
                <w:szCs w:val="14"/>
                <w:b w:val="1"/>
                <w:bCs w:val="1"/>
                <w:color w:val="auto"/>
              </w:rPr>
            </w:pPr>
            <w:hyperlink w:anchor="page102">
              <w:r>
                <w:rPr>
                  <w:rFonts w:ascii="Arial" w:cs="Arial" w:eastAsia="Arial" w:hAnsi="Arial"/>
                  <w:sz w:val="14"/>
                  <w:szCs w:val="14"/>
                  <w:b w:val="1"/>
                  <w:bCs w:val="1"/>
                  <w:color w:val="auto"/>
                </w:rPr>
                <w:t>PART IV</w:t>
              </w:r>
            </w:hyperlink>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02">
              <w:r>
                <w:rPr>
                  <w:rFonts w:ascii="Arial" w:cs="Arial" w:eastAsia="Arial" w:hAnsi="Arial"/>
                  <w:sz w:val="15"/>
                  <w:szCs w:val="15"/>
                  <w:color w:val="0000FF"/>
                  <w:w w:val="95"/>
                </w:rPr>
                <w:t>99</w:t>
              </w:r>
            </w:hyperlink>
          </w:p>
        </w:tc>
      </w:tr>
      <w:tr>
        <w:trPr>
          <w:trHeight w:val="196"/>
        </w:trPr>
        <w:tc>
          <w:tcPr>
            <w:tcW w:w="11100" w:type="dxa"/>
            <w:vAlign w:val="bottom"/>
          </w:tcPr>
          <w:p>
            <w:pPr>
              <w:spacing w:after="0"/>
              <w:rPr>
                <w:rFonts w:ascii="Arial" w:cs="Arial" w:eastAsia="Arial" w:hAnsi="Arial"/>
                <w:sz w:val="14"/>
                <w:szCs w:val="14"/>
                <w:color w:val="auto"/>
              </w:rPr>
            </w:pPr>
            <w:hyperlink w:anchor="page102">
              <w:r>
                <w:rPr>
                  <w:rFonts w:ascii="Arial" w:cs="Arial" w:eastAsia="Arial" w:hAnsi="Arial"/>
                  <w:sz w:val="14"/>
                  <w:szCs w:val="14"/>
                  <w:color w:val="auto"/>
                </w:rPr>
                <w:t>Item 15. Exhibits, Financial Statement Schedules.</w:t>
              </w:r>
            </w:hyperlink>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02">
              <w:r>
                <w:rPr>
                  <w:rFonts w:ascii="Arial" w:cs="Arial" w:eastAsia="Arial" w:hAnsi="Arial"/>
                  <w:sz w:val="15"/>
                  <w:szCs w:val="15"/>
                  <w:color w:val="0000FF"/>
                  <w:w w:val="95"/>
                </w:rPr>
                <w:t>99</w:t>
              </w:r>
            </w:hyperlink>
          </w:p>
        </w:tc>
      </w:tr>
      <w:tr>
        <w:trPr>
          <w:trHeight w:val="196"/>
        </w:trPr>
        <w:tc>
          <w:tcPr>
            <w:tcW w:w="11100" w:type="dxa"/>
            <w:vAlign w:val="bottom"/>
          </w:tcPr>
          <w:p>
            <w:pPr>
              <w:spacing w:after="0"/>
              <w:rPr>
                <w:rFonts w:ascii="Arial" w:cs="Arial" w:eastAsia="Arial" w:hAnsi="Arial"/>
                <w:sz w:val="14"/>
                <w:szCs w:val="14"/>
                <w:b w:val="1"/>
                <w:bCs w:val="1"/>
                <w:color w:val="auto"/>
              </w:rPr>
            </w:pPr>
            <w:hyperlink w:anchor="page108">
              <w:r>
                <w:rPr>
                  <w:rFonts w:ascii="Arial" w:cs="Arial" w:eastAsia="Arial" w:hAnsi="Arial"/>
                  <w:sz w:val="14"/>
                  <w:szCs w:val="14"/>
                  <w:b w:val="1"/>
                  <w:bCs w:val="1"/>
                  <w:color w:val="auto"/>
                </w:rPr>
                <w:t>SIGNATURES</w:t>
              </w:r>
            </w:hyperlink>
          </w:p>
        </w:tc>
        <w:tc>
          <w:tcPr>
            <w:tcW w:w="260" w:type="dxa"/>
            <w:vAlign w:val="bottom"/>
            <w:tcBorders>
              <w:bottom w:val="single" w:sz="8" w:color="0000FF"/>
            </w:tcBorders>
            <w:gridSpan w:val="3"/>
          </w:tcPr>
          <w:p>
            <w:pPr>
              <w:jc w:val="right"/>
              <w:spacing w:after="0"/>
              <w:rPr>
                <w:rFonts w:ascii="Arial" w:cs="Arial" w:eastAsia="Arial" w:hAnsi="Arial"/>
                <w:sz w:val="15"/>
                <w:szCs w:val="15"/>
                <w:color w:val="0000FF"/>
                <w:w w:val="95"/>
              </w:rPr>
            </w:pPr>
            <w:hyperlink w:anchor="page108">
              <w:r>
                <w:rPr>
                  <w:rFonts w:ascii="Arial" w:cs="Arial" w:eastAsia="Arial" w:hAnsi="Arial"/>
                  <w:sz w:val="15"/>
                  <w:szCs w:val="15"/>
                  <w:color w:val="0000FF"/>
                  <w:w w:val="95"/>
                </w:rPr>
                <w:t>105</w:t>
              </w:r>
            </w:hyperlink>
          </w:p>
        </w:tc>
      </w:tr>
    </w:tbl>
    <w:p>
      <w:pPr>
        <w:sectPr>
          <w:pgSz w:w="11900" w:h="16838" w:orient="portrait"/>
          <w:cols w:equalWidth="0" w:num="1">
            <w:col w:w="11360"/>
          </w:cols>
          <w:pgMar w:left="280" w:top="466"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0046AD"/>
        </w:rPr>
        <w:t>FORWARD-LOOKING STATEMENTS</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This Annual Report on Form 10-K for ABM Industries Incorporated and its subsidiaries (collectively referred to as “ABM,” “we,” “us,” “our,” or the “Company”) contains both historical and forward-looking statements, within the meaning of the Private Securities Litigation Reform Act of 1995, that involve risks and uncertainties.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Factors that might cause such differences include, but are not limited to, those discussed in Part 1 of this Form 10-K under Item 1A., “Risk Factors,” and 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9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0046AD"/>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General</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ABM Industries Incorporated, which operates through its subsidiaries (collectively referred to as “ABM,” “we,” “us,” “our,” or the “Company”), is a leading provider of integrated facility solutions with a mission to </w:t>
      </w:r>
      <w:r>
        <w:rPr>
          <w:rFonts w:ascii="Arial" w:cs="Arial" w:eastAsia="Arial" w:hAnsi="Arial"/>
          <w:sz w:val="18"/>
          <w:szCs w:val="18"/>
          <w:b w:val="1"/>
          <w:bCs w:val="1"/>
          <w:color w:val="006EBF"/>
        </w:rPr>
        <w:t>make a difference, every person, every day</w:t>
      </w:r>
      <w:r>
        <w:rPr>
          <w:rFonts w:ascii="Arial" w:cs="Arial" w:eastAsia="Arial" w:hAnsi="Arial"/>
          <w:sz w:val="18"/>
          <w:szCs w:val="18"/>
          <w:color w:val="auto"/>
        </w:rPr>
        <w:t>. Our history dates back to 1909, when American Building Maintenance Company began as a window washing company in San Francisco with one employee. In 1985, we were incorporated in Delaware under the name American Building Maintenance Industries, Inc., as the successor to the business originally founded in 1909. In 1994, we changed our name to ABM Industries Incorporated. Over the past twelve years, we have grown into a multi-segment facility solutions company, primarily through strategic acquisitions and new service offerings, increasing our revenue from $3 billion to more than $6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92710</wp:posOffset>
            </wp:positionV>
            <wp:extent cx="5848985" cy="2452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48985"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acquisition of OneSource in 2007 bolstered ABM as a leader in the janitorial market, while the Linc Group acquisition in 2010 established ABM as a “facility solutions” company with new service offerings, including lighting, mechanical, and electrical “technical solutions.” With demand increasing for industry-specific service providers, in 2012 we purchased Air Serv and established our first industry group, “aviation.” In recent years, we have strategically acquired companies in the United Kingdom, particularly with the GBM and Westway acquisitions, which expanded our janitorial and technical solutions businesses overseas. In 2017, we acquired GCA Services Group (“GCA”), a provider of integrated facility services to educational institutions and commercial facilities, for approximately $ 1.3 billion, the largest acquisition in ABM history. As a result of this acquisition, we are now a leading facility solutions provider in the education market. In recent years, we also evaluated all of our service offerings and sold our Security and Government Services businesses, which did not align with our long-term focus on industry groups.</w:t>
      </w:r>
    </w:p>
    <w:p>
      <w:pPr>
        <w:spacing w:after="0" w:line="12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8"/>
          <w:szCs w:val="18"/>
          <w:color w:val="auto"/>
        </w:rPr>
        <w:t>Additionally, in 2015 we began a comprehensive transformational initiative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to drive long-term, profitable growth through an industry-based go-to-market approach. As part of this initiative, we centralized key functional areas, strengthened our sales capabilities, and initiated investments in service delivery tools and processes to help support standard operating practices that we believe are foundational to our long-term success.</w:t>
      </w:r>
    </w:p>
    <w:p>
      <w:pPr>
        <w:spacing w:after="0" w:line="11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As a result of these strategic changes, we have strengthened our ability to offer Janitorial, Parking, Facilities Services, Building &amp; Energy Solutions, and Airline Services, on a standalone basis or in combination, and positioned ourselves as a leading integrated facilities management company.</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otherwise indicated, all references to years are to our fiscal year, which ends on October 31.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93"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0046AD"/>
        </w:rPr>
        <w:t>Contract Types</w:t>
      </w:r>
    </w:p>
    <w:p>
      <w:pPr>
        <w:spacing w:after="0" w:line="17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8"/>
          <w:szCs w:val="18"/>
          <w:color w:val="auto"/>
        </w:rPr>
        <w:t>We generate revenues under several types of contracts, as explained below. Generally, the type of contract is determined by the nature of the services. Although many of our service agreements are cancelable on short notice, we have historically had a high rate of client retention and expect to continue maintaining long-term relationships with our clients. See Note 2, “Basis of Presentation and Significant Accounting Policies,” in the Notes to Consolidated Financial Statements for additional information regarding the contract types that are most common in each of our service lines.</w:t>
      </w:r>
    </w:p>
    <w:p>
      <w:pPr>
        <w:spacing w:after="0" w:line="259"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1860" w:type="dxa"/>
            <w:vAlign w:val="bottom"/>
            <w:tcBorders>
              <w:top w:val="single" w:sz="8" w:color="auto"/>
              <w:left w:val="single" w:sz="8" w:color="auto"/>
              <w:bottom w:val="single" w:sz="8" w:color="auto"/>
              <w:right w:val="single" w:sz="8" w:color="auto"/>
            </w:tcBorders>
            <w:shd w:val="clear" w:color="auto" w:fill="DCE2EF"/>
          </w:tcPr>
          <w:p>
            <w:pPr>
              <w:jc w:val="center"/>
              <w:spacing w:after="0"/>
              <w:rPr>
                <w:sz w:val="20"/>
                <w:szCs w:val="20"/>
                <w:color w:val="auto"/>
              </w:rPr>
            </w:pPr>
            <w:r>
              <w:rPr>
                <w:rFonts w:ascii="Arial" w:cs="Arial" w:eastAsia="Arial" w:hAnsi="Arial"/>
                <w:sz w:val="18"/>
                <w:szCs w:val="18"/>
                <w:b w:val="1"/>
                <w:bCs w:val="1"/>
                <w:color w:val="0046AD"/>
                <w:w w:val="99"/>
              </w:rPr>
              <w:t>Contract Type</w:t>
            </w:r>
          </w:p>
        </w:tc>
        <w:tc>
          <w:tcPr>
            <w:tcW w:w="9580" w:type="dxa"/>
            <w:vAlign w:val="bottom"/>
            <w:tcBorders>
              <w:top w:val="single" w:sz="8" w:color="auto"/>
              <w:bottom w:val="single" w:sz="8" w:color="auto"/>
              <w:right w:val="single" w:sz="8" w:color="auto"/>
            </w:tcBorders>
            <w:shd w:val="clear" w:color="auto" w:fill="DCE2EF"/>
          </w:tcPr>
          <w:p>
            <w:pPr>
              <w:ind w:left="4280"/>
              <w:spacing w:after="0"/>
              <w:rPr>
                <w:sz w:val="20"/>
                <w:szCs w:val="20"/>
                <w:color w:val="auto"/>
              </w:rPr>
            </w:pPr>
            <w:r>
              <w:rPr>
                <w:rFonts w:ascii="Arial" w:cs="Arial" w:eastAsia="Arial" w:hAnsi="Arial"/>
                <w:sz w:val="18"/>
                <w:szCs w:val="18"/>
                <w:b w:val="1"/>
                <w:bCs w:val="1"/>
                <w:color w:val="0046AD"/>
              </w:rPr>
              <w:t>Description</w:t>
            </w:r>
          </w:p>
        </w:tc>
        <w:tc>
          <w:tcPr>
            <w:tcW w:w="0" w:type="dxa"/>
            <w:vAlign w:val="bottom"/>
          </w:tcPr>
          <w:p>
            <w:pPr>
              <w:spacing w:after="0"/>
              <w:rPr>
                <w:sz w:val="1"/>
                <w:szCs w:val="1"/>
                <w:color w:val="auto"/>
              </w:rPr>
            </w:pPr>
          </w:p>
        </w:tc>
      </w:tr>
      <w:tr>
        <w:trPr>
          <w:trHeight w:val="278"/>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Monthly Fixed-Price</w:t>
            </w:r>
          </w:p>
        </w:tc>
        <w:tc>
          <w:tcPr>
            <w:tcW w:w="95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These arrangements are contracts in which the client agrees to pay a fixed fee every month over a specified contract</w:t>
            </w:r>
          </w:p>
        </w:tc>
        <w:tc>
          <w:tcPr>
            <w:tcW w:w="0" w:type="dxa"/>
            <w:vAlign w:val="bottom"/>
          </w:tcPr>
          <w:p>
            <w:pPr>
              <w:spacing w:after="0"/>
              <w:rPr>
                <w:sz w:val="1"/>
                <w:szCs w:val="1"/>
                <w:color w:val="auto"/>
              </w:rPr>
            </w:pPr>
          </w:p>
        </w:tc>
      </w:tr>
      <w:tr>
        <w:trPr>
          <w:trHeight w:val="176"/>
        </w:trPr>
        <w:tc>
          <w:tcPr>
            <w:tcW w:w="1860" w:type="dxa"/>
            <w:vAlign w:val="bottom"/>
            <w:tcBorders>
              <w:left w:val="single" w:sz="8" w:color="auto"/>
              <w:bottom w:val="single" w:sz="8" w:color="auto"/>
              <w:right w:val="single" w:sz="8" w:color="auto"/>
            </w:tcBorders>
          </w:tcPr>
          <w:p>
            <w:pPr>
              <w:spacing w:after="0"/>
              <w:rPr>
                <w:sz w:val="15"/>
                <w:szCs w:val="15"/>
                <w:color w:val="auto"/>
              </w:rPr>
            </w:pPr>
          </w:p>
        </w:tc>
        <w:tc>
          <w:tcPr>
            <w:tcW w:w="9580" w:type="dxa"/>
            <w:vAlign w:val="bottom"/>
            <w:tcBorders>
              <w:bottom w:val="single" w:sz="8" w:color="auto"/>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term.</w:t>
            </w:r>
          </w:p>
        </w:tc>
        <w:tc>
          <w:tcPr>
            <w:tcW w:w="0" w:type="dxa"/>
            <w:vAlign w:val="bottom"/>
          </w:tcPr>
          <w:p>
            <w:pPr>
              <w:spacing w:after="0"/>
              <w:rPr>
                <w:sz w:val="1"/>
                <w:szCs w:val="1"/>
                <w:color w:val="auto"/>
              </w:rPr>
            </w:pPr>
          </w:p>
        </w:tc>
      </w:tr>
      <w:tr>
        <w:trPr>
          <w:trHeight w:val="200"/>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Square-Foot</w:t>
            </w:r>
          </w:p>
        </w:tc>
        <w:tc>
          <w:tcPr>
            <w:tcW w:w="958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Monthly square-foot arrangements are contracts in which the client agrees to pay a fixed fee every month based on the</w:t>
            </w:r>
          </w:p>
        </w:tc>
        <w:tc>
          <w:tcPr>
            <w:tcW w:w="0" w:type="dxa"/>
            <w:vAlign w:val="bottom"/>
          </w:tcPr>
          <w:p>
            <w:pPr>
              <w:spacing w:after="0"/>
              <w:rPr>
                <w:sz w:val="1"/>
                <w:szCs w:val="1"/>
                <w:color w:val="auto"/>
              </w:rPr>
            </w:pPr>
          </w:p>
        </w:tc>
      </w:tr>
      <w:tr>
        <w:trPr>
          <w:trHeight w:val="135"/>
        </w:trPr>
        <w:tc>
          <w:tcPr>
            <w:tcW w:w="1860" w:type="dxa"/>
            <w:vAlign w:val="bottom"/>
            <w:tcBorders>
              <w:left w:val="single" w:sz="8" w:color="auto"/>
              <w:right w:val="single" w:sz="8" w:color="auto"/>
            </w:tcBorders>
            <w:vMerge w:val="continue"/>
          </w:tcPr>
          <w:p>
            <w:pPr>
              <w:spacing w:after="0"/>
              <w:rPr>
                <w:sz w:val="11"/>
                <w:szCs w:val="11"/>
                <w:color w:val="auto"/>
              </w:rPr>
            </w:pPr>
          </w:p>
        </w:tc>
        <w:tc>
          <w:tcPr>
            <w:tcW w:w="95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actual square footage serviced over a specified contract term.</w:t>
            </w:r>
          </w:p>
        </w:tc>
        <w:tc>
          <w:tcPr>
            <w:tcW w:w="0" w:type="dxa"/>
            <w:vAlign w:val="bottom"/>
          </w:tcPr>
          <w:p>
            <w:pPr>
              <w:spacing w:after="0"/>
              <w:rPr>
                <w:sz w:val="1"/>
                <w:szCs w:val="1"/>
                <w:color w:val="auto"/>
              </w:rPr>
            </w:pPr>
          </w:p>
        </w:tc>
      </w:tr>
      <w:tr>
        <w:trPr>
          <w:trHeight w:val="113"/>
        </w:trPr>
        <w:tc>
          <w:tcPr>
            <w:tcW w:w="1860" w:type="dxa"/>
            <w:vAlign w:val="bottom"/>
            <w:tcBorders>
              <w:left w:val="single" w:sz="8" w:color="auto"/>
              <w:bottom w:val="single" w:sz="8" w:color="auto"/>
              <w:right w:val="single" w:sz="8" w:color="auto"/>
            </w:tcBorders>
          </w:tcPr>
          <w:p>
            <w:pPr>
              <w:spacing w:after="0"/>
              <w:rPr>
                <w:sz w:val="9"/>
                <w:szCs w:val="9"/>
                <w:color w:val="auto"/>
              </w:rPr>
            </w:pPr>
          </w:p>
        </w:tc>
        <w:tc>
          <w:tcPr>
            <w:tcW w:w="958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860" w:type="dxa"/>
            <w:vAlign w:val="bottom"/>
            <w:tcBorders>
              <w:left w:val="single" w:sz="8" w:color="auto"/>
              <w:right w:val="single" w:sz="8" w:color="auto"/>
            </w:tcBorders>
          </w:tcPr>
          <w:p>
            <w:pPr>
              <w:spacing w:after="0"/>
              <w:rPr>
                <w:sz w:val="17"/>
                <w:szCs w:val="17"/>
                <w:color w:val="auto"/>
              </w:rPr>
            </w:pPr>
          </w:p>
        </w:tc>
        <w:tc>
          <w:tcPr>
            <w:tcW w:w="958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These arrangements are contracts in which the clients reimburse us for the agreed-upon amount of wages and</w:t>
            </w: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Cost-Plus</w:t>
            </w:r>
          </w:p>
        </w:tc>
        <w:tc>
          <w:tcPr>
            <w:tcW w:w="95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benefits, payroll taxes, insurance charges, and other expenses associated with the contracted work, plus a profit</w:t>
            </w:r>
          </w:p>
        </w:tc>
        <w:tc>
          <w:tcPr>
            <w:tcW w:w="0" w:type="dxa"/>
            <w:vAlign w:val="bottom"/>
          </w:tcPr>
          <w:p>
            <w:pPr>
              <w:spacing w:after="0"/>
              <w:rPr>
                <w:sz w:val="1"/>
                <w:szCs w:val="1"/>
                <w:color w:val="auto"/>
              </w:rPr>
            </w:pPr>
          </w:p>
        </w:tc>
      </w:tr>
      <w:tr>
        <w:trPr>
          <w:trHeight w:val="248"/>
        </w:trPr>
        <w:tc>
          <w:tcPr>
            <w:tcW w:w="1860" w:type="dxa"/>
            <w:vAlign w:val="bottom"/>
            <w:tcBorders>
              <w:left w:val="single" w:sz="8" w:color="auto"/>
              <w:bottom w:val="single" w:sz="8" w:color="auto"/>
              <w:right w:val="single" w:sz="8" w:color="auto"/>
            </w:tcBorders>
          </w:tcPr>
          <w:p>
            <w:pPr>
              <w:spacing w:after="0"/>
              <w:rPr>
                <w:sz w:val="21"/>
                <w:szCs w:val="21"/>
                <w:color w:val="auto"/>
              </w:rPr>
            </w:pPr>
          </w:p>
        </w:tc>
        <w:tc>
          <w:tcPr>
            <w:tcW w:w="9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margin.</w:t>
            </w:r>
          </w:p>
        </w:tc>
        <w:tc>
          <w:tcPr>
            <w:tcW w:w="0" w:type="dxa"/>
            <w:vAlign w:val="bottom"/>
          </w:tcPr>
          <w:p>
            <w:pPr>
              <w:spacing w:after="0"/>
              <w:rPr>
                <w:sz w:val="1"/>
                <w:szCs w:val="1"/>
                <w:color w:val="auto"/>
              </w:rPr>
            </w:pPr>
          </w:p>
        </w:tc>
      </w:tr>
      <w:tr>
        <w:trPr>
          <w:trHeight w:val="205"/>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Tag Services</w:t>
            </w:r>
          </w:p>
        </w:tc>
        <w:tc>
          <w:tcPr>
            <w:tcW w:w="958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Tag services (work orders) generally consist of supplemental services requested by clients outside of the standard</w:t>
            </w:r>
          </w:p>
        </w:tc>
        <w:tc>
          <w:tcPr>
            <w:tcW w:w="0" w:type="dxa"/>
            <w:vAlign w:val="bottom"/>
          </w:tcPr>
          <w:p>
            <w:pPr>
              <w:spacing w:after="0"/>
              <w:rPr>
                <w:sz w:val="1"/>
                <w:szCs w:val="1"/>
                <w:color w:val="auto"/>
              </w:rPr>
            </w:pPr>
          </w:p>
        </w:tc>
      </w:tr>
      <w:tr>
        <w:trPr>
          <w:trHeight w:val="135"/>
        </w:trPr>
        <w:tc>
          <w:tcPr>
            <w:tcW w:w="1860" w:type="dxa"/>
            <w:vAlign w:val="bottom"/>
            <w:tcBorders>
              <w:left w:val="single" w:sz="8" w:color="auto"/>
              <w:right w:val="single" w:sz="8" w:color="auto"/>
            </w:tcBorders>
            <w:vMerge w:val="continue"/>
          </w:tcPr>
          <w:p>
            <w:pPr>
              <w:spacing w:after="0"/>
              <w:rPr>
                <w:sz w:val="11"/>
                <w:szCs w:val="11"/>
                <w:color w:val="auto"/>
              </w:rPr>
            </w:pPr>
          </w:p>
        </w:tc>
        <w:tc>
          <w:tcPr>
            <w:tcW w:w="95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service specification and includes cleanup after tenant moves, construction cleanup, flood cleanup, and snow removal.</w:t>
            </w:r>
          </w:p>
        </w:tc>
        <w:tc>
          <w:tcPr>
            <w:tcW w:w="0" w:type="dxa"/>
            <w:vAlign w:val="bottom"/>
          </w:tcPr>
          <w:p>
            <w:pPr>
              <w:spacing w:after="0"/>
              <w:rPr>
                <w:sz w:val="1"/>
                <w:szCs w:val="1"/>
                <w:color w:val="auto"/>
              </w:rPr>
            </w:pPr>
          </w:p>
        </w:tc>
      </w:tr>
      <w:tr>
        <w:trPr>
          <w:trHeight w:val="113"/>
        </w:trPr>
        <w:tc>
          <w:tcPr>
            <w:tcW w:w="1860" w:type="dxa"/>
            <w:vAlign w:val="bottom"/>
            <w:tcBorders>
              <w:left w:val="single" w:sz="8" w:color="auto"/>
              <w:bottom w:val="single" w:sz="8" w:color="auto"/>
              <w:right w:val="single" w:sz="8" w:color="auto"/>
            </w:tcBorders>
          </w:tcPr>
          <w:p>
            <w:pPr>
              <w:spacing w:after="0"/>
              <w:rPr>
                <w:sz w:val="9"/>
                <w:szCs w:val="9"/>
                <w:color w:val="auto"/>
              </w:rPr>
            </w:pPr>
          </w:p>
        </w:tc>
        <w:tc>
          <w:tcPr>
            <w:tcW w:w="958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Transaction-Price</w:t>
            </w:r>
          </w:p>
        </w:tc>
        <w:tc>
          <w:tcPr>
            <w:tcW w:w="958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These are arrangements in which customers are billed a fixed price for each transaction performed on a monthly basis</w:t>
            </w:r>
          </w:p>
        </w:tc>
        <w:tc>
          <w:tcPr>
            <w:tcW w:w="0" w:type="dxa"/>
            <w:vAlign w:val="bottom"/>
          </w:tcPr>
          <w:p>
            <w:pPr>
              <w:spacing w:after="0"/>
              <w:rPr>
                <w:sz w:val="1"/>
                <w:szCs w:val="1"/>
                <w:color w:val="auto"/>
              </w:rPr>
            </w:pPr>
          </w:p>
        </w:tc>
      </w:tr>
      <w:tr>
        <w:trPr>
          <w:trHeight w:val="135"/>
        </w:trPr>
        <w:tc>
          <w:tcPr>
            <w:tcW w:w="1860" w:type="dxa"/>
            <w:vAlign w:val="bottom"/>
            <w:tcBorders>
              <w:left w:val="single" w:sz="8" w:color="auto"/>
              <w:right w:val="single" w:sz="8" w:color="auto"/>
            </w:tcBorders>
            <w:vMerge w:val="continue"/>
          </w:tcPr>
          <w:p>
            <w:pPr>
              <w:spacing w:after="0"/>
              <w:rPr>
                <w:sz w:val="11"/>
                <w:szCs w:val="11"/>
                <w:color w:val="auto"/>
              </w:rPr>
            </w:pPr>
          </w:p>
        </w:tc>
        <w:tc>
          <w:tcPr>
            <w:tcW w:w="95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(e.g., wheelchair passengers served or airplane cabins cleaned).</w:t>
            </w:r>
          </w:p>
        </w:tc>
        <w:tc>
          <w:tcPr>
            <w:tcW w:w="0" w:type="dxa"/>
            <w:vAlign w:val="bottom"/>
          </w:tcPr>
          <w:p>
            <w:pPr>
              <w:spacing w:after="0"/>
              <w:rPr>
                <w:sz w:val="1"/>
                <w:szCs w:val="1"/>
                <w:color w:val="auto"/>
              </w:rPr>
            </w:pPr>
          </w:p>
        </w:tc>
      </w:tr>
      <w:tr>
        <w:trPr>
          <w:trHeight w:val="113"/>
        </w:trPr>
        <w:tc>
          <w:tcPr>
            <w:tcW w:w="1860" w:type="dxa"/>
            <w:vAlign w:val="bottom"/>
            <w:tcBorders>
              <w:left w:val="single" w:sz="8" w:color="auto"/>
              <w:bottom w:val="single" w:sz="8" w:color="auto"/>
              <w:right w:val="single" w:sz="8" w:color="auto"/>
            </w:tcBorders>
          </w:tcPr>
          <w:p>
            <w:pPr>
              <w:spacing w:after="0"/>
              <w:rPr>
                <w:sz w:val="9"/>
                <w:szCs w:val="9"/>
                <w:color w:val="auto"/>
              </w:rPr>
            </w:pPr>
          </w:p>
        </w:tc>
        <w:tc>
          <w:tcPr>
            <w:tcW w:w="958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1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Hourly</w:t>
            </w:r>
          </w:p>
        </w:tc>
        <w:tc>
          <w:tcPr>
            <w:tcW w:w="9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 hourly arrangements, the client is billed a fixed hourly rate for each labor hour provided.</w:t>
            </w:r>
          </w:p>
        </w:tc>
        <w:tc>
          <w:tcPr>
            <w:tcW w:w="0" w:type="dxa"/>
            <w:vAlign w:val="bottom"/>
          </w:tcPr>
          <w:p>
            <w:pPr>
              <w:spacing w:after="0"/>
              <w:rPr>
                <w:sz w:val="1"/>
                <w:szCs w:val="1"/>
                <w:color w:val="auto"/>
              </w:rPr>
            </w:pPr>
          </w:p>
        </w:tc>
      </w:tr>
      <w:tr>
        <w:trPr>
          <w:trHeight w:val="205"/>
        </w:trPr>
        <w:tc>
          <w:tcPr>
            <w:tcW w:w="1860" w:type="dxa"/>
            <w:vAlign w:val="bottom"/>
            <w:tcBorders>
              <w:left w:val="single" w:sz="8" w:color="auto"/>
              <w:right w:val="single" w:sz="8" w:color="auto"/>
            </w:tcBorders>
          </w:tcPr>
          <w:p>
            <w:pPr>
              <w:jc w:val="center"/>
              <w:spacing w:after="0" w:line="205" w:lineRule="exact"/>
              <w:rPr>
                <w:sz w:val="20"/>
                <w:szCs w:val="20"/>
                <w:color w:val="auto"/>
              </w:rPr>
            </w:pPr>
            <w:r>
              <w:rPr>
                <w:rFonts w:ascii="Arial" w:cs="Arial" w:eastAsia="Arial" w:hAnsi="Arial"/>
                <w:sz w:val="18"/>
                <w:szCs w:val="18"/>
                <w:color w:val="auto"/>
              </w:rPr>
              <w:t>Management</w:t>
            </w:r>
          </w:p>
        </w:tc>
        <w:tc>
          <w:tcPr>
            <w:tcW w:w="958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Under these parking arrangements, we manage a parking facility for a management fee and pass through the revenue</w:t>
            </w:r>
          </w:p>
        </w:tc>
        <w:tc>
          <w:tcPr>
            <w:tcW w:w="0" w:type="dxa"/>
            <w:vAlign w:val="bottom"/>
          </w:tcPr>
          <w:p>
            <w:pPr>
              <w:spacing w:after="0"/>
              <w:rPr>
                <w:sz w:val="1"/>
                <w:szCs w:val="1"/>
                <w:color w:val="auto"/>
              </w:rPr>
            </w:pPr>
          </w:p>
        </w:tc>
      </w:tr>
      <w:tr>
        <w:trPr>
          <w:trHeight w:val="248"/>
        </w:trPr>
        <w:tc>
          <w:tcPr>
            <w:tcW w:w="1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Reimbursement</w:t>
            </w:r>
          </w:p>
        </w:tc>
        <w:tc>
          <w:tcPr>
            <w:tcW w:w="9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and expenses associated with the facility to the owner.</w:t>
            </w:r>
          </w:p>
        </w:tc>
        <w:tc>
          <w:tcPr>
            <w:tcW w:w="0" w:type="dxa"/>
            <w:vAlign w:val="bottom"/>
          </w:tcPr>
          <w:p>
            <w:pPr>
              <w:spacing w:after="0"/>
              <w:rPr>
                <w:sz w:val="1"/>
                <w:szCs w:val="1"/>
                <w:color w:val="auto"/>
              </w:rPr>
            </w:pPr>
          </w:p>
        </w:tc>
      </w:tr>
      <w:tr>
        <w:trPr>
          <w:trHeight w:val="205"/>
        </w:trPr>
        <w:tc>
          <w:tcPr>
            <w:tcW w:w="1860" w:type="dxa"/>
            <w:vAlign w:val="bottom"/>
            <w:tcBorders>
              <w:left w:val="single" w:sz="8" w:color="auto"/>
              <w:right w:val="single" w:sz="8" w:color="auto"/>
            </w:tcBorders>
          </w:tcPr>
          <w:p>
            <w:pPr>
              <w:spacing w:after="0"/>
              <w:rPr>
                <w:sz w:val="17"/>
                <w:szCs w:val="17"/>
                <w:color w:val="auto"/>
              </w:rPr>
            </w:pPr>
          </w:p>
        </w:tc>
        <w:tc>
          <w:tcPr>
            <w:tcW w:w="958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Under these parking arrangements, we pay a fixed amount of rent plus a percentage of revenues derived from monthly</w:t>
            </w: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Leased Location</w:t>
            </w:r>
          </w:p>
        </w:tc>
        <w:tc>
          <w:tcPr>
            <w:tcW w:w="95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and transient parkers to the property owner. We retain all revenues received and are responsible for most operating</w:t>
            </w:r>
          </w:p>
        </w:tc>
        <w:tc>
          <w:tcPr>
            <w:tcW w:w="0" w:type="dxa"/>
            <w:vAlign w:val="bottom"/>
          </w:tcPr>
          <w:p>
            <w:pPr>
              <w:spacing w:after="0"/>
              <w:rPr>
                <w:sz w:val="1"/>
                <w:szCs w:val="1"/>
                <w:color w:val="auto"/>
              </w:rPr>
            </w:pPr>
          </w:p>
        </w:tc>
      </w:tr>
      <w:tr>
        <w:trPr>
          <w:trHeight w:val="248"/>
        </w:trPr>
        <w:tc>
          <w:tcPr>
            <w:tcW w:w="1860" w:type="dxa"/>
            <w:vAlign w:val="bottom"/>
            <w:tcBorders>
              <w:left w:val="single" w:sz="8" w:color="auto"/>
              <w:bottom w:val="single" w:sz="8" w:color="auto"/>
              <w:right w:val="single" w:sz="8" w:color="auto"/>
            </w:tcBorders>
          </w:tcPr>
          <w:p>
            <w:pPr>
              <w:spacing w:after="0"/>
              <w:rPr>
                <w:sz w:val="21"/>
                <w:szCs w:val="21"/>
                <w:color w:val="auto"/>
              </w:rPr>
            </w:pPr>
          </w:p>
        </w:tc>
        <w:tc>
          <w:tcPr>
            <w:tcW w:w="9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expenses incurred.</w:t>
            </w:r>
          </w:p>
        </w:tc>
        <w:tc>
          <w:tcPr>
            <w:tcW w:w="0" w:type="dxa"/>
            <w:vAlign w:val="bottom"/>
          </w:tcPr>
          <w:p>
            <w:pPr>
              <w:spacing w:after="0"/>
              <w:rPr>
                <w:sz w:val="1"/>
                <w:szCs w:val="1"/>
                <w:color w:val="auto"/>
              </w:rPr>
            </w:pPr>
          </w:p>
        </w:tc>
      </w:tr>
      <w:tr>
        <w:trPr>
          <w:trHeight w:val="205"/>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Allowance</w:t>
            </w:r>
          </w:p>
        </w:tc>
        <w:tc>
          <w:tcPr>
            <w:tcW w:w="958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Under these parking arrangements, we are paid a fixed amount or hourly fee to provide parking services, and we are</w:t>
            </w:r>
          </w:p>
        </w:tc>
        <w:tc>
          <w:tcPr>
            <w:tcW w:w="0" w:type="dxa"/>
            <w:vAlign w:val="bottom"/>
          </w:tcPr>
          <w:p>
            <w:pPr>
              <w:spacing w:after="0"/>
              <w:rPr>
                <w:sz w:val="1"/>
                <w:szCs w:val="1"/>
                <w:color w:val="auto"/>
              </w:rPr>
            </w:pPr>
          </w:p>
        </w:tc>
      </w:tr>
      <w:tr>
        <w:trPr>
          <w:trHeight w:val="135"/>
        </w:trPr>
        <w:tc>
          <w:tcPr>
            <w:tcW w:w="1860" w:type="dxa"/>
            <w:vAlign w:val="bottom"/>
            <w:tcBorders>
              <w:left w:val="single" w:sz="8" w:color="auto"/>
              <w:right w:val="single" w:sz="8" w:color="auto"/>
            </w:tcBorders>
            <w:vMerge w:val="continue"/>
          </w:tcPr>
          <w:p>
            <w:pPr>
              <w:spacing w:after="0"/>
              <w:rPr>
                <w:sz w:val="11"/>
                <w:szCs w:val="11"/>
                <w:color w:val="auto"/>
              </w:rPr>
            </w:pPr>
          </w:p>
        </w:tc>
        <w:tc>
          <w:tcPr>
            <w:tcW w:w="95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responsible for certain operating expenses, as specified in the contract.</w:t>
            </w:r>
          </w:p>
        </w:tc>
        <w:tc>
          <w:tcPr>
            <w:tcW w:w="0" w:type="dxa"/>
            <w:vAlign w:val="bottom"/>
          </w:tcPr>
          <w:p>
            <w:pPr>
              <w:spacing w:after="0"/>
              <w:rPr>
                <w:sz w:val="1"/>
                <w:szCs w:val="1"/>
                <w:color w:val="auto"/>
              </w:rPr>
            </w:pPr>
          </w:p>
        </w:tc>
      </w:tr>
      <w:tr>
        <w:trPr>
          <w:trHeight w:val="113"/>
        </w:trPr>
        <w:tc>
          <w:tcPr>
            <w:tcW w:w="1860" w:type="dxa"/>
            <w:vAlign w:val="bottom"/>
            <w:tcBorders>
              <w:left w:val="single" w:sz="8" w:color="auto"/>
              <w:bottom w:val="single" w:sz="8" w:color="auto"/>
              <w:right w:val="single" w:sz="8" w:color="auto"/>
            </w:tcBorders>
          </w:tcPr>
          <w:p>
            <w:pPr>
              <w:spacing w:after="0"/>
              <w:rPr>
                <w:sz w:val="9"/>
                <w:szCs w:val="9"/>
                <w:color w:val="auto"/>
              </w:rPr>
            </w:pPr>
          </w:p>
        </w:tc>
        <w:tc>
          <w:tcPr>
            <w:tcW w:w="958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860" w:type="dxa"/>
            <w:vAlign w:val="bottom"/>
            <w:tcBorders>
              <w:left w:val="single" w:sz="8" w:color="auto"/>
              <w:right w:val="single" w:sz="8" w:color="auto"/>
            </w:tcBorders>
          </w:tcPr>
          <w:p>
            <w:pPr>
              <w:jc w:val="center"/>
              <w:spacing w:after="0" w:line="205" w:lineRule="exact"/>
              <w:rPr>
                <w:sz w:val="20"/>
                <w:szCs w:val="20"/>
                <w:color w:val="auto"/>
              </w:rPr>
            </w:pPr>
            <w:r>
              <w:rPr>
                <w:rFonts w:ascii="Arial" w:cs="Arial" w:eastAsia="Arial" w:hAnsi="Arial"/>
                <w:sz w:val="18"/>
                <w:szCs w:val="18"/>
                <w:color w:val="auto"/>
                <w:w w:val="99"/>
              </w:rPr>
              <w:t>Energy Savings</w:t>
            </w:r>
          </w:p>
        </w:tc>
        <w:tc>
          <w:tcPr>
            <w:tcW w:w="9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Contracts and Fixed-</w:t>
            </w:r>
          </w:p>
        </w:tc>
        <w:tc>
          <w:tcPr>
            <w:tcW w:w="95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Under these arrangements, we agree to develop, design, engineer, and construct a project. Additionally, as part of</w:t>
            </w: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Price Repair and</w:t>
            </w:r>
          </w:p>
        </w:tc>
        <w:tc>
          <w:tcPr>
            <w:tcW w:w="95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bundled energy solutions arrangements, we guarantee the project will satisfy agreed-upon performance standards.</w:t>
            </w:r>
          </w:p>
        </w:tc>
        <w:tc>
          <w:tcPr>
            <w:tcW w:w="0" w:type="dxa"/>
            <w:vAlign w:val="bottom"/>
          </w:tcPr>
          <w:p>
            <w:pPr>
              <w:spacing w:after="0"/>
              <w:rPr>
                <w:sz w:val="1"/>
                <w:szCs w:val="1"/>
                <w:color w:val="auto"/>
              </w:rPr>
            </w:pPr>
          </w:p>
        </w:tc>
      </w:tr>
      <w:tr>
        <w:trPr>
          <w:trHeight w:val="248"/>
        </w:trPr>
        <w:tc>
          <w:tcPr>
            <w:tcW w:w="1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Refurbishment</w:t>
            </w:r>
          </w:p>
        </w:tc>
        <w:tc>
          <w:tcPr>
            <w:tcW w:w="95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Franchise</w:t>
            </w:r>
          </w:p>
        </w:tc>
        <w:tc>
          <w:tcPr>
            <w:tcW w:w="958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We franchise certain engineering services through individual and area franchises under the Linc Service and TEGG</w:t>
            </w:r>
          </w:p>
        </w:tc>
        <w:tc>
          <w:tcPr>
            <w:tcW w:w="0" w:type="dxa"/>
            <w:vAlign w:val="bottom"/>
          </w:tcPr>
          <w:p>
            <w:pPr>
              <w:spacing w:after="0"/>
              <w:rPr>
                <w:sz w:val="1"/>
                <w:szCs w:val="1"/>
                <w:color w:val="auto"/>
              </w:rPr>
            </w:pPr>
          </w:p>
        </w:tc>
      </w:tr>
      <w:tr>
        <w:trPr>
          <w:trHeight w:val="135"/>
        </w:trPr>
        <w:tc>
          <w:tcPr>
            <w:tcW w:w="1860" w:type="dxa"/>
            <w:vAlign w:val="bottom"/>
            <w:tcBorders>
              <w:left w:val="single" w:sz="8" w:color="auto"/>
              <w:right w:val="single" w:sz="8" w:color="auto"/>
            </w:tcBorders>
            <w:vMerge w:val="continue"/>
          </w:tcPr>
          <w:p>
            <w:pPr>
              <w:spacing w:after="0"/>
              <w:rPr>
                <w:sz w:val="11"/>
                <w:szCs w:val="11"/>
                <w:color w:val="auto"/>
              </w:rPr>
            </w:pPr>
          </w:p>
        </w:tc>
        <w:tc>
          <w:tcPr>
            <w:tcW w:w="95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brands, which are part of ABM Technical Solutions.</w:t>
            </w:r>
          </w:p>
        </w:tc>
        <w:tc>
          <w:tcPr>
            <w:tcW w:w="0" w:type="dxa"/>
            <w:vAlign w:val="bottom"/>
          </w:tcPr>
          <w:p>
            <w:pPr>
              <w:spacing w:after="0"/>
              <w:rPr>
                <w:sz w:val="1"/>
                <w:szCs w:val="1"/>
                <w:color w:val="auto"/>
              </w:rPr>
            </w:pPr>
          </w:p>
        </w:tc>
      </w:tr>
      <w:tr>
        <w:trPr>
          <w:trHeight w:val="113"/>
        </w:trPr>
        <w:tc>
          <w:tcPr>
            <w:tcW w:w="1860" w:type="dxa"/>
            <w:vAlign w:val="bottom"/>
            <w:tcBorders>
              <w:left w:val="single" w:sz="8" w:color="auto"/>
              <w:bottom w:val="single" w:sz="8" w:color="auto"/>
              <w:right w:val="single" w:sz="8" w:color="auto"/>
            </w:tcBorders>
          </w:tcPr>
          <w:p>
            <w:pPr>
              <w:spacing w:after="0"/>
              <w:rPr>
                <w:sz w:val="9"/>
                <w:szCs w:val="9"/>
                <w:color w:val="auto"/>
              </w:rPr>
            </w:pPr>
          </w:p>
        </w:tc>
        <w:tc>
          <w:tcPr>
            <w:tcW w:w="958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88"/>
        </w:trPr>
        <w:tc>
          <w:tcPr>
            <w:tcW w:w="11440" w:type="dxa"/>
            <w:vAlign w:val="bottom"/>
            <w:gridSpan w:val="2"/>
          </w:tcPr>
          <w:p>
            <w:pPr>
              <w:spacing w:after="0"/>
              <w:rPr>
                <w:sz w:val="20"/>
                <w:szCs w:val="20"/>
                <w:color w:val="auto"/>
              </w:rPr>
            </w:pPr>
            <w:r>
              <w:rPr>
                <w:rFonts w:ascii="Arial" w:cs="Arial" w:eastAsia="Arial" w:hAnsi="Arial"/>
                <w:sz w:val="18"/>
                <w:szCs w:val="18"/>
                <w:b w:val="1"/>
                <w:bCs w:val="1"/>
                <w:color w:val="0046AD"/>
              </w:rPr>
              <w:t>Segment and Geographic Financial Information</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8"/>
          <w:szCs w:val="18"/>
          <w:color w:val="auto"/>
        </w:rPr>
        <w:t>Our current reportable segments consist of Business &amp; Industry (“B&amp;I”), Aviation, Technology &amp; Manufacturing (“T&amp;M”), Education, and Technical Solutions. Refer to Note 2, “Basis of Presentation and Significant Accounting Policies,” in the Notes to the Consolidated Financial Statements for information related to the modification in our presentation of inter-segment revenues and the reorganization of our Healthcare business into our other industry groups, primarily B&amp;I, during 2019. For segment and geographic financial information, see Note 19, “Segment and Geographic Information,” in the Notes to Consolidated Financial Statements.</w:t>
      </w: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40"/>
          </w:cols>
          <w:pgMar w:left="240" w:top="493" w:right="219" w:bottom="1440" w:gutter="0" w:footer="0" w:header="0"/>
        </w:sectPr>
      </w:pPr>
    </w:p>
    <w:bookmarkStart w:id="6" w:name="page7"/>
    <w:bookmarkEnd w:id="6"/>
    <w:p>
      <w:pPr>
        <w:ind w:left="2480"/>
        <w:spacing w:after="0"/>
        <w:rPr>
          <w:sz w:val="20"/>
          <w:szCs w:val="20"/>
          <w:color w:val="auto"/>
        </w:rPr>
      </w:pPr>
      <w:r>
        <w:rPr>
          <w:rFonts w:ascii="Arial" w:cs="Arial" w:eastAsia="Arial" w:hAnsi="Arial"/>
          <w:sz w:val="18"/>
          <w:szCs w:val="18"/>
          <w:b w:val="1"/>
          <w:bCs w:val="1"/>
          <w:color w:val="0046AD"/>
        </w:rPr>
        <w:drawing>
          <wp:anchor simplePos="0" relativeHeight="251657728" behindDoc="1" locked="0" layoutInCell="0" allowOverlap="1">
            <wp:simplePos x="0" y="0"/>
            <wp:positionH relativeFrom="page">
              <wp:posOffset>157480</wp:posOffset>
            </wp:positionH>
            <wp:positionV relativeFrom="page">
              <wp:posOffset>414655</wp:posOffset>
            </wp:positionV>
            <wp:extent cx="7254875" cy="60972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6097270"/>
                    </a:xfrm>
                    <a:prstGeom prst="rect">
                      <a:avLst/>
                    </a:prstGeom>
                    <a:noFill/>
                  </pic:spPr>
                </pic:pic>
              </a:graphicData>
            </a:graphic>
          </wp:anchor>
        </w:drawing>
        <w:t>REPORTABLE SEGMENTS AND DESCRIPTIONS</w:t>
      </w:r>
    </w:p>
    <w:p>
      <w:pPr>
        <w:spacing w:after="0" w:line="254" w:lineRule="exact"/>
        <w:rPr>
          <w:sz w:val="20"/>
          <w:szCs w:val="20"/>
          <w:color w:val="auto"/>
        </w:rPr>
      </w:pPr>
    </w:p>
    <w:p>
      <w:pPr>
        <w:jc w:val="both"/>
        <w:ind w:left="2740" w:right="20"/>
        <w:spacing w:after="0" w:line="241" w:lineRule="auto"/>
        <w:rPr>
          <w:sz w:val="20"/>
          <w:szCs w:val="20"/>
          <w:color w:val="auto"/>
        </w:rPr>
      </w:pPr>
      <w:r>
        <w:rPr>
          <w:rFonts w:ascii="Arial" w:cs="Arial" w:eastAsia="Arial" w:hAnsi="Arial"/>
          <w:sz w:val="18"/>
          <w:szCs w:val="18"/>
          <w:color w:val="auto"/>
        </w:rPr>
        <w:t>B&amp;I, our largest reportable segment, encompasses janitorial, facilities engineering, and parking services for commercial real estate properties, sports and entertainment venues, and traditional hospitals and non-acute healthcare facilities. B&amp;I also provides vehicle maintenance and other services to rental car providers. We typically provide services in this segment pursuant to monthly fixed-price, square-foot, cost-plus, and parking arrangements (i.e., management reimbursement, leased location, or allowance) that are obtained through a competitive bid process as well as pursuant to tag services.</w:t>
      </w:r>
    </w:p>
    <w:p>
      <w:pPr>
        <w:spacing w:after="0" w:line="200" w:lineRule="exact"/>
        <w:rPr>
          <w:sz w:val="20"/>
          <w:szCs w:val="20"/>
          <w:color w:val="auto"/>
        </w:rPr>
      </w:pPr>
    </w:p>
    <w:p>
      <w:pPr>
        <w:spacing w:after="0" w:line="303" w:lineRule="exact"/>
        <w:rPr>
          <w:sz w:val="20"/>
          <w:szCs w:val="20"/>
          <w:color w:val="auto"/>
        </w:rPr>
      </w:pPr>
    </w:p>
    <w:p>
      <w:pPr>
        <w:jc w:val="both"/>
        <w:ind w:left="2740" w:right="20"/>
        <w:spacing w:after="0" w:line="243" w:lineRule="auto"/>
        <w:rPr>
          <w:sz w:val="20"/>
          <w:szCs w:val="20"/>
          <w:color w:val="auto"/>
        </w:rPr>
      </w:pPr>
      <w:r>
        <w:rPr>
          <w:rFonts w:ascii="Arial" w:cs="Arial" w:eastAsia="Arial" w:hAnsi="Arial"/>
          <w:sz w:val="18"/>
          <w:szCs w:val="18"/>
          <w:color w:val="auto"/>
        </w:rPr>
        <w:t>Aviation supports airlines and airports with services ranging from parking and janitorial to passenger assistance, catering logistics, air cabin maintenance, and transportation. We typically provide services to clients in this segment under master services agreements. These agreements are typically re-bid upon renewal and are generally structured as monthly fixed-price, square-foot, cost-plus, parking, transaction-price, and hourly arrangements. Two clients accounted for approximately 27% of revenues for this segment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left="2740"/>
        <w:spacing w:after="0" w:line="248" w:lineRule="auto"/>
        <w:rPr>
          <w:sz w:val="20"/>
          <w:szCs w:val="20"/>
          <w:color w:val="auto"/>
        </w:rPr>
      </w:pPr>
      <w:r>
        <w:rPr>
          <w:rFonts w:ascii="Arial" w:cs="Arial" w:eastAsia="Arial" w:hAnsi="Arial"/>
          <w:sz w:val="18"/>
          <w:szCs w:val="18"/>
          <w:color w:val="auto"/>
        </w:rPr>
        <w:t>T&amp;M provides janitorial, facilities engineering, and parking services to industrial and high-tech manufacturing facilities. We typically provide these services pursuant to monthly fixed-price, square-foot, cost-plus, and parking arrangements that are obtained through a competitive bid process as well as pursuant to tag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2740" w:right="20"/>
        <w:spacing w:after="0" w:line="245" w:lineRule="auto"/>
        <w:rPr>
          <w:sz w:val="20"/>
          <w:szCs w:val="20"/>
          <w:color w:val="auto"/>
        </w:rPr>
      </w:pPr>
      <w:r>
        <w:rPr>
          <w:rFonts w:ascii="Arial" w:cs="Arial" w:eastAsia="Arial" w:hAnsi="Arial"/>
          <w:sz w:val="18"/>
          <w:szCs w:val="18"/>
          <w:color w:val="auto"/>
        </w:rPr>
        <w:t>Education delivers janitorial, custodial, landscaping and grounds, facilities engineering, and parking services for public school districts, private schools, colleges, and universities. These services are typically provided pursuant to monthly fixed-price, square-foot, and cost-plus arrangements that are obtained through either a competitive bid process or re-bid upon renewal as well as pursuant to tag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left="2740"/>
        <w:spacing w:after="0" w:line="248" w:lineRule="auto"/>
        <w:rPr>
          <w:sz w:val="20"/>
          <w:szCs w:val="20"/>
          <w:color w:val="auto"/>
        </w:rPr>
      </w:pPr>
      <w:r>
        <w:rPr>
          <w:rFonts w:ascii="Arial" w:cs="Arial" w:eastAsia="Arial" w:hAnsi="Arial"/>
          <w:sz w:val="18"/>
          <w:szCs w:val="18"/>
          <w:color w:val="auto"/>
        </w:rPr>
        <w:t>Technical Solutions specializes in mechanical and electrical services. These services can also be leveraged for cross-selling across all of our industry groups, both domestically and internationally. Contracts for this segment are generally structured as energy savings and fixed-price repair and refurbishment contracts and franchise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00"/>
          </w:cols>
          <w:pgMar w:left="1440" w:top="668"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0046AD"/>
        </w:rPr>
        <w:t>Service Marks, Trademarks, and Trade Names</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hold various service marks, trademarks, and trade names, such as “ABM,” “ABM Building Value,” “ABM Greencare,” “Linc Service,” “MPower,” “OmniServ,” and “TEGG,” which we deem important to our marketing activities, to our business, and, in some cases, to the franchising activities conducted by our Technical Solutions segment.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Dependence on Significant Client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client accounted for more than 10% of our consolidated revenues during 2019, 2018, or 2017.</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Competition</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that each aspect of our business is highly competitive and that such competition is based primarily on price, quality of service, efficiency enhancements, adapting to changing workplace conditions, and ability to anticipate and respond to industry changes. A majority of our revenue is derived from projects requiring competitive bids; however, an invitation to bid is often conditioned upon prior experience, industry expertise, and financial strength. The low cost of entry in the facility services business results in a very competitive market. We mainly compete with regional and local owner-operated companies that may have more acute vision into local markets and significantly lower labor and overhead costs, providing them with competitive advantages in those regards. We also compete indirectly with companies that can perform for themselves one or more of the services we provide.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Sales and Marketing</w:t>
      </w:r>
    </w:p>
    <w:p>
      <w:pPr>
        <w:spacing w:after="0" w:line="17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Our sales and marketing activities include digital engagement and direct interactions with prospective and existing clients, pricing, proposal management, and customer relationship management by dedicated business development teams, operations personnel, and management. These activities are executed by branch and regional sales, marketing, and operations teams assigned to our industry groups and are supported by centralized sales support teams, inside sales teams, corporate marketing personnel, and our Center of Excellence teams. These sales and marketing teams acquire, nurture, and manage leads, as well as train personnel on sales tools and proposal systems, all governed by standard operating procedures.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Regulatory Environment and Environmental Compliance</w:t>
      </w:r>
    </w:p>
    <w:p>
      <w:pPr>
        <w:spacing w:after="0" w:line="17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Our operations are subject to various federal, state, and/or local laws regulating the discharge of materials into the environment or otherwise relating to the protection of the environment, such as discharge into soil, water, and air, and the generation, handling, storage, transportation, and disposal of waste and hazardous substances. From time to time we are involved in environmental matters at certain of our locations or in connection with our operations. Historically, the cost of complying with environmental laws or resolving environmental issues relating to locations or operations in the United States or abroad has not had a material adverse effect on our financial position, results of operations, or cash flows.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Corporate Responsibility and Sustainability</w:t>
      </w:r>
    </w:p>
    <w:p>
      <w:pPr>
        <w:spacing w:after="0" w:line="17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As a company with more than 110 years’ experience, we understand the need to embed corporate responsibility into our business practices to create value and support the long-term success of our business, shareholders, clients, and team members.</w:t>
      </w:r>
    </w:p>
    <w:p>
      <w:pPr>
        <w:spacing w:after="0" w:line="9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strategy has evolved over the years to align with our stakeholders’ expectations regarding environmental, social, and governance policies. Recently, we have established three strategic axes of our sustainability strategy based on the topics that are most material to our business: doing business in a responsible way and creating value for clients; improving our value chain continuously; and positively impacting the ecosystem.</w:t>
      </w:r>
    </w:p>
    <w:p>
      <w:pPr>
        <w:spacing w:after="0" w:line="1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Since 2011, we have voluntarily published a Sustainability Report on an annual basis in alignment with the Global Reporting Initiative framework to address our business, our team members, and the environment. More information can be found in the corporate sustainability section of our corporate website.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Employees</w:t>
      </w:r>
    </w:p>
    <w:p>
      <w:pPr>
        <w:spacing w:after="0" w:line="17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As of October 31, 2019, we employed approximately 140,000 persons, of which approximately 45,000, or 32%, were subject to various local collective bargaining agreements.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93"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0046AD"/>
        </w:rPr>
        <w:t>Available Information</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Our corporate website is </w:t>
      </w:r>
      <w:r>
        <w:rPr>
          <w:rFonts w:ascii="Arial" w:cs="Arial" w:eastAsia="Arial" w:hAnsi="Arial"/>
          <w:sz w:val="18"/>
          <w:szCs w:val="18"/>
          <w:i w:val="1"/>
          <w:iCs w:val="1"/>
          <w:color w:val="auto"/>
        </w:rPr>
        <w:t>www.abm.com</w:t>
      </w:r>
      <w:r>
        <w:rPr>
          <w:rFonts w:ascii="Arial" w:cs="Arial" w:eastAsia="Arial" w:hAnsi="Arial"/>
          <w:sz w:val="18"/>
          <w:szCs w:val="18"/>
          <w:color w:val="auto"/>
        </w:rPr>
        <w:t xml:space="preserve">. The content on any website referred to in this filing does not constitute, and should not be viewed as, a part of this Annual Report, and our website is not incorporated into this or any of our other filings with the Securities and Exchange Commission (“SEC”). We make available free of charge through our website our Annual Reports on Form 10-K, Quarterly Reports on Form 10-Q, Current Reports on Form 8-K, proxy statements, and amendments to those reports filed or furnished pursuant to Section 13(a) or 15(d) of the Securities Exchange Act of 1934 as soon as reasonably practicable after such reports are electronically filed with or furnished to the SEC. Additionally, the SEC maintains a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that contains reports, proxy and information statements, and other information regarding issuers that file electronically with the SEC.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Executive Officers of Registrant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Executive Officers on December 20, 2019</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120" w:type="dxa"/>
            <w:vAlign w:val="bottom"/>
            <w:tcBorders>
              <w:bottom w:val="single" w:sz="8" w:color="DCE2EF"/>
            </w:tcBorders>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Age</w:t>
            </w:r>
          </w:p>
        </w:tc>
        <w:tc>
          <w:tcPr>
            <w:tcW w:w="120" w:type="dxa"/>
            <w:vAlign w:val="bottom"/>
            <w:tcBorders>
              <w:bottom w:val="single" w:sz="8" w:color="DCE2EF"/>
            </w:tcBorders>
          </w:tcPr>
          <w:p>
            <w:pPr>
              <w:spacing w:after="0"/>
              <w:rPr>
                <w:sz w:val="22"/>
                <w:szCs w:val="22"/>
                <w:color w:val="auto"/>
              </w:rPr>
            </w:pPr>
          </w:p>
        </w:tc>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Principal Occupations and Business Experience</w:t>
            </w:r>
          </w:p>
        </w:tc>
        <w:tc>
          <w:tcPr>
            <w:tcW w:w="0" w:type="dxa"/>
            <w:vAlign w:val="bottom"/>
          </w:tcPr>
          <w:p>
            <w:pPr>
              <w:spacing w:after="0"/>
              <w:rPr>
                <w:sz w:val="1"/>
                <w:szCs w:val="1"/>
                <w:color w:val="auto"/>
              </w:rPr>
            </w:pPr>
          </w:p>
        </w:tc>
      </w:tr>
      <w:tr>
        <w:trPr>
          <w:trHeight w:val="192"/>
        </w:trPr>
        <w:tc>
          <w:tcPr>
            <w:tcW w:w="3100" w:type="dxa"/>
            <w:vAlign w:val="bottom"/>
            <w:gridSpan w:val="2"/>
            <w:vMerge w:val="restart"/>
            <w:shd w:val="clear" w:color="auto" w:fill="DCE2EF"/>
          </w:tcPr>
          <w:p>
            <w:pPr>
              <w:ind w:left="40"/>
              <w:spacing w:after="0"/>
              <w:rPr>
                <w:sz w:val="20"/>
                <w:szCs w:val="20"/>
                <w:color w:val="auto"/>
              </w:rPr>
            </w:pPr>
            <w:r>
              <w:rPr>
                <w:rFonts w:ascii="Arial" w:cs="Arial" w:eastAsia="Arial" w:hAnsi="Arial"/>
                <w:sz w:val="16"/>
                <w:szCs w:val="16"/>
                <w:color w:val="auto"/>
              </w:rPr>
              <w:t>Scott Salmirs</w:t>
            </w:r>
          </w:p>
        </w:tc>
        <w:tc>
          <w:tcPr>
            <w:tcW w:w="1140" w:type="dxa"/>
            <w:vAlign w:val="bottom"/>
            <w:shd w:val="clear" w:color="auto" w:fill="DCE2EF"/>
          </w:tcPr>
          <w:p>
            <w:pPr>
              <w:jc w:val="center"/>
              <w:spacing w:after="0"/>
              <w:rPr>
                <w:sz w:val="20"/>
                <w:szCs w:val="20"/>
                <w:color w:val="auto"/>
              </w:rPr>
            </w:pPr>
            <w:r>
              <w:rPr>
                <w:rFonts w:ascii="Arial" w:cs="Arial" w:eastAsia="Arial" w:hAnsi="Arial"/>
                <w:sz w:val="16"/>
                <w:szCs w:val="16"/>
                <w:color w:val="auto"/>
              </w:rPr>
              <w:t>57</w:t>
            </w:r>
          </w:p>
        </w:tc>
        <w:tc>
          <w:tcPr>
            <w:tcW w:w="120" w:type="dxa"/>
            <w:vAlign w:val="bottom"/>
            <w:shd w:val="clear" w:color="auto" w:fill="DCE2EF"/>
          </w:tcPr>
          <w:p>
            <w:pPr>
              <w:spacing w:after="0"/>
              <w:rPr>
                <w:sz w:val="16"/>
                <w:szCs w:val="16"/>
                <w:color w:val="auto"/>
              </w:rPr>
            </w:pPr>
          </w:p>
        </w:tc>
        <w:tc>
          <w:tcPr>
            <w:tcW w:w="7060" w:type="dxa"/>
            <w:vAlign w:val="bottom"/>
            <w:shd w:val="clear" w:color="auto" w:fill="DCE2EF"/>
          </w:tcPr>
          <w:p>
            <w:pPr>
              <w:ind w:left="20"/>
              <w:spacing w:after="0"/>
              <w:rPr>
                <w:sz w:val="20"/>
                <w:szCs w:val="20"/>
                <w:color w:val="auto"/>
              </w:rPr>
            </w:pPr>
            <w:r>
              <w:rPr>
                <w:rFonts w:ascii="Arial" w:cs="Arial" w:eastAsia="Arial" w:hAnsi="Arial"/>
                <w:sz w:val="16"/>
                <w:szCs w:val="16"/>
                <w:color w:val="auto"/>
              </w:rPr>
              <w:t>President and Chief Executive Officer of ABM since March 2015; Executive Vice President of</w:t>
            </w:r>
          </w:p>
        </w:tc>
        <w:tc>
          <w:tcPr>
            <w:tcW w:w="0" w:type="dxa"/>
            <w:vAlign w:val="bottom"/>
          </w:tcPr>
          <w:p>
            <w:pPr>
              <w:spacing w:after="0"/>
              <w:rPr>
                <w:sz w:val="1"/>
                <w:szCs w:val="1"/>
                <w:color w:val="auto"/>
              </w:rPr>
            </w:pPr>
          </w:p>
        </w:tc>
      </w:tr>
      <w:tr>
        <w:trPr>
          <w:trHeight w:val="111"/>
        </w:trPr>
        <w:tc>
          <w:tcPr>
            <w:tcW w:w="3100" w:type="dxa"/>
            <w:vAlign w:val="bottom"/>
            <w:gridSpan w:val="2"/>
            <w:vMerge w:val="continue"/>
            <w:shd w:val="clear" w:color="auto" w:fill="DCE2EF"/>
          </w:tcPr>
          <w:p>
            <w:pPr>
              <w:spacing w:after="0"/>
              <w:rPr>
                <w:sz w:val="9"/>
                <w:szCs w:val="9"/>
                <w:color w:val="auto"/>
              </w:rPr>
            </w:pPr>
          </w:p>
        </w:tc>
        <w:tc>
          <w:tcPr>
            <w:tcW w:w="1140" w:type="dxa"/>
            <w:vAlign w:val="bottom"/>
            <w:shd w:val="clear" w:color="auto" w:fill="DCE2EF"/>
          </w:tcPr>
          <w:p>
            <w:pPr>
              <w:spacing w:after="0"/>
              <w:rPr>
                <w:sz w:val="9"/>
                <w:szCs w:val="9"/>
                <w:color w:val="auto"/>
              </w:rPr>
            </w:pPr>
          </w:p>
        </w:tc>
        <w:tc>
          <w:tcPr>
            <w:tcW w:w="120" w:type="dxa"/>
            <w:vAlign w:val="bottom"/>
            <w:shd w:val="clear" w:color="auto" w:fill="DCE2EF"/>
          </w:tcPr>
          <w:p>
            <w:pPr>
              <w:spacing w:after="0"/>
              <w:rPr>
                <w:sz w:val="9"/>
                <w:szCs w:val="9"/>
                <w:color w:val="auto"/>
              </w:rPr>
            </w:pPr>
          </w:p>
        </w:tc>
        <w:tc>
          <w:tcPr>
            <w:tcW w:w="7060" w:type="dxa"/>
            <w:vAlign w:val="bottom"/>
            <w:vMerge w:val="restart"/>
            <w:shd w:val="clear" w:color="auto" w:fill="DCE2EF"/>
          </w:tcPr>
          <w:p>
            <w:pPr>
              <w:ind w:left="20"/>
              <w:spacing w:after="0"/>
              <w:rPr>
                <w:sz w:val="20"/>
                <w:szCs w:val="20"/>
                <w:color w:val="auto"/>
              </w:rPr>
            </w:pPr>
            <w:r>
              <w:rPr>
                <w:rFonts w:ascii="Arial" w:cs="Arial" w:eastAsia="Arial" w:hAnsi="Arial"/>
                <w:sz w:val="16"/>
                <w:szCs w:val="16"/>
                <w:color w:val="auto"/>
              </w:rPr>
              <w:t>ABM from September 2014 to March 2015, with global responsibility for ABM’s Aviation division</w:t>
            </w:r>
          </w:p>
        </w:tc>
        <w:tc>
          <w:tcPr>
            <w:tcW w:w="0" w:type="dxa"/>
            <w:vAlign w:val="bottom"/>
          </w:tcPr>
          <w:p>
            <w:pPr>
              <w:spacing w:after="0"/>
              <w:rPr>
                <w:sz w:val="1"/>
                <w:szCs w:val="1"/>
                <w:color w:val="auto"/>
              </w:rPr>
            </w:pPr>
          </w:p>
        </w:tc>
      </w:tr>
      <w:tr>
        <w:trPr>
          <w:trHeight w:val="78"/>
        </w:trPr>
        <w:tc>
          <w:tcPr>
            <w:tcW w:w="2980" w:type="dxa"/>
            <w:vAlign w:val="bottom"/>
            <w:shd w:val="clear" w:color="auto" w:fill="DCE2EF"/>
          </w:tcPr>
          <w:p>
            <w:pPr>
              <w:spacing w:after="0"/>
              <w:rPr>
                <w:sz w:val="6"/>
                <w:szCs w:val="6"/>
                <w:color w:val="auto"/>
              </w:rPr>
            </w:pPr>
          </w:p>
        </w:tc>
        <w:tc>
          <w:tcPr>
            <w:tcW w:w="120" w:type="dxa"/>
            <w:vAlign w:val="bottom"/>
            <w:shd w:val="clear" w:color="auto" w:fill="DCE2EF"/>
          </w:tcPr>
          <w:p>
            <w:pPr>
              <w:spacing w:after="0"/>
              <w:rPr>
                <w:sz w:val="6"/>
                <w:szCs w:val="6"/>
                <w:color w:val="auto"/>
              </w:rPr>
            </w:pPr>
          </w:p>
        </w:tc>
        <w:tc>
          <w:tcPr>
            <w:tcW w:w="1140" w:type="dxa"/>
            <w:vAlign w:val="bottom"/>
            <w:shd w:val="clear" w:color="auto" w:fill="DCE2EF"/>
          </w:tcPr>
          <w:p>
            <w:pPr>
              <w:spacing w:after="0"/>
              <w:rPr>
                <w:sz w:val="6"/>
                <w:szCs w:val="6"/>
                <w:color w:val="auto"/>
              </w:rPr>
            </w:pPr>
          </w:p>
        </w:tc>
        <w:tc>
          <w:tcPr>
            <w:tcW w:w="120" w:type="dxa"/>
            <w:vAlign w:val="bottom"/>
            <w:shd w:val="clear" w:color="auto" w:fill="DCE2EF"/>
          </w:tcPr>
          <w:p>
            <w:pPr>
              <w:spacing w:after="0"/>
              <w:rPr>
                <w:sz w:val="6"/>
                <w:szCs w:val="6"/>
                <w:color w:val="auto"/>
              </w:rPr>
            </w:pPr>
          </w:p>
        </w:tc>
        <w:tc>
          <w:tcPr>
            <w:tcW w:w="7060" w:type="dxa"/>
            <w:vAlign w:val="bottom"/>
            <w:vMerge w:val="continue"/>
            <w:shd w:val="clear" w:color="auto" w:fill="DCE2EF"/>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9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14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7060" w:type="dxa"/>
            <w:vAlign w:val="bottom"/>
            <w:shd w:val="clear" w:color="auto" w:fill="DCE2EF"/>
          </w:tcPr>
          <w:p>
            <w:pPr>
              <w:ind w:left="20"/>
              <w:spacing w:after="0"/>
              <w:rPr>
                <w:sz w:val="20"/>
                <w:szCs w:val="20"/>
                <w:color w:val="auto"/>
              </w:rPr>
            </w:pPr>
            <w:r>
              <w:rPr>
                <w:rFonts w:ascii="Arial" w:cs="Arial" w:eastAsia="Arial" w:hAnsi="Arial"/>
                <w:sz w:val="16"/>
                <w:szCs w:val="16"/>
                <w:color w:val="auto"/>
              </w:rPr>
              <w:t>and all international activities; Executive Vice President of ABM’s Onsite Services division</w:t>
            </w:r>
          </w:p>
        </w:tc>
        <w:tc>
          <w:tcPr>
            <w:tcW w:w="0" w:type="dxa"/>
            <w:vAlign w:val="bottom"/>
          </w:tcPr>
          <w:p>
            <w:pPr>
              <w:spacing w:after="0"/>
              <w:rPr>
                <w:sz w:val="1"/>
                <w:szCs w:val="1"/>
                <w:color w:val="auto"/>
              </w:rPr>
            </w:pPr>
          </w:p>
        </w:tc>
      </w:tr>
      <w:tr>
        <w:trPr>
          <w:trHeight w:val="189"/>
        </w:trPr>
        <w:tc>
          <w:tcPr>
            <w:tcW w:w="29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14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7060" w:type="dxa"/>
            <w:vAlign w:val="bottom"/>
            <w:shd w:val="clear" w:color="auto" w:fill="DCE2EF"/>
          </w:tcPr>
          <w:p>
            <w:pPr>
              <w:ind w:left="20"/>
              <w:spacing w:after="0"/>
              <w:rPr>
                <w:sz w:val="20"/>
                <w:szCs w:val="20"/>
                <w:color w:val="auto"/>
              </w:rPr>
            </w:pPr>
            <w:r>
              <w:rPr>
                <w:rFonts w:ascii="Arial" w:cs="Arial" w:eastAsia="Arial" w:hAnsi="Arial"/>
                <w:sz w:val="16"/>
                <w:szCs w:val="16"/>
                <w:color w:val="auto"/>
              </w:rPr>
              <w:t>focused on the Northeast from 2003 to September 2014; Member of the Board of Directors of</w:t>
            </w:r>
          </w:p>
        </w:tc>
        <w:tc>
          <w:tcPr>
            <w:tcW w:w="0" w:type="dxa"/>
            <w:vAlign w:val="bottom"/>
          </w:tcPr>
          <w:p>
            <w:pPr>
              <w:spacing w:after="0"/>
              <w:rPr>
                <w:sz w:val="1"/>
                <w:szCs w:val="1"/>
                <w:color w:val="auto"/>
              </w:rPr>
            </w:pPr>
          </w:p>
        </w:tc>
      </w:tr>
      <w:tr>
        <w:trPr>
          <w:trHeight w:val="234"/>
        </w:trPr>
        <w:tc>
          <w:tcPr>
            <w:tcW w:w="2980" w:type="dxa"/>
            <w:vAlign w:val="bottom"/>
            <w:shd w:val="clear" w:color="auto" w:fill="DCE2EF"/>
          </w:tcPr>
          <w:p>
            <w:pPr>
              <w:spacing w:after="0"/>
              <w:rPr>
                <w:sz w:val="20"/>
                <w:szCs w:val="20"/>
                <w:color w:val="auto"/>
              </w:rPr>
            </w:pPr>
          </w:p>
        </w:tc>
        <w:tc>
          <w:tcPr>
            <w:tcW w:w="120" w:type="dxa"/>
            <w:vAlign w:val="bottom"/>
            <w:shd w:val="clear" w:color="auto" w:fill="DCE2EF"/>
          </w:tcPr>
          <w:p>
            <w:pPr>
              <w:spacing w:after="0"/>
              <w:rPr>
                <w:sz w:val="20"/>
                <w:szCs w:val="20"/>
                <w:color w:val="auto"/>
              </w:rPr>
            </w:pPr>
          </w:p>
        </w:tc>
        <w:tc>
          <w:tcPr>
            <w:tcW w:w="1140" w:type="dxa"/>
            <w:vAlign w:val="bottom"/>
            <w:shd w:val="clear" w:color="auto" w:fill="DCE2EF"/>
          </w:tcPr>
          <w:p>
            <w:pPr>
              <w:spacing w:after="0"/>
              <w:rPr>
                <w:sz w:val="20"/>
                <w:szCs w:val="20"/>
                <w:color w:val="auto"/>
              </w:rPr>
            </w:pPr>
          </w:p>
        </w:tc>
        <w:tc>
          <w:tcPr>
            <w:tcW w:w="120" w:type="dxa"/>
            <w:vAlign w:val="bottom"/>
            <w:shd w:val="clear" w:color="auto" w:fill="DCE2EF"/>
          </w:tcPr>
          <w:p>
            <w:pPr>
              <w:spacing w:after="0"/>
              <w:rPr>
                <w:sz w:val="20"/>
                <w:szCs w:val="20"/>
                <w:color w:val="auto"/>
              </w:rPr>
            </w:pPr>
          </w:p>
        </w:tc>
        <w:tc>
          <w:tcPr>
            <w:tcW w:w="7060" w:type="dxa"/>
            <w:vAlign w:val="bottom"/>
            <w:shd w:val="clear" w:color="auto" w:fill="DCE2EF"/>
          </w:tcPr>
          <w:p>
            <w:pPr>
              <w:ind w:left="20"/>
              <w:spacing w:after="0"/>
              <w:rPr>
                <w:sz w:val="20"/>
                <w:szCs w:val="20"/>
                <w:color w:val="auto"/>
              </w:rPr>
            </w:pPr>
            <w:r>
              <w:rPr>
                <w:rFonts w:ascii="Arial" w:cs="Arial" w:eastAsia="Arial" w:hAnsi="Arial"/>
                <w:sz w:val="16"/>
                <w:szCs w:val="16"/>
                <w:color w:val="auto"/>
              </w:rPr>
              <w:t>ABM since January 2015.</w:t>
            </w:r>
          </w:p>
        </w:tc>
        <w:tc>
          <w:tcPr>
            <w:tcW w:w="0" w:type="dxa"/>
            <w:vAlign w:val="bottom"/>
          </w:tcPr>
          <w:p>
            <w:pPr>
              <w:spacing w:after="0"/>
              <w:rPr>
                <w:sz w:val="1"/>
                <w:szCs w:val="1"/>
                <w:color w:val="auto"/>
              </w:rPr>
            </w:pPr>
          </w:p>
        </w:tc>
      </w:tr>
      <w:tr>
        <w:trPr>
          <w:trHeight w:val="198"/>
        </w:trPr>
        <w:tc>
          <w:tcPr>
            <w:tcW w:w="3100" w:type="dxa"/>
            <w:vAlign w:val="bottom"/>
            <w:gridSpan w:val="2"/>
          </w:tcPr>
          <w:p>
            <w:pPr>
              <w:ind w:left="40"/>
              <w:spacing w:after="0"/>
              <w:rPr>
                <w:sz w:val="20"/>
                <w:szCs w:val="20"/>
                <w:color w:val="auto"/>
              </w:rPr>
            </w:pPr>
            <w:r>
              <w:rPr>
                <w:rFonts w:ascii="Arial" w:cs="Arial" w:eastAsia="Arial" w:hAnsi="Arial"/>
                <w:sz w:val="16"/>
                <w:szCs w:val="16"/>
                <w:color w:val="auto"/>
              </w:rPr>
              <w:t>D. Anthony Scaglione</w:t>
            </w:r>
          </w:p>
        </w:tc>
        <w:tc>
          <w:tcPr>
            <w:tcW w:w="1140" w:type="dxa"/>
            <w:vAlign w:val="bottom"/>
          </w:tcPr>
          <w:p>
            <w:pPr>
              <w:jc w:val="center"/>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7"/>
                <w:szCs w:val="17"/>
                <w:color w:val="auto"/>
              </w:rPr>
            </w:pPr>
          </w:p>
        </w:tc>
        <w:tc>
          <w:tcPr>
            <w:tcW w:w="7060" w:type="dxa"/>
            <w:vAlign w:val="bottom"/>
          </w:tcPr>
          <w:p>
            <w:pPr>
              <w:ind w:left="20"/>
              <w:spacing w:after="0"/>
              <w:rPr>
                <w:sz w:val="20"/>
                <w:szCs w:val="20"/>
                <w:color w:val="auto"/>
              </w:rPr>
            </w:pPr>
            <w:r>
              <w:rPr>
                <w:rFonts w:ascii="Arial" w:cs="Arial" w:eastAsia="Arial" w:hAnsi="Arial"/>
                <w:sz w:val="16"/>
                <w:szCs w:val="16"/>
                <w:color w:val="auto"/>
              </w:rPr>
              <w:t>Executive Vice President and Chief Financial Officer of ABM since April 2015; Senior Vice</w:t>
            </w:r>
          </w:p>
        </w:tc>
        <w:tc>
          <w:tcPr>
            <w:tcW w:w="0" w:type="dxa"/>
            <w:vAlign w:val="bottom"/>
          </w:tcPr>
          <w:p>
            <w:pPr>
              <w:spacing w:after="0"/>
              <w:rPr>
                <w:sz w:val="1"/>
                <w:szCs w:val="1"/>
                <w:color w:val="auto"/>
              </w:rPr>
            </w:pPr>
          </w:p>
        </w:tc>
      </w:tr>
      <w:tr>
        <w:trPr>
          <w:trHeight w:val="189"/>
        </w:trPr>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60" w:type="dxa"/>
            <w:vAlign w:val="bottom"/>
          </w:tcPr>
          <w:p>
            <w:pPr>
              <w:ind w:left="20"/>
              <w:spacing w:after="0"/>
              <w:rPr>
                <w:sz w:val="20"/>
                <w:szCs w:val="20"/>
                <w:color w:val="auto"/>
              </w:rPr>
            </w:pPr>
            <w:r>
              <w:rPr>
                <w:rFonts w:ascii="Arial" w:cs="Arial" w:eastAsia="Arial" w:hAnsi="Arial"/>
                <w:sz w:val="16"/>
                <w:szCs w:val="16"/>
                <w:color w:val="auto"/>
              </w:rPr>
              <w:t>President, Treasurer, and Head of Mergers and Acquisitions of ABM from January 2012 to April</w:t>
            </w:r>
          </w:p>
        </w:tc>
        <w:tc>
          <w:tcPr>
            <w:tcW w:w="0" w:type="dxa"/>
            <w:vAlign w:val="bottom"/>
          </w:tcPr>
          <w:p>
            <w:pPr>
              <w:spacing w:after="0"/>
              <w:rPr>
                <w:sz w:val="1"/>
                <w:szCs w:val="1"/>
                <w:color w:val="auto"/>
              </w:rPr>
            </w:pPr>
          </w:p>
        </w:tc>
      </w:tr>
      <w:tr>
        <w:trPr>
          <w:trHeight w:val="189"/>
        </w:trPr>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60" w:type="dxa"/>
            <w:vAlign w:val="bottom"/>
          </w:tcPr>
          <w:p>
            <w:pPr>
              <w:ind w:left="20"/>
              <w:spacing w:after="0"/>
              <w:rPr>
                <w:sz w:val="20"/>
                <w:szCs w:val="20"/>
                <w:color w:val="auto"/>
              </w:rPr>
            </w:pPr>
            <w:r>
              <w:rPr>
                <w:rFonts w:ascii="Arial" w:cs="Arial" w:eastAsia="Arial" w:hAnsi="Arial"/>
                <w:sz w:val="16"/>
                <w:szCs w:val="16"/>
                <w:color w:val="auto"/>
              </w:rPr>
              <w:t>2015; Vice President and Treasurer of ABM from June 2009 to January 2012; Chairman of the</w:t>
            </w:r>
          </w:p>
        </w:tc>
        <w:tc>
          <w:tcPr>
            <w:tcW w:w="0" w:type="dxa"/>
            <w:vAlign w:val="bottom"/>
          </w:tcPr>
          <w:p>
            <w:pPr>
              <w:spacing w:after="0"/>
              <w:rPr>
                <w:sz w:val="1"/>
                <w:szCs w:val="1"/>
                <w:color w:val="auto"/>
              </w:rPr>
            </w:pPr>
          </w:p>
        </w:tc>
      </w:tr>
      <w:tr>
        <w:trPr>
          <w:trHeight w:val="189"/>
        </w:trPr>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60" w:type="dxa"/>
            <w:vAlign w:val="bottom"/>
          </w:tcPr>
          <w:p>
            <w:pPr>
              <w:ind w:left="20"/>
              <w:spacing w:after="0"/>
              <w:rPr>
                <w:sz w:val="20"/>
                <w:szCs w:val="20"/>
                <w:color w:val="auto"/>
              </w:rPr>
            </w:pPr>
            <w:r>
              <w:rPr>
                <w:rFonts w:ascii="Arial" w:cs="Arial" w:eastAsia="Arial" w:hAnsi="Arial"/>
                <w:sz w:val="16"/>
                <w:szCs w:val="16"/>
                <w:color w:val="auto"/>
              </w:rPr>
              <w:t>Board  of  the  Association  for  Financial  Professionals  (AFP),  the  professional  society  that</w:t>
            </w:r>
          </w:p>
        </w:tc>
        <w:tc>
          <w:tcPr>
            <w:tcW w:w="0" w:type="dxa"/>
            <w:vAlign w:val="bottom"/>
          </w:tcPr>
          <w:p>
            <w:pPr>
              <w:spacing w:after="0"/>
              <w:rPr>
                <w:sz w:val="1"/>
                <w:szCs w:val="1"/>
                <w:color w:val="auto"/>
              </w:rPr>
            </w:pPr>
          </w:p>
        </w:tc>
      </w:tr>
      <w:tr>
        <w:trPr>
          <w:trHeight w:val="226"/>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60" w:type="dxa"/>
            <w:vAlign w:val="bottom"/>
          </w:tcPr>
          <w:p>
            <w:pPr>
              <w:ind w:left="20"/>
              <w:spacing w:after="0"/>
              <w:rPr>
                <w:sz w:val="20"/>
                <w:szCs w:val="20"/>
                <w:color w:val="auto"/>
              </w:rPr>
            </w:pPr>
            <w:r>
              <w:rPr>
                <w:rFonts w:ascii="Arial" w:cs="Arial" w:eastAsia="Arial" w:hAnsi="Arial"/>
                <w:sz w:val="16"/>
                <w:szCs w:val="16"/>
                <w:color w:val="auto"/>
              </w:rPr>
              <w:t>represents finance executives across the globe, from November 2014 to October 2016.</w:t>
            </w:r>
          </w:p>
        </w:tc>
        <w:tc>
          <w:tcPr>
            <w:tcW w:w="0" w:type="dxa"/>
            <w:vAlign w:val="bottom"/>
          </w:tcPr>
          <w:p>
            <w:pPr>
              <w:spacing w:after="0"/>
              <w:rPr>
                <w:sz w:val="1"/>
                <w:szCs w:val="1"/>
                <w:color w:val="auto"/>
              </w:rPr>
            </w:pPr>
          </w:p>
        </w:tc>
      </w:tr>
      <w:tr>
        <w:trPr>
          <w:trHeight w:val="206"/>
        </w:trPr>
        <w:tc>
          <w:tcPr>
            <w:tcW w:w="3100" w:type="dxa"/>
            <w:vAlign w:val="bottom"/>
            <w:gridSpan w:val="2"/>
            <w:shd w:val="clear" w:color="auto" w:fill="DCE2EF"/>
          </w:tcPr>
          <w:p>
            <w:pPr>
              <w:ind w:left="40"/>
              <w:spacing w:after="0"/>
              <w:rPr>
                <w:sz w:val="20"/>
                <w:szCs w:val="20"/>
                <w:color w:val="auto"/>
              </w:rPr>
            </w:pPr>
            <w:r>
              <w:rPr>
                <w:rFonts w:ascii="Arial" w:cs="Arial" w:eastAsia="Arial" w:hAnsi="Arial"/>
                <w:sz w:val="16"/>
                <w:szCs w:val="16"/>
                <w:color w:val="auto"/>
              </w:rPr>
              <w:t>Andrew D. Block</w:t>
            </w:r>
          </w:p>
        </w:tc>
        <w:tc>
          <w:tcPr>
            <w:tcW w:w="1140" w:type="dxa"/>
            <w:vAlign w:val="bottom"/>
            <w:shd w:val="clear" w:color="auto" w:fill="DCE2EF"/>
          </w:tcPr>
          <w:p>
            <w:pPr>
              <w:jc w:val="center"/>
              <w:spacing w:after="0"/>
              <w:rPr>
                <w:sz w:val="20"/>
                <w:szCs w:val="20"/>
                <w:color w:val="auto"/>
              </w:rPr>
            </w:pPr>
            <w:r>
              <w:rPr>
                <w:rFonts w:ascii="Arial" w:cs="Arial" w:eastAsia="Arial" w:hAnsi="Arial"/>
                <w:sz w:val="16"/>
                <w:szCs w:val="16"/>
                <w:color w:val="auto"/>
              </w:rPr>
              <w:t>51</w:t>
            </w:r>
          </w:p>
        </w:tc>
        <w:tc>
          <w:tcPr>
            <w:tcW w:w="120" w:type="dxa"/>
            <w:vAlign w:val="bottom"/>
            <w:shd w:val="clear" w:color="auto" w:fill="DCE2EF"/>
          </w:tcPr>
          <w:p>
            <w:pPr>
              <w:spacing w:after="0"/>
              <w:rPr>
                <w:sz w:val="17"/>
                <w:szCs w:val="17"/>
                <w:color w:val="auto"/>
              </w:rPr>
            </w:pPr>
          </w:p>
        </w:tc>
        <w:tc>
          <w:tcPr>
            <w:tcW w:w="7060" w:type="dxa"/>
            <w:vAlign w:val="bottom"/>
            <w:shd w:val="clear" w:color="auto" w:fill="DCE2EF"/>
          </w:tcPr>
          <w:p>
            <w:pPr>
              <w:ind w:left="20"/>
              <w:spacing w:after="0"/>
              <w:rPr>
                <w:sz w:val="20"/>
                <w:szCs w:val="20"/>
                <w:color w:val="auto"/>
              </w:rPr>
            </w:pPr>
            <w:r>
              <w:rPr>
                <w:rFonts w:ascii="Arial" w:cs="Arial" w:eastAsia="Arial" w:hAnsi="Arial"/>
                <w:sz w:val="16"/>
                <w:szCs w:val="16"/>
                <w:color w:val="auto"/>
              </w:rPr>
              <w:t>Executive Vice President and Chief Human Resources Officer of ABM since June 2018; Senior</w:t>
            </w:r>
          </w:p>
        </w:tc>
        <w:tc>
          <w:tcPr>
            <w:tcW w:w="0" w:type="dxa"/>
            <w:vAlign w:val="bottom"/>
          </w:tcPr>
          <w:p>
            <w:pPr>
              <w:spacing w:after="0"/>
              <w:rPr>
                <w:sz w:val="1"/>
                <w:szCs w:val="1"/>
                <w:color w:val="auto"/>
              </w:rPr>
            </w:pPr>
          </w:p>
        </w:tc>
      </w:tr>
      <w:tr>
        <w:trPr>
          <w:trHeight w:val="189"/>
        </w:trPr>
        <w:tc>
          <w:tcPr>
            <w:tcW w:w="29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14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7060" w:type="dxa"/>
            <w:vAlign w:val="bottom"/>
            <w:shd w:val="clear" w:color="auto" w:fill="DCE2EF"/>
          </w:tcPr>
          <w:p>
            <w:pPr>
              <w:ind w:left="20"/>
              <w:spacing w:after="0"/>
              <w:rPr>
                <w:sz w:val="20"/>
                <w:szCs w:val="20"/>
                <w:color w:val="auto"/>
              </w:rPr>
            </w:pPr>
            <w:r>
              <w:rPr>
                <w:rFonts w:ascii="Arial" w:cs="Arial" w:eastAsia="Arial" w:hAnsi="Arial"/>
                <w:sz w:val="16"/>
                <w:szCs w:val="16"/>
                <w:color w:val="auto"/>
              </w:rPr>
              <w:t>Vice President, Talent and Organizational Performance (Chief HR Officer) of Buffalo Wild Wings,</w:t>
            </w:r>
          </w:p>
        </w:tc>
        <w:tc>
          <w:tcPr>
            <w:tcW w:w="0" w:type="dxa"/>
            <w:vAlign w:val="bottom"/>
          </w:tcPr>
          <w:p>
            <w:pPr>
              <w:spacing w:after="0"/>
              <w:rPr>
                <w:sz w:val="1"/>
                <w:szCs w:val="1"/>
                <w:color w:val="auto"/>
              </w:rPr>
            </w:pPr>
          </w:p>
        </w:tc>
      </w:tr>
      <w:tr>
        <w:trPr>
          <w:trHeight w:val="189"/>
        </w:trPr>
        <w:tc>
          <w:tcPr>
            <w:tcW w:w="29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14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7060" w:type="dxa"/>
            <w:vAlign w:val="bottom"/>
            <w:shd w:val="clear" w:color="auto" w:fill="DCE2EF"/>
          </w:tcPr>
          <w:p>
            <w:pPr>
              <w:ind w:left="20"/>
              <w:spacing w:after="0"/>
              <w:rPr>
                <w:sz w:val="20"/>
                <w:szCs w:val="20"/>
                <w:color w:val="auto"/>
              </w:rPr>
            </w:pPr>
            <w:r>
              <w:rPr>
                <w:rFonts w:ascii="Arial" w:cs="Arial" w:eastAsia="Arial" w:hAnsi="Arial"/>
                <w:sz w:val="16"/>
                <w:szCs w:val="16"/>
                <w:color w:val="auto"/>
              </w:rPr>
              <w:t>Inc. from April 2010 to June 2018; Director of Human Resources of C.H. Robinson Worldwide,</w:t>
            </w:r>
          </w:p>
        </w:tc>
        <w:tc>
          <w:tcPr>
            <w:tcW w:w="0" w:type="dxa"/>
            <w:vAlign w:val="bottom"/>
          </w:tcPr>
          <w:p>
            <w:pPr>
              <w:spacing w:after="0"/>
              <w:rPr>
                <w:sz w:val="1"/>
                <w:szCs w:val="1"/>
                <w:color w:val="auto"/>
              </w:rPr>
            </w:pPr>
          </w:p>
        </w:tc>
      </w:tr>
      <w:tr>
        <w:trPr>
          <w:trHeight w:val="234"/>
        </w:trPr>
        <w:tc>
          <w:tcPr>
            <w:tcW w:w="2980" w:type="dxa"/>
            <w:vAlign w:val="bottom"/>
            <w:shd w:val="clear" w:color="auto" w:fill="DCE2EF"/>
          </w:tcPr>
          <w:p>
            <w:pPr>
              <w:spacing w:after="0"/>
              <w:rPr>
                <w:sz w:val="20"/>
                <w:szCs w:val="20"/>
                <w:color w:val="auto"/>
              </w:rPr>
            </w:pPr>
          </w:p>
        </w:tc>
        <w:tc>
          <w:tcPr>
            <w:tcW w:w="120" w:type="dxa"/>
            <w:vAlign w:val="bottom"/>
            <w:shd w:val="clear" w:color="auto" w:fill="DCE2EF"/>
          </w:tcPr>
          <w:p>
            <w:pPr>
              <w:spacing w:after="0"/>
              <w:rPr>
                <w:sz w:val="20"/>
                <w:szCs w:val="20"/>
                <w:color w:val="auto"/>
              </w:rPr>
            </w:pPr>
          </w:p>
        </w:tc>
        <w:tc>
          <w:tcPr>
            <w:tcW w:w="1140" w:type="dxa"/>
            <w:vAlign w:val="bottom"/>
            <w:shd w:val="clear" w:color="auto" w:fill="DCE2EF"/>
          </w:tcPr>
          <w:p>
            <w:pPr>
              <w:spacing w:after="0"/>
              <w:rPr>
                <w:sz w:val="20"/>
                <w:szCs w:val="20"/>
                <w:color w:val="auto"/>
              </w:rPr>
            </w:pPr>
          </w:p>
        </w:tc>
        <w:tc>
          <w:tcPr>
            <w:tcW w:w="120" w:type="dxa"/>
            <w:vAlign w:val="bottom"/>
            <w:shd w:val="clear" w:color="auto" w:fill="DCE2EF"/>
          </w:tcPr>
          <w:p>
            <w:pPr>
              <w:spacing w:after="0"/>
              <w:rPr>
                <w:sz w:val="20"/>
                <w:szCs w:val="20"/>
                <w:color w:val="auto"/>
              </w:rPr>
            </w:pPr>
          </w:p>
        </w:tc>
        <w:tc>
          <w:tcPr>
            <w:tcW w:w="7060" w:type="dxa"/>
            <w:vAlign w:val="bottom"/>
            <w:shd w:val="clear" w:color="auto" w:fill="DCE2EF"/>
          </w:tcPr>
          <w:p>
            <w:pPr>
              <w:ind w:left="20"/>
              <w:spacing w:after="0"/>
              <w:rPr>
                <w:sz w:val="20"/>
                <w:szCs w:val="20"/>
                <w:color w:val="auto"/>
              </w:rPr>
            </w:pPr>
            <w:r>
              <w:rPr>
                <w:rFonts w:ascii="Arial" w:cs="Arial" w:eastAsia="Arial" w:hAnsi="Arial"/>
                <w:sz w:val="16"/>
                <w:szCs w:val="16"/>
                <w:color w:val="auto"/>
              </w:rPr>
              <w:t>Inc. from December 2002 to April 2010.</w:t>
            </w:r>
          </w:p>
        </w:tc>
        <w:tc>
          <w:tcPr>
            <w:tcW w:w="0" w:type="dxa"/>
            <w:vAlign w:val="bottom"/>
          </w:tcPr>
          <w:p>
            <w:pPr>
              <w:spacing w:after="0"/>
              <w:rPr>
                <w:sz w:val="1"/>
                <w:szCs w:val="1"/>
                <w:color w:val="auto"/>
              </w:rPr>
            </w:pPr>
          </w:p>
        </w:tc>
      </w:tr>
      <w:tr>
        <w:trPr>
          <w:trHeight w:val="198"/>
        </w:trPr>
        <w:tc>
          <w:tcPr>
            <w:tcW w:w="3100" w:type="dxa"/>
            <w:vAlign w:val="bottom"/>
            <w:gridSpan w:val="2"/>
          </w:tcPr>
          <w:p>
            <w:pPr>
              <w:ind w:left="40"/>
              <w:spacing w:after="0"/>
              <w:rPr>
                <w:sz w:val="20"/>
                <w:szCs w:val="20"/>
                <w:color w:val="auto"/>
              </w:rPr>
            </w:pPr>
            <w:r>
              <w:rPr>
                <w:rFonts w:ascii="Arial" w:cs="Arial" w:eastAsia="Arial" w:hAnsi="Arial"/>
                <w:sz w:val="16"/>
                <w:szCs w:val="16"/>
                <w:color w:val="auto"/>
              </w:rPr>
              <w:t>Joshua H. Feinberg</w:t>
            </w:r>
          </w:p>
        </w:tc>
        <w:tc>
          <w:tcPr>
            <w:tcW w:w="1140" w:type="dxa"/>
            <w:vAlign w:val="bottom"/>
          </w:tcPr>
          <w:p>
            <w:pPr>
              <w:jc w:val="center"/>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7"/>
                <w:szCs w:val="17"/>
                <w:color w:val="auto"/>
              </w:rPr>
            </w:pPr>
          </w:p>
        </w:tc>
        <w:tc>
          <w:tcPr>
            <w:tcW w:w="7060" w:type="dxa"/>
            <w:vAlign w:val="bottom"/>
          </w:tcPr>
          <w:p>
            <w:pPr>
              <w:ind w:left="20"/>
              <w:spacing w:after="0"/>
              <w:rPr>
                <w:sz w:val="20"/>
                <w:szCs w:val="20"/>
                <w:color w:val="auto"/>
              </w:rPr>
            </w:pPr>
            <w:r>
              <w:rPr>
                <w:rFonts w:ascii="Arial" w:cs="Arial" w:eastAsia="Arial" w:hAnsi="Arial"/>
                <w:sz w:val="16"/>
                <w:szCs w:val="16"/>
                <w:color w:val="auto"/>
              </w:rPr>
              <w:t>Executive Vice President, Chief Strategy and Transformation Officer of ABM since November</w:t>
            </w:r>
          </w:p>
        </w:tc>
        <w:tc>
          <w:tcPr>
            <w:tcW w:w="0" w:type="dxa"/>
            <w:vAlign w:val="bottom"/>
          </w:tcPr>
          <w:p>
            <w:pPr>
              <w:spacing w:after="0"/>
              <w:rPr>
                <w:sz w:val="1"/>
                <w:szCs w:val="1"/>
                <w:color w:val="auto"/>
              </w:rPr>
            </w:pPr>
          </w:p>
        </w:tc>
      </w:tr>
      <w:tr>
        <w:trPr>
          <w:trHeight w:val="189"/>
        </w:trPr>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60" w:type="dxa"/>
            <w:vAlign w:val="bottom"/>
          </w:tcPr>
          <w:p>
            <w:pPr>
              <w:ind w:left="20"/>
              <w:spacing w:after="0"/>
              <w:rPr>
                <w:sz w:val="20"/>
                <w:szCs w:val="20"/>
                <w:color w:val="auto"/>
              </w:rPr>
            </w:pPr>
            <w:r>
              <w:rPr>
                <w:rFonts w:ascii="Arial" w:cs="Arial" w:eastAsia="Arial" w:hAnsi="Arial"/>
                <w:sz w:val="16"/>
                <w:szCs w:val="16"/>
                <w:color w:val="auto"/>
              </w:rPr>
              <w:t>2019; Managing Director and Partner of The Boston Consulting Group from July 2014 to</w:t>
            </w:r>
          </w:p>
        </w:tc>
        <w:tc>
          <w:tcPr>
            <w:tcW w:w="0" w:type="dxa"/>
            <w:vAlign w:val="bottom"/>
          </w:tcPr>
          <w:p>
            <w:pPr>
              <w:spacing w:after="0"/>
              <w:rPr>
                <w:sz w:val="1"/>
                <w:szCs w:val="1"/>
                <w:color w:val="auto"/>
              </w:rPr>
            </w:pPr>
          </w:p>
        </w:tc>
      </w:tr>
      <w:tr>
        <w:trPr>
          <w:trHeight w:val="189"/>
        </w:trPr>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60" w:type="dxa"/>
            <w:vAlign w:val="bottom"/>
          </w:tcPr>
          <w:p>
            <w:pPr>
              <w:ind w:left="20"/>
              <w:spacing w:after="0"/>
              <w:rPr>
                <w:sz w:val="20"/>
                <w:szCs w:val="20"/>
                <w:color w:val="auto"/>
              </w:rPr>
            </w:pPr>
            <w:r>
              <w:rPr>
                <w:rFonts w:ascii="Arial" w:cs="Arial" w:eastAsia="Arial" w:hAnsi="Arial"/>
                <w:sz w:val="16"/>
                <w:szCs w:val="16"/>
                <w:color w:val="auto"/>
              </w:rPr>
              <w:t>November 2019; Principal of The Boston Consulting Group from February 2011 to July 2014;</w:t>
            </w:r>
          </w:p>
        </w:tc>
        <w:tc>
          <w:tcPr>
            <w:tcW w:w="0" w:type="dxa"/>
            <w:vAlign w:val="bottom"/>
          </w:tcPr>
          <w:p>
            <w:pPr>
              <w:spacing w:after="0"/>
              <w:rPr>
                <w:sz w:val="1"/>
                <w:szCs w:val="1"/>
                <w:color w:val="auto"/>
              </w:rPr>
            </w:pPr>
          </w:p>
        </w:tc>
      </w:tr>
      <w:tr>
        <w:trPr>
          <w:trHeight w:val="226"/>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60" w:type="dxa"/>
            <w:vAlign w:val="bottom"/>
          </w:tcPr>
          <w:p>
            <w:pPr>
              <w:ind w:left="20"/>
              <w:spacing w:after="0"/>
              <w:rPr>
                <w:sz w:val="20"/>
                <w:szCs w:val="20"/>
                <w:color w:val="auto"/>
              </w:rPr>
            </w:pPr>
            <w:r>
              <w:rPr>
                <w:rFonts w:ascii="Arial" w:cs="Arial" w:eastAsia="Arial" w:hAnsi="Arial"/>
                <w:sz w:val="16"/>
                <w:szCs w:val="16"/>
                <w:color w:val="auto"/>
              </w:rPr>
              <w:t>Project Leader of The Boston Consulting Group from August 2009 to February 2011.</w:t>
            </w:r>
          </w:p>
        </w:tc>
        <w:tc>
          <w:tcPr>
            <w:tcW w:w="0" w:type="dxa"/>
            <w:vAlign w:val="bottom"/>
          </w:tcPr>
          <w:p>
            <w:pPr>
              <w:spacing w:after="0"/>
              <w:rPr>
                <w:sz w:val="1"/>
                <w:szCs w:val="1"/>
                <w:color w:val="auto"/>
              </w:rPr>
            </w:pPr>
          </w:p>
        </w:tc>
      </w:tr>
      <w:tr>
        <w:trPr>
          <w:trHeight w:val="206"/>
        </w:trPr>
        <w:tc>
          <w:tcPr>
            <w:tcW w:w="3100" w:type="dxa"/>
            <w:vAlign w:val="bottom"/>
            <w:gridSpan w:val="2"/>
            <w:shd w:val="clear" w:color="auto" w:fill="DCE2EF"/>
          </w:tcPr>
          <w:p>
            <w:pPr>
              <w:ind w:left="40"/>
              <w:spacing w:after="0"/>
              <w:rPr>
                <w:sz w:val="20"/>
                <w:szCs w:val="20"/>
                <w:color w:val="auto"/>
              </w:rPr>
            </w:pPr>
            <w:r>
              <w:rPr>
                <w:rFonts w:ascii="Arial" w:cs="Arial" w:eastAsia="Arial" w:hAnsi="Arial"/>
                <w:sz w:val="16"/>
                <w:szCs w:val="16"/>
                <w:color w:val="auto"/>
              </w:rPr>
              <w:t>Scott Giacobbe</w:t>
            </w:r>
          </w:p>
        </w:tc>
        <w:tc>
          <w:tcPr>
            <w:tcW w:w="1140" w:type="dxa"/>
            <w:vAlign w:val="bottom"/>
            <w:shd w:val="clear" w:color="auto" w:fill="DCE2EF"/>
          </w:tcPr>
          <w:p>
            <w:pPr>
              <w:jc w:val="center"/>
              <w:spacing w:after="0"/>
              <w:rPr>
                <w:sz w:val="20"/>
                <w:szCs w:val="20"/>
                <w:color w:val="auto"/>
              </w:rPr>
            </w:pPr>
            <w:r>
              <w:rPr>
                <w:rFonts w:ascii="Arial" w:cs="Arial" w:eastAsia="Arial" w:hAnsi="Arial"/>
                <w:sz w:val="16"/>
                <w:szCs w:val="16"/>
                <w:color w:val="auto"/>
              </w:rPr>
              <w:t>57</w:t>
            </w:r>
          </w:p>
        </w:tc>
        <w:tc>
          <w:tcPr>
            <w:tcW w:w="120" w:type="dxa"/>
            <w:vAlign w:val="bottom"/>
            <w:shd w:val="clear" w:color="auto" w:fill="DCE2EF"/>
          </w:tcPr>
          <w:p>
            <w:pPr>
              <w:spacing w:after="0"/>
              <w:rPr>
                <w:sz w:val="17"/>
                <w:szCs w:val="17"/>
                <w:color w:val="auto"/>
              </w:rPr>
            </w:pPr>
          </w:p>
        </w:tc>
        <w:tc>
          <w:tcPr>
            <w:tcW w:w="7060" w:type="dxa"/>
            <w:vAlign w:val="bottom"/>
            <w:shd w:val="clear" w:color="auto" w:fill="DCE2EF"/>
          </w:tcPr>
          <w:p>
            <w:pPr>
              <w:ind w:left="20"/>
              <w:spacing w:after="0"/>
              <w:rPr>
                <w:sz w:val="20"/>
                <w:szCs w:val="20"/>
                <w:color w:val="auto"/>
              </w:rPr>
            </w:pPr>
            <w:r>
              <w:rPr>
                <w:rFonts w:ascii="Arial" w:cs="Arial" w:eastAsia="Arial" w:hAnsi="Arial"/>
                <w:sz w:val="16"/>
                <w:szCs w:val="16"/>
                <w:color w:val="auto"/>
              </w:rPr>
              <w:t>Executive Vice President and Chief Revenue Officer of ABM since October 2019; Chief Operating</w:t>
            </w:r>
          </w:p>
        </w:tc>
        <w:tc>
          <w:tcPr>
            <w:tcW w:w="0" w:type="dxa"/>
            <w:vAlign w:val="bottom"/>
          </w:tcPr>
          <w:p>
            <w:pPr>
              <w:spacing w:after="0"/>
              <w:rPr>
                <w:sz w:val="1"/>
                <w:szCs w:val="1"/>
                <w:color w:val="auto"/>
              </w:rPr>
            </w:pPr>
          </w:p>
        </w:tc>
      </w:tr>
      <w:tr>
        <w:trPr>
          <w:trHeight w:val="189"/>
        </w:trPr>
        <w:tc>
          <w:tcPr>
            <w:tcW w:w="29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14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7060" w:type="dxa"/>
            <w:vAlign w:val="bottom"/>
            <w:shd w:val="clear" w:color="auto" w:fill="DCE2EF"/>
          </w:tcPr>
          <w:p>
            <w:pPr>
              <w:ind w:left="20"/>
              <w:spacing w:after="0"/>
              <w:rPr>
                <w:sz w:val="20"/>
                <w:szCs w:val="20"/>
                <w:color w:val="auto"/>
              </w:rPr>
            </w:pPr>
            <w:r>
              <w:rPr>
                <w:rFonts w:ascii="Arial" w:cs="Arial" w:eastAsia="Arial" w:hAnsi="Arial"/>
                <w:sz w:val="16"/>
                <w:szCs w:val="16"/>
                <w:color w:val="auto"/>
              </w:rPr>
              <w:t>Officer of ABM from November 2017 to October 2019; President of ABM’s U.S. Technical</w:t>
            </w:r>
          </w:p>
        </w:tc>
        <w:tc>
          <w:tcPr>
            <w:tcW w:w="0" w:type="dxa"/>
            <w:vAlign w:val="bottom"/>
          </w:tcPr>
          <w:p>
            <w:pPr>
              <w:spacing w:after="0"/>
              <w:rPr>
                <w:sz w:val="1"/>
                <w:szCs w:val="1"/>
                <w:color w:val="auto"/>
              </w:rPr>
            </w:pPr>
          </w:p>
        </w:tc>
      </w:tr>
      <w:tr>
        <w:trPr>
          <w:trHeight w:val="234"/>
        </w:trPr>
        <w:tc>
          <w:tcPr>
            <w:tcW w:w="2980" w:type="dxa"/>
            <w:vAlign w:val="bottom"/>
            <w:shd w:val="clear" w:color="auto" w:fill="DCE2EF"/>
          </w:tcPr>
          <w:p>
            <w:pPr>
              <w:spacing w:after="0"/>
              <w:rPr>
                <w:sz w:val="20"/>
                <w:szCs w:val="20"/>
                <w:color w:val="auto"/>
              </w:rPr>
            </w:pPr>
          </w:p>
        </w:tc>
        <w:tc>
          <w:tcPr>
            <w:tcW w:w="120" w:type="dxa"/>
            <w:vAlign w:val="bottom"/>
            <w:shd w:val="clear" w:color="auto" w:fill="DCE2EF"/>
          </w:tcPr>
          <w:p>
            <w:pPr>
              <w:spacing w:after="0"/>
              <w:rPr>
                <w:sz w:val="20"/>
                <w:szCs w:val="20"/>
                <w:color w:val="auto"/>
              </w:rPr>
            </w:pPr>
          </w:p>
        </w:tc>
        <w:tc>
          <w:tcPr>
            <w:tcW w:w="1140" w:type="dxa"/>
            <w:vAlign w:val="bottom"/>
            <w:shd w:val="clear" w:color="auto" w:fill="DCE2EF"/>
          </w:tcPr>
          <w:p>
            <w:pPr>
              <w:spacing w:after="0"/>
              <w:rPr>
                <w:sz w:val="20"/>
                <w:szCs w:val="20"/>
                <w:color w:val="auto"/>
              </w:rPr>
            </w:pPr>
          </w:p>
        </w:tc>
        <w:tc>
          <w:tcPr>
            <w:tcW w:w="120" w:type="dxa"/>
            <w:vAlign w:val="bottom"/>
            <w:shd w:val="clear" w:color="auto" w:fill="DCE2EF"/>
          </w:tcPr>
          <w:p>
            <w:pPr>
              <w:spacing w:after="0"/>
              <w:rPr>
                <w:sz w:val="20"/>
                <w:szCs w:val="20"/>
                <w:color w:val="auto"/>
              </w:rPr>
            </w:pPr>
          </w:p>
        </w:tc>
        <w:tc>
          <w:tcPr>
            <w:tcW w:w="7060" w:type="dxa"/>
            <w:vAlign w:val="bottom"/>
            <w:shd w:val="clear" w:color="auto" w:fill="DCE2EF"/>
          </w:tcPr>
          <w:p>
            <w:pPr>
              <w:ind w:left="20"/>
              <w:spacing w:after="0"/>
              <w:rPr>
                <w:sz w:val="20"/>
                <w:szCs w:val="20"/>
                <w:color w:val="auto"/>
              </w:rPr>
            </w:pPr>
            <w:r>
              <w:rPr>
                <w:rFonts w:ascii="Arial" w:cs="Arial" w:eastAsia="Arial" w:hAnsi="Arial"/>
                <w:sz w:val="16"/>
                <w:szCs w:val="16"/>
                <w:color w:val="auto"/>
              </w:rPr>
              <w:t>Solutions from November 2010 to November 2017.</w:t>
            </w:r>
          </w:p>
        </w:tc>
        <w:tc>
          <w:tcPr>
            <w:tcW w:w="0" w:type="dxa"/>
            <w:vAlign w:val="bottom"/>
          </w:tcPr>
          <w:p>
            <w:pPr>
              <w:spacing w:after="0"/>
              <w:rPr>
                <w:sz w:val="1"/>
                <w:szCs w:val="1"/>
                <w:color w:val="auto"/>
              </w:rPr>
            </w:pPr>
          </w:p>
        </w:tc>
      </w:tr>
      <w:tr>
        <w:trPr>
          <w:trHeight w:val="198"/>
        </w:trPr>
        <w:tc>
          <w:tcPr>
            <w:tcW w:w="3100" w:type="dxa"/>
            <w:vAlign w:val="bottom"/>
            <w:gridSpan w:val="2"/>
          </w:tcPr>
          <w:p>
            <w:pPr>
              <w:ind w:left="40"/>
              <w:spacing w:after="0"/>
              <w:rPr>
                <w:sz w:val="20"/>
                <w:szCs w:val="20"/>
                <w:color w:val="auto"/>
              </w:rPr>
            </w:pPr>
            <w:r>
              <w:rPr>
                <w:rFonts w:ascii="Arial" w:cs="Arial" w:eastAsia="Arial" w:hAnsi="Arial"/>
                <w:sz w:val="16"/>
                <w:szCs w:val="16"/>
                <w:color w:val="auto"/>
              </w:rPr>
              <w:t>Rene Jacobsen</w:t>
            </w:r>
          </w:p>
        </w:tc>
        <w:tc>
          <w:tcPr>
            <w:tcW w:w="1140" w:type="dxa"/>
            <w:vAlign w:val="bottom"/>
          </w:tcPr>
          <w:p>
            <w:pPr>
              <w:jc w:val="center"/>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7"/>
                <w:szCs w:val="17"/>
                <w:color w:val="auto"/>
              </w:rPr>
            </w:pPr>
          </w:p>
        </w:tc>
        <w:tc>
          <w:tcPr>
            <w:tcW w:w="7060" w:type="dxa"/>
            <w:vAlign w:val="bottom"/>
          </w:tcPr>
          <w:p>
            <w:pPr>
              <w:ind w:left="20"/>
              <w:spacing w:after="0"/>
              <w:rPr>
                <w:sz w:val="20"/>
                <w:szCs w:val="20"/>
                <w:color w:val="auto"/>
              </w:rPr>
            </w:pPr>
            <w:r>
              <w:rPr>
                <w:rFonts w:ascii="Arial" w:cs="Arial" w:eastAsia="Arial" w:hAnsi="Arial"/>
                <w:sz w:val="16"/>
                <w:szCs w:val="16"/>
                <w:color w:val="auto"/>
              </w:rPr>
              <w:t>Executive Vice President and Chief Facilities Services Officer of ABM since October 2019;</w:t>
            </w:r>
          </w:p>
        </w:tc>
        <w:tc>
          <w:tcPr>
            <w:tcW w:w="0" w:type="dxa"/>
            <w:vAlign w:val="bottom"/>
          </w:tcPr>
          <w:p>
            <w:pPr>
              <w:spacing w:after="0"/>
              <w:rPr>
                <w:sz w:val="1"/>
                <w:szCs w:val="1"/>
                <w:color w:val="auto"/>
              </w:rPr>
            </w:pPr>
          </w:p>
        </w:tc>
      </w:tr>
      <w:tr>
        <w:trPr>
          <w:trHeight w:val="189"/>
        </w:trPr>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60" w:type="dxa"/>
            <w:vAlign w:val="bottom"/>
          </w:tcPr>
          <w:p>
            <w:pPr>
              <w:ind w:left="20"/>
              <w:spacing w:after="0"/>
              <w:rPr>
                <w:sz w:val="20"/>
                <w:szCs w:val="20"/>
                <w:color w:val="auto"/>
              </w:rPr>
            </w:pPr>
            <w:r>
              <w:rPr>
                <w:rFonts w:ascii="Arial" w:cs="Arial" w:eastAsia="Arial" w:hAnsi="Arial"/>
                <w:sz w:val="16"/>
                <w:szCs w:val="16"/>
                <w:color w:val="auto"/>
              </w:rPr>
              <w:t>President of ABM’s Business &amp; Industry Group from February 2016 to October 2019; Executive</w:t>
            </w:r>
          </w:p>
        </w:tc>
        <w:tc>
          <w:tcPr>
            <w:tcW w:w="0" w:type="dxa"/>
            <w:vAlign w:val="bottom"/>
          </w:tcPr>
          <w:p>
            <w:pPr>
              <w:spacing w:after="0"/>
              <w:rPr>
                <w:sz w:val="1"/>
                <w:szCs w:val="1"/>
                <w:color w:val="auto"/>
              </w:rPr>
            </w:pPr>
          </w:p>
        </w:tc>
      </w:tr>
      <w:tr>
        <w:trPr>
          <w:trHeight w:val="189"/>
        </w:trPr>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60" w:type="dxa"/>
            <w:vAlign w:val="bottom"/>
          </w:tcPr>
          <w:p>
            <w:pPr>
              <w:ind w:left="20"/>
              <w:spacing w:after="0"/>
              <w:rPr>
                <w:sz w:val="20"/>
                <w:szCs w:val="20"/>
                <w:color w:val="auto"/>
              </w:rPr>
            </w:pPr>
            <w:r>
              <w:rPr>
                <w:rFonts w:ascii="Arial" w:cs="Arial" w:eastAsia="Arial" w:hAnsi="Arial"/>
                <w:sz w:val="16"/>
                <w:szCs w:val="16"/>
                <w:color w:val="auto"/>
              </w:rPr>
              <w:t>Vice President of ABM’s West Region from April 2012 to February 2016; Executive Vice President</w:t>
            </w:r>
          </w:p>
        </w:tc>
        <w:tc>
          <w:tcPr>
            <w:tcW w:w="0" w:type="dxa"/>
            <w:vAlign w:val="bottom"/>
          </w:tcPr>
          <w:p>
            <w:pPr>
              <w:spacing w:after="0"/>
              <w:rPr>
                <w:sz w:val="1"/>
                <w:szCs w:val="1"/>
                <w:color w:val="auto"/>
              </w:rPr>
            </w:pPr>
          </w:p>
        </w:tc>
      </w:tr>
      <w:tr>
        <w:trPr>
          <w:trHeight w:val="226"/>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60" w:type="dxa"/>
            <w:vAlign w:val="bottom"/>
          </w:tcPr>
          <w:p>
            <w:pPr>
              <w:ind w:left="20"/>
              <w:spacing w:after="0"/>
              <w:rPr>
                <w:sz w:val="20"/>
                <w:szCs w:val="20"/>
                <w:color w:val="auto"/>
              </w:rPr>
            </w:pPr>
            <w:r>
              <w:rPr>
                <w:rFonts w:ascii="Arial" w:cs="Arial" w:eastAsia="Arial" w:hAnsi="Arial"/>
                <w:sz w:val="16"/>
                <w:szCs w:val="16"/>
                <w:color w:val="auto"/>
              </w:rPr>
              <w:t>and Chief Operating Officer of Temco Service Industries from November 2007 to April 2012.</w:t>
            </w:r>
          </w:p>
        </w:tc>
        <w:tc>
          <w:tcPr>
            <w:tcW w:w="0" w:type="dxa"/>
            <w:vAlign w:val="bottom"/>
          </w:tcPr>
          <w:p>
            <w:pPr>
              <w:spacing w:after="0"/>
              <w:rPr>
                <w:sz w:val="1"/>
                <w:szCs w:val="1"/>
                <w:color w:val="auto"/>
              </w:rPr>
            </w:pPr>
          </w:p>
        </w:tc>
      </w:tr>
      <w:tr>
        <w:trPr>
          <w:trHeight w:val="206"/>
        </w:trPr>
        <w:tc>
          <w:tcPr>
            <w:tcW w:w="3100" w:type="dxa"/>
            <w:vAlign w:val="bottom"/>
            <w:gridSpan w:val="2"/>
            <w:shd w:val="clear" w:color="auto" w:fill="DCE2EF"/>
          </w:tcPr>
          <w:p>
            <w:pPr>
              <w:ind w:left="40"/>
              <w:spacing w:after="0"/>
              <w:rPr>
                <w:sz w:val="20"/>
                <w:szCs w:val="20"/>
                <w:color w:val="auto"/>
              </w:rPr>
            </w:pPr>
            <w:r>
              <w:rPr>
                <w:rFonts w:ascii="Arial" w:cs="Arial" w:eastAsia="Arial" w:hAnsi="Arial"/>
                <w:sz w:val="16"/>
                <w:szCs w:val="16"/>
                <w:color w:val="auto"/>
              </w:rPr>
              <w:t>Andrea R. Newborn</w:t>
            </w:r>
          </w:p>
        </w:tc>
        <w:tc>
          <w:tcPr>
            <w:tcW w:w="1140" w:type="dxa"/>
            <w:vAlign w:val="bottom"/>
            <w:shd w:val="clear" w:color="auto" w:fill="DCE2EF"/>
          </w:tcPr>
          <w:p>
            <w:pPr>
              <w:jc w:val="center"/>
              <w:spacing w:after="0"/>
              <w:rPr>
                <w:sz w:val="20"/>
                <w:szCs w:val="20"/>
                <w:color w:val="auto"/>
              </w:rPr>
            </w:pPr>
            <w:r>
              <w:rPr>
                <w:rFonts w:ascii="Arial" w:cs="Arial" w:eastAsia="Arial" w:hAnsi="Arial"/>
                <w:sz w:val="16"/>
                <w:szCs w:val="16"/>
                <w:color w:val="auto"/>
              </w:rPr>
              <w:t>56</w:t>
            </w:r>
          </w:p>
        </w:tc>
        <w:tc>
          <w:tcPr>
            <w:tcW w:w="120" w:type="dxa"/>
            <w:vAlign w:val="bottom"/>
            <w:shd w:val="clear" w:color="auto" w:fill="DCE2EF"/>
          </w:tcPr>
          <w:p>
            <w:pPr>
              <w:spacing w:after="0"/>
              <w:rPr>
                <w:sz w:val="17"/>
                <w:szCs w:val="17"/>
                <w:color w:val="auto"/>
              </w:rPr>
            </w:pPr>
          </w:p>
        </w:tc>
        <w:tc>
          <w:tcPr>
            <w:tcW w:w="7060" w:type="dxa"/>
            <w:vAlign w:val="bottom"/>
            <w:shd w:val="clear" w:color="auto" w:fill="DCE2EF"/>
          </w:tcPr>
          <w:p>
            <w:pPr>
              <w:ind w:left="20"/>
              <w:spacing w:after="0"/>
              <w:rPr>
                <w:sz w:val="20"/>
                <w:szCs w:val="20"/>
                <w:color w:val="auto"/>
              </w:rPr>
            </w:pPr>
            <w:r>
              <w:rPr>
                <w:rFonts w:ascii="Arial" w:cs="Arial" w:eastAsia="Arial" w:hAnsi="Arial"/>
                <w:sz w:val="16"/>
                <w:szCs w:val="16"/>
                <w:color w:val="auto"/>
              </w:rPr>
              <w:t>Executive Vice President, General Counsel, and Corporate Secretary of ABM since July 2017;</w:t>
            </w:r>
          </w:p>
        </w:tc>
        <w:tc>
          <w:tcPr>
            <w:tcW w:w="0" w:type="dxa"/>
            <w:vAlign w:val="bottom"/>
          </w:tcPr>
          <w:p>
            <w:pPr>
              <w:spacing w:after="0"/>
              <w:rPr>
                <w:sz w:val="1"/>
                <w:szCs w:val="1"/>
                <w:color w:val="auto"/>
              </w:rPr>
            </w:pPr>
          </w:p>
        </w:tc>
      </w:tr>
      <w:tr>
        <w:trPr>
          <w:trHeight w:val="189"/>
        </w:trPr>
        <w:tc>
          <w:tcPr>
            <w:tcW w:w="29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14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7060" w:type="dxa"/>
            <w:vAlign w:val="bottom"/>
            <w:shd w:val="clear" w:color="auto" w:fill="DCE2EF"/>
          </w:tcPr>
          <w:p>
            <w:pPr>
              <w:ind w:left="20"/>
              <w:spacing w:after="0"/>
              <w:rPr>
                <w:sz w:val="20"/>
                <w:szCs w:val="20"/>
                <w:color w:val="auto"/>
              </w:rPr>
            </w:pPr>
            <w:r>
              <w:rPr>
                <w:rFonts w:ascii="Arial" w:cs="Arial" w:eastAsia="Arial" w:hAnsi="Arial"/>
                <w:sz w:val="16"/>
                <w:szCs w:val="16"/>
                <w:color w:val="auto"/>
              </w:rPr>
              <w:t>Executive Vice President and General Counsel of TravelClick, Inc. from July 2014 to June 2017;</w:t>
            </w:r>
          </w:p>
        </w:tc>
        <w:tc>
          <w:tcPr>
            <w:tcW w:w="0" w:type="dxa"/>
            <w:vAlign w:val="bottom"/>
          </w:tcPr>
          <w:p>
            <w:pPr>
              <w:spacing w:after="0"/>
              <w:rPr>
                <w:sz w:val="1"/>
                <w:szCs w:val="1"/>
                <w:color w:val="auto"/>
              </w:rPr>
            </w:pPr>
          </w:p>
        </w:tc>
      </w:tr>
      <w:tr>
        <w:trPr>
          <w:trHeight w:val="189"/>
        </w:trPr>
        <w:tc>
          <w:tcPr>
            <w:tcW w:w="29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14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7060" w:type="dxa"/>
            <w:vAlign w:val="bottom"/>
            <w:shd w:val="clear" w:color="auto" w:fill="DCE2EF"/>
          </w:tcPr>
          <w:p>
            <w:pPr>
              <w:ind w:left="20"/>
              <w:spacing w:after="0"/>
              <w:rPr>
                <w:sz w:val="20"/>
                <w:szCs w:val="20"/>
                <w:color w:val="auto"/>
              </w:rPr>
            </w:pPr>
            <w:r>
              <w:rPr>
                <w:rFonts w:ascii="Arial" w:cs="Arial" w:eastAsia="Arial" w:hAnsi="Arial"/>
                <w:sz w:val="16"/>
                <w:szCs w:val="16"/>
                <w:color w:val="auto"/>
              </w:rPr>
              <w:t>Senior Vice President, General Counsel, and Secretary of The Reader’s Digest Association, Inc.</w:t>
            </w:r>
          </w:p>
        </w:tc>
        <w:tc>
          <w:tcPr>
            <w:tcW w:w="0" w:type="dxa"/>
            <w:vAlign w:val="bottom"/>
          </w:tcPr>
          <w:p>
            <w:pPr>
              <w:spacing w:after="0"/>
              <w:rPr>
                <w:sz w:val="1"/>
                <w:szCs w:val="1"/>
                <w:color w:val="auto"/>
              </w:rPr>
            </w:pPr>
          </w:p>
        </w:tc>
      </w:tr>
      <w:tr>
        <w:trPr>
          <w:trHeight w:val="234"/>
        </w:trPr>
        <w:tc>
          <w:tcPr>
            <w:tcW w:w="2980" w:type="dxa"/>
            <w:vAlign w:val="bottom"/>
            <w:shd w:val="clear" w:color="auto" w:fill="DCE2EF"/>
          </w:tcPr>
          <w:p>
            <w:pPr>
              <w:spacing w:after="0"/>
              <w:rPr>
                <w:sz w:val="20"/>
                <w:szCs w:val="20"/>
                <w:color w:val="auto"/>
              </w:rPr>
            </w:pPr>
          </w:p>
        </w:tc>
        <w:tc>
          <w:tcPr>
            <w:tcW w:w="120" w:type="dxa"/>
            <w:vAlign w:val="bottom"/>
            <w:shd w:val="clear" w:color="auto" w:fill="DCE2EF"/>
          </w:tcPr>
          <w:p>
            <w:pPr>
              <w:spacing w:after="0"/>
              <w:rPr>
                <w:sz w:val="20"/>
                <w:szCs w:val="20"/>
                <w:color w:val="auto"/>
              </w:rPr>
            </w:pPr>
          </w:p>
        </w:tc>
        <w:tc>
          <w:tcPr>
            <w:tcW w:w="1140" w:type="dxa"/>
            <w:vAlign w:val="bottom"/>
            <w:shd w:val="clear" w:color="auto" w:fill="DCE2EF"/>
          </w:tcPr>
          <w:p>
            <w:pPr>
              <w:spacing w:after="0"/>
              <w:rPr>
                <w:sz w:val="20"/>
                <w:szCs w:val="20"/>
                <w:color w:val="auto"/>
              </w:rPr>
            </w:pPr>
          </w:p>
        </w:tc>
        <w:tc>
          <w:tcPr>
            <w:tcW w:w="120" w:type="dxa"/>
            <w:vAlign w:val="bottom"/>
            <w:shd w:val="clear" w:color="auto" w:fill="DCE2EF"/>
          </w:tcPr>
          <w:p>
            <w:pPr>
              <w:spacing w:after="0"/>
              <w:rPr>
                <w:sz w:val="20"/>
                <w:szCs w:val="20"/>
                <w:color w:val="auto"/>
              </w:rPr>
            </w:pPr>
          </w:p>
        </w:tc>
        <w:tc>
          <w:tcPr>
            <w:tcW w:w="7060" w:type="dxa"/>
            <w:vAlign w:val="bottom"/>
            <w:shd w:val="clear" w:color="auto" w:fill="DCE2EF"/>
          </w:tcPr>
          <w:p>
            <w:pPr>
              <w:ind w:left="20"/>
              <w:spacing w:after="0"/>
              <w:rPr>
                <w:sz w:val="20"/>
                <w:szCs w:val="20"/>
                <w:color w:val="auto"/>
              </w:rPr>
            </w:pPr>
            <w:r>
              <w:rPr>
                <w:rFonts w:ascii="Arial" w:cs="Arial" w:eastAsia="Arial" w:hAnsi="Arial"/>
                <w:sz w:val="16"/>
                <w:szCs w:val="16"/>
                <w:color w:val="auto"/>
              </w:rPr>
              <w:t>from March 2007 to February 2014.</w:t>
            </w:r>
          </w:p>
        </w:tc>
        <w:tc>
          <w:tcPr>
            <w:tcW w:w="0" w:type="dxa"/>
            <w:vAlign w:val="bottom"/>
          </w:tcPr>
          <w:p>
            <w:pPr>
              <w:spacing w:after="0"/>
              <w:rPr>
                <w:sz w:val="1"/>
                <w:szCs w:val="1"/>
                <w:color w:val="auto"/>
              </w:rPr>
            </w:pPr>
          </w:p>
        </w:tc>
      </w:tr>
      <w:tr>
        <w:trPr>
          <w:trHeight w:val="198"/>
        </w:trPr>
        <w:tc>
          <w:tcPr>
            <w:tcW w:w="3100" w:type="dxa"/>
            <w:vAlign w:val="bottom"/>
            <w:gridSpan w:val="2"/>
          </w:tcPr>
          <w:p>
            <w:pPr>
              <w:ind w:left="40"/>
              <w:spacing w:after="0"/>
              <w:rPr>
                <w:sz w:val="20"/>
                <w:szCs w:val="20"/>
                <w:color w:val="auto"/>
              </w:rPr>
            </w:pPr>
            <w:r>
              <w:rPr>
                <w:rFonts w:ascii="Arial" w:cs="Arial" w:eastAsia="Arial" w:hAnsi="Arial"/>
                <w:sz w:val="16"/>
                <w:szCs w:val="16"/>
                <w:color w:val="auto"/>
              </w:rPr>
              <w:t>Dean A. Chin</w:t>
            </w:r>
          </w:p>
        </w:tc>
        <w:tc>
          <w:tcPr>
            <w:tcW w:w="1140" w:type="dxa"/>
            <w:vAlign w:val="bottom"/>
          </w:tcPr>
          <w:p>
            <w:pPr>
              <w:jc w:val="center"/>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7"/>
                <w:szCs w:val="17"/>
                <w:color w:val="auto"/>
              </w:rPr>
            </w:pPr>
          </w:p>
        </w:tc>
        <w:tc>
          <w:tcPr>
            <w:tcW w:w="7060" w:type="dxa"/>
            <w:vAlign w:val="bottom"/>
          </w:tcPr>
          <w:p>
            <w:pPr>
              <w:ind w:left="20"/>
              <w:spacing w:after="0"/>
              <w:rPr>
                <w:sz w:val="20"/>
                <w:szCs w:val="20"/>
                <w:color w:val="auto"/>
              </w:rPr>
            </w:pPr>
            <w:r>
              <w:rPr>
                <w:rFonts w:ascii="Arial" w:cs="Arial" w:eastAsia="Arial" w:hAnsi="Arial"/>
                <w:sz w:val="16"/>
                <w:szCs w:val="16"/>
                <w:color w:val="auto"/>
              </w:rPr>
              <w:t>Senior Vice President, Chief Accounting Officer, and Corporate Controller of ABM since June</w:t>
            </w:r>
          </w:p>
        </w:tc>
        <w:tc>
          <w:tcPr>
            <w:tcW w:w="0" w:type="dxa"/>
            <w:vAlign w:val="bottom"/>
          </w:tcPr>
          <w:p>
            <w:pPr>
              <w:spacing w:after="0"/>
              <w:rPr>
                <w:sz w:val="1"/>
                <w:szCs w:val="1"/>
                <w:color w:val="auto"/>
              </w:rPr>
            </w:pPr>
          </w:p>
        </w:tc>
      </w:tr>
      <w:tr>
        <w:trPr>
          <w:trHeight w:val="219"/>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60" w:type="dxa"/>
            <w:vAlign w:val="bottom"/>
          </w:tcPr>
          <w:p>
            <w:pPr>
              <w:ind w:left="20"/>
              <w:spacing w:after="0"/>
              <w:rPr>
                <w:sz w:val="20"/>
                <w:szCs w:val="20"/>
                <w:color w:val="auto"/>
              </w:rPr>
            </w:pPr>
            <w:r>
              <w:rPr>
                <w:rFonts w:ascii="Arial" w:cs="Arial" w:eastAsia="Arial" w:hAnsi="Arial"/>
                <w:sz w:val="16"/>
                <w:szCs w:val="16"/>
                <w:color w:val="auto"/>
              </w:rPr>
              <w:t>2010; Vice President and Assistant Controller of ABM from June 2008 to June 2010.</w:t>
            </w:r>
          </w:p>
        </w:tc>
        <w:tc>
          <w:tcPr>
            <w:tcW w:w="0" w:type="dxa"/>
            <w:vAlign w:val="bottom"/>
          </w:tcPr>
          <w:p>
            <w:pPr>
              <w:spacing w:after="0"/>
              <w:rPr>
                <w:sz w:val="1"/>
                <w:szCs w:val="1"/>
                <w:color w:val="auto"/>
              </w:rPr>
            </w:pPr>
          </w:p>
        </w:tc>
      </w:tr>
      <w:tr>
        <w:trPr>
          <w:trHeight w:val="614"/>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60" w:type="dxa"/>
            <w:vAlign w:val="bottom"/>
          </w:tcPr>
          <w:p>
            <w:pPr>
              <w:ind w:left="13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ectPr>
          <w:pgSz w:w="11900" w:h="16838" w:orient="portrait"/>
          <w:cols w:equalWidth="0" w:num="1">
            <w:col w:w="11420"/>
          </w:cols>
          <w:pgMar w:left="240" w:top="493"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0046AD"/>
        </w:rPr>
        <w:t>ITEM 1A. 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Risks Relating to Our Strategy and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Our success depends on our ability to gain profitable business despite competitive market pressures.</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Each aspect of our business is highly competitive and such competition is based primarily on price, quality of service, and ability to anticipate and respond to industry changes. A majority of our revenue is derived from services that require competitive bids. The low cost of entry in the facility services business results in a very competitive market. We compete mainly with regional and local owner-operated companies that may have more acute vision into local markets and significantly lower labor and overhead costs, providing them with a competitive advantage in those regards. We also compete indirectly with companies that can perform for themselves one or more of the services we provide. Further, if we are unable to respond adequately to changing technology, we may lose existing clients and fail to win future business opportunities. A failure to respond effectively to competitive pressures or failure in our ability to increase prices as costs rise could reduce margins and materially adversely affect our financial performance.</w:t>
      </w:r>
    </w:p>
    <w:p>
      <w:pPr>
        <w:spacing w:after="0" w:line="124"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0046AD"/>
        </w:rPr>
        <w:t>Our business success depends on our ability to attract and retain qualified personnel and senior management and to manage labor costs.</w:t>
      </w:r>
    </w:p>
    <w:p>
      <w:pPr>
        <w:spacing w:after="0" w:line="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future performance depends on the continuing services and contributions of our senior management and on our continued ability to attract and retain qualified personnel. Any unplanned turnover in senior management or inability to attract and retain qualified personnel could have a negative effect on our results of operations. We employ approximately 140,000 persons, and our operations depend on the services of a large and diverse workforce. We must attract, train, and retain a large and growing number of qualified employees while controlling related labor costs. Our ability to control labor and benefit costs is subject to numerous internal and external factors, including changes in the unemployment rate, changes in immigration policy, regulatory changes, prevailing wage rates, and competition we face from other companies for qualified employees. Further, many of our contracts provide that our clients pay certain costs at specified rates, such as insurance, healthcare costs, salary and salary-related expenses, and other costs. If actual costs exceed the rates specified in the contracts, our profitability may be negatively impacted. There is no assurance that in the future we will be able to attract or retain qualified employees or effectively manage labor and benefit costs, which could have a material adverse effect on our business, financial condition, and results of operations.</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Our ability to preserve long-term client relationships is essential to our continued success.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primarily provide services pursuant to agreements that are cancelable by either party upon 30–90 days’ notice. As we generally incur higher initial costs on new contracts until the labor management and facilities operations normalize, our business associated with long-term client relationships is generally more profitable than short-term client relationships. If we lose a significant number of long-term clients, our profitability could be negatively impacted, even if we gain equivalent revenues from new clients.</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depend to a large extent on our relationships with clients and our reputation for quality integrated facility solutions. Maintaining our existing client relationships is an important factor contributing to our business success. Among other things, adverse publicity stemming from an accident or other incident involving our facility operations or employees related to injury, illness, death, or alleged criminal activity could harm our reputation, result in the cancellation of contracts or inability to retain clients, and expose us to significant liability.</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0046AD"/>
        </w:rPr>
        <w:t>Changes to our businesses, operating structure, financial reporting structure, or personnel relating to the implementation of strategic transformations, enhanced business processes, and technology initiatives may not have the desired effects on our financial condition and results of operations.</w:t>
      </w:r>
    </w:p>
    <w:p>
      <w:pPr>
        <w:spacing w:after="0" w:line="9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may periodically engage in various initiatives intended to drive long-term profitable growth and increase operational efficiency. Planned changes to our business systems and processes may not create the operational efficiencies or cost benefits that we expect and could result in unanticipated consequences, including substantial disruption to our back-office operations and service delivery.</w:t>
      </w:r>
    </w:p>
    <w:p>
      <w:pPr>
        <w:spacing w:after="0" w:line="10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may not be able to fully execute on such initiatives to the extent expected within the anticipated timeframe as a result of numerous factors, such as client resistance, inability to deliver requested end-to-end services, and difficulty penetrating certain markets. Moreover, these initiatives may not provide us with anticipated competitive advantage or revenue growth.</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93" w:right="239" w:bottom="1440" w:gutter="0" w:footer="0" w:header="0"/>
        </w:sectPr>
      </w:pPr>
    </w:p>
    <w:bookmarkStart w:id="10" w:name="page11"/>
    <w:bookmarkEnd w:id="10"/>
    <w:p>
      <w:pPr>
        <w:jc w:val="both"/>
        <w:spacing w:after="0" w:line="301" w:lineRule="auto"/>
        <w:rPr>
          <w:sz w:val="20"/>
          <w:szCs w:val="20"/>
          <w:color w:val="auto"/>
        </w:rPr>
      </w:pPr>
      <w:r>
        <w:rPr>
          <w:rFonts w:ascii="Arial" w:cs="Arial" w:eastAsia="Arial" w:hAnsi="Arial"/>
          <w:sz w:val="18"/>
          <w:szCs w:val="18"/>
          <w:b w:val="1"/>
          <w:bCs w:val="1"/>
          <w:i w:val="1"/>
          <w:iCs w:val="1"/>
          <w:color w:val="0046AD"/>
        </w:rPr>
        <w:t>Acquisitions, divestitures, and other strategic transactions could fail to achieve financial or strategic objectives, disrupt our ongoing business, and adversely impact our results of operations.</w:t>
      </w:r>
    </w:p>
    <w:p>
      <w:pPr>
        <w:spacing w:after="0" w:line="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In furtherance of our business strategy, we routinely evaluate opportunities and may enter into agreements for possible acquisitions, divestitures, or other strategic transactions. In the past, a significant portion of our growth has been generated by acquisitions, and we may continue to acquire businesses in the future as part of our growth strategy. However, we may encounter challenges identifying opportunities in a timely manner or on terms acceptable to us. Furthermore, there is no assurance that any such transaction will result in synergistic benefits. A potential acquisition, divestiture, or other strategic transaction may involve a number of risks including, but not limited to:</w:t>
      </w:r>
    </w:p>
    <w:p>
      <w:pPr>
        <w:spacing w:after="0" w:line="12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transaction may not effectively advance our business strategy, and its anticipated benefits may never materialize;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ongoing operations may be disrupted, and management time and focus may be diverted;</w:t>
      </w:r>
    </w:p>
    <w:p>
      <w:pPr>
        <w:spacing w:after="0" w:line="171"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clients or key employees of an acquired business may not remain, which could negatively impact our ability to grow that acquired business;</w:t>
      </w:r>
    </w:p>
    <w:p>
      <w:pPr>
        <w:spacing w:after="0" w:line="90" w:lineRule="exact"/>
        <w:rPr>
          <w:rFonts w:ascii="Arial" w:cs="Arial" w:eastAsia="Arial" w:hAnsi="Arial"/>
          <w:sz w:val="18"/>
          <w:szCs w:val="18"/>
          <w:color w:val="auto"/>
        </w:rPr>
      </w:pPr>
    </w:p>
    <w:p>
      <w:pPr>
        <w:ind w:left="660" w:right="20" w:hanging="328"/>
        <w:spacing w:after="0" w:line="29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integration of an acquired business’s accounting, information technology, human resources, and other administrative systems may fail to permit effective management and expense reduction;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unforeseen challenges may arise in implementing internal controls, procedures, and policies;</w:t>
      </w:r>
    </w:p>
    <w:p>
      <w:pPr>
        <w:spacing w:after="0" w:line="171"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additional indebtedness incurred as a result of an acquisition may impact our financial position, results of operations, and cash flows;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or unknown liabilities may arise related to an acquired business.</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0046AD"/>
        </w:rPr>
        <w:t>We manage our insurable risks through a combination of third-party purchased policies and self-insurance, and we retain a substantial portion of the risk associated with expected losses under these programs, which exposes us to volatility associated with those risks, including the possibility that adjustments to our ultimate insurance loss reserves could result in material charges against our earnings.</w:t>
      </w:r>
    </w:p>
    <w:p>
      <w:pPr>
        <w:spacing w:after="0" w:line="10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We use a combination of insured and self-insurance programs to cover workers’ compensation, general liability, automobile liability, property damage, and other insurable risks. We are responsible for claims both within and in excess of our retained limits under our insurance policies, and while we endeavor to purchase insurance coverage that is appropriate to our assessment of risk, we are unable to predict with certainty the frequency, nature, or magnitude of claims for direct or consequential damages. If our insurance coverage proves to be inadequate or unavailable, our business may be negatively impacted.</w:t>
      </w:r>
    </w:p>
    <w:p>
      <w:pPr>
        <w:spacing w:after="0" w:line="12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The determination of required insurance reserves is dependent upon actuarial judgments. We use the results of actuarial studies to estimate insurance rates and insurance reserves for future periods and to adjust reserves, if appropriate, for prior years. Actual experience related to our insurance reserves can cause us to change our estimates for reserves and any such changes may materially impact results, causing significant volatility in our operating results. We have previously experienced material adjustments to reserves resulting from negative trends in our actuarial estimates, and we may continue to experience these and other material negative trends in future periods.</w:t>
      </w:r>
    </w:p>
    <w:p>
      <w:pPr>
        <w:spacing w:after="0" w:line="12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Should we be unable to renew our excess, umbrella, or other commercial insurance policies at competitive rates, it could have a material adverse impact on our business, as would the incurrence of catastrophic uninsured claims or the inability or refusal of our insurance carriers to pay otherwise insured claims. Further, to the extent that we self-insure our losses, deterioration in our loss control and/or our continuing claim management efforts could increase the overall cost of claims within our retained limits. A material change in our insurance costs due to changes in the frequency of claims, the severity of the claims, the costs of excess/umbrella premiums, or regulatory changes could have a material adverse effect on our financial position, results of operations, or cash flows.</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2015, we formed a wholly-owned captive insurance company, IFM Assurance Company (“IFM”), which we believe has provided us with increased flexibility in the end-to-end management of our insurance program. There can be no assurance that IFM will continue to bring about the intended benefits or the desired flexibility in the management of our insurance programs, because we may experience unanticipated events that will reduce or eliminate expected benefits, including anticipated savings related to coverage provided by IFM to our subsidiaries.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95" w:right="239" w:bottom="1440" w:gutter="0" w:footer="0" w:header="0"/>
        </w:sectPr>
      </w:pPr>
    </w:p>
    <w:bookmarkStart w:id="11" w:name="page12"/>
    <w:bookmarkEnd w:id="11"/>
    <w:p>
      <w:pPr>
        <w:jc w:val="both"/>
        <w:ind w:right="20"/>
        <w:spacing w:after="0" w:line="301" w:lineRule="auto"/>
        <w:rPr>
          <w:sz w:val="20"/>
          <w:szCs w:val="20"/>
          <w:color w:val="auto"/>
        </w:rPr>
      </w:pPr>
      <w:r>
        <w:rPr>
          <w:rFonts w:ascii="Arial" w:cs="Arial" w:eastAsia="Arial" w:hAnsi="Arial"/>
          <w:sz w:val="18"/>
          <w:szCs w:val="18"/>
          <w:b w:val="1"/>
          <w:bCs w:val="1"/>
          <w:i w:val="1"/>
          <w:iCs w:val="1"/>
          <w:color w:val="0046AD"/>
        </w:rPr>
        <w:t>Our risk management and safety programs may not have the intended effect of reducing our liability for personal injury or property loss.</w:t>
      </w:r>
    </w:p>
    <w:p>
      <w:pPr>
        <w:spacing w:after="0" w:line="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We attempt to mitigate risks relating to personal injury or property loss through the implementation of company-wide safety and loss control efforts designed to decrease the incidence of accidents or events that might increase our liability. It is expected that any such decrease would also have the effect of reducing our insurance costs for our casualty programs. However, incidents involving personal injury or property loss may be caused by multiple potential factors, a significant number of which are beyond our control. Therefore, there can be no assurance that our risk management and safety programs will have the desired effect of controlling costs and liability exposure.</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0046AD"/>
        </w:rPr>
        <w:t>Our international business involves risks different from those we face in the United States that could have an effect on our results of operations and financial condition.</w:t>
      </w:r>
    </w:p>
    <w:p>
      <w:pPr>
        <w:spacing w:after="0" w:line="7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have business operations in jurisdictions outside of the United States, most significantly in the United Kingdom (“U.K.”). Our international operations are subject to risks that are different from those we face in the United States and subject us to complex and frequently changing laws and regulations, including differing labor laws and regulations relating to the protection of certain information that we collect and maintain about our employees, clients, and other third parties. Among these laws is the U.K. Modern Slavery Act, the U.K. Bribery Act, and the European Union General Data Protection Regulation (the “GDPR”), which took effect in May 2018. The failure to comply with these laws or regulations could subject us to significant litigation, monetary damages, regulatory enforcement actions, or fines in one or more jurisdictions. More generally, the economic, political, monetary, and operational impacts of Brexit, including unanticipated impacts to the U.K. real estate market and general economic conditions in the United Kingdom, could negatively impact our U.K. business, including reducing our margins</w:t>
      </w:r>
      <w:r>
        <w:rPr>
          <w:rFonts w:ascii="Times New Roman" w:cs="Times New Roman" w:eastAsia="Times New Roman" w:hAnsi="Times New Roman"/>
          <w:sz w:val="14"/>
          <w:szCs w:val="14"/>
          <w:color w:val="auto"/>
        </w:rPr>
        <w:t>.</w:t>
      </w:r>
    </w:p>
    <w:p>
      <w:pPr>
        <w:spacing w:after="0" w:line="13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In addition, when we participate in joint ventures that operate outside of the United States where we are not a controlling party, we may have limited control over the joint venture. Any improper actions by our joint venture employees, partners, or agents, including but not limited to failure to comply with the U.S. Foreign Corrupt Practices Act, the U.K. Bribery Act, and/or laws relating to human trafficking, could result in civil or criminal investigations, monetary and non-monetary penalties, or other consequences, any of which could have an adverse effect on our financial position as well as on our reputation and ability to conduct business.</w:t>
      </w:r>
    </w:p>
    <w:p>
      <w:pPr>
        <w:spacing w:after="0" w:line="12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Additionally, the operating results of our non-U.S. subsidiaries are translated into U.S. dollars, and those results are affected by movements in foreign currencies relative to the U.S. dollar. There can be no assurance that the foregoing factors will not have a material adverse effect on our international operations or on our consolidated financial condition and results of operations.</w:t>
      </w:r>
    </w:p>
    <w:p>
      <w:pPr>
        <w:spacing w:after="0" w:line="109"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0046AD"/>
        </w:rPr>
        <w:t>Our use of subcontractors or joint venture partners to perform work under customer contracts exposes us to liability and financial risk.</w:t>
      </w:r>
    </w:p>
    <w:p>
      <w:pPr>
        <w:spacing w:after="0" w:line="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depend on subcontractors or other parties, such as joint venture partners, to perform work in situations in which we are not able to self-perform the work involved. Such arrangements may involve subcontracts or joint venture relationships where we do not have direct control over the performing party. We may be exposed to liability whenever one or more of our subcontractors or joint venture partners, for whatever reason, fails to perform or allegedly negligently performs the agreed-upon services. Although we have in place controls and programs to monitor the work of our subcontractors and our joint venture partners, there can be no assurance that these controls or programs will have the desired effect, and we may incur significant liability as a result of the actions or inactions of one or more of our subcontractors or joint venture partners.</w:t>
      </w:r>
    </w:p>
    <w:p>
      <w:pPr>
        <w:spacing w:after="0" w:line="123"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0046AD"/>
        </w:rPr>
        <w:t>We may experience breaches of, or disruptions to, our information technology systems or those of our third-party providers or clients, or other compromises of our data that could adversely affect our business.</w:t>
      </w:r>
    </w:p>
    <w:p>
      <w:pPr>
        <w:spacing w:after="0" w:line="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information technology systems and those of our third-party providers or clients could be the target of cyber attacks, hacking, unauthorized access, phishing, computer viruses, malware, or other intrusions, which could result in operational disruptions or information misappropriation, such as theft of intellectual property or inappropriate disclosure of confidential, proprietary, or personal information. We maintain confidential, proprietary, and personal information in our information technology systems and in systems of third-party providers relating to our current, former, and prospective employees, clients, and other third parties. We have experienced certain data and security breaches in the past and could experience future data or security breaches stemming from the intentional or negligent acts of our employees or other third parties. Furthermore, while we continue to devote significant resources to monitoring and updating our systems and implementing information security measures to protect our systems, there can be no assurance that the controls and procedures we have in place will be sufficient to protect us from future security breaches.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95" w:right="239" w:bottom="1440" w:gutter="0" w:footer="0" w:header="0"/>
        </w:sectPr>
      </w:pPr>
    </w:p>
    <w:bookmarkStart w:id="12" w:name="page13"/>
    <w:bookmarkEnd w:id="12"/>
    <w:p>
      <w:pPr>
        <w:jc w:val="both"/>
        <w:spacing w:after="0" w:line="271" w:lineRule="auto"/>
        <w:rPr>
          <w:sz w:val="20"/>
          <w:szCs w:val="20"/>
          <w:color w:val="auto"/>
        </w:rPr>
      </w:pPr>
      <w:r>
        <w:rPr>
          <w:rFonts w:ascii="Arial" w:cs="Arial" w:eastAsia="Arial" w:hAnsi="Arial"/>
          <w:sz w:val="18"/>
          <w:szCs w:val="18"/>
          <w:color w:val="auto"/>
        </w:rPr>
        <w:t>As cyber threats are continually evolving, our controls and procedures may become inadequate and we may be required to devote additional resources to modifying or enhancing our systems in the future. We may also be required to expend resources to remediate cyber-related incidents or to enhance and strengthen our cyber security.</w:t>
      </w:r>
    </w:p>
    <w:p>
      <w:pPr>
        <w:spacing w:after="0" w:line="10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Any such disruptions to our information technology systems, breaches or compromises of data, and/or misappropriation of information could result in lost sales, negative publicity, litigation, violations of privacy and other laws, or business delays that could have a material adverse effect on our business. Additionally, we believe that along with the GDPR and the California Consumer Privacy Act, which goes into effect on January 1, 2020, further increased regulation is likely in the area of data privacy. Compliance with this rapidly expanding area of law will require significant management and financial resources, and we could be subjected to additional legal risk or financial losses if we are not in compliance.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Risks Relating to Labor, Legal Proceedings, Tax, and Regulatory Matters</w:t>
      </w:r>
    </w:p>
    <w:p>
      <w:pPr>
        <w:spacing w:after="0" w:line="173"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0046AD"/>
        </w:rPr>
        <w:t>Unfavorable developments in our class and representative actions and other lawsuits alleging various claims could cause us to incur substantial liabilities.</w:t>
      </w:r>
    </w:p>
    <w:p>
      <w:pPr>
        <w:spacing w:after="0" w:line="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business involves employing tens of thousands of employees, many of whom work at our clients’ facilities. We incur risks relating to our employment of these workers, including but not limited to: claims of misconduct or negligence on the part of our employees; claims related to the employment of unlicensed personnel; and claims by our employees of discrimination, harassment, violations of wage and hour requirements, or violations of other federal, state, or local laws. We also incur risks and claims related to the imposition on our employees of policies or practices of our clients that may be different from our own. Some or all of these claims may lead to litigation, including class action litigation, and these matters may cause us to incur negative publicity with respect to alleged claims. Additionally, there are risks to all employers in some states, such as California, resulting from new and unanticipated judicial interpretations of existing laws and the application of those new interpretations against employers on a retroactive basis. It is not possible to predict the outcome of these lawsuits or any other proceeding, and our insurance may not cover all claims that may be asserted against us. These lawsuits and other proceedings may consume substantial amounts of our financial and managerial resources. An unfavorable outcome with respect to these lawsuits and any future lawsuits may, individually or in the aggregate, cause us to incur substantial liabilities that could have a material adverse effect upon our business, reputation, financial condition, or results of operations.</w:t>
      </w:r>
    </w:p>
    <w:p>
      <w:pPr>
        <w:spacing w:after="0" w:line="12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0046AD"/>
        </w:rPr>
        <w:t>A significant number of our employees are covered by collective bargaining agreements that could expose us to potential liabilities in relationship to our participation in multiemployer pension plans, requirements to make contributions to other benefit plans, and the potential for strikes, work slowdowns or similar activities, and union organizing drives.</w:t>
      </w:r>
    </w:p>
    <w:p>
      <w:pPr>
        <w:spacing w:after="0" w:line="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participate in various multiemployer pension plans that provide defined pension benefits to employees covered by collective bargaining agreements. Because of the nature of multiemployer pension plans, there are risks to us associated with participation in these plans that differ from single-employer plans. Assets contributed by an employer to a multiemployer pension plan are not segregated into a separate account and are not restricted to provide benefits only to employees of that contributing employer. In the event another participating employer in a multiemployer pension plan no longer contributes to the plan, the unfunded obligations of the plan may be borne by the remaining participating employers, including us. In the event of the termination of a multiemployer pension plan or a complete or partial withdrawal from a multiemployer pension plan, under applicable law we could incur material withdrawal liabilities. We further discuss our participation in multiemployer pension and postretirement plans in Note 14, “Employee Benefit Plans,” in the Notes to Consolidated Financial Statements. In addition, the terms of collective bargaining agreements require us to contribute to various fringe benefit plans, including health and welfare, pension, and training plans, all of which require us to have appropriate systems in place to assure timely and accurate payment of contributions. The failure to make timely and accurate contributions as a result of a systems failure could have a negative impact on our financial position.</w:t>
      </w:r>
    </w:p>
    <w:p>
      <w:pPr>
        <w:spacing w:after="0" w:line="12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At October 31, 2019, approximately 32% of our employees were subject to various local collective bargaining agreements, some of which will expire or become subject to renegotiation during 2020. In addition, at any given time we may face union organizing activity. When one or more of our major collective bargaining agreements becomes subject to renegotiation or when we face union organizing drives, any disagreement between us and the union on important issues may lead to a strike, work slowdown, or other job actions at one or more of our locations. In a market where we are unionized but competitors are not unionized, we could lose clients to such competitors. A strike, work slowdown, or other job action could disrupt our services, resulting in reduced revenues or contract cancellations.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95" w:right="239" w:bottom="1440" w:gutter="0" w:footer="0" w:header="0"/>
        </w:sectPr>
      </w:pPr>
    </w:p>
    <w:bookmarkStart w:id="13" w:name="page14"/>
    <w:bookmarkEnd w:id="13"/>
    <w:p>
      <w:pPr>
        <w:jc w:val="both"/>
        <w:spacing w:after="0" w:line="292" w:lineRule="auto"/>
        <w:rPr>
          <w:sz w:val="20"/>
          <w:szCs w:val="20"/>
          <w:color w:val="auto"/>
        </w:rPr>
      </w:pPr>
      <w:r>
        <w:rPr>
          <w:rFonts w:ascii="Arial" w:cs="Arial" w:eastAsia="Arial" w:hAnsi="Arial"/>
          <w:sz w:val="18"/>
          <w:szCs w:val="18"/>
          <w:color w:val="auto"/>
        </w:rPr>
        <w:t>Moreover, negotiating a first time collective bargaining agreement or renegotiating an existing agreement could result in a substantial increase in labor and benefits expenses that we may be unable to pass through to clients.</w:t>
      </w:r>
    </w:p>
    <w:p>
      <w:pPr>
        <w:spacing w:after="0" w:line="91"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0046AD"/>
        </w:rPr>
        <w:t>Our business may be materially affected by changes to fiscal and tax policies. Negative or unexpected tax consequences could adversely affect our results of operations.</w:t>
      </w:r>
    </w:p>
    <w:p>
      <w:pPr>
        <w:spacing w:after="0" w:line="7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Tax Cuts and Jobs Act of 2017 (the “Tax Act”) made significant changes to U.S. federal tax laws. Such changes include a reduction in the corporate tax rate as well as limitations on certain corporate deductions and credits that could have a negative impact on our business. The Tax Act requires significant judgments to be made in the interpretation of the law and significant estimates in the calculation of the provision for income taxes. However, additional guidance that may significantly differ from our interpretation of the law may be issued by the Internal Revenue Service (“IRS”), the Department of Treasury, or another governing body, which may result in a material adverse effect on our business, financial condition, results of operations, or cash flows. In addition, we are subject to tax audits by governmental authorities, primarily in the United States and United Kingdom. If we experience unfavorable results from one or more such tax audits, there could be an adverse effect on our tax rate and therefore on our net income.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Risks Relating to Market and Economic Conditions</w:t>
      </w:r>
    </w:p>
    <w:p>
      <w:pPr>
        <w:spacing w:after="0" w:line="173"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0046AD"/>
        </w:rPr>
        <w:t>Changes in general economic conditions, such as changes in energy prices, government regulations, or consumer preferences, could reduce the demand for facility services and, as a result, reduce our earnings and adversely affect our financial condition.</w:t>
      </w:r>
    </w:p>
    <w:p>
      <w:pPr>
        <w:spacing w:after="0" w:line="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certain geographic areas and service lines, our most profitable revenues are related to supplemental services requested by clients outside of the standard service specification (“tag work”). This contract type is commonly used in janitorial services and includes cleanup after tenant moves, construction cleanup, flood cleanup, and snow removal. A decline in occupancy rates could result in a decline in scope of work, including tag work, and depressed prices for our services. Slow domestic and international economic growth or other negative changes in global, national, and local economic conditions could have a negative impact on our business. Specifically, adverse economic conditions may result in clients cutting back on discretionary spending. Additionally, since a significant portion of our aviation services and parking revenues are tied to the volume of airline passengers, hotel guests, and sports arena attendees, results for these businesses could be adversely affected by curtailment of business, personal travel, or discretionary spending. The use of ride sharing services and car sharing services may also lead to a decline in parking demand at airports and in urban areas.</w:t>
      </w:r>
    </w:p>
    <w:p>
      <w:pPr>
        <w:spacing w:after="0" w:line="12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Energy efficiency projects are designed to reduce a client’s overall consumption of commodities, such as electricity and natural gas. As such, downward fluctuations in commodity prices may reduce client demand for those projects. We also depend, in part, on federal and state legislation and policies that support energy efficiency projects. If current legislation or policies are amended, eliminated, or not extended beyond their current expiration dates, or if funding for energy incentives is reduced or delayed, it could also adversely affect our ability to obtain new business. In some instances, we offer certain of these clients guaranteed energy savings on installed equipment. In the event those guaranteed savings are not achieved, we may be required to pay liquidated or other damages. All of these factors could have an adverse effect on our financial position, results of operations, and 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Risks Relating to Financial Matters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Future increases in the level of our borrowings or in interest rates could affect our results of operations.</w:t>
      </w:r>
    </w:p>
    <w:p>
      <w:pPr>
        <w:spacing w:after="0" w:line="17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Although we have paid down portions of our indebtedness under our syndicated secured credit facility, our future ability to make payments on our debt, fund our other liquidity needs, and make planned capital expenditures will depend on our ability to generate cash. Our ability to generate cash, to a certain extent, is subject to general economic, financial, competitive, and other factors that are beyond our control. We cannot guarantee that our business will generate sufficient cash flow from our operations or that future borrowings will be available to us in an amount sufficient to enable us to make payments on our debt, fund other liquidity needs, make planned capital expenditures, or continue our dividend.</w:t>
      </w:r>
    </w:p>
    <w:p>
      <w:pPr>
        <w:spacing w:after="0" w:line="12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The degree to which we are leveraged could have important consequences for shareholders. For example, it could: require us to dedicate a substantial portion of our cash flows from operations to the payment of debt service, reducing the availability of our cash flow to fund working capital, share repurchases, capital expenditures, acquisitions, and other general corporate purposes; limit our availability to obtain additional financing in the future to enable us to react to changes in our business; and place us at a competitive disadvantage compared to businesses in our industry that have less debt.</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95" w:right="239" w:bottom="1440" w:gutter="0" w:footer="0" w:header="0"/>
        </w:sectPr>
      </w:pPr>
    </w:p>
    <w:bookmarkStart w:id="14" w:name="page15"/>
    <w:bookmarkEnd w:id="14"/>
    <w:p>
      <w:pPr>
        <w:jc w:val="both"/>
        <w:ind w:firstLine="648"/>
        <w:spacing w:after="0" w:line="260" w:lineRule="auto"/>
        <w:rPr>
          <w:sz w:val="20"/>
          <w:szCs w:val="20"/>
          <w:color w:val="auto"/>
        </w:rPr>
      </w:pPr>
      <w:r>
        <w:rPr>
          <w:rFonts w:ascii="Arial" w:cs="Arial" w:eastAsia="Arial" w:hAnsi="Arial"/>
          <w:sz w:val="18"/>
          <w:szCs w:val="18"/>
          <w:color w:val="auto"/>
        </w:rPr>
        <w:t>Additionally, any future increase in the level of our indebtedness will likely increase our interest expense, which could negatively impact our profitability. Current interest rates on borrowings under our credit facility are variable and include the use of the London Interbank Offered Rate (“LIBOR”). In 2017, the U.K. Financial Conduct Authority announced that it intends to phase out LIBOR by the end of 2021. In addition, other regulators have suggested reforming or replacing other benchmark rates. The discontinuation, reform, or replacement of LIBOR or any other benchmark rates may result in fluctuating interest rates that may have a negative impact on our interest expense and our profitability.</w:t>
      </w:r>
    </w:p>
    <w:p>
      <w:pPr>
        <w:spacing w:after="0" w:line="12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Further, our credit facility contains both financial covenants and other covenants that limit our ability to engage in specific transactions. Any failure to comply with covenants in the credit facility could result in an event of default that, if not cured or waived, would have a material adverse effect on us.</w:t>
      </w:r>
    </w:p>
    <w:p>
      <w:pPr>
        <w:spacing w:after="0" w:line="109"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0046AD"/>
        </w:rPr>
        <w:t>Impairment of goodwill and long-lived assets could have a material adverse effect on our financial condition and results of operations.</w:t>
      </w:r>
    </w:p>
    <w:p>
      <w:pPr>
        <w:spacing w:after="0" w:line="7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We evaluate goodwill for impairment annually, in the fourth quarter, or more often if impairment indicators exist. We also review long-lived assets for impairment whenever events or changes in circumstances indicate that the carrying amount of such assets may not be recoverable. If the fair value of one of our reporting units is less than its carrying value, or if as a result of a recoverability test we conclude that the projected undiscounted cash flows are less than the carrying amount, we would record an impairment charge related to goodwill or long-lived assets, respectively. The assumptions used to determine impairment require significant judgment and the amount of the impairment could have a material adverse effect on our reported financial results for the period in which the charge is taken.</w:t>
      </w:r>
    </w:p>
    <w:p>
      <w:pPr>
        <w:spacing w:after="0" w:line="12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0046AD"/>
        </w:rPr>
        <w:t>If we fail to maintain proper and effective internal control over financial reporting in the future, our ability to produce accurate and timely financial statements could be negatively impacted, which could harm our operating results and investor perceptions of our Company and as a result may have a material adverse effect on the value of our common stock.</w:t>
      </w:r>
    </w:p>
    <w:p>
      <w:pPr>
        <w:spacing w:after="0" w:line="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Pursuant to Section 404 of the Sarbanes Oxley Act of 2002 and related rules, our management is required to report on, and our independent registered public accounting firm is required to attest to, the effectiveness of our internal control over financial reporting. The rules governing the standards that must be met for management to assess our internal control over financial reporting are complex and require significant documentation, testing, and, in some instances, remediation. We have acquired entities that had no publicly traded debt or equity and therefore were not previously required to conform to the rules and regulations of the SEC, especially related to their internal control structure. When we acquire such entities, they may not have in place all the necessary controls as required by the Public Company Accounting Oversight Board. Integrating acquired entities into our internal control over financial reporting has required and will continue to require significant time and resources from our management and other personnel, which increases our compliance costs. We are required to include our assessment of the effectiveness of the internal controls over financial reporting of entities we acquire in our overall assessment, so we must plan to complete the evaluation and integration of internal controls over financial reporting and report our assessment within the required time frame.</w:t>
      </w:r>
    </w:p>
    <w:p>
      <w:pPr>
        <w:spacing w:after="0" w:line="1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with the increasing frequency of cyber-related frauds perpetrated to obtain inappropriate payments, we need to ensure our internal controls related to authorizing the transfer of funds and changing our vendor master files are adequate. Failure to maintain an effective internal control environment could have a material adverse effect on our ability to accurately report our financial results, the market’s perception of our business, and our stock price.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Other Risks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Our business may be negatively impacted by adverse weather conditions.</w:t>
      </w:r>
    </w:p>
    <w:p>
      <w:pPr>
        <w:spacing w:after="0" w:line="17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Weather conditions such as snow storms, heavy flooding, hurricanes, and fluctuations in temperatures can negatively impact portions of our business. Within our Technical Solutions segment, cooler than normal temperatures in the summer could reduce the need for servicing of air conditioning units, resulting in reduced revenues and profitability. Within Parking and Aviation services, snow can lead to reduced travel activity, as well as increases in certain costs, both of which negatively affect gross profit. On the other hand, the absence of snow during the winter could cause us to experience reduced revenues in our B&amp;I segment, as many of our contracts specify additional payments for snow-related services.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9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0046AD"/>
        </w:rPr>
        <w:t>Catastrophic events, disasters, and terrorist attacks could disrupt our services.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encounter disruptions involving power, communications, transportation or other utilities, or essential services depended upon by us or by third parties with whom we conduct business. This could include disruptions due to disasters, pandemics, weather-related or similar events (such as fires, hurricanes, blizzards, earthquakes, and floods), political instability, labor strikes, or war (including acts of terrorism or hostilities) that could impact our markets. If a disruption occurs in one location and persons in that location are unable to communicate with or travel to or work from other locations, our ability to service and interact with our clients and others may suffer, and we may not be able to successfully implement contingency plans that depend on communications or travel. These events may increase the volatility of financial results due to unforeseen costs with partial or no corresponding compensation from clients. There also can be no assurance that the disaster recovery and crisis management procedures we employ will suffice in any particular situation to avoid a significant loss. In addition, to the extent centralized administrative locations are disabled for a long period of time, key business processes, such as accounts payable, information technology, payroll, and general management operations, could be interrupted.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Actions of activist investors could disrupt our business.</w:t>
      </w:r>
    </w:p>
    <w:p>
      <w:pPr>
        <w:spacing w:after="0" w:line="17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Public companies have been the target of activist investors. In the event that a third party, such as an activist investor, proposes to change our governance policies, board of directors, or other aspects of our operations, our review and consideration of such proposals may create a significant distraction for our management and employees. This could negatively impact our ability to execute various strategic initiatives and may require management to expend significant time and resources responding to such proposals. Such proposals may also create uncertainties with respect to our financial position and operations and may adversely affect our ability to attract and retain key employees.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1B. UNRESOLVED STAFF COMMENTS.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2. PROPERTIES.</w:t>
      </w:r>
    </w:p>
    <w:p>
      <w:pPr>
        <w:spacing w:after="0" w:line="171" w:lineRule="exact"/>
        <w:rPr>
          <w:sz w:val="20"/>
          <w:szCs w:val="20"/>
          <w:color w:val="auto"/>
        </w:rPr>
      </w:pPr>
    </w:p>
    <w:p>
      <w:pPr>
        <w:jc w:val="both"/>
        <w:ind w:right="20" w:firstLine="648"/>
        <w:spacing w:after="0" w:line="254" w:lineRule="auto"/>
        <w:rPr>
          <w:sz w:val="20"/>
          <w:szCs w:val="20"/>
          <w:color w:val="auto"/>
        </w:rPr>
      </w:pPr>
      <w:r>
        <w:rPr>
          <w:rFonts w:ascii="Arial" w:cs="Arial" w:eastAsia="Arial" w:hAnsi="Arial"/>
          <w:sz w:val="18"/>
          <w:szCs w:val="18"/>
          <w:color w:val="auto"/>
        </w:rPr>
        <w:t>Our principal executive office is located at One Liberty Plaza, 7</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Floor, New York, New York 10006. As part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 2016 we began consolidating our operations to increase efficiency and effectiveness.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Principal Properties as of October 31, 2019</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9"/>
              </w:rPr>
              <w:t>Approximate Square</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rPr>
              <w:t>Lease Expiration Date,</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200" w:type="dxa"/>
            <w:vAlign w:val="bottom"/>
            <w:tcBorders>
              <w:bottom w:val="single" w:sz="8" w:color="auto"/>
            </w:tcBorders>
          </w:tcPr>
          <w:p>
            <w:pPr>
              <w:jc w:val="center"/>
              <w:ind w:left="38"/>
              <w:spacing w:after="0"/>
              <w:rPr>
                <w:sz w:val="20"/>
                <w:szCs w:val="20"/>
                <w:color w:val="auto"/>
              </w:rPr>
            </w:pPr>
            <w:r>
              <w:rPr>
                <w:rFonts w:ascii="Arial" w:cs="Arial" w:eastAsia="Arial" w:hAnsi="Arial"/>
                <w:sz w:val="18"/>
                <w:szCs w:val="18"/>
                <w:b w:val="1"/>
                <w:bCs w:val="1"/>
                <w:color w:val="auto"/>
              </w:rPr>
              <w:t>Location</w:t>
            </w:r>
          </w:p>
        </w:tc>
        <w:tc>
          <w:tcPr>
            <w:tcW w:w="2520" w:type="dxa"/>
            <w:vAlign w:val="bottom"/>
            <w:tcBorders>
              <w:bottom w:val="single" w:sz="8" w:color="auto"/>
            </w:tcBorders>
          </w:tcPr>
          <w:p>
            <w:pPr>
              <w:jc w:val="center"/>
              <w:ind w:left="18"/>
              <w:spacing w:after="0"/>
              <w:rPr>
                <w:sz w:val="20"/>
                <w:szCs w:val="20"/>
                <w:color w:val="auto"/>
              </w:rPr>
            </w:pPr>
            <w:r>
              <w:rPr>
                <w:rFonts w:ascii="Arial" w:cs="Arial" w:eastAsia="Arial" w:hAnsi="Arial"/>
                <w:sz w:val="18"/>
                <w:szCs w:val="18"/>
                <w:b w:val="1"/>
                <w:bCs w:val="1"/>
                <w:color w:val="auto"/>
                <w:w w:val="99"/>
              </w:rPr>
              <w:t>Character of Office</w:t>
            </w: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Feet</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Unless Owned</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Segment</w:t>
            </w:r>
          </w:p>
        </w:tc>
        <w:tc>
          <w:tcPr>
            <w:tcW w:w="0" w:type="dxa"/>
            <w:vAlign w:val="bottom"/>
          </w:tcPr>
          <w:p>
            <w:pPr>
              <w:spacing w:after="0"/>
              <w:rPr>
                <w:sz w:val="1"/>
                <w:szCs w:val="1"/>
                <w:color w:val="auto"/>
              </w:rPr>
            </w:pPr>
          </w:p>
        </w:tc>
      </w:tr>
      <w:tr>
        <w:trPr>
          <w:trHeight w:val="192"/>
        </w:trPr>
        <w:tc>
          <w:tcPr>
            <w:tcW w:w="2200" w:type="dxa"/>
            <w:vAlign w:val="bottom"/>
            <w:vMerge w:val="restart"/>
            <w:shd w:val="clear" w:color="auto" w:fill="DCE2EF"/>
          </w:tcPr>
          <w:p>
            <w:pPr>
              <w:jc w:val="center"/>
              <w:ind w:left="38"/>
              <w:spacing w:after="0"/>
              <w:rPr>
                <w:sz w:val="20"/>
                <w:szCs w:val="20"/>
                <w:color w:val="auto"/>
              </w:rPr>
            </w:pPr>
            <w:r>
              <w:rPr>
                <w:rFonts w:ascii="Arial" w:cs="Arial" w:eastAsia="Arial" w:hAnsi="Arial"/>
                <w:sz w:val="16"/>
                <w:szCs w:val="16"/>
                <w:color w:val="auto"/>
              </w:rPr>
              <w:t>Alpharetta, Georgia</w:t>
            </w:r>
          </w:p>
        </w:tc>
        <w:tc>
          <w:tcPr>
            <w:tcW w:w="2520" w:type="dxa"/>
            <w:vAlign w:val="bottom"/>
            <w:shd w:val="clear" w:color="auto" w:fill="DCE2EF"/>
          </w:tcPr>
          <w:p>
            <w:pPr>
              <w:jc w:val="center"/>
              <w:ind w:left="18"/>
              <w:spacing w:after="0"/>
              <w:rPr>
                <w:sz w:val="20"/>
                <w:szCs w:val="20"/>
                <w:color w:val="auto"/>
              </w:rPr>
            </w:pPr>
            <w:r>
              <w:rPr>
                <w:rFonts w:ascii="Arial" w:cs="Arial" w:eastAsia="Arial" w:hAnsi="Arial"/>
                <w:sz w:val="16"/>
                <w:szCs w:val="16"/>
                <w:color w:val="auto"/>
              </w:rPr>
              <w:t>IT Datacenter and Technical</w:t>
            </w:r>
          </w:p>
        </w:tc>
        <w:tc>
          <w:tcPr>
            <w:tcW w:w="2180" w:type="dxa"/>
            <w:vAlign w:val="bottom"/>
            <w:vMerge w:val="restart"/>
            <w:shd w:val="clear" w:color="auto" w:fill="DCE2EF"/>
          </w:tcPr>
          <w:p>
            <w:pPr>
              <w:jc w:val="center"/>
              <w:spacing w:after="0"/>
              <w:rPr>
                <w:sz w:val="20"/>
                <w:szCs w:val="20"/>
                <w:color w:val="auto"/>
              </w:rPr>
            </w:pPr>
            <w:r>
              <w:rPr>
                <w:rFonts w:ascii="Arial" w:cs="Arial" w:eastAsia="Arial" w:hAnsi="Arial"/>
                <w:sz w:val="16"/>
                <w:szCs w:val="16"/>
                <w:color w:val="auto"/>
                <w:w w:val="98"/>
              </w:rPr>
              <w:t>25,000</w:t>
            </w:r>
          </w:p>
        </w:tc>
        <w:tc>
          <w:tcPr>
            <w:tcW w:w="2280" w:type="dxa"/>
            <w:vAlign w:val="bottom"/>
            <w:vMerge w:val="restart"/>
            <w:shd w:val="clear" w:color="auto" w:fill="DCE2EF"/>
          </w:tcPr>
          <w:p>
            <w:pPr>
              <w:jc w:val="center"/>
              <w:spacing w:after="0"/>
              <w:rPr>
                <w:sz w:val="20"/>
                <w:szCs w:val="20"/>
                <w:color w:val="auto"/>
              </w:rPr>
            </w:pPr>
            <w:r>
              <w:rPr>
                <w:rFonts w:ascii="Arial" w:cs="Arial" w:eastAsia="Arial" w:hAnsi="Arial"/>
                <w:sz w:val="16"/>
                <w:szCs w:val="16"/>
                <w:color w:val="auto"/>
                <w:w w:val="98"/>
              </w:rPr>
              <w:t>Owned</w:t>
            </w:r>
          </w:p>
        </w:tc>
        <w:tc>
          <w:tcPr>
            <w:tcW w:w="2240" w:type="dxa"/>
            <w:vAlign w:val="bottom"/>
            <w:vMerge w:val="restart"/>
            <w:shd w:val="clear" w:color="auto" w:fill="DCE2EF"/>
          </w:tcPr>
          <w:p>
            <w:pPr>
              <w:jc w:val="center"/>
              <w:spacing w:after="0"/>
              <w:rPr>
                <w:sz w:val="20"/>
                <w:szCs w:val="20"/>
                <w:color w:val="auto"/>
              </w:rPr>
            </w:pPr>
            <w:r>
              <w:rPr>
                <w:rFonts w:ascii="Arial" w:cs="Arial" w:eastAsia="Arial" w:hAnsi="Arial"/>
                <w:sz w:val="16"/>
                <w:szCs w:val="16"/>
                <w:color w:val="auto"/>
              </w:rPr>
              <w:t>All</w:t>
            </w:r>
          </w:p>
        </w:tc>
        <w:tc>
          <w:tcPr>
            <w:tcW w:w="0" w:type="dxa"/>
            <w:vAlign w:val="bottom"/>
          </w:tcPr>
          <w:p>
            <w:pPr>
              <w:spacing w:after="0"/>
              <w:rPr>
                <w:sz w:val="1"/>
                <w:szCs w:val="1"/>
                <w:color w:val="auto"/>
              </w:rPr>
            </w:pPr>
          </w:p>
        </w:tc>
      </w:tr>
      <w:tr>
        <w:trPr>
          <w:trHeight w:val="124"/>
        </w:trPr>
        <w:tc>
          <w:tcPr>
            <w:tcW w:w="2200" w:type="dxa"/>
            <w:vAlign w:val="bottom"/>
            <w:vMerge w:val="continue"/>
            <w:shd w:val="clear" w:color="auto" w:fill="DCE2EF"/>
          </w:tcPr>
          <w:p>
            <w:pPr>
              <w:spacing w:after="0"/>
              <w:rPr>
                <w:sz w:val="10"/>
                <w:szCs w:val="10"/>
                <w:color w:val="auto"/>
              </w:rPr>
            </w:pPr>
          </w:p>
        </w:tc>
        <w:tc>
          <w:tcPr>
            <w:tcW w:w="2520" w:type="dxa"/>
            <w:vAlign w:val="bottom"/>
            <w:vMerge w:val="restart"/>
            <w:shd w:val="clear" w:color="auto" w:fill="DCE2EF"/>
          </w:tcPr>
          <w:p>
            <w:pPr>
              <w:jc w:val="center"/>
              <w:ind w:left="18"/>
              <w:spacing w:after="0"/>
              <w:rPr>
                <w:sz w:val="20"/>
                <w:szCs w:val="20"/>
                <w:color w:val="auto"/>
              </w:rPr>
            </w:pPr>
            <w:r>
              <w:rPr>
                <w:rFonts w:ascii="Arial" w:cs="Arial" w:eastAsia="Arial" w:hAnsi="Arial"/>
                <w:sz w:val="16"/>
                <w:szCs w:val="16"/>
                <w:color w:val="auto"/>
              </w:rPr>
              <w:t>Solutions Headquarters</w:t>
            </w:r>
          </w:p>
        </w:tc>
        <w:tc>
          <w:tcPr>
            <w:tcW w:w="2180" w:type="dxa"/>
            <w:vAlign w:val="bottom"/>
            <w:vMerge w:val="continue"/>
            <w:shd w:val="clear" w:color="auto" w:fill="DCE2EF"/>
          </w:tcPr>
          <w:p>
            <w:pPr>
              <w:spacing w:after="0"/>
              <w:rPr>
                <w:sz w:val="10"/>
                <w:szCs w:val="10"/>
                <w:color w:val="auto"/>
              </w:rPr>
            </w:pPr>
          </w:p>
        </w:tc>
        <w:tc>
          <w:tcPr>
            <w:tcW w:w="2280" w:type="dxa"/>
            <w:vAlign w:val="bottom"/>
            <w:vMerge w:val="continue"/>
            <w:shd w:val="clear" w:color="auto" w:fill="DCE2EF"/>
          </w:tcPr>
          <w:p>
            <w:pPr>
              <w:spacing w:after="0"/>
              <w:rPr>
                <w:sz w:val="10"/>
                <w:szCs w:val="10"/>
                <w:color w:val="auto"/>
              </w:rPr>
            </w:pPr>
          </w:p>
        </w:tc>
        <w:tc>
          <w:tcPr>
            <w:tcW w:w="2240" w:type="dxa"/>
            <w:vAlign w:val="bottom"/>
            <w:vMerge w:val="continue"/>
            <w:shd w:val="clear" w:color="auto" w:fill="DCE2EF"/>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200" w:type="dxa"/>
            <w:vAlign w:val="bottom"/>
            <w:shd w:val="clear" w:color="auto" w:fill="DCE2EF"/>
          </w:tcPr>
          <w:p>
            <w:pPr>
              <w:spacing w:after="0"/>
              <w:rPr>
                <w:sz w:val="9"/>
                <w:szCs w:val="9"/>
                <w:color w:val="auto"/>
              </w:rPr>
            </w:pPr>
          </w:p>
        </w:tc>
        <w:tc>
          <w:tcPr>
            <w:tcW w:w="2520" w:type="dxa"/>
            <w:vAlign w:val="bottom"/>
            <w:vMerge w:val="continue"/>
            <w:shd w:val="clear" w:color="auto" w:fill="DCE2EF"/>
          </w:tcPr>
          <w:p>
            <w:pPr>
              <w:spacing w:after="0"/>
              <w:rPr>
                <w:sz w:val="9"/>
                <w:szCs w:val="9"/>
                <w:color w:val="auto"/>
              </w:rPr>
            </w:pPr>
          </w:p>
        </w:tc>
        <w:tc>
          <w:tcPr>
            <w:tcW w:w="2180" w:type="dxa"/>
            <w:vAlign w:val="bottom"/>
            <w:shd w:val="clear" w:color="auto" w:fill="DCE2EF"/>
          </w:tcPr>
          <w:p>
            <w:pPr>
              <w:spacing w:after="0"/>
              <w:rPr>
                <w:sz w:val="9"/>
                <w:szCs w:val="9"/>
                <w:color w:val="auto"/>
              </w:rPr>
            </w:pPr>
          </w:p>
        </w:tc>
        <w:tc>
          <w:tcPr>
            <w:tcW w:w="2280" w:type="dxa"/>
            <w:vAlign w:val="bottom"/>
            <w:shd w:val="clear" w:color="auto" w:fill="DCE2EF"/>
          </w:tcPr>
          <w:p>
            <w:pPr>
              <w:spacing w:after="0"/>
              <w:rPr>
                <w:sz w:val="9"/>
                <w:szCs w:val="9"/>
                <w:color w:val="auto"/>
              </w:rPr>
            </w:pPr>
          </w:p>
        </w:tc>
        <w:tc>
          <w:tcPr>
            <w:tcW w:w="2240" w:type="dxa"/>
            <w:vAlign w:val="bottom"/>
            <w:shd w:val="clear" w:color="auto" w:fill="DCE2EF"/>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200" w:type="dxa"/>
            <w:vAlign w:val="bottom"/>
          </w:tcPr>
          <w:p>
            <w:pPr>
              <w:jc w:val="center"/>
              <w:ind w:left="38"/>
              <w:spacing w:after="0"/>
              <w:rPr>
                <w:sz w:val="20"/>
                <w:szCs w:val="20"/>
                <w:color w:val="auto"/>
              </w:rPr>
            </w:pPr>
            <w:r>
              <w:rPr>
                <w:rFonts w:ascii="Arial" w:cs="Arial" w:eastAsia="Arial" w:hAnsi="Arial"/>
                <w:sz w:val="16"/>
                <w:szCs w:val="16"/>
                <w:color w:val="auto"/>
              </w:rPr>
              <w:t>Atlanta, Georgia</w:t>
            </w:r>
          </w:p>
        </w:tc>
        <w:tc>
          <w:tcPr>
            <w:tcW w:w="2520" w:type="dxa"/>
            <w:vAlign w:val="bottom"/>
          </w:tcPr>
          <w:p>
            <w:pPr>
              <w:jc w:val="center"/>
              <w:ind w:left="38"/>
              <w:spacing w:after="0"/>
              <w:rPr>
                <w:sz w:val="20"/>
                <w:szCs w:val="20"/>
                <w:color w:val="auto"/>
              </w:rPr>
            </w:pPr>
            <w:r>
              <w:rPr>
                <w:rFonts w:ascii="Arial" w:cs="Arial" w:eastAsia="Arial" w:hAnsi="Arial"/>
                <w:sz w:val="16"/>
                <w:szCs w:val="16"/>
                <w:color w:val="auto"/>
              </w:rPr>
              <w:t>Operations Support</w:t>
            </w:r>
          </w:p>
        </w:tc>
        <w:tc>
          <w:tcPr>
            <w:tcW w:w="2180" w:type="dxa"/>
            <w:vAlign w:val="bottom"/>
          </w:tcPr>
          <w:p>
            <w:pPr>
              <w:jc w:val="center"/>
              <w:spacing w:after="0"/>
              <w:rPr>
                <w:sz w:val="20"/>
                <w:szCs w:val="20"/>
                <w:color w:val="auto"/>
              </w:rPr>
            </w:pPr>
            <w:r>
              <w:rPr>
                <w:rFonts w:ascii="Arial" w:cs="Arial" w:eastAsia="Arial" w:hAnsi="Arial"/>
                <w:sz w:val="16"/>
                <w:szCs w:val="16"/>
                <w:color w:val="auto"/>
                <w:w w:val="98"/>
              </w:rPr>
              <w:t>37,000</w:t>
            </w:r>
          </w:p>
        </w:tc>
        <w:tc>
          <w:tcPr>
            <w:tcW w:w="2280" w:type="dxa"/>
            <w:vAlign w:val="bottom"/>
          </w:tcPr>
          <w:p>
            <w:pPr>
              <w:jc w:val="center"/>
              <w:spacing w:after="0"/>
              <w:rPr>
                <w:sz w:val="20"/>
                <w:szCs w:val="20"/>
                <w:color w:val="auto"/>
              </w:rPr>
            </w:pPr>
            <w:r>
              <w:rPr>
                <w:rFonts w:ascii="Arial" w:cs="Arial" w:eastAsia="Arial" w:hAnsi="Arial"/>
                <w:sz w:val="16"/>
                <w:szCs w:val="16"/>
                <w:color w:val="auto"/>
              </w:rPr>
              <w:t>10/31/2027</w:t>
            </w:r>
          </w:p>
        </w:tc>
        <w:tc>
          <w:tcPr>
            <w:tcW w:w="2240" w:type="dxa"/>
            <w:vAlign w:val="bottom"/>
          </w:tcPr>
          <w:p>
            <w:pPr>
              <w:jc w:val="center"/>
              <w:spacing w:after="0"/>
              <w:rPr>
                <w:sz w:val="20"/>
                <w:szCs w:val="20"/>
                <w:color w:val="auto"/>
              </w:rPr>
            </w:pPr>
            <w:r>
              <w:rPr>
                <w:rFonts w:ascii="Arial" w:cs="Arial" w:eastAsia="Arial" w:hAnsi="Arial"/>
                <w:sz w:val="16"/>
                <w:szCs w:val="16"/>
                <w:color w:val="auto"/>
              </w:rPr>
              <w:t>All</w:t>
            </w:r>
          </w:p>
        </w:tc>
        <w:tc>
          <w:tcPr>
            <w:tcW w:w="0" w:type="dxa"/>
            <w:vAlign w:val="bottom"/>
          </w:tcPr>
          <w:p>
            <w:pPr>
              <w:spacing w:after="0"/>
              <w:rPr>
                <w:sz w:val="1"/>
                <w:szCs w:val="1"/>
                <w:color w:val="auto"/>
              </w:rPr>
            </w:pPr>
          </w:p>
        </w:tc>
      </w:tr>
      <w:tr>
        <w:trPr>
          <w:trHeight w:val="29"/>
        </w:trPr>
        <w:tc>
          <w:tcPr>
            <w:tcW w:w="22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200" w:type="dxa"/>
            <w:vAlign w:val="bottom"/>
            <w:vMerge w:val="restart"/>
            <w:shd w:val="clear" w:color="auto" w:fill="DCE2EF"/>
          </w:tcPr>
          <w:p>
            <w:pPr>
              <w:jc w:val="center"/>
              <w:ind w:left="38"/>
              <w:spacing w:after="0"/>
              <w:rPr>
                <w:sz w:val="20"/>
                <w:szCs w:val="20"/>
                <w:color w:val="auto"/>
              </w:rPr>
            </w:pPr>
            <w:r>
              <w:rPr>
                <w:rFonts w:ascii="Arial" w:cs="Arial" w:eastAsia="Arial" w:hAnsi="Arial"/>
                <w:sz w:val="16"/>
                <w:szCs w:val="16"/>
                <w:color w:val="auto"/>
              </w:rPr>
              <w:t>Cleveland, Ohio</w:t>
            </w:r>
          </w:p>
        </w:tc>
        <w:tc>
          <w:tcPr>
            <w:tcW w:w="2520" w:type="dxa"/>
            <w:vAlign w:val="bottom"/>
            <w:vMerge w:val="restart"/>
            <w:shd w:val="clear" w:color="auto" w:fill="DCE2EF"/>
          </w:tcPr>
          <w:p>
            <w:pPr>
              <w:jc w:val="center"/>
              <w:ind w:left="18"/>
              <w:spacing w:after="0"/>
              <w:rPr>
                <w:sz w:val="20"/>
                <w:szCs w:val="20"/>
                <w:color w:val="auto"/>
              </w:rPr>
            </w:pPr>
            <w:r>
              <w:rPr>
                <w:rFonts w:ascii="Arial" w:cs="Arial" w:eastAsia="Arial" w:hAnsi="Arial"/>
                <w:sz w:val="16"/>
                <w:szCs w:val="16"/>
                <w:color w:val="auto"/>
              </w:rPr>
              <w:t>Legacy GCA Headquarters</w:t>
            </w:r>
          </w:p>
        </w:tc>
        <w:tc>
          <w:tcPr>
            <w:tcW w:w="2180" w:type="dxa"/>
            <w:vAlign w:val="bottom"/>
            <w:vMerge w:val="restart"/>
            <w:shd w:val="clear" w:color="auto" w:fill="DCE2EF"/>
          </w:tcPr>
          <w:p>
            <w:pPr>
              <w:jc w:val="center"/>
              <w:spacing w:after="0"/>
              <w:rPr>
                <w:sz w:val="20"/>
                <w:szCs w:val="20"/>
                <w:color w:val="auto"/>
              </w:rPr>
            </w:pPr>
            <w:r>
              <w:rPr>
                <w:rFonts w:ascii="Arial" w:cs="Arial" w:eastAsia="Arial" w:hAnsi="Arial"/>
                <w:sz w:val="16"/>
                <w:szCs w:val="16"/>
                <w:color w:val="auto"/>
                <w:w w:val="98"/>
              </w:rPr>
              <w:t>32,400</w:t>
            </w:r>
          </w:p>
        </w:tc>
        <w:tc>
          <w:tcPr>
            <w:tcW w:w="2280" w:type="dxa"/>
            <w:vAlign w:val="bottom"/>
            <w:vMerge w:val="restart"/>
            <w:shd w:val="clear" w:color="auto" w:fill="DCE2EF"/>
          </w:tcPr>
          <w:p>
            <w:pPr>
              <w:jc w:val="center"/>
              <w:spacing w:after="0"/>
              <w:rPr>
                <w:sz w:val="20"/>
                <w:szCs w:val="20"/>
                <w:color w:val="auto"/>
              </w:rPr>
            </w:pPr>
            <w:r>
              <w:rPr>
                <w:rFonts w:ascii="Arial" w:cs="Arial" w:eastAsia="Arial" w:hAnsi="Arial"/>
                <w:sz w:val="16"/>
                <w:szCs w:val="16"/>
                <w:color w:val="auto"/>
              </w:rPr>
              <w:t>1/31/2024</w:t>
            </w:r>
          </w:p>
        </w:tc>
        <w:tc>
          <w:tcPr>
            <w:tcW w:w="2240" w:type="dxa"/>
            <w:vAlign w:val="bottom"/>
            <w:shd w:val="clear" w:color="auto" w:fill="DCE2EF"/>
          </w:tcPr>
          <w:p>
            <w:pPr>
              <w:jc w:val="center"/>
              <w:spacing w:after="0"/>
              <w:rPr>
                <w:sz w:val="20"/>
                <w:szCs w:val="20"/>
                <w:color w:val="auto"/>
              </w:rPr>
            </w:pPr>
            <w:r>
              <w:rPr>
                <w:rFonts w:ascii="Arial" w:cs="Arial" w:eastAsia="Arial" w:hAnsi="Arial"/>
                <w:sz w:val="16"/>
                <w:szCs w:val="16"/>
                <w:color w:val="auto"/>
              </w:rPr>
              <w:t>Education, T&amp;M, and</w:t>
            </w:r>
          </w:p>
        </w:tc>
        <w:tc>
          <w:tcPr>
            <w:tcW w:w="0" w:type="dxa"/>
            <w:vAlign w:val="bottom"/>
          </w:tcPr>
          <w:p>
            <w:pPr>
              <w:spacing w:after="0"/>
              <w:rPr>
                <w:sz w:val="1"/>
                <w:szCs w:val="1"/>
                <w:color w:val="auto"/>
              </w:rPr>
            </w:pPr>
          </w:p>
        </w:tc>
      </w:tr>
      <w:tr>
        <w:trPr>
          <w:trHeight w:val="124"/>
        </w:trPr>
        <w:tc>
          <w:tcPr>
            <w:tcW w:w="2200" w:type="dxa"/>
            <w:vAlign w:val="bottom"/>
            <w:vMerge w:val="continue"/>
            <w:shd w:val="clear" w:color="auto" w:fill="DCE2EF"/>
          </w:tcPr>
          <w:p>
            <w:pPr>
              <w:spacing w:after="0"/>
              <w:rPr>
                <w:sz w:val="10"/>
                <w:szCs w:val="10"/>
                <w:color w:val="auto"/>
              </w:rPr>
            </w:pPr>
          </w:p>
        </w:tc>
        <w:tc>
          <w:tcPr>
            <w:tcW w:w="2520" w:type="dxa"/>
            <w:vAlign w:val="bottom"/>
            <w:vMerge w:val="continue"/>
            <w:shd w:val="clear" w:color="auto" w:fill="DCE2EF"/>
          </w:tcPr>
          <w:p>
            <w:pPr>
              <w:spacing w:after="0"/>
              <w:rPr>
                <w:sz w:val="10"/>
                <w:szCs w:val="10"/>
                <w:color w:val="auto"/>
              </w:rPr>
            </w:pPr>
          </w:p>
        </w:tc>
        <w:tc>
          <w:tcPr>
            <w:tcW w:w="2180" w:type="dxa"/>
            <w:vAlign w:val="bottom"/>
            <w:vMerge w:val="continue"/>
            <w:shd w:val="clear" w:color="auto" w:fill="DCE2EF"/>
          </w:tcPr>
          <w:p>
            <w:pPr>
              <w:spacing w:after="0"/>
              <w:rPr>
                <w:sz w:val="10"/>
                <w:szCs w:val="10"/>
                <w:color w:val="auto"/>
              </w:rPr>
            </w:pPr>
          </w:p>
        </w:tc>
        <w:tc>
          <w:tcPr>
            <w:tcW w:w="2280" w:type="dxa"/>
            <w:vAlign w:val="bottom"/>
            <w:vMerge w:val="continue"/>
            <w:shd w:val="clear" w:color="auto" w:fill="DCE2EF"/>
          </w:tcPr>
          <w:p>
            <w:pPr>
              <w:spacing w:after="0"/>
              <w:rPr>
                <w:sz w:val="10"/>
                <w:szCs w:val="10"/>
                <w:color w:val="auto"/>
              </w:rPr>
            </w:pPr>
          </w:p>
        </w:tc>
        <w:tc>
          <w:tcPr>
            <w:tcW w:w="2240" w:type="dxa"/>
            <w:vAlign w:val="bottom"/>
            <w:vMerge w:val="restart"/>
            <w:shd w:val="clear" w:color="auto" w:fill="DCE2EF"/>
          </w:tcPr>
          <w:p>
            <w:pPr>
              <w:jc w:val="center"/>
              <w:spacing w:after="0"/>
              <w:rPr>
                <w:sz w:val="20"/>
                <w:szCs w:val="20"/>
                <w:color w:val="auto"/>
              </w:rPr>
            </w:pPr>
            <w:r>
              <w:rPr>
                <w:rFonts w:ascii="Arial" w:cs="Arial" w:eastAsia="Arial" w:hAnsi="Arial"/>
                <w:sz w:val="16"/>
                <w:szCs w:val="16"/>
                <w:color w:val="auto"/>
              </w:rPr>
              <w:t>Corporate</w:t>
            </w:r>
          </w:p>
        </w:tc>
        <w:tc>
          <w:tcPr>
            <w:tcW w:w="0" w:type="dxa"/>
            <w:vAlign w:val="bottom"/>
          </w:tcPr>
          <w:p>
            <w:pPr>
              <w:spacing w:after="0"/>
              <w:rPr>
                <w:sz w:val="1"/>
                <w:szCs w:val="1"/>
                <w:color w:val="auto"/>
              </w:rPr>
            </w:pPr>
          </w:p>
        </w:tc>
      </w:tr>
      <w:tr>
        <w:trPr>
          <w:trHeight w:val="110"/>
        </w:trPr>
        <w:tc>
          <w:tcPr>
            <w:tcW w:w="2200" w:type="dxa"/>
            <w:vAlign w:val="bottom"/>
            <w:shd w:val="clear" w:color="auto" w:fill="DCE2EF"/>
          </w:tcPr>
          <w:p>
            <w:pPr>
              <w:spacing w:after="0"/>
              <w:rPr>
                <w:sz w:val="9"/>
                <w:szCs w:val="9"/>
                <w:color w:val="auto"/>
              </w:rPr>
            </w:pPr>
          </w:p>
        </w:tc>
        <w:tc>
          <w:tcPr>
            <w:tcW w:w="2520" w:type="dxa"/>
            <w:vAlign w:val="bottom"/>
            <w:shd w:val="clear" w:color="auto" w:fill="DCE2EF"/>
          </w:tcPr>
          <w:p>
            <w:pPr>
              <w:spacing w:after="0"/>
              <w:rPr>
                <w:sz w:val="9"/>
                <w:szCs w:val="9"/>
                <w:color w:val="auto"/>
              </w:rPr>
            </w:pPr>
          </w:p>
        </w:tc>
        <w:tc>
          <w:tcPr>
            <w:tcW w:w="2180" w:type="dxa"/>
            <w:vAlign w:val="bottom"/>
            <w:shd w:val="clear" w:color="auto" w:fill="DCE2EF"/>
          </w:tcPr>
          <w:p>
            <w:pPr>
              <w:spacing w:after="0"/>
              <w:rPr>
                <w:sz w:val="9"/>
                <w:szCs w:val="9"/>
                <w:color w:val="auto"/>
              </w:rPr>
            </w:pPr>
          </w:p>
        </w:tc>
        <w:tc>
          <w:tcPr>
            <w:tcW w:w="2280" w:type="dxa"/>
            <w:vAlign w:val="bottom"/>
            <w:shd w:val="clear" w:color="auto" w:fill="DCE2EF"/>
          </w:tcPr>
          <w:p>
            <w:pPr>
              <w:spacing w:after="0"/>
              <w:rPr>
                <w:sz w:val="9"/>
                <w:szCs w:val="9"/>
                <w:color w:val="auto"/>
              </w:rPr>
            </w:pPr>
          </w:p>
        </w:tc>
        <w:tc>
          <w:tcPr>
            <w:tcW w:w="2240" w:type="dxa"/>
            <w:vAlign w:val="bottom"/>
            <w:vMerge w:val="continue"/>
            <w:shd w:val="clear" w:color="auto" w:fill="DCE2EF"/>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2200" w:type="dxa"/>
            <w:vAlign w:val="bottom"/>
          </w:tcPr>
          <w:p>
            <w:pPr>
              <w:jc w:val="center"/>
              <w:ind w:left="18"/>
              <w:spacing w:after="0"/>
              <w:rPr>
                <w:sz w:val="20"/>
                <w:szCs w:val="20"/>
                <w:color w:val="auto"/>
              </w:rPr>
            </w:pPr>
            <w:r>
              <w:rPr>
                <w:rFonts w:ascii="Arial" w:cs="Arial" w:eastAsia="Arial" w:hAnsi="Arial"/>
                <w:sz w:val="16"/>
                <w:szCs w:val="16"/>
                <w:color w:val="auto"/>
                <w:w w:val="98"/>
              </w:rPr>
              <w:t>New York, New York</w:t>
            </w:r>
          </w:p>
        </w:tc>
        <w:tc>
          <w:tcPr>
            <w:tcW w:w="2520" w:type="dxa"/>
            <w:vAlign w:val="bottom"/>
          </w:tcPr>
          <w:p>
            <w:pPr>
              <w:jc w:val="center"/>
              <w:ind w:left="18"/>
              <w:spacing w:after="0"/>
              <w:rPr>
                <w:sz w:val="20"/>
                <w:szCs w:val="20"/>
                <w:color w:val="auto"/>
              </w:rPr>
            </w:pPr>
            <w:r>
              <w:rPr>
                <w:rFonts w:ascii="Arial" w:cs="Arial" w:eastAsia="Arial" w:hAnsi="Arial"/>
                <w:sz w:val="16"/>
                <w:szCs w:val="16"/>
                <w:color w:val="auto"/>
              </w:rPr>
              <w:t>Corporate Headquarters</w:t>
            </w:r>
          </w:p>
        </w:tc>
        <w:tc>
          <w:tcPr>
            <w:tcW w:w="2180" w:type="dxa"/>
            <w:vAlign w:val="bottom"/>
          </w:tcPr>
          <w:p>
            <w:pPr>
              <w:jc w:val="center"/>
              <w:spacing w:after="0"/>
              <w:rPr>
                <w:sz w:val="20"/>
                <w:szCs w:val="20"/>
                <w:color w:val="auto"/>
              </w:rPr>
            </w:pPr>
            <w:r>
              <w:rPr>
                <w:rFonts w:ascii="Arial" w:cs="Arial" w:eastAsia="Arial" w:hAnsi="Arial"/>
                <w:sz w:val="16"/>
                <w:szCs w:val="16"/>
                <w:color w:val="auto"/>
                <w:w w:val="96"/>
              </w:rPr>
              <w:t>44,000</w:t>
            </w:r>
            <w:r>
              <w:rPr>
                <w:rFonts w:ascii="Arial" w:cs="Arial" w:eastAsia="Arial" w:hAnsi="Arial"/>
                <w:sz w:val="21"/>
                <w:szCs w:val="21"/>
                <w:color w:val="auto"/>
                <w:w w:val="96"/>
                <w:vertAlign w:val="superscript"/>
              </w:rPr>
              <w:t>(1)</w:t>
            </w:r>
          </w:p>
        </w:tc>
        <w:tc>
          <w:tcPr>
            <w:tcW w:w="2280" w:type="dxa"/>
            <w:vAlign w:val="bottom"/>
          </w:tcPr>
          <w:p>
            <w:pPr>
              <w:jc w:val="center"/>
              <w:spacing w:after="0"/>
              <w:rPr>
                <w:sz w:val="20"/>
                <w:szCs w:val="20"/>
                <w:color w:val="auto"/>
              </w:rPr>
            </w:pPr>
            <w:r>
              <w:rPr>
                <w:rFonts w:ascii="Arial" w:cs="Arial" w:eastAsia="Arial" w:hAnsi="Arial"/>
                <w:sz w:val="16"/>
                <w:szCs w:val="16"/>
                <w:color w:val="auto"/>
                <w:w w:val="99"/>
              </w:rPr>
              <w:t>1/3/2032</w:t>
            </w:r>
          </w:p>
        </w:tc>
        <w:tc>
          <w:tcPr>
            <w:tcW w:w="2240" w:type="dxa"/>
            <w:vAlign w:val="bottom"/>
          </w:tcPr>
          <w:p>
            <w:pPr>
              <w:jc w:val="center"/>
              <w:spacing w:after="0"/>
              <w:rPr>
                <w:sz w:val="20"/>
                <w:szCs w:val="20"/>
                <w:color w:val="auto"/>
              </w:rPr>
            </w:pPr>
            <w:r>
              <w:rPr>
                <w:rFonts w:ascii="Arial" w:cs="Arial" w:eastAsia="Arial" w:hAnsi="Arial"/>
                <w:sz w:val="16"/>
                <w:szCs w:val="16"/>
                <w:color w:val="auto"/>
              </w:rPr>
              <w:t>Corporate and B&amp;I</w:t>
            </w:r>
          </w:p>
        </w:tc>
        <w:tc>
          <w:tcPr>
            <w:tcW w:w="0" w:type="dxa"/>
            <w:vAlign w:val="bottom"/>
          </w:tcPr>
          <w:p>
            <w:pPr>
              <w:spacing w:after="0"/>
              <w:rPr>
                <w:sz w:val="1"/>
                <w:szCs w:val="1"/>
                <w:color w:val="auto"/>
              </w:rPr>
            </w:pPr>
          </w:p>
        </w:tc>
      </w:tr>
      <w:tr>
        <w:trPr>
          <w:trHeight w:val="250"/>
        </w:trPr>
        <w:tc>
          <w:tcPr>
            <w:tcW w:w="2200" w:type="dxa"/>
            <w:vAlign w:val="bottom"/>
            <w:tcBorders>
              <w:bottom w:val="single" w:sz="8" w:color="DCE2EF"/>
            </w:tcBorders>
            <w:shd w:val="clear" w:color="auto" w:fill="DCE2EF"/>
          </w:tcPr>
          <w:p>
            <w:pPr>
              <w:jc w:val="center"/>
              <w:ind w:left="38"/>
              <w:spacing w:after="0"/>
              <w:rPr>
                <w:sz w:val="20"/>
                <w:szCs w:val="20"/>
                <w:color w:val="auto"/>
              </w:rPr>
            </w:pPr>
            <w:r>
              <w:rPr>
                <w:rFonts w:ascii="Arial" w:cs="Arial" w:eastAsia="Arial" w:hAnsi="Arial"/>
                <w:sz w:val="16"/>
                <w:szCs w:val="16"/>
                <w:color w:val="auto"/>
              </w:rPr>
              <w:t>Sugar Land, Texas</w:t>
            </w:r>
          </w:p>
        </w:tc>
        <w:tc>
          <w:tcPr>
            <w:tcW w:w="2520" w:type="dxa"/>
            <w:vAlign w:val="bottom"/>
            <w:tcBorders>
              <w:bottom w:val="single" w:sz="8" w:color="DCE2EF"/>
            </w:tcBorders>
            <w:shd w:val="clear" w:color="auto" w:fill="DCE2EF"/>
          </w:tcPr>
          <w:p>
            <w:pPr>
              <w:jc w:val="center"/>
              <w:ind w:left="38"/>
              <w:spacing w:after="0"/>
              <w:rPr>
                <w:sz w:val="20"/>
                <w:szCs w:val="20"/>
                <w:color w:val="auto"/>
              </w:rPr>
            </w:pPr>
            <w:r>
              <w:rPr>
                <w:rFonts w:ascii="Arial" w:cs="Arial" w:eastAsia="Arial" w:hAnsi="Arial"/>
                <w:sz w:val="16"/>
                <w:szCs w:val="16"/>
                <w:color w:val="auto"/>
              </w:rPr>
              <w:t>Enterprise Services</w:t>
            </w:r>
          </w:p>
        </w:tc>
        <w:tc>
          <w:tcPr>
            <w:tcW w:w="2180" w:type="dxa"/>
            <w:vAlign w:val="bottom"/>
            <w:tcBorders>
              <w:bottom w:val="single" w:sz="8" w:color="DCE2EF"/>
            </w:tcBorders>
            <w:shd w:val="clear" w:color="auto" w:fill="DCE2EF"/>
          </w:tcPr>
          <w:p>
            <w:pPr>
              <w:jc w:val="center"/>
              <w:spacing w:after="0"/>
              <w:rPr>
                <w:sz w:val="20"/>
                <w:szCs w:val="20"/>
                <w:color w:val="auto"/>
              </w:rPr>
            </w:pPr>
            <w:r>
              <w:rPr>
                <w:rFonts w:ascii="Arial" w:cs="Arial" w:eastAsia="Arial" w:hAnsi="Arial"/>
                <w:sz w:val="16"/>
                <w:szCs w:val="16"/>
                <w:color w:val="auto"/>
                <w:w w:val="98"/>
              </w:rPr>
              <w:t>62,500</w:t>
            </w:r>
          </w:p>
        </w:tc>
        <w:tc>
          <w:tcPr>
            <w:tcW w:w="2280" w:type="dxa"/>
            <w:vAlign w:val="bottom"/>
            <w:tcBorders>
              <w:bottom w:val="single" w:sz="8" w:color="DCE2EF"/>
            </w:tcBorders>
            <w:shd w:val="clear" w:color="auto" w:fill="DCE2EF"/>
          </w:tcPr>
          <w:p>
            <w:pPr>
              <w:jc w:val="center"/>
              <w:spacing w:after="0"/>
              <w:rPr>
                <w:sz w:val="20"/>
                <w:szCs w:val="20"/>
                <w:color w:val="auto"/>
              </w:rPr>
            </w:pPr>
            <w:r>
              <w:rPr>
                <w:rFonts w:ascii="Arial" w:cs="Arial" w:eastAsia="Arial" w:hAnsi="Arial"/>
                <w:sz w:val="16"/>
                <w:szCs w:val="16"/>
                <w:color w:val="auto"/>
              </w:rPr>
              <w:t>3/31/2028</w:t>
            </w:r>
          </w:p>
        </w:tc>
        <w:tc>
          <w:tcPr>
            <w:tcW w:w="2240" w:type="dxa"/>
            <w:vAlign w:val="bottom"/>
            <w:tcBorders>
              <w:bottom w:val="single" w:sz="8" w:color="DCE2EF"/>
            </w:tcBorders>
            <w:shd w:val="clear" w:color="auto" w:fill="DCE2EF"/>
          </w:tcPr>
          <w:p>
            <w:pPr>
              <w:jc w:val="center"/>
              <w:spacing w:after="0"/>
              <w:rPr>
                <w:sz w:val="20"/>
                <w:szCs w:val="20"/>
                <w:color w:val="auto"/>
              </w:rPr>
            </w:pPr>
            <w:r>
              <w:rPr>
                <w:rFonts w:ascii="Arial" w:cs="Arial" w:eastAsia="Arial" w:hAnsi="Arial"/>
                <w:sz w:val="16"/>
                <w:szCs w:val="16"/>
                <w:color w:val="auto"/>
              </w:rPr>
              <w:t>All</w:t>
            </w:r>
          </w:p>
        </w:tc>
        <w:tc>
          <w:tcPr>
            <w:tcW w:w="0" w:type="dxa"/>
            <w:vAlign w:val="bottom"/>
          </w:tcPr>
          <w:p>
            <w:pPr>
              <w:spacing w:after="0"/>
              <w:rPr>
                <w:sz w:val="1"/>
                <w:szCs w:val="1"/>
                <w:color w:val="auto"/>
              </w:rPr>
            </w:pPr>
          </w:p>
        </w:tc>
      </w:tr>
      <w:tr>
        <w:trPr>
          <w:trHeight w:val="241"/>
        </w:trPr>
        <w:tc>
          <w:tcPr>
            <w:tcW w:w="2200" w:type="dxa"/>
            <w:vAlign w:val="bottom"/>
          </w:tcPr>
          <w:p>
            <w:pPr>
              <w:jc w:val="center"/>
              <w:ind w:left="38"/>
              <w:spacing w:after="0"/>
              <w:rPr>
                <w:sz w:val="20"/>
                <w:szCs w:val="20"/>
                <w:color w:val="auto"/>
              </w:rPr>
            </w:pPr>
            <w:r>
              <w:rPr>
                <w:rFonts w:ascii="Arial" w:cs="Arial" w:eastAsia="Arial" w:hAnsi="Arial"/>
                <w:sz w:val="16"/>
                <w:szCs w:val="16"/>
                <w:color w:val="auto"/>
                <w:w w:val="99"/>
              </w:rPr>
              <w:t>Tustin, California</w:t>
            </w:r>
          </w:p>
        </w:tc>
        <w:tc>
          <w:tcPr>
            <w:tcW w:w="2520" w:type="dxa"/>
            <w:vAlign w:val="bottom"/>
          </w:tcPr>
          <w:p>
            <w:pPr>
              <w:jc w:val="center"/>
              <w:ind w:left="38"/>
              <w:spacing w:after="0"/>
              <w:rPr>
                <w:sz w:val="20"/>
                <w:szCs w:val="20"/>
                <w:color w:val="auto"/>
              </w:rPr>
            </w:pPr>
            <w:r>
              <w:rPr>
                <w:rFonts w:ascii="Arial" w:cs="Arial" w:eastAsia="Arial" w:hAnsi="Arial"/>
                <w:sz w:val="16"/>
                <w:szCs w:val="16"/>
                <w:color w:val="auto"/>
              </w:rPr>
              <w:t>Operations Support</w:t>
            </w:r>
          </w:p>
        </w:tc>
        <w:tc>
          <w:tcPr>
            <w:tcW w:w="2180" w:type="dxa"/>
            <w:vAlign w:val="bottom"/>
          </w:tcPr>
          <w:p>
            <w:pPr>
              <w:jc w:val="center"/>
              <w:spacing w:after="0"/>
              <w:rPr>
                <w:sz w:val="20"/>
                <w:szCs w:val="20"/>
                <w:color w:val="auto"/>
              </w:rPr>
            </w:pPr>
            <w:r>
              <w:rPr>
                <w:rFonts w:ascii="Arial" w:cs="Arial" w:eastAsia="Arial" w:hAnsi="Arial"/>
                <w:sz w:val="16"/>
                <w:szCs w:val="16"/>
                <w:color w:val="auto"/>
                <w:w w:val="98"/>
              </w:rPr>
              <w:t>40,000</w:t>
            </w:r>
          </w:p>
        </w:tc>
        <w:tc>
          <w:tcPr>
            <w:tcW w:w="2280" w:type="dxa"/>
            <w:vAlign w:val="bottom"/>
          </w:tcPr>
          <w:p>
            <w:pPr>
              <w:jc w:val="center"/>
              <w:spacing w:after="0"/>
              <w:rPr>
                <w:sz w:val="20"/>
                <w:szCs w:val="20"/>
                <w:color w:val="auto"/>
              </w:rPr>
            </w:pPr>
            <w:r>
              <w:rPr>
                <w:rFonts w:ascii="Arial" w:cs="Arial" w:eastAsia="Arial" w:hAnsi="Arial"/>
                <w:sz w:val="16"/>
                <w:szCs w:val="16"/>
                <w:color w:val="auto"/>
              </w:rPr>
              <w:t>7/31/2029</w:t>
            </w:r>
          </w:p>
        </w:tc>
        <w:tc>
          <w:tcPr>
            <w:tcW w:w="2240" w:type="dxa"/>
            <w:vAlign w:val="bottom"/>
          </w:tcPr>
          <w:p>
            <w:pPr>
              <w:jc w:val="center"/>
              <w:spacing w:after="0"/>
              <w:rPr>
                <w:sz w:val="20"/>
                <w:szCs w:val="20"/>
                <w:color w:val="auto"/>
              </w:rPr>
            </w:pPr>
            <w:r>
              <w:rPr>
                <w:rFonts w:ascii="Arial" w:cs="Arial" w:eastAsia="Arial" w:hAnsi="Arial"/>
                <w:sz w:val="16"/>
                <w:szCs w:val="16"/>
                <w:color w:val="auto"/>
                <w:w w:val="99"/>
              </w:rPr>
              <w:t>B&amp;I and Technical Solutions</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180" w:hanging="172"/>
        <w:spacing w:after="0"/>
        <w:tabs>
          <w:tab w:leader="none" w:pos="180" w:val="left"/>
        </w:tabs>
        <w:numPr>
          <w:ilvl w:val="0"/>
          <w:numId w:val="4"/>
        </w:numPr>
        <w:rPr>
          <w:rFonts w:ascii="Arial" w:cs="Arial" w:eastAsia="Arial" w:hAnsi="Arial"/>
          <w:sz w:val="21"/>
          <w:szCs w:val="21"/>
          <w:color w:val="auto"/>
          <w:vertAlign w:val="superscript"/>
        </w:rPr>
      </w:pPr>
      <w:r>
        <w:rPr>
          <w:rFonts w:ascii="Arial" w:cs="Arial" w:eastAsia="Arial" w:hAnsi="Arial"/>
          <w:sz w:val="15"/>
          <w:szCs w:val="15"/>
          <w:color w:val="auto"/>
        </w:rPr>
        <w:t>Approximately 10,000 square feet are sublet.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above properties, we have other offices, warehouses, and parking facilities in various locations, primarily in the United States.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these properties are well maintained, in good operating condition, and suitable for the purposes for which they are used.</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9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0046AD"/>
        </w:rPr>
        <w:t>ITEM 3. LEGAL PROCEEDINGS.</w:t>
      </w:r>
    </w:p>
    <w:p>
      <w:pPr>
        <w:spacing w:after="0" w:line="17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We are a party to a number of lawsuits, claims, and proceedings incident to the operation of our business, including those pertaining to labor and employment, contracts, personal injury, and other matters, some of which allege substantial monetary damages. Some of these actions may be brought as class actions on behalf of a class or purported class of employees. While the results of these lawsuits, claims, and proceedings cannot be predicted with any certainty, our management believes that the final outcome of these matters will not have a material adverse effect on our financial position, results of operations, or cash flows.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Certain Legal Proceedings</w:t>
      </w:r>
    </w:p>
    <w:p>
      <w:pPr>
        <w:spacing w:after="0" w:line="17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Certain lawsuits to which we are a party are discussed below. In determining whether to include any particular lawsuit or other proceeding, we consider both quantitative and qualitative factors. These factors include, but are not limited to: the amount of damages and the nature of any other relief sought in the proceeding; if such damages and other relief are specified, our view of the merits of the claims; whether the action is or purports to be a class action, and our view of the likelihood that a class will be certified by the court; the jurisdiction in which the proceeding is pending; and the potential impact of the proceeding on our reputation.</w:t>
      </w:r>
    </w:p>
    <w:p>
      <w:pPr>
        <w:spacing w:after="0" w:line="123" w:lineRule="exact"/>
        <w:rPr>
          <w:sz w:val="20"/>
          <w:szCs w:val="20"/>
          <w:color w:val="auto"/>
        </w:rPr>
      </w:pPr>
    </w:p>
    <w:p>
      <w:pPr>
        <w:ind w:left="660"/>
        <w:spacing w:after="0" w:line="289" w:lineRule="auto"/>
        <w:rPr>
          <w:sz w:val="20"/>
          <w:szCs w:val="20"/>
          <w:color w:val="auto"/>
        </w:rPr>
      </w:pPr>
      <w:r>
        <w:rPr>
          <w:rFonts w:ascii="Arial" w:cs="Arial" w:eastAsia="Arial" w:hAnsi="Arial"/>
          <w:sz w:val="18"/>
          <w:szCs w:val="18"/>
          <w:i w:val="1"/>
          <w:iCs w:val="1"/>
          <w:color w:val="auto"/>
        </w:rPr>
        <w:t>The Consolidated Cases of Bucio and Martinez v. ABM Janitorial Services filed on April 7, 2006, pending in the Superior Court of California, County of San Francisco (the “Bucio case”)</w:t>
      </w:r>
    </w:p>
    <w:p>
      <w:pPr>
        <w:spacing w:after="0" w:line="9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Bucio</w:t>
      </w:r>
      <w:r>
        <w:rPr>
          <w:rFonts w:ascii="Arial" w:cs="Arial" w:eastAsia="Arial" w:hAnsi="Arial"/>
          <w:sz w:val="18"/>
          <w:szCs w:val="18"/>
          <w:color w:val="auto"/>
        </w:rPr>
        <w:t xml:space="preserve"> case is a class action pending in San Francisco Superior Court that alleges we failed to provide legally required meal periods and make additional premium payments for such meal periods, pay split shift premiums when owed, and reimburse janitors for travel expenses. There is also a claim for penalties under the California Labor Code Private Attorneys General Act (“PAGA”). On April 19, 2011, the trial court held a hearing on plaintiffs’ motion to certify the class. At the conclusion of that hearing, the trial court denied plaintiffs’ motion to certify the class. On May 11, 2011, the plaintiffs filed a motion to reconsider, which was denied. The plaintiffs appealed the class certification issues. The trial court stayed the underlying lawsuit pending the decision in the appeal. The Court of Appeal of the State of California, First Appellate District (the “Court of Appeal”), heard oral arguments on November 7, 2017. On December 11, 2017, the Court of Appeal reversed the trial court’s order denying class certification and remanded the matter for certification of a meal period, travel expense reimbursement, and split shift class. The case was remitted to the trial court for further proceedings on class certification, discovery, dispositive motions, and trial.</w:t>
      </w:r>
    </w:p>
    <w:p>
      <w:pPr>
        <w:spacing w:after="0" w:line="12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September 20, 2018, the trial court entered an order defining four certified subclasses of janitors who were employed by the legacy ABM janitorial companies in California at any time between April 7, 2002 and April 30, 2013, on claims based on alleged previous automatic deduction practices for meal breaks, unpaid meal premiums, unpaid split shift premiums, and unreimbursed business expenses, such as mileage reimbursement for use of personal vehicles to travel between worksites. On February 1, 2019, the trial court held that the discovery related to PAGA claims allegedly arising after April 30, 2013 would be stayed until after the class and PAGA claims accruing prior to April 30, 2013 had been tried. The parties engaged in mediation in July 2019, which did not result in settlement of the case. On October 17, 2019, the plaintiffs filed a motion asking the trial court to certify additional classes based on an alleged failure to maintain time records, an alleged failure to provide accurate wage statements, and an alleged practice of combining meal and rest breaks. Our response to this motion was filed on November 4, 2019, and the trial court heard the matter on December 10, 2019. This matter is currently set for trial on May 26, 2020. Prior to trial, we will have the opportunity to move for summary judgment, seek decertification of the classes, or engage in further mediation, if we deem such actions appropriate. We expect to engage in one or more such activities in upcoming quarters.</w:t>
      </w:r>
    </w:p>
    <w:p>
      <w:pPr>
        <w:spacing w:after="0" w:line="131" w:lineRule="exact"/>
        <w:rPr>
          <w:sz w:val="20"/>
          <w:szCs w:val="20"/>
          <w:color w:val="auto"/>
        </w:rPr>
      </w:pPr>
    </w:p>
    <w:p>
      <w:pPr>
        <w:ind w:left="660"/>
        <w:spacing w:after="0" w:line="289" w:lineRule="auto"/>
        <w:rPr>
          <w:sz w:val="20"/>
          <w:szCs w:val="20"/>
          <w:color w:val="auto"/>
        </w:rPr>
      </w:pPr>
      <w:r>
        <w:rPr>
          <w:rFonts w:ascii="Arial" w:cs="Arial" w:eastAsia="Arial" w:hAnsi="Arial"/>
          <w:sz w:val="18"/>
          <w:szCs w:val="18"/>
          <w:i w:val="1"/>
          <w:iCs w:val="1"/>
          <w:color w:val="auto"/>
        </w:rPr>
        <w:t>Castro and Marmolejo v. ABM Industries, Inc., et al., filed on October 24, 2014, pending in the United States District Court for the Northern District of California (the “Castro case”)</w:t>
      </w:r>
    </w:p>
    <w:p>
      <w:pPr>
        <w:spacing w:after="0" w:line="9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October 24, 2014, Plaintiff Marley Castro filed a class action lawsuit alleging that ABM did not reimburse janitorial employees in California for using their personal cell phones for work-related purposes, in violation of California Labor Code section 2802. On January 23, 2015, Plaintiff Lucia Marmolejo was added to the case as a named plaintiff. On October 27, 2017, plaintiffs moved for class certification seeking to represent a class of all employees who were, are, or will be employed by ABM in the State of California with the Employee Master Job Description Code “Cleaner” (hereafter referred to as “Cleaner Employees”) beginning from October 24, 2010. ABM filed its opposition to class certification on November 27, 2017. On January 26, 2018, the district court granted plaintiffs’ motion for class certification. The court rejected plaintiffs’ proposed class, instead certifying three classes that the court formulated on its own: (1) all employees who were, are, or will be employed by ABM in the State of California as Cleaner Employees who used a personal cell phone to punch in and out of the EPAY system and who (a) worked at an ABM facility that did not provide a biometric clock and (b) were not offered an ABM-provided cell phone during the period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93" w:right="239" w:bottom="1440" w:gutter="0" w:footer="0" w:header="0"/>
        </w:sectPr>
      </w:pPr>
    </w:p>
    <w:bookmarkStart w:id="17" w:name="page18"/>
    <w:bookmarkEnd w:id="17"/>
    <w:p>
      <w:pPr>
        <w:jc w:val="both"/>
        <w:spacing w:after="0" w:line="256" w:lineRule="auto"/>
        <w:rPr>
          <w:sz w:val="20"/>
          <w:szCs w:val="20"/>
          <w:color w:val="auto"/>
        </w:rPr>
      </w:pPr>
      <w:r>
        <w:rPr>
          <w:rFonts w:ascii="Arial" w:cs="Arial" w:eastAsia="Arial" w:hAnsi="Arial"/>
          <w:sz w:val="18"/>
          <w:szCs w:val="18"/>
          <w:color w:val="auto"/>
        </w:rPr>
        <w:t>beginning on January 1, 2012, through the date of notice to the Class Members that a class has been certified in this action; (2) all employees who were, are, or will be employed by ABM in the State of California as Cleaner Employees who used a personal cell phone to report unusual or suspicious circumstances to supervisors and were not offered (a) an ABM-provided cell phone or (b) a two-way radio during the period beginning four years prior to the filing of the original complaint, October 24, 2014, through the date of notice to the Class Members that a class has been certified in this action; and (3) all employees who were, are, or will be employed by ABM in the State of California as Cleaner Employees who used a personal cell phone to respond to communications from supervisors and were not offered (a) an ABM-provided cell phone or (b) a two-way radio during the period beginning four years prior to the filing of the original complaint, October 24, 2014, through the date of notice to the Class Members that a class has been certified in this action.</w:t>
      </w:r>
    </w:p>
    <w:p>
      <w:pPr>
        <w:spacing w:after="0" w:line="12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February 9, 2018, ABM filed a petition for permission to appeal the district court’s order granting class certification with the United States Court of Appeals for the Ninth Circuit, which was denied on April 30, 2018. On March 20, 2018, ABM moved to compel arbitration of the claims of certain class members pursuant to the terms of three collective bargaining agreements. In response to that motion, on May 14, 2018, the district court modified the class definition to exclude all claims arising after the operative date(s) of the applicable collective bargaining agreements (which is June 1, 2016 for one agreement and May 1, 2016 for the other two agreements). However, the district court denied the motion to compel arbitration as to claims that arose prior to the operative date(s) of the applicable collective bargaining agreements. ABM appealed to the Ninth Circuit the district court’s order denying the motion to compel arbitration with respect to the periods preceding the operative dates of the collective bargaining agreements.</w:t>
      </w:r>
    </w:p>
    <w:p>
      <w:pPr>
        <w:spacing w:after="0" w:line="12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After a court-ordered mediation held on October 15, 2018, the parties agreed to a class action settlement of $5.4 million, subject to court approval. The plaintiffs’ motion for preliminary approval of the settlement was filed on January 4, 2019, and the court held a hearing on the motion on February 12, 2019. On February 14, 2019, the court granted preliminary approval of the settlement. The court granted final approval of the settlement on September 3, 2019, and the settlement was funded on September 23, 2019. In connection with the settlement, we modified our existing written policies for California to expressly confirm that ABM service workers are not required to use personal cell phones for work purposes and began centralizing the process and implementing technology for such employees to request reimbursement for personal cell phone use due to work. Because the settlement was finally approved, on October 31, 2019, ABM dismissed its Ninth Circuit appeal regarding the district court’s order denying the motion to compel arbitration.</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4. MINE SAFETY DISCLOSURES.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95"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0046AD"/>
        </w:rPr>
        <w:t>PART II</w:t>
      </w:r>
    </w:p>
    <w:p>
      <w:pPr>
        <w:spacing w:after="0" w:line="171" w:lineRule="exact"/>
        <w:rPr>
          <w:sz w:val="20"/>
          <w:szCs w:val="20"/>
          <w:color w:val="auto"/>
        </w:rPr>
      </w:pPr>
    </w:p>
    <w:p>
      <w:pPr>
        <w:jc w:val="both"/>
        <w:ind w:right="20"/>
        <w:spacing w:after="0" w:line="303" w:lineRule="auto"/>
        <w:rPr>
          <w:sz w:val="20"/>
          <w:szCs w:val="20"/>
          <w:color w:val="auto"/>
        </w:rPr>
      </w:pPr>
      <w:r>
        <w:rPr>
          <w:rFonts w:ascii="Arial" w:cs="Arial" w:eastAsia="Arial" w:hAnsi="Arial"/>
          <w:sz w:val="18"/>
          <w:szCs w:val="18"/>
          <w:b w:val="1"/>
          <w:bCs w:val="1"/>
          <w:color w:val="0046AD"/>
        </w:rPr>
        <w:t>ITEM 5. MARKET FOR REGISTRANT’S COMMON EQUITY, RELATED STOCKHOLDER MATTERS AND ISSUER PURCHASES OF EQUITY SECURITIES.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Market Information, Dividends, and Stockholders</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Our common stock is listed on the New York Stock Exchange (NYSE: ABM). We have paid cash dividends every quarter since 1965. Future dividends will be determined based on our earnings, capital requirements, financial condition, and other factors considered relevant by our Board of Directors.</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17, 2019, there were 3,127 registered holders of our common stock.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Common Stock Repurchases</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September 2, 2015, our Board of Directors authorized a program to repurchase up to $200.0 million of our common stock (the “2015 Share Repurchase Program”). We did not repurchase any shares during the fourth quarter of 2019. At October 31, 2019, authorization for $134.1 million of repurchases remained under our 2015 Share Repurchase Program. Effective December 18, 2019, our Board of Directors replaced the 2015 Share Repurchase Program with a new share repurchase program under which we may repurchase up to $ 150.0 million of our common stock. These purchases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future cash flows, share price, share availability, and other factors at our discretion. Repurchased shares are retired and returned to an authorized but unissued status. The repurchase program may be suspended or discontinued at any time without prior notice.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93"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0046AD"/>
        </w:rPr>
        <w:t>Performance Graph</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following graph compares the five-year cumulative total return for our common stock against the Standard &amp; Poor’s 500 Index (“S&amp;P 500”) and the Standard &amp; Poor’s SmallCap 600 Index (“S&amp;P 600”). As our competitors are principally privately held, we do not believe it is feasible to construct a peer group comparison on an industry or line-of-business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152400</wp:posOffset>
            </wp:positionV>
            <wp:extent cx="5085715" cy="34302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085715"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9"/>
              </w:rPr>
              <w:t>INDEXED RETURNS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54"/>
        </w:trPr>
        <w:tc>
          <w:tcPr>
            <w:tcW w:w="3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36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8"/>
                <w:szCs w:val="18"/>
                <w:b w:val="1"/>
                <w:bCs w:val="1"/>
                <w:color w:val="auto"/>
                <w:w w:val="99"/>
              </w:rPr>
              <w:t>Years Ended October 31,</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r>
      <w:tr>
        <w:trPr>
          <w:trHeight w:val="264"/>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Company / Index</w:t>
            </w:r>
          </w:p>
        </w:tc>
        <w:tc>
          <w:tcPr>
            <w:tcW w:w="100" w:type="dxa"/>
            <w:vAlign w:val="bottom"/>
            <w:tcBorders>
              <w:bottom w:val="single" w:sz="8" w:color="DCE2E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DCE2E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DCE2E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DCE2E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DCE2E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DCE2E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r>
      <w:tr>
        <w:trPr>
          <w:trHeight w:val="251"/>
        </w:trPr>
        <w:tc>
          <w:tcPr>
            <w:tcW w:w="3920" w:type="dxa"/>
            <w:vAlign w:val="bottom"/>
            <w:gridSpan w:val="2"/>
            <w:shd w:val="clear" w:color="auto" w:fill="DCE2EF"/>
          </w:tcPr>
          <w:p>
            <w:pPr>
              <w:ind w:left="20"/>
              <w:spacing w:after="0"/>
              <w:rPr>
                <w:sz w:val="20"/>
                <w:szCs w:val="20"/>
                <w:color w:val="auto"/>
              </w:rPr>
            </w:pPr>
            <w:r>
              <w:rPr>
                <w:rFonts w:ascii="Arial" w:cs="Arial" w:eastAsia="Arial" w:hAnsi="Arial"/>
                <w:sz w:val="18"/>
                <w:szCs w:val="18"/>
                <w:b w:val="1"/>
                <w:bCs w:val="1"/>
                <w:color w:val="auto"/>
              </w:rPr>
              <w:t>ABM Industries Incorporated</w:t>
            </w:r>
          </w:p>
        </w:tc>
        <w:tc>
          <w:tcPr>
            <w:tcW w:w="26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DCE2EF"/>
          </w:tcPr>
          <w:p>
            <w:pPr>
              <w:spacing w:after="0"/>
              <w:rPr>
                <w:sz w:val="21"/>
                <w:szCs w:val="21"/>
                <w:color w:val="auto"/>
              </w:rPr>
            </w:pPr>
          </w:p>
        </w:tc>
        <w:tc>
          <w:tcPr>
            <w:tcW w:w="260" w:type="dxa"/>
            <w:vAlign w:val="bottom"/>
            <w:shd w:val="clear" w:color="auto" w:fill="DCE2E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104.9</w:t>
            </w:r>
          </w:p>
        </w:tc>
        <w:tc>
          <w:tcPr>
            <w:tcW w:w="120" w:type="dxa"/>
            <w:vAlign w:val="bottom"/>
            <w:shd w:val="clear" w:color="auto" w:fill="DCE2EF"/>
          </w:tcPr>
          <w:p>
            <w:pPr>
              <w:spacing w:after="0"/>
              <w:rPr>
                <w:sz w:val="21"/>
                <w:szCs w:val="21"/>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147.3</w:t>
            </w:r>
          </w:p>
        </w:tc>
        <w:tc>
          <w:tcPr>
            <w:tcW w:w="120" w:type="dxa"/>
            <w:vAlign w:val="bottom"/>
            <w:shd w:val="clear" w:color="auto" w:fill="DCE2EF"/>
          </w:tcPr>
          <w:p>
            <w:pPr>
              <w:spacing w:after="0"/>
              <w:rPr>
                <w:sz w:val="21"/>
                <w:szCs w:val="21"/>
                <w:color w:val="auto"/>
              </w:rPr>
            </w:pPr>
          </w:p>
        </w:tc>
        <w:tc>
          <w:tcPr>
            <w:tcW w:w="24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160.8</w:t>
            </w:r>
          </w:p>
        </w:tc>
        <w:tc>
          <w:tcPr>
            <w:tcW w:w="100" w:type="dxa"/>
            <w:vAlign w:val="bottom"/>
            <w:shd w:val="clear" w:color="auto" w:fill="DCE2EF"/>
          </w:tcPr>
          <w:p>
            <w:pPr>
              <w:spacing w:after="0"/>
              <w:rPr>
                <w:sz w:val="21"/>
                <w:szCs w:val="21"/>
                <w:color w:val="auto"/>
              </w:rPr>
            </w:pPr>
          </w:p>
        </w:tc>
        <w:tc>
          <w:tcPr>
            <w:tcW w:w="26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120.3</w:t>
            </w:r>
          </w:p>
        </w:tc>
        <w:tc>
          <w:tcPr>
            <w:tcW w:w="100" w:type="dxa"/>
            <w:vAlign w:val="bottom"/>
            <w:shd w:val="clear" w:color="auto" w:fill="DCE2EF"/>
          </w:tcPr>
          <w:p>
            <w:pPr>
              <w:spacing w:after="0"/>
              <w:rPr>
                <w:sz w:val="21"/>
                <w:szCs w:val="21"/>
                <w:color w:val="auto"/>
              </w:rPr>
            </w:pPr>
          </w:p>
        </w:tc>
        <w:tc>
          <w:tcPr>
            <w:tcW w:w="26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145.6</w:t>
            </w:r>
          </w:p>
        </w:tc>
      </w:tr>
      <w:tr>
        <w:trPr>
          <w:trHeight w:val="269"/>
        </w:trPr>
        <w:tc>
          <w:tcPr>
            <w:tcW w:w="3920" w:type="dxa"/>
            <w:vAlign w:val="bottom"/>
            <w:gridSpan w:val="2"/>
          </w:tcPr>
          <w:p>
            <w:pPr>
              <w:ind w:left="20"/>
              <w:spacing w:after="0"/>
              <w:rPr>
                <w:sz w:val="20"/>
                <w:szCs w:val="20"/>
                <w:color w:val="auto"/>
              </w:rPr>
            </w:pPr>
            <w:r>
              <w:rPr>
                <w:rFonts w:ascii="Arial" w:cs="Arial" w:eastAsia="Arial" w:hAnsi="Arial"/>
                <w:sz w:val="18"/>
                <w:szCs w:val="18"/>
                <w:b w:val="1"/>
                <w:bCs w:val="1"/>
                <w:color w:val="auto"/>
              </w:rPr>
              <w:t>S&amp;P 500 Index</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105.2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109.9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145.9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166.8</w:t>
            </w:r>
          </w:p>
        </w:tc>
      </w:tr>
      <w:tr>
        <w:trPr>
          <w:trHeight w:val="271"/>
        </w:trPr>
        <w:tc>
          <w:tcPr>
            <w:tcW w:w="3920" w:type="dxa"/>
            <w:vAlign w:val="bottom"/>
            <w:gridSpan w:val="2"/>
            <w:shd w:val="clear" w:color="auto" w:fill="DCE2EF"/>
          </w:tcPr>
          <w:p>
            <w:pPr>
              <w:ind w:left="20"/>
              <w:spacing w:after="0"/>
              <w:rPr>
                <w:sz w:val="20"/>
                <w:szCs w:val="20"/>
                <w:color w:val="auto"/>
              </w:rPr>
            </w:pPr>
            <w:r>
              <w:rPr>
                <w:rFonts w:ascii="Arial" w:cs="Arial" w:eastAsia="Arial" w:hAnsi="Arial"/>
                <w:sz w:val="18"/>
                <w:szCs w:val="18"/>
                <w:b w:val="1"/>
                <w:bCs w:val="1"/>
                <w:color w:val="auto"/>
              </w:rPr>
              <w:t>S&amp;P SmallCap 600 Index</w:t>
            </w:r>
          </w:p>
        </w:tc>
        <w:tc>
          <w:tcPr>
            <w:tcW w:w="260" w:type="dxa"/>
            <w:vAlign w:val="bottom"/>
            <w:shd w:val="clear" w:color="auto" w:fill="DCE2EF"/>
          </w:tcPr>
          <w:p>
            <w:pPr>
              <w:spacing w:after="0"/>
              <w:rPr>
                <w:sz w:val="23"/>
                <w:szCs w:val="23"/>
                <w:color w:val="auto"/>
              </w:rPr>
            </w:pPr>
          </w:p>
        </w:tc>
        <w:tc>
          <w:tcPr>
            <w:tcW w:w="90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DCE2EF"/>
          </w:tcPr>
          <w:p>
            <w:pPr>
              <w:spacing w:after="0"/>
              <w:rPr>
                <w:sz w:val="23"/>
                <w:szCs w:val="23"/>
                <w:color w:val="auto"/>
              </w:rPr>
            </w:pPr>
          </w:p>
        </w:tc>
        <w:tc>
          <w:tcPr>
            <w:tcW w:w="260" w:type="dxa"/>
            <w:vAlign w:val="bottom"/>
            <w:shd w:val="clear" w:color="auto" w:fill="DCE2EF"/>
          </w:tcPr>
          <w:p>
            <w:pPr>
              <w:spacing w:after="0"/>
              <w:rPr>
                <w:sz w:val="23"/>
                <w:szCs w:val="23"/>
                <w:color w:val="auto"/>
              </w:rPr>
            </w:pPr>
          </w:p>
        </w:tc>
        <w:tc>
          <w:tcPr>
            <w:tcW w:w="8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102.9</w:t>
            </w:r>
          </w:p>
        </w:tc>
        <w:tc>
          <w:tcPr>
            <w:tcW w:w="120" w:type="dxa"/>
            <w:vAlign w:val="bottom"/>
            <w:shd w:val="clear" w:color="auto" w:fill="DCE2EF"/>
          </w:tcPr>
          <w:p>
            <w:pPr>
              <w:spacing w:after="0"/>
              <w:rPr>
                <w:sz w:val="23"/>
                <w:szCs w:val="23"/>
                <w:color w:val="auto"/>
              </w:rPr>
            </w:pPr>
          </w:p>
        </w:tc>
        <w:tc>
          <w:tcPr>
            <w:tcW w:w="140" w:type="dxa"/>
            <w:vAlign w:val="bottom"/>
            <w:shd w:val="clear" w:color="auto" w:fill="DCE2EF"/>
          </w:tcPr>
          <w:p>
            <w:pPr>
              <w:spacing w:after="0"/>
              <w:rPr>
                <w:sz w:val="23"/>
                <w:szCs w:val="23"/>
                <w:color w:val="auto"/>
              </w:rPr>
            </w:pPr>
          </w:p>
        </w:tc>
        <w:tc>
          <w:tcPr>
            <w:tcW w:w="10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109.4</w:t>
            </w:r>
          </w:p>
        </w:tc>
        <w:tc>
          <w:tcPr>
            <w:tcW w:w="120" w:type="dxa"/>
            <w:vAlign w:val="bottom"/>
            <w:shd w:val="clear" w:color="auto" w:fill="DCE2EF"/>
          </w:tcPr>
          <w:p>
            <w:pPr>
              <w:spacing w:after="0"/>
              <w:rPr>
                <w:sz w:val="23"/>
                <w:szCs w:val="23"/>
                <w:color w:val="auto"/>
              </w:rPr>
            </w:pPr>
          </w:p>
        </w:tc>
        <w:tc>
          <w:tcPr>
            <w:tcW w:w="240" w:type="dxa"/>
            <w:vAlign w:val="bottom"/>
            <w:shd w:val="clear" w:color="auto" w:fill="DCE2EF"/>
          </w:tcPr>
          <w:p>
            <w:pPr>
              <w:spacing w:after="0"/>
              <w:rPr>
                <w:sz w:val="23"/>
                <w:szCs w:val="23"/>
                <w:color w:val="auto"/>
              </w:rPr>
            </w:pPr>
          </w:p>
        </w:tc>
        <w:tc>
          <w:tcPr>
            <w:tcW w:w="9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139.9</w:t>
            </w:r>
          </w:p>
        </w:tc>
        <w:tc>
          <w:tcPr>
            <w:tcW w:w="100" w:type="dxa"/>
            <w:vAlign w:val="bottom"/>
            <w:shd w:val="clear" w:color="auto" w:fill="DCE2EF"/>
          </w:tcPr>
          <w:p>
            <w:pPr>
              <w:spacing w:after="0"/>
              <w:rPr>
                <w:sz w:val="23"/>
                <w:szCs w:val="23"/>
                <w:color w:val="auto"/>
              </w:rPr>
            </w:pPr>
          </w:p>
        </w:tc>
        <w:tc>
          <w:tcPr>
            <w:tcW w:w="260" w:type="dxa"/>
            <w:vAlign w:val="bottom"/>
            <w:shd w:val="clear" w:color="auto" w:fill="DCE2EF"/>
          </w:tcPr>
          <w:p>
            <w:pPr>
              <w:spacing w:after="0"/>
              <w:rPr>
                <w:sz w:val="23"/>
                <w:szCs w:val="23"/>
                <w:color w:val="auto"/>
              </w:rPr>
            </w:pPr>
          </w:p>
        </w:tc>
        <w:tc>
          <w:tcPr>
            <w:tcW w:w="90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147.8</w:t>
            </w:r>
          </w:p>
        </w:tc>
        <w:tc>
          <w:tcPr>
            <w:tcW w:w="100" w:type="dxa"/>
            <w:vAlign w:val="bottom"/>
            <w:shd w:val="clear" w:color="auto" w:fill="DCE2EF"/>
          </w:tcPr>
          <w:p>
            <w:pPr>
              <w:spacing w:after="0"/>
              <w:rPr>
                <w:sz w:val="23"/>
                <w:szCs w:val="23"/>
                <w:color w:val="auto"/>
              </w:rPr>
            </w:pPr>
          </w:p>
        </w:tc>
        <w:tc>
          <w:tcPr>
            <w:tcW w:w="260" w:type="dxa"/>
            <w:vAlign w:val="bottom"/>
            <w:shd w:val="clear" w:color="auto" w:fill="DCE2EF"/>
          </w:tcPr>
          <w:p>
            <w:pPr>
              <w:spacing w:after="0"/>
              <w:rPr>
                <w:sz w:val="23"/>
                <w:szCs w:val="23"/>
                <w:color w:val="auto"/>
              </w:rPr>
            </w:pPr>
          </w:p>
        </w:tc>
        <w:tc>
          <w:tcPr>
            <w:tcW w:w="90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152.5</w:t>
            </w:r>
          </w:p>
        </w:tc>
      </w:tr>
    </w:tbl>
    <w:p>
      <w:pPr>
        <w:spacing w:after="0" w:line="1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performance graph shall not be deemed to be “soliciting material” or “filed” with the Securities and Exchange Commission, or subject to Regulation 14A or 14C, or subject to the liabilities of Section 18 of the Securities Exchange Act of 1934, as amended. The comparisons in the performance graph are based on historical data and are not indicative of, or intended to forecast, the possible future performance of our common stock.</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93"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0046AD"/>
        </w:rPr>
        <w:t>ITEM 6. SELECTED FINANCIAL DATA.</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following selected financial data should be read in conjunction with Item 7., “Management’s Discussion and Analysis of Financial Condition and Results of Operations,” and Item 8., “Financial Statements and Supplementary Data.” Unless otherwise indicated, all references to years are to our fiscal year, which ends on October 31.</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Years Ended October 31,</w:t>
            </w:r>
          </w:p>
        </w:tc>
        <w:tc>
          <w:tcPr>
            <w:tcW w:w="6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r>
      <w:tr>
        <w:trPr>
          <w:trHeight w:val="261"/>
        </w:trPr>
        <w:tc>
          <w:tcPr>
            <w:tcW w:w="4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95"/>
              </w:rPr>
              <w:t>2016</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2015</w:t>
            </w:r>
          </w:p>
        </w:tc>
      </w:tr>
      <w:tr>
        <w:trPr>
          <w:trHeight w:val="216"/>
        </w:trPr>
        <w:tc>
          <w:tcPr>
            <w:tcW w:w="582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
        </w:trPr>
        <w:tc>
          <w:tcPr>
            <w:tcW w:w="40" w:type="dxa"/>
            <w:vAlign w:val="bottom"/>
          </w:tcPr>
          <w:p>
            <w:pPr>
              <w:spacing w:after="0" w:line="20" w:lineRule="exact"/>
              <w:rPr>
                <w:sz w:val="1"/>
                <w:szCs w:val="1"/>
                <w:color w:val="auto"/>
              </w:rPr>
            </w:pPr>
          </w:p>
        </w:tc>
        <w:tc>
          <w:tcPr>
            <w:tcW w:w="2240" w:type="dxa"/>
            <w:vAlign w:val="bottom"/>
            <w:tcBorders>
              <w:top w:val="single" w:sz="8" w:color="auto"/>
            </w:tcBorders>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70"/>
        </w:trPr>
        <w:tc>
          <w:tcPr>
            <w:tcW w:w="5820" w:type="dxa"/>
            <w:vAlign w:val="bottom"/>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Statements of Comprehensive Income Data</w:t>
            </w:r>
          </w:p>
        </w:tc>
        <w:tc>
          <w:tcPr>
            <w:tcW w:w="240" w:type="dxa"/>
            <w:vAlign w:val="bottom"/>
            <w:shd w:val="clear" w:color="auto" w:fill="DCE2EF"/>
          </w:tcPr>
          <w:p>
            <w:pPr>
              <w:spacing w:after="0"/>
              <w:rPr>
                <w:sz w:val="23"/>
                <w:szCs w:val="23"/>
                <w:color w:val="auto"/>
              </w:rPr>
            </w:pPr>
          </w:p>
        </w:tc>
        <w:tc>
          <w:tcPr>
            <w:tcW w:w="820" w:type="dxa"/>
            <w:vAlign w:val="bottom"/>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220" w:type="dxa"/>
            <w:vAlign w:val="bottom"/>
            <w:shd w:val="clear" w:color="auto" w:fill="DCE2EF"/>
          </w:tcPr>
          <w:p>
            <w:pPr>
              <w:spacing w:after="0"/>
              <w:rPr>
                <w:sz w:val="23"/>
                <w:szCs w:val="23"/>
                <w:color w:val="auto"/>
              </w:rPr>
            </w:pPr>
          </w:p>
        </w:tc>
        <w:tc>
          <w:tcPr>
            <w:tcW w:w="80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220" w:type="dxa"/>
            <w:vAlign w:val="bottom"/>
            <w:shd w:val="clear" w:color="auto" w:fill="DCE2EF"/>
          </w:tcPr>
          <w:p>
            <w:pPr>
              <w:spacing w:after="0"/>
              <w:rPr>
                <w:sz w:val="23"/>
                <w:szCs w:val="23"/>
                <w:color w:val="auto"/>
              </w:rPr>
            </w:pPr>
          </w:p>
        </w:tc>
        <w:tc>
          <w:tcPr>
            <w:tcW w:w="82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680" w:type="dxa"/>
            <w:vAlign w:val="bottom"/>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220" w:type="dxa"/>
            <w:vAlign w:val="bottom"/>
            <w:shd w:val="clear" w:color="auto" w:fill="DCE2EF"/>
          </w:tcPr>
          <w:p>
            <w:pPr>
              <w:spacing w:after="0"/>
              <w:rPr>
                <w:sz w:val="23"/>
                <w:szCs w:val="23"/>
                <w:color w:val="auto"/>
              </w:rPr>
            </w:pPr>
          </w:p>
        </w:tc>
        <w:tc>
          <w:tcPr>
            <w:tcW w:w="800" w:type="dxa"/>
            <w:vAlign w:val="bottom"/>
            <w:shd w:val="clear" w:color="auto" w:fill="DCE2EF"/>
          </w:tcPr>
          <w:p>
            <w:pPr>
              <w:spacing w:after="0"/>
              <w:rPr>
                <w:sz w:val="23"/>
                <w:szCs w:val="23"/>
                <w:color w:val="auto"/>
              </w:rPr>
            </w:pPr>
          </w:p>
        </w:tc>
      </w:tr>
      <w:tr>
        <w:trPr>
          <w:trHeight w:val="270"/>
        </w:trPr>
        <w:tc>
          <w:tcPr>
            <w:tcW w:w="5820" w:type="dxa"/>
            <w:vAlign w:val="bottom"/>
            <w:gridSpan w:val="3"/>
          </w:tcPr>
          <w:p>
            <w:pPr>
              <w:ind w:left="40"/>
              <w:spacing w:after="0"/>
              <w:rPr>
                <w:sz w:val="20"/>
                <w:szCs w:val="20"/>
                <w:color w:val="auto"/>
              </w:rPr>
            </w:pPr>
            <w:r>
              <w:rPr>
                <w:rFonts w:ascii="Arial" w:cs="Arial" w:eastAsia="Arial" w:hAnsi="Arial"/>
                <w:sz w:val="16"/>
                <w:szCs w:val="16"/>
                <w:color w:val="auto"/>
              </w:rPr>
              <w:t>Revenues</w:t>
            </w:r>
            <w:r>
              <w:rPr>
                <w:rFonts w:ascii="Arial" w:cs="Arial" w:eastAsia="Arial" w:hAnsi="Arial"/>
                <w:sz w:val="21"/>
                <w:szCs w:val="21"/>
                <w:color w:val="auto"/>
                <w:vertAlign w:val="superscript"/>
              </w:rPr>
              <w:t>(1)(2)</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6,498.6</w:t>
            </w:r>
          </w:p>
        </w:tc>
        <w:tc>
          <w:tcPr>
            <w:tcW w:w="12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6,442.2</w:t>
            </w:r>
          </w:p>
        </w:tc>
        <w:tc>
          <w:tcPr>
            <w:tcW w:w="1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5,453.6</w:t>
            </w:r>
          </w:p>
        </w:tc>
        <w:tc>
          <w:tcPr>
            <w:tcW w:w="100" w:type="dxa"/>
            <w:vAlign w:val="bottom"/>
          </w:tcPr>
          <w:p>
            <w:pPr>
              <w:spacing w:after="0"/>
              <w:rPr>
                <w:sz w:val="23"/>
                <w:szCs w:val="23"/>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5,144.7</w:t>
            </w:r>
          </w:p>
        </w:tc>
        <w:tc>
          <w:tcPr>
            <w:tcW w:w="12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4,897.8</w:t>
            </w:r>
          </w:p>
        </w:tc>
      </w:tr>
      <w:tr>
        <w:trPr>
          <w:trHeight w:val="270"/>
        </w:trPr>
        <w:tc>
          <w:tcPr>
            <w:tcW w:w="582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Operating profit</w:t>
            </w:r>
            <w:r>
              <w:rPr>
                <w:rFonts w:ascii="Arial" w:cs="Arial" w:eastAsia="Arial" w:hAnsi="Arial"/>
                <w:sz w:val="21"/>
                <w:szCs w:val="21"/>
                <w:color w:val="auto"/>
                <w:vertAlign w:val="superscript"/>
              </w:rPr>
              <w:t>(3)</w:t>
            </w:r>
          </w:p>
        </w:tc>
        <w:tc>
          <w:tcPr>
            <w:tcW w:w="240" w:type="dxa"/>
            <w:vAlign w:val="bottom"/>
            <w:shd w:val="clear" w:color="auto" w:fill="DCE2EF"/>
          </w:tcPr>
          <w:p>
            <w:pPr>
              <w:spacing w:after="0"/>
              <w:rPr>
                <w:sz w:val="23"/>
                <w:szCs w:val="23"/>
                <w:color w:val="auto"/>
              </w:rPr>
            </w:pPr>
          </w:p>
        </w:tc>
        <w:tc>
          <w:tcPr>
            <w:tcW w:w="8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208.3</w:t>
            </w:r>
          </w:p>
        </w:tc>
        <w:tc>
          <w:tcPr>
            <w:tcW w:w="120" w:type="dxa"/>
            <w:vAlign w:val="bottom"/>
            <w:shd w:val="clear" w:color="auto" w:fill="DCE2EF"/>
          </w:tcPr>
          <w:p>
            <w:pPr>
              <w:spacing w:after="0"/>
              <w:rPr>
                <w:sz w:val="23"/>
                <w:szCs w:val="23"/>
                <w:color w:val="auto"/>
              </w:rPr>
            </w:pPr>
          </w:p>
        </w:tc>
        <w:tc>
          <w:tcPr>
            <w:tcW w:w="220" w:type="dxa"/>
            <w:vAlign w:val="bottom"/>
            <w:shd w:val="clear" w:color="auto" w:fill="DCE2EF"/>
          </w:tcPr>
          <w:p>
            <w:pPr>
              <w:spacing w:after="0"/>
              <w:rPr>
                <w:sz w:val="23"/>
                <w:szCs w:val="23"/>
                <w:color w:val="auto"/>
              </w:rPr>
            </w:pPr>
          </w:p>
        </w:tc>
        <w:tc>
          <w:tcPr>
            <w:tcW w:w="80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138.6</w:t>
            </w:r>
          </w:p>
        </w:tc>
        <w:tc>
          <w:tcPr>
            <w:tcW w:w="100" w:type="dxa"/>
            <w:vAlign w:val="bottom"/>
            <w:shd w:val="clear" w:color="auto" w:fill="DCE2EF"/>
          </w:tcPr>
          <w:p>
            <w:pPr>
              <w:spacing w:after="0"/>
              <w:rPr>
                <w:sz w:val="23"/>
                <w:szCs w:val="23"/>
                <w:color w:val="auto"/>
              </w:rPr>
            </w:pPr>
          </w:p>
        </w:tc>
        <w:tc>
          <w:tcPr>
            <w:tcW w:w="220" w:type="dxa"/>
            <w:vAlign w:val="bottom"/>
            <w:shd w:val="clear" w:color="auto" w:fill="DCE2EF"/>
          </w:tcPr>
          <w:p>
            <w:pPr>
              <w:spacing w:after="0"/>
              <w:rPr>
                <w:sz w:val="23"/>
                <w:szCs w:val="23"/>
                <w:color w:val="auto"/>
              </w:rPr>
            </w:pPr>
          </w:p>
        </w:tc>
        <w:tc>
          <w:tcPr>
            <w:tcW w:w="82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101.9</w:t>
            </w:r>
          </w:p>
        </w:tc>
        <w:tc>
          <w:tcPr>
            <w:tcW w:w="10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68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54.7</w:t>
            </w:r>
          </w:p>
        </w:tc>
        <w:tc>
          <w:tcPr>
            <w:tcW w:w="120" w:type="dxa"/>
            <w:vAlign w:val="bottom"/>
            <w:shd w:val="clear" w:color="auto" w:fill="DCE2EF"/>
          </w:tcPr>
          <w:p>
            <w:pPr>
              <w:spacing w:after="0"/>
              <w:rPr>
                <w:sz w:val="23"/>
                <w:szCs w:val="23"/>
                <w:color w:val="auto"/>
              </w:rPr>
            </w:pPr>
          </w:p>
        </w:tc>
        <w:tc>
          <w:tcPr>
            <w:tcW w:w="220" w:type="dxa"/>
            <w:vAlign w:val="bottom"/>
            <w:shd w:val="clear" w:color="auto" w:fill="DCE2EF"/>
          </w:tcPr>
          <w:p>
            <w:pPr>
              <w:spacing w:after="0"/>
              <w:rPr>
                <w:sz w:val="23"/>
                <w:szCs w:val="23"/>
                <w:color w:val="auto"/>
              </w:rPr>
            </w:pPr>
          </w:p>
        </w:tc>
        <w:tc>
          <w:tcPr>
            <w:tcW w:w="80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73.6</w:t>
            </w:r>
          </w:p>
        </w:tc>
      </w:tr>
      <w:tr>
        <w:trPr>
          <w:trHeight w:val="262"/>
        </w:trPr>
        <w:tc>
          <w:tcPr>
            <w:tcW w:w="5820" w:type="dxa"/>
            <w:vAlign w:val="bottom"/>
            <w:gridSpan w:val="3"/>
          </w:tcPr>
          <w:p>
            <w:pPr>
              <w:ind w:left="40"/>
              <w:spacing w:after="0"/>
              <w:rPr>
                <w:sz w:val="20"/>
                <w:szCs w:val="20"/>
                <w:color w:val="auto"/>
              </w:rPr>
            </w:pPr>
            <w:r>
              <w:rPr>
                <w:rFonts w:ascii="Arial" w:cs="Arial" w:eastAsia="Arial" w:hAnsi="Arial"/>
                <w:sz w:val="16"/>
                <w:szCs w:val="16"/>
                <w:color w:val="auto"/>
              </w:rPr>
              <w:t>Income from continuing operations</w:t>
            </w:r>
          </w:p>
        </w:tc>
        <w:tc>
          <w:tcPr>
            <w:tcW w:w="2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127.5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95.9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78.1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62.3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54.1</w:t>
            </w:r>
          </w:p>
        </w:tc>
      </w:tr>
      <w:tr>
        <w:trPr>
          <w:trHeight w:val="278"/>
        </w:trPr>
        <w:tc>
          <w:tcPr>
            <w:tcW w:w="582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(Loss) income from discontinued operations, net of taxes</w:t>
            </w:r>
            <w:r>
              <w:rPr>
                <w:rFonts w:ascii="Arial" w:cs="Arial" w:eastAsia="Arial" w:hAnsi="Arial"/>
                <w:sz w:val="21"/>
                <w:szCs w:val="21"/>
                <w:color w:val="auto"/>
                <w:vertAlign w:val="superscript"/>
              </w:rPr>
              <w:t>(4)</w:t>
            </w:r>
          </w:p>
        </w:tc>
        <w:tc>
          <w:tcPr>
            <w:tcW w:w="240" w:type="dxa"/>
            <w:vAlign w:val="bottom"/>
            <w:shd w:val="clear" w:color="auto" w:fill="DCE2EF"/>
          </w:tcPr>
          <w:p>
            <w:pPr>
              <w:spacing w:after="0"/>
              <w:rPr>
                <w:sz w:val="24"/>
                <w:szCs w:val="24"/>
                <w:color w:val="auto"/>
              </w:rPr>
            </w:pPr>
          </w:p>
        </w:tc>
        <w:tc>
          <w:tcPr>
            <w:tcW w:w="8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80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8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(74.3)</w:t>
            </w:r>
          </w:p>
        </w:tc>
        <w:tc>
          <w:tcPr>
            <w:tcW w:w="10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6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(5.1)</w:t>
            </w:r>
          </w:p>
        </w:tc>
        <w:tc>
          <w:tcPr>
            <w:tcW w:w="12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80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22.2</w:t>
            </w:r>
          </w:p>
        </w:tc>
      </w:tr>
      <w:tr>
        <w:trPr>
          <w:trHeight w:val="266"/>
        </w:trPr>
        <w:tc>
          <w:tcPr>
            <w:tcW w:w="5820" w:type="dxa"/>
            <w:vAlign w:val="bottom"/>
            <w:gridSpan w:val="3"/>
          </w:tcPr>
          <w:p>
            <w:pPr>
              <w:ind w:left="40"/>
              <w:spacing w:after="0"/>
              <w:rPr>
                <w:sz w:val="20"/>
                <w:szCs w:val="20"/>
                <w:color w:val="auto"/>
              </w:rPr>
            </w:pPr>
            <w:r>
              <w:rPr>
                <w:rFonts w:ascii="Arial" w:cs="Arial" w:eastAsia="Arial" w:hAnsi="Arial"/>
                <w:sz w:val="16"/>
                <w:szCs w:val="16"/>
                <w:b w:val="1"/>
                <w:bCs w:val="1"/>
                <w:color w:val="auto"/>
              </w:rPr>
              <w:t>Per Share Data</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4"/>
        </w:trPr>
        <w:tc>
          <w:tcPr>
            <w:tcW w:w="582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Net income per common share — Basic</w:t>
            </w:r>
          </w:p>
        </w:tc>
        <w:tc>
          <w:tcPr>
            <w:tcW w:w="240" w:type="dxa"/>
            <w:vAlign w:val="bottom"/>
            <w:shd w:val="clear" w:color="auto" w:fill="DCE2EF"/>
          </w:tcPr>
          <w:p>
            <w:pPr>
              <w:spacing w:after="0"/>
              <w:rPr>
                <w:sz w:val="23"/>
                <w:szCs w:val="23"/>
                <w:color w:val="auto"/>
              </w:rPr>
            </w:pPr>
          </w:p>
        </w:tc>
        <w:tc>
          <w:tcPr>
            <w:tcW w:w="820" w:type="dxa"/>
            <w:vAlign w:val="bottom"/>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220" w:type="dxa"/>
            <w:vAlign w:val="bottom"/>
            <w:shd w:val="clear" w:color="auto" w:fill="DCE2EF"/>
          </w:tcPr>
          <w:p>
            <w:pPr>
              <w:spacing w:after="0"/>
              <w:rPr>
                <w:sz w:val="23"/>
                <w:szCs w:val="23"/>
                <w:color w:val="auto"/>
              </w:rPr>
            </w:pPr>
          </w:p>
        </w:tc>
        <w:tc>
          <w:tcPr>
            <w:tcW w:w="80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220" w:type="dxa"/>
            <w:vAlign w:val="bottom"/>
            <w:shd w:val="clear" w:color="auto" w:fill="DCE2EF"/>
          </w:tcPr>
          <w:p>
            <w:pPr>
              <w:spacing w:after="0"/>
              <w:rPr>
                <w:sz w:val="23"/>
                <w:szCs w:val="23"/>
                <w:color w:val="auto"/>
              </w:rPr>
            </w:pPr>
          </w:p>
        </w:tc>
        <w:tc>
          <w:tcPr>
            <w:tcW w:w="82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680" w:type="dxa"/>
            <w:vAlign w:val="bottom"/>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220" w:type="dxa"/>
            <w:vAlign w:val="bottom"/>
            <w:shd w:val="clear" w:color="auto" w:fill="DCE2EF"/>
          </w:tcPr>
          <w:p>
            <w:pPr>
              <w:spacing w:after="0"/>
              <w:rPr>
                <w:sz w:val="23"/>
                <w:szCs w:val="23"/>
                <w:color w:val="auto"/>
              </w:rPr>
            </w:pPr>
          </w:p>
        </w:tc>
        <w:tc>
          <w:tcPr>
            <w:tcW w:w="800" w:type="dxa"/>
            <w:vAlign w:val="bottom"/>
            <w:shd w:val="clear" w:color="auto" w:fill="DCE2EF"/>
          </w:tcPr>
          <w:p>
            <w:pPr>
              <w:spacing w:after="0"/>
              <w:rPr>
                <w:sz w:val="23"/>
                <w:szCs w:val="23"/>
                <w:color w:val="auto"/>
              </w:rPr>
            </w:pPr>
          </w:p>
        </w:tc>
      </w:tr>
      <w:tr>
        <w:trPr>
          <w:trHeight w:val="262"/>
        </w:trPr>
        <w:tc>
          <w:tcPr>
            <w:tcW w:w="40" w:type="dxa"/>
            <w:vAlign w:val="bottom"/>
          </w:tcPr>
          <w:p>
            <w:pPr>
              <w:spacing w:after="0"/>
              <w:rPr>
                <w:sz w:val="22"/>
                <w:szCs w:val="22"/>
                <w:color w:val="auto"/>
              </w:rPr>
            </w:pPr>
          </w:p>
        </w:tc>
        <w:tc>
          <w:tcPr>
            <w:tcW w:w="5780" w:type="dxa"/>
            <w:vAlign w:val="bottom"/>
            <w:gridSpan w:val="2"/>
          </w:tcPr>
          <w:p>
            <w:pPr>
              <w:ind w:left="340"/>
              <w:spacing w:after="0"/>
              <w:rPr>
                <w:sz w:val="20"/>
                <w:szCs w:val="20"/>
                <w:color w:val="auto"/>
              </w:rPr>
            </w:pPr>
            <w:r>
              <w:rPr>
                <w:rFonts w:ascii="Arial" w:cs="Arial" w:eastAsia="Arial" w:hAnsi="Arial"/>
                <w:sz w:val="16"/>
                <w:szCs w:val="16"/>
                <w:color w:val="auto"/>
              </w:rPr>
              <w:t>Income from continuing operations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22"/>
                <w:szCs w:val="22"/>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0.95</w:t>
            </w:r>
          </w:p>
        </w:tc>
      </w:tr>
      <w:tr>
        <w:trPr>
          <w:trHeight w:val="278"/>
        </w:trPr>
        <w:tc>
          <w:tcPr>
            <w:tcW w:w="40" w:type="dxa"/>
            <w:vAlign w:val="bottom"/>
            <w:shd w:val="clear" w:color="auto" w:fill="DCE2EF"/>
          </w:tcPr>
          <w:p>
            <w:pPr>
              <w:spacing w:after="0"/>
              <w:rPr>
                <w:sz w:val="24"/>
                <w:szCs w:val="24"/>
                <w:color w:val="auto"/>
              </w:rPr>
            </w:pPr>
          </w:p>
        </w:tc>
        <w:tc>
          <w:tcPr>
            <w:tcW w:w="5780" w:type="dxa"/>
            <w:vAlign w:val="bottom"/>
            <w:gridSpan w:val="2"/>
            <w:shd w:val="clear" w:color="auto" w:fill="DCE2EF"/>
          </w:tcPr>
          <w:p>
            <w:pPr>
              <w:ind w:left="340"/>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1.91</w:t>
            </w:r>
          </w:p>
        </w:tc>
        <w:tc>
          <w:tcPr>
            <w:tcW w:w="120" w:type="dxa"/>
            <w:vAlign w:val="bottom"/>
            <w:shd w:val="clear" w:color="auto" w:fill="DCE2EF"/>
          </w:tcPr>
          <w:p>
            <w:pPr>
              <w:spacing w:after="0"/>
              <w:rPr>
                <w:sz w:val="24"/>
                <w:szCs w:val="24"/>
                <w:color w:val="auto"/>
              </w:rPr>
            </w:pPr>
          </w:p>
        </w:tc>
        <w:tc>
          <w:tcPr>
            <w:tcW w:w="22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DCE2EF"/>
          </w:tcPr>
          <w:p>
            <w:pPr>
              <w:spacing w:after="0"/>
              <w:rPr>
                <w:sz w:val="24"/>
                <w:szCs w:val="24"/>
                <w:color w:val="auto"/>
              </w:rPr>
            </w:pPr>
          </w:p>
        </w:tc>
        <w:tc>
          <w:tcPr>
            <w:tcW w:w="2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0.07</w:t>
            </w:r>
          </w:p>
        </w:tc>
        <w:tc>
          <w:tcPr>
            <w:tcW w:w="100" w:type="dxa"/>
            <w:vAlign w:val="bottom"/>
            <w:shd w:val="clear" w:color="auto" w:fill="DCE2EF"/>
          </w:tcPr>
          <w:p>
            <w:pPr>
              <w:spacing w:after="0"/>
              <w:rPr>
                <w:sz w:val="24"/>
                <w:szCs w:val="24"/>
                <w:color w:val="auto"/>
              </w:rPr>
            </w:pPr>
          </w:p>
        </w:tc>
        <w:tc>
          <w:tcPr>
            <w:tcW w:w="340" w:type="dxa"/>
            <w:vAlign w:val="bottom"/>
            <w:shd w:val="clear" w:color="auto" w:fill="DCE2E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1.02</w:t>
            </w:r>
          </w:p>
        </w:tc>
        <w:tc>
          <w:tcPr>
            <w:tcW w:w="120" w:type="dxa"/>
            <w:vAlign w:val="bottom"/>
            <w:shd w:val="clear" w:color="auto" w:fill="DCE2EF"/>
          </w:tcPr>
          <w:p>
            <w:pPr>
              <w:spacing w:after="0"/>
              <w:rPr>
                <w:sz w:val="24"/>
                <w:szCs w:val="24"/>
                <w:color w:val="auto"/>
              </w:rPr>
            </w:pPr>
          </w:p>
        </w:tc>
        <w:tc>
          <w:tcPr>
            <w:tcW w:w="2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1.35</w:t>
            </w:r>
          </w:p>
        </w:tc>
      </w:tr>
      <w:tr>
        <w:trPr>
          <w:trHeight w:val="262"/>
        </w:trPr>
        <w:tc>
          <w:tcPr>
            <w:tcW w:w="5820" w:type="dxa"/>
            <w:vAlign w:val="bottom"/>
            <w:gridSpan w:val="3"/>
          </w:tcPr>
          <w:p>
            <w:pPr>
              <w:ind w:left="40"/>
              <w:spacing w:after="0"/>
              <w:rPr>
                <w:sz w:val="20"/>
                <w:szCs w:val="20"/>
                <w:color w:val="auto"/>
              </w:rPr>
            </w:pPr>
            <w:r>
              <w:rPr>
                <w:rFonts w:ascii="Arial" w:cs="Arial" w:eastAsia="Arial" w:hAnsi="Arial"/>
                <w:sz w:val="16"/>
                <w:szCs w:val="16"/>
                <w:color w:val="auto"/>
              </w:rPr>
              <w:t>Net income per common share — Diluted</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8"/>
        </w:trPr>
        <w:tc>
          <w:tcPr>
            <w:tcW w:w="40" w:type="dxa"/>
            <w:vAlign w:val="bottom"/>
            <w:shd w:val="clear" w:color="auto" w:fill="DCE2EF"/>
          </w:tcPr>
          <w:p>
            <w:pPr>
              <w:spacing w:after="0"/>
              <w:rPr>
                <w:sz w:val="24"/>
                <w:szCs w:val="24"/>
                <w:color w:val="auto"/>
              </w:rPr>
            </w:pPr>
          </w:p>
        </w:tc>
        <w:tc>
          <w:tcPr>
            <w:tcW w:w="5780" w:type="dxa"/>
            <w:vAlign w:val="bottom"/>
            <w:gridSpan w:val="2"/>
            <w:shd w:val="clear" w:color="auto" w:fill="DCE2EF"/>
          </w:tcPr>
          <w:p>
            <w:pPr>
              <w:ind w:left="340"/>
              <w:spacing w:after="0"/>
              <w:rPr>
                <w:sz w:val="20"/>
                <w:szCs w:val="20"/>
                <w:color w:val="auto"/>
              </w:rPr>
            </w:pPr>
            <w:r>
              <w:rPr>
                <w:rFonts w:ascii="Arial" w:cs="Arial" w:eastAsia="Arial" w:hAnsi="Arial"/>
                <w:sz w:val="16"/>
                <w:szCs w:val="16"/>
                <w:color w:val="auto"/>
              </w:rPr>
              <w:t>Income from continuing operations</w:t>
            </w:r>
          </w:p>
        </w:tc>
        <w:tc>
          <w:tcPr>
            <w:tcW w:w="2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1.91</w:t>
            </w:r>
          </w:p>
        </w:tc>
        <w:tc>
          <w:tcPr>
            <w:tcW w:w="120" w:type="dxa"/>
            <w:vAlign w:val="bottom"/>
            <w:shd w:val="clear" w:color="auto" w:fill="DCE2EF"/>
          </w:tcPr>
          <w:p>
            <w:pPr>
              <w:spacing w:after="0"/>
              <w:rPr>
                <w:sz w:val="24"/>
                <w:szCs w:val="24"/>
                <w:color w:val="auto"/>
              </w:rPr>
            </w:pPr>
          </w:p>
        </w:tc>
        <w:tc>
          <w:tcPr>
            <w:tcW w:w="22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DCE2EF"/>
          </w:tcPr>
          <w:p>
            <w:pPr>
              <w:spacing w:after="0"/>
              <w:rPr>
                <w:sz w:val="24"/>
                <w:szCs w:val="24"/>
                <w:color w:val="auto"/>
              </w:rPr>
            </w:pPr>
          </w:p>
        </w:tc>
        <w:tc>
          <w:tcPr>
            <w:tcW w:w="2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DCE2EF"/>
          </w:tcPr>
          <w:p>
            <w:pPr>
              <w:spacing w:after="0"/>
              <w:rPr>
                <w:sz w:val="24"/>
                <w:szCs w:val="24"/>
                <w:color w:val="auto"/>
              </w:rPr>
            </w:pPr>
          </w:p>
        </w:tc>
        <w:tc>
          <w:tcPr>
            <w:tcW w:w="340" w:type="dxa"/>
            <w:vAlign w:val="bottom"/>
            <w:shd w:val="clear" w:color="auto" w:fill="DCE2E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1.09</w:t>
            </w:r>
          </w:p>
        </w:tc>
        <w:tc>
          <w:tcPr>
            <w:tcW w:w="120" w:type="dxa"/>
            <w:vAlign w:val="bottom"/>
            <w:shd w:val="clear" w:color="auto" w:fill="DCE2EF"/>
          </w:tcPr>
          <w:p>
            <w:pPr>
              <w:spacing w:after="0"/>
              <w:rPr>
                <w:sz w:val="24"/>
                <w:szCs w:val="24"/>
                <w:color w:val="auto"/>
              </w:rPr>
            </w:pPr>
          </w:p>
        </w:tc>
        <w:tc>
          <w:tcPr>
            <w:tcW w:w="2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0.94</w:t>
            </w:r>
          </w:p>
        </w:tc>
      </w:tr>
      <w:tr>
        <w:trPr>
          <w:trHeight w:val="262"/>
        </w:trPr>
        <w:tc>
          <w:tcPr>
            <w:tcW w:w="40" w:type="dxa"/>
            <w:vAlign w:val="bottom"/>
          </w:tcPr>
          <w:p>
            <w:pPr>
              <w:spacing w:after="0"/>
              <w:rPr>
                <w:sz w:val="22"/>
                <w:szCs w:val="22"/>
                <w:color w:val="auto"/>
              </w:rPr>
            </w:pPr>
          </w:p>
        </w:tc>
        <w:tc>
          <w:tcPr>
            <w:tcW w:w="5780" w:type="dxa"/>
            <w:vAlign w:val="bottom"/>
            <w:gridSpan w:val="2"/>
          </w:tcPr>
          <w:p>
            <w:pPr>
              <w:ind w:left="34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1.90</w:t>
            </w:r>
          </w:p>
        </w:tc>
        <w:tc>
          <w:tcPr>
            <w:tcW w:w="120" w:type="dxa"/>
            <w:vAlign w:val="bottom"/>
          </w:tcPr>
          <w:p>
            <w:pPr>
              <w:spacing w:after="0"/>
              <w:rPr>
                <w:sz w:val="22"/>
                <w:szCs w:val="22"/>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0.07</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1.33</w:t>
            </w:r>
          </w:p>
        </w:tc>
      </w:tr>
      <w:tr>
        <w:trPr>
          <w:trHeight w:val="224"/>
        </w:trPr>
        <w:tc>
          <w:tcPr>
            <w:tcW w:w="40" w:type="dxa"/>
            <w:vAlign w:val="bottom"/>
            <w:shd w:val="clear" w:color="auto" w:fill="DCE2EF"/>
          </w:tcPr>
          <w:p>
            <w:pPr>
              <w:spacing w:after="0"/>
              <w:rPr>
                <w:sz w:val="19"/>
                <w:szCs w:val="19"/>
                <w:color w:val="auto"/>
              </w:rPr>
            </w:pPr>
          </w:p>
        </w:tc>
        <w:tc>
          <w:tcPr>
            <w:tcW w:w="5780" w:type="dxa"/>
            <w:vAlign w:val="bottom"/>
            <w:gridSpan w:val="2"/>
            <w:shd w:val="clear" w:color="auto" w:fill="DCE2EF"/>
          </w:tcPr>
          <w:p>
            <w:pPr>
              <w:spacing w:after="0"/>
              <w:rPr>
                <w:sz w:val="20"/>
                <w:szCs w:val="20"/>
                <w:color w:val="auto"/>
              </w:rPr>
            </w:pPr>
            <w:r>
              <w:rPr>
                <w:rFonts w:ascii="Arial" w:cs="Arial" w:eastAsia="Arial" w:hAnsi="Arial"/>
                <w:sz w:val="16"/>
                <w:szCs w:val="16"/>
                <w:color w:val="auto"/>
                <w:shd w:val="clear" w:color="auto" w:fill="DCE2EF"/>
              </w:rPr>
              <w:t>Weighted-average common and common</w:t>
            </w:r>
          </w:p>
        </w:tc>
        <w:tc>
          <w:tcPr>
            <w:tcW w:w="240" w:type="dxa"/>
            <w:vAlign w:val="bottom"/>
            <w:shd w:val="clear" w:color="auto" w:fill="DCE2EF"/>
          </w:tcPr>
          <w:p>
            <w:pPr>
              <w:spacing w:after="0"/>
              <w:rPr>
                <w:sz w:val="19"/>
                <w:szCs w:val="19"/>
                <w:color w:val="auto"/>
              </w:rPr>
            </w:pPr>
          </w:p>
        </w:tc>
        <w:tc>
          <w:tcPr>
            <w:tcW w:w="82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220" w:type="dxa"/>
            <w:vAlign w:val="bottom"/>
            <w:shd w:val="clear" w:color="auto" w:fill="DCE2EF"/>
          </w:tcPr>
          <w:p>
            <w:pPr>
              <w:spacing w:after="0"/>
              <w:rPr>
                <w:sz w:val="19"/>
                <w:szCs w:val="19"/>
                <w:color w:val="auto"/>
              </w:rPr>
            </w:pPr>
          </w:p>
        </w:tc>
        <w:tc>
          <w:tcPr>
            <w:tcW w:w="80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20" w:type="dxa"/>
            <w:vAlign w:val="bottom"/>
            <w:shd w:val="clear" w:color="auto" w:fill="DCE2EF"/>
          </w:tcPr>
          <w:p>
            <w:pPr>
              <w:spacing w:after="0"/>
              <w:rPr>
                <w:sz w:val="19"/>
                <w:szCs w:val="19"/>
                <w:color w:val="auto"/>
              </w:rPr>
            </w:pPr>
          </w:p>
        </w:tc>
        <w:tc>
          <w:tcPr>
            <w:tcW w:w="8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68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220" w:type="dxa"/>
            <w:vAlign w:val="bottom"/>
            <w:shd w:val="clear" w:color="auto" w:fill="DCE2EF"/>
          </w:tcPr>
          <w:p>
            <w:pPr>
              <w:spacing w:after="0"/>
              <w:rPr>
                <w:sz w:val="19"/>
                <w:szCs w:val="19"/>
                <w:color w:val="auto"/>
              </w:rPr>
            </w:pPr>
          </w:p>
        </w:tc>
        <w:tc>
          <w:tcPr>
            <w:tcW w:w="800" w:type="dxa"/>
            <w:vAlign w:val="bottom"/>
            <w:shd w:val="clear" w:color="auto" w:fill="DCE2EF"/>
          </w:tcPr>
          <w:p>
            <w:pPr>
              <w:spacing w:after="0"/>
              <w:rPr>
                <w:sz w:val="19"/>
                <w:szCs w:val="19"/>
                <w:color w:val="auto"/>
              </w:rPr>
            </w:pPr>
          </w:p>
        </w:tc>
      </w:tr>
      <w:tr>
        <w:trPr>
          <w:trHeight w:val="196"/>
        </w:trPr>
        <w:tc>
          <w:tcPr>
            <w:tcW w:w="40" w:type="dxa"/>
            <w:vAlign w:val="bottom"/>
            <w:tcBorders>
              <w:bottom w:val="single" w:sz="8" w:color="DCE2EF"/>
            </w:tcBorders>
            <w:shd w:val="clear" w:color="auto" w:fill="DCE2EF"/>
          </w:tcPr>
          <w:p>
            <w:pPr>
              <w:spacing w:after="0"/>
              <w:rPr>
                <w:sz w:val="17"/>
                <w:szCs w:val="17"/>
                <w:color w:val="auto"/>
              </w:rPr>
            </w:pPr>
          </w:p>
        </w:tc>
        <w:tc>
          <w:tcPr>
            <w:tcW w:w="5780" w:type="dxa"/>
            <w:vAlign w:val="bottom"/>
            <w:tcBorders>
              <w:bottom w:val="single" w:sz="8" w:color="DCE2EF"/>
            </w:tcBorders>
            <w:gridSpan w:val="2"/>
            <w:shd w:val="clear" w:color="auto" w:fill="DCE2EF"/>
          </w:tcPr>
          <w:p>
            <w:pPr>
              <w:ind w:left="160"/>
              <w:spacing w:after="0"/>
              <w:rPr>
                <w:sz w:val="20"/>
                <w:szCs w:val="20"/>
                <w:color w:val="auto"/>
              </w:rPr>
            </w:pPr>
            <w:r>
              <w:rPr>
                <w:rFonts w:ascii="Arial" w:cs="Arial" w:eastAsia="Arial" w:hAnsi="Arial"/>
                <w:sz w:val="16"/>
                <w:szCs w:val="16"/>
                <w:color w:val="auto"/>
                <w:shd w:val="clear" w:color="auto" w:fill="DCE2EF"/>
              </w:rPr>
              <w:t>equivalent shares outstanding</w:t>
            </w:r>
          </w:p>
        </w:tc>
        <w:tc>
          <w:tcPr>
            <w:tcW w:w="240" w:type="dxa"/>
            <w:vAlign w:val="bottom"/>
            <w:tcBorders>
              <w:bottom w:val="single" w:sz="8" w:color="DCE2EF"/>
            </w:tcBorders>
            <w:shd w:val="clear" w:color="auto" w:fill="DCE2EF"/>
          </w:tcPr>
          <w:p>
            <w:pPr>
              <w:spacing w:after="0"/>
              <w:rPr>
                <w:sz w:val="17"/>
                <w:szCs w:val="17"/>
                <w:color w:val="auto"/>
              </w:rPr>
            </w:pPr>
          </w:p>
        </w:tc>
        <w:tc>
          <w:tcPr>
            <w:tcW w:w="820" w:type="dxa"/>
            <w:vAlign w:val="bottom"/>
            <w:tcBorders>
              <w:bottom w:val="single" w:sz="8" w:color="DCE2EF"/>
            </w:tcBorders>
            <w:shd w:val="clear" w:color="auto" w:fill="DCE2EF"/>
          </w:tcPr>
          <w:p>
            <w:pPr>
              <w:spacing w:after="0"/>
              <w:rPr>
                <w:sz w:val="17"/>
                <w:szCs w:val="17"/>
                <w:color w:val="auto"/>
              </w:rPr>
            </w:pPr>
          </w:p>
        </w:tc>
        <w:tc>
          <w:tcPr>
            <w:tcW w:w="120" w:type="dxa"/>
            <w:vAlign w:val="bottom"/>
            <w:tcBorders>
              <w:bottom w:val="single" w:sz="8" w:color="DCE2EF"/>
            </w:tcBorders>
            <w:shd w:val="clear" w:color="auto" w:fill="DCE2EF"/>
          </w:tcPr>
          <w:p>
            <w:pPr>
              <w:spacing w:after="0"/>
              <w:rPr>
                <w:sz w:val="17"/>
                <w:szCs w:val="17"/>
                <w:color w:val="auto"/>
              </w:rPr>
            </w:pPr>
          </w:p>
        </w:tc>
        <w:tc>
          <w:tcPr>
            <w:tcW w:w="220" w:type="dxa"/>
            <w:vAlign w:val="bottom"/>
            <w:tcBorders>
              <w:bottom w:val="single" w:sz="8" w:color="DCE2EF"/>
            </w:tcBorders>
            <w:shd w:val="clear" w:color="auto" w:fill="DCE2EF"/>
          </w:tcPr>
          <w:p>
            <w:pPr>
              <w:spacing w:after="0"/>
              <w:rPr>
                <w:sz w:val="17"/>
                <w:szCs w:val="17"/>
                <w:color w:val="auto"/>
              </w:rPr>
            </w:pPr>
          </w:p>
        </w:tc>
        <w:tc>
          <w:tcPr>
            <w:tcW w:w="800" w:type="dxa"/>
            <w:vAlign w:val="bottom"/>
            <w:tcBorders>
              <w:bottom w:val="single" w:sz="8" w:color="DCE2EF"/>
            </w:tcBorders>
            <w:shd w:val="clear" w:color="auto" w:fill="DCE2EF"/>
          </w:tcPr>
          <w:p>
            <w:pPr>
              <w:spacing w:after="0"/>
              <w:rPr>
                <w:sz w:val="17"/>
                <w:szCs w:val="17"/>
                <w:color w:val="auto"/>
              </w:rPr>
            </w:pPr>
          </w:p>
        </w:tc>
        <w:tc>
          <w:tcPr>
            <w:tcW w:w="100" w:type="dxa"/>
            <w:vAlign w:val="bottom"/>
            <w:tcBorders>
              <w:bottom w:val="single" w:sz="8" w:color="DCE2EF"/>
            </w:tcBorders>
            <w:shd w:val="clear" w:color="auto" w:fill="DCE2EF"/>
          </w:tcPr>
          <w:p>
            <w:pPr>
              <w:spacing w:after="0"/>
              <w:rPr>
                <w:sz w:val="17"/>
                <w:szCs w:val="17"/>
                <w:color w:val="auto"/>
              </w:rPr>
            </w:pPr>
          </w:p>
        </w:tc>
        <w:tc>
          <w:tcPr>
            <w:tcW w:w="220" w:type="dxa"/>
            <w:vAlign w:val="bottom"/>
            <w:tcBorders>
              <w:bottom w:val="single" w:sz="8" w:color="DCE2EF"/>
            </w:tcBorders>
            <w:shd w:val="clear" w:color="auto" w:fill="DCE2EF"/>
          </w:tcPr>
          <w:p>
            <w:pPr>
              <w:spacing w:after="0"/>
              <w:rPr>
                <w:sz w:val="17"/>
                <w:szCs w:val="17"/>
                <w:color w:val="auto"/>
              </w:rPr>
            </w:pPr>
          </w:p>
        </w:tc>
        <w:tc>
          <w:tcPr>
            <w:tcW w:w="820" w:type="dxa"/>
            <w:vAlign w:val="bottom"/>
            <w:tcBorders>
              <w:bottom w:val="single" w:sz="8" w:color="DCE2EF"/>
            </w:tcBorders>
            <w:shd w:val="clear" w:color="auto" w:fill="DCE2EF"/>
          </w:tcPr>
          <w:p>
            <w:pPr>
              <w:spacing w:after="0"/>
              <w:rPr>
                <w:sz w:val="17"/>
                <w:szCs w:val="17"/>
                <w:color w:val="auto"/>
              </w:rPr>
            </w:pPr>
          </w:p>
        </w:tc>
        <w:tc>
          <w:tcPr>
            <w:tcW w:w="100" w:type="dxa"/>
            <w:vAlign w:val="bottom"/>
            <w:tcBorders>
              <w:bottom w:val="single" w:sz="8" w:color="DCE2EF"/>
            </w:tcBorders>
            <w:shd w:val="clear" w:color="auto" w:fill="DCE2EF"/>
          </w:tcPr>
          <w:p>
            <w:pPr>
              <w:spacing w:after="0"/>
              <w:rPr>
                <w:sz w:val="17"/>
                <w:szCs w:val="17"/>
                <w:color w:val="auto"/>
              </w:rPr>
            </w:pPr>
          </w:p>
        </w:tc>
        <w:tc>
          <w:tcPr>
            <w:tcW w:w="340" w:type="dxa"/>
            <w:vAlign w:val="bottom"/>
            <w:tcBorders>
              <w:bottom w:val="single" w:sz="8" w:color="DCE2EF"/>
            </w:tcBorders>
            <w:shd w:val="clear" w:color="auto" w:fill="DCE2EF"/>
          </w:tcPr>
          <w:p>
            <w:pPr>
              <w:spacing w:after="0"/>
              <w:rPr>
                <w:sz w:val="17"/>
                <w:szCs w:val="17"/>
                <w:color w:val="auto"/>
              </w:rPr>
            </w:pPr>
          </w:p>
        </w:tc>
        <w:tc>
          <w:tcPr>
            <w:tcW w:w="680" w:type="dxa"/>
            <w:vAlign w:val="bottom"/>
            <w:tcBorders>
              <w:bottom w:val="single" w:sz="8" w:color="DCE2EF"/>
            </w:tcBorders>
            <w:shd w:val="clear" w:color="auto" w:fill="DCE2EF"/>
          </w:tcPr>
          <w:p>
            <w:pPr>
              <w:spacing w:after="0"/>
              <w:rPr>
                <w:sz w:val="17"/>
                <w:szCs w:val="17"/>
                <w:color w:val="auto"/>
              </w:rPr>
            </w:pPr>
          </w:p>
        </w:tc>
        <w:tc>
          <w:tcPr>
            <w:tcW w:w="120" w:type="dxa"/>
            <w:vAlign w:val="bottom"/>
            <w:tcBorders>
              <w:bottom w:val="single" w:sz="8" w:color="DCE2EF"/>
            </w:tcBorders>
            <w:shd w:val="clear" w:color="auto" w:fill="DCE2EF"/>
          </w:tcPr>
          <w:p>
            <w:pPr>
              <w:spacing w:after="0"/>
              <w:rPr>
                <w:sz w:val="17"/>
                <w:szCs w:val="17"/>
                <w:color w:val="auto"/>
              </w:rPr>
            </w:pPr>
          </w:p>
        </w:tc>
        <w:tc>
          <w:tcPr>
            <w:tcW w:w="220" w:type="dxa"/>
            <w:vAlign w:val="bottom"/>
            <w:tcBorders>
              <w:bottom w:val="single" w:sz="8" w:color="DCE2EF"/>
            </w:tcBorders>
            <w:shd w:val="clear" w:color="auto" w:fill="DCE2EF"/>
          </w:tcPr>
          <w:p>
            <w:pPr>
              <w:spacing w:after="0"/>
              <w:rPr>
                <w:sz w:val="17"/>
                <w:szCs w:val="17"/>
                <w:color w:val="auto"/>
              </w:rPr>
            </w:pPr>
          </w:p>
        </w:tc>
        <w:tc>
          <w:tcPr>
            <w:tcW w:w="800" w:type="dxa"/>
            <w:vAlign w:val="bottom"/>
            <w:tcBorders>
              <w:bottom w:val="single" w:sz="8" w:color="DCE2EF"/>
            </w:tcBorders>
            <w:shd w:val="clear" w:color="auto" w:fill="DCE2EF"/>
          </w:tcPr>
          <w:p>
            <w:pPr>
              <w:spacing w:after="0"/>
              <w:rPr>
                <w:sz w:val="17"/>
                <w:szCs w:val="17"/>
                <w:color w:val="auto"/>
              </w:rPr>
            </w:pPr>
          </w:p>
        </w:tc>
      </w:tr>
      <w:tr>
        <w:trPr>
          <w:trHeight w:val="262"/>
        </w:trPr>
        <w:tc>
          <w:tcPr>
            <w:tcW w:w="40" w:type="dxa"/>
            <w:vAlign w:val="bottom"/>
          </w:tcPr>
          <w:p>
            <w:pPr>
              <w:spacing w:after="0"/>
              <w:rPr>
                <w:sz w:val="22"/>
                <w:szCs w:val="22"/>
                <w:color w:val="auto"/>
              </w:rPr>
            </w:pPr>
          </w:p>
        </w:tc>
        <w:tc>
          <w:tcPr>
            <w:tcW w:w="5780" w:type="dxa"/>
            <w:vAlign w:val="bottom"/>
            <w:gridSpan w:val="2"/>
          </w:tcPr>
          <w:p>
            <w:pPr>
              <w:ind w:left="340"/>
              <w:spacing w:after="0"/>
              <w:rPr>
                <w:sz w:val="20"/>
                <w:szCs w:val="20"/>
                <w:color w:val="auto"/>
              </w:rPr>
            </w:pPr>
            <w:r>
              <w:rPr>
                <w:rFonts w:ascii="Arial" w:cs="Arial" w:eastAsia="Arial" w:hAnsi="Arial"/>
                <w:sz w:val="16"/>
                <w:szCs w:val="16"/>
                <w:color w:val="auto"/>
              </w:rPr>
              <w:t>Basic</w:t>
            </w:r>
          </w:p>
        </w:tc>
        <w:tc>
          <w:tcPr>
            <w:tcW w:w="2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66.6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66.1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57.7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56.3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56.7</w:t>
            </w:r>
          </w:p>
        </w:tc>
      </w:tr>
      <w:tr>
        <w:trPr>
          <w:trHeight w:val="278"/>
        </w:trPr>
        <w:tc>
          <w:tcPr>
            <w:tcW w:w="40" w:type="dxa"/>
            <w:vAlign w:val="bottom"/>
            <w:shd w:val="clear" w:color="auto" w:fill="DCE2EF"/>
          </w:tcPr>
          <w:p>
            <w:pPr>
              <w:spacing w:after="0"/>
              <w:rPr>
                <w:sz w:val="24"/>
                <w:szCs w:val="24"/>
                <w:color w:val="auto"/>
              </w:rPr>
            </w:pPr>
          </w:p>
        </w:tc>
        <w:tc>
          <w:tcPr>
            <w:tcW w:w="5780" w:type="dxa"/>
            <w:vAlign w:val="bottom"/>
            <w:gridSpan w:val="2"/>
            <w:shd w:val="clear" w:color="auto" w:fill="DCE2EF"/>
          </w:tcPr>
          <w:p>
            <w:pPr>
              <w:ind w:left="340"/>
              <w:spacing w:after="0"/>
              <w:rPr>
                <w:sz w:val="20"/>
                <w:szCs w:val="20"/>
                <w:color w:val="auto"/>
              </w:rPr>
            </w:pPr>
            <w:r>
              <w:rPr>
                <w:rFonts w:ascii="Arial" w:cs="Arial" w:eastAsia="Arial" w:hAnsi="Arial"/>
                <w:sz w:val="16"/>
                <w:szCs w:val="16"/>
                <w:color w:val="auto"/>
              </w:rPr>
              <w:t>Diluted</w:t>
            </w:r>
          </w:p>
        </w:tc>
        <w:tc>
          <w:tcPr>
            <w:tcW w:w="240" w:type="dxa"/>
            <w:vAlign w:val="bottom"/>
            <w:shd w:val="clear" w:color="auto" w:fill="DCE2EF"/>
          </w:tcPr>
          <w:p>
            <w:pPr>
              <w:spacing w:after="0"/>
              <w:rPr>
                <w:sz w:val="24"/>
                <w:szCs w:val="24"/>
                <w:color w:val="auto"/>
              </w:rPr>
            </w:pPr>
          </w:p>
        </w:tc>
        <w:tc>
          <w:tcPr>
            <w:tcW w:w="8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66.9</w:t>
            </w:r>
          </w:p>
        </w:tc>
        <w:tc>
          <w:tcPr>
            <w:tcW w:w="12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80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66.4</w:t>
            </w:r>
          </w:p>
        </w:tc>
        <w:tc>
          <w:tcPr>
            <w:tcW w:w="10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82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58.3</w:t>
            </w:r>
          </w:p>
        </w:tc>
        <w:tc>
          <w:tcPr>
            <w:tcW w:w="10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68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56.9</w:t>
            </w:r>
          </w:p>
        </w:tc>
        <w:tc>
          <w:tcPr>
            <w:tcW w:w="12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80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57.4</w:t>
            </w:r>
          </w:p>
        </w:tc>
      </w:tr>
      <w:tr>
        <w:trPr>
          <w:trHeight w:val="262"/>
        </w:trPr>
        <w:tc>
          <w:tcPr>
            <w:tcW w:w="5820" w:type="dxa"/>
            <w:vAlign w:val="bottom"/>
            <w:gridSpan w:val="3"/>
          </w:tcPr>
          <w:p>
            <w:pPr>
              <w:ind w:left="40"/>
              <w:spacing w:after="0"/>
              <w:rPr>
                <w:sz w:val="20"/>
                <w:szCs w:val="20"/>
                <w:color w:val="auto"/>
              </w:rPr>
            </w:pPr>
            <w:r>
              <w:rPr>
                <w:rFonts w:ascii="Arial" w:cs="Arial" w:eastAsia="Arial" w:hAnsi="Arial"/>
                <w:sz w:val="16"/>
                <w:szCs w:val="16"/>
                <w:color w:val="auto"/>
              </w:rPr>
              <w:t>Dividends declared per common share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0.720</w:t>
            </w:r>
          </w:p>
        </w:tc>
        <w:tc>
          <w:tcPr>
            <w:tcW w:w="120" w:type="dxa"/>
            <w:vAlign w:val="bottom"/>
          </w:tcPr>
          <w:p>
            <w:pPr>
              <w:spacing w:after="0"/>
              <w:rPr>
                <w:sz w:val="22"/>
                <w:szCs w:val="22"/>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0.700</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0.680</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0.660</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0.640</w:t>
            </w:r>
          </w:p>
        </w:tc>
      </w:tr>
      <w:tr>
        <w:trPr>
          <w:trHeight w:val="278"/>
        </w:trPr>
        <w:tc>
          <w:tcPr>
            <w:tcW w:w="5820" w:type="dxa"/>
            <w:vAlign w:val="bottom"/>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Statements of Cash Flow Data</w:t>
            </w:r>
          </w:p>
        </w:tc>
        <w:tc>
          <w:tcPr>
            <w:tcW w:w="240" w:type="dxa"/>
            <w:vAlign w:val="bottom"/>
            <w:shd w:val="clear" w:color="auto" w:fill="DCE2EF"/>
          </w:tcPr>
          <w:p>
            <w:pPr>
              <w:spacing w:after="0"/>
              <w:rPr>
                <w:sz w:val="24"/>
                <w:szCs w:val="24"/>
                <w:color w:val="auto"/>
              </w:rPr>
            </w:pPr>
          </w:p>
        </w:tc>
        <w:tc>
          <w:tcPr>
            <w:tcW w:w="82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80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82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68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800" w:type="dxa"/>
            <w:vAlign w:val="bottom"/>
            <w:shd w:val="clear" w:color="auto" w:fill="DCE2EF"/>
          </w:tcPr>
          <w:p>
            <w:pPr>
              <w:spacing w:after="0"/>
              <w:rPr>
                <w:sz w:val="24"/>
                <w:szCs w:val="24"/>
                <w:color w:val="auto"/>
              </w:rPr>
            </w:pPr>
          </w:p>
        </w:tc>
      </w:tr>
      <w:tr>
        <w:trPr>
          <w:trHeight w:val="262"/>
        </w:trPr>
        <w:tc>
          <w:tcPr>
            <w:tcW w:w="5820" w:type="dxa"/>
            <w:vAlign w:val="bottom"/>
            <w:gridSpan w:val="3"/>
          </w:tcPr>
          <w:p>
            <w:pPr>
              <w:ind w:left="40"/>
              <w:spacing w:after="0"/>
              <w:rPr>
                <w:sz w:val="20"/>
                <w:szCs w:val="20"/>
                <w:color w:val="auto"/>
              </w:rPr>
            </w:pPr>
            <w:r>
              <w:rPr>
                <w:rFonts w:ascii="Arial" w:cs="Arial" w:eastAsia="Arial" w:hAnsi="Arial"/>
                <w:sz w:val="16"/>
                <w:szCs w:val="16"/>
                <w:color w:val="auto"/>
              </w:rPr>
              <w:t>Net cash provided by operating activities of continuing operations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262.8</w:t>
            </w:r>
          </w:p>
        </w:tc>
        <w:tc>
          <w:tcPr>
            <w:tcW w:w="120" w:type="dxa"/>
            <w:vAlign w:val="bottom"/>
          </w:tcPr>
          <w:p>
            <w:pPr>
              <w:spacing w:after="0"/>
              <w:rPr>
                <w:sz w:val="22"/>
                <w:szCs w:val="22"/>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299.7</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101.7</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110.5</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145.5</w:t>
            </w:r>
          </w:p>
        </w:tc>
      </w:tr>
      <w:tr>
        <w:trPr>
          <w:trHeight w:val="278"/>
        </w:trPr>
        <w:tc>
          <w:tcPr>
            <w:tcW w:w="582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Income tax payments (refunds), net</w:t>
            </w:r>
            <w:r>
              <w:rPr>
                <w:rFonts w:ascii="Arial" w:cs="Arial" w:eastAsia="Arial" w:hAnsi="Arial"/>
                <w:sz w:val="21"/>
                <w:szCs w:val="21"/>
                <w:color w:val="auto"/>
                <w:vertAlign w:val="superscript"/>
              </w:rPr>
              <w:t>(5)</w:t>
            </w:r>
          </w:p>
        </w:tc>
        <w:tc>
          <w:tcPr>
            <w:tcW w:w="240" w:type="dxa"/>
            <w:vAlign w:val="bottom"/>
            <w:shd w:val="clear" w:color="auto" w:fill="DCE2EF"/>
          </w:tcPr>
          <w:p>
            <w:pPr>
              <w:spacing w:after="0"/>
              <w:rPr>
                <w:sz w:val="24"/>
                <w:szCs w:val="24"/>
                <w:color w:val="auto"/>
              </w:rPr>
            </w:pPr>
          </w:p>
        </w:tc>
        <w:tc>
          <w:tcPr>
            <w:tcW w:w="8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20.6</w:t>
            </w:r>
          </w:p>
        </w:tc>
        <w:tc>
          <w:tcPr>
            <w:tcW w:w="12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8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82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68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12.6</w:t>
            </w:r>
          </w:p>
        </w:tc>
        <w:tc>
          <w:tcPr>
            <w:tcW w:w="12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80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23.7</w:t>
            </w:r>
          </w:p>
        </w:tc>
      </w:tr>
    </w:tbl>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40" w:type="dxa"/>
            <w:vAlign w:val="bottom"/>
            <w:shd w:val="clear" w:color="auto" w:fill="DCE2EF"/>
          </w:tcPr>
          <w:p>
            <w:pPr>
              <w:spacing w:after="0"/>
              <w:rPr>
                <w:sz w:val="23"/>
                <w:szCs w:val="23"/>
                <w:color w:val="auto"/>
              </w:rPr>
            </w:pPr>
          </w:p>
        </w:tc>
        <w:tc>
          <w:tcPr>
            <w:tcW w:w="700" w:type="dxa"/>
            <w:vAlign w:val="bottom"/>
            <w:shd w:val="clear" w:color="auto" w:fill="DCE2EF"/>
          </w:tcPr>
          <w:p>
            <w:pPr>
              <w:spacing w:after="0"/>
              <w:rPr>
                <w:sz w:val="23"/>
                <w:szCs w:val="23"/>
                <w:color w:val="auto"/>
              </w:rPr>
            </w:pPr>
          </w:p>
        </w:tc>
        <w:tc>
          <w:tcPr>
            <w:tcW w:w="5080" w:type="dxa"/>
            <w:vAlign w:val="bottom"/>
            <w:shd w:val="clear" w:color="auto" w:fill="DCE2EF"/>
          </w:tcPr>
          <w:p>
            <w:pPr>
              <w:spacing w:after="0"/>
              <w:rPr>
                <w:sz w:val="23"/>
                <w:szCs w:val="23"/>
                <w:color w:val="auto"/>
              </w:rPr>
            </w:pPr>
          </w:p>
        </w:tc>
        <w:tc>
          <w:tcPr>
            <w:tcW w:w="240" w:type="dxa"/>
            <w:vAlign w:val="bottom"/>
            <w:tcBorders>
              <w:bottom w:val="single" w:sz="8" w:color="auto"/>
            </w:tcBorders>
            <w:shd w:val="clear" w:color="auto" w:fill="DCE2EF"/>
          </w:tcPr>
          <w:p>
            <w:pPr>
              <w:spacing w:after="0"/>
              <w:rPr>
                <w:sz w:val="23"/>
                <w:szCs w:val="23"/>
                <w:color w:val="auto"/>
              </w:rPr>
            </w:pPr>
          </w:p>
        </w:tc>
        <w:tc>
          <w:tcPr>
            <w:tcW w:w="820" w:type="dxa"/>
            <w:vAlign w:val="bottom"/>
            <w:tcBorders>
              <w:bottom w:val="single" w:sz="8" w:color="auto"/>
            </w:tcBorders>
            <w:shd w:val="clear" w:color="auto" w:fill="DCE2EF"/>
          </w:tcPr>
          <w:p>
            <w:pPr>
              <w:spacing w:after="0"/>
              <w:rPr>
                <w:sz w:val="23"/>
                <w:szCs w:val="23"/>
                <w:color w:val="auto"/>
              </w:rPr>
            </w:pPr>
          </w:p>
        </w:tc>
        <w:tc>
          <w:tcPr>
            <w:tcW w:w="120" w:type="dxa"/>
            <w:vAlign w:val="bottom"/>
            <w:tcBorders>
              <w:bottom w:val="single" w:sz="8" w:color="auto"/>
            </w:tcBorders>
            <w:shd w:val="clear" w:color="auto" w:fill="DCE2EF"/>
          </w:tcPr>
          <w:p>
            <w:pPr>
              <w:spacing w:after="0"/>
              <w:rPr>
                <w:sz w:val="23"/>
                <w:szCs w:val="23"/>
                <w:color w:val="auto"/>
              </w:rPr>
            </w:pPr>
          </w:p>
        </w:tc>
        <w:tc>
          <w:tcPr>
            <w:tcW w:w="220" w:type="dxa"/>
            <w:vAlign w:val="bottom"/>
            <w:tcBorders>
              <w:bottom w:val="single" w:sz="8" w:color="auto"/>
            </w:tcBorders>
            <w:shd w:val="clear" w:color="auto" w:fill="DCE2EF"/>
          </w:tcPr>
          <w:p>
            <w:pPr>
              <w:spacing w:after="0"/>
              <w:rPr>
                <w:sz w:val="23"/>
                <w:szCs w:val="23"/>
                <w:color w:val="auto"/>
              </w:rPr>
            </w:pPr>
          </w:p>
        </w:tc>
        <w:tc>
          <w:tcPr>
            <w:tcW w:w="800" w:type="dxa"/>
            <w:vAlign w:val="bottom"/>
            <w:tcBorders>
              <w:bottom w:val="single" w:sz="8" w:color="auto"/>
            </w:tcBorders>
            <w:shd w:val="clear" w:color="auto" w:fill="DCE2EF"/>
          </w:tcPr>
          <w:p>
            <w:pPr>
              <w:spacing w:after="0"/>
              <w:rPr>
                <w:sz w:val="23"/>
                <w:szCs w:val="23"/>
                <w:color w:val="auto"/>
              </w:rPr>
            </w:pPr>
          </w:p>
        </w:tc>
        <w:tc>
          <w:tcPr>
            <w:tcW w:w="1240" w:type="dxa"/>
            <w:vAlign w:val="bottom"/>
            <w:tcBorders>
              <w:bottom w:val="single" w:sz="8" w:color="auto"/>
            </w:tcBorders>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At October 31,</w:t>
            </w:r>
          </w:p>
        </w:tc>
        <w:tc>
          <w:tcPr>
            <w:tcW w:w="220" w:type="dxa"/>
            <w:vAlign w:val="bottom"/>
            <w:tcBorders>
              <w:bottom w:val="single" w:sz="8" w:color="auto"/>
            </w:tcBorders>
            <w:shd w:val="clear" w:color="auto" w:fill="DCE2EF"/>
          </w:tcPr>
          <w:p>
            <w:pPr>
              <w:spacing w:after="0"/>
              <w:rPr>
                <w:sz w:val="23"/>
                <w:szCs w:val="23"/>
                <w:color w:val="auto"/>
              </w:rPr>
            </w:pPr>
          </w:p>
        </w:tc>
        <w:tc>
          <w:tcPr>
            <w:tcW w:w="800" w:type="dxa"/>
            <w:vAlign w:val="bottom"/>
            <w:tcBorders>
              <w:bottom w:val="single" w:sz="8" w:color="auto"/>
            </w:tcBorders>
            <w:shd w:val="clear" w:color="auto" w:fill="DCE2EF"/>
          </w:tcPr>
          <w:p>
            <w:pPr>
              <w:spacing w:after="0"/>
              <w:rPr>
                <w:sz w:val="23"/>
                <w:szCs w:val="23"/>
                <w:color w:val="auto"/>
              </w:rPr>
            </w:pPr>
          </w:p>
        </w:tc>
        <w:tc>
          <w:tcPr>
            <w:tcW w:w="120" w:type="dxa"/>
            <w:vAlign w:val="bottom"/>
            <w:tcBorders>
              <w:bottom w:val="single" w:sz="8" w:color="auto"/>
            </w:tcBorders>
            <w:shd w:val="clear" w:color="auto" w:fill="DCE2EF"/>
          </w:tcPr>
          <w:p>
            <w:pPr>
              <w:spacing w:after="0"/>
              <w:rPr>
                <w:sz w:val="23"/>
                <w:szCs w:val="23"/>
                <w:color w:val="auto"/>
              </w:rPr>
            </w:pPr>
          </w:p>
        </w:tc>
        <w:tc>
          <w:tcPr>
            <w:tcW w:w="220" w:type="dxa"/>
            <w:vAlign w:val="bottom"/>
            <w:tcBorders>
              <w:bottom w:val="single" w:sz="8" w:color="auto"/>
            </w:tcBorders>
            <w:shd w:val="clear" w:color="auto" w:fill="DCE2EF"/>
          </w:tcPr>
          <w:p>
            <w:pPr>
              <w:spacing w:after="0"/>
              <w:rPr>
                <w:sz w:val="23"/>
                <w:szCs w:val="23"/>
                <w:color w:val="auto"/>
              </w:rPr>
            </w:pPr>
          </w:p>
        </w:tc>
        <w:tc>
          <w:tcPr>
            <w:tcW w:w="800" w:type="dxa"/>
            <w:vAlign w:val="bottom"/>
            <w:tcBorders>
              <w:bottom w:val="single" w:sz="8" w:color="auto"/>
            </w:tcBorders>
            <w:shd w:val="clear" w:color="auto" w:fill="DCE2EF"/>
          </w:tcPr>
          <w:p>
            <w:pPr>
              <w:spacing w:after="0"/>
              <w:rPr>
                <w:sz w:val="23"/>
                <w:szCs w:val="23"/>
                <w:color w:val="auto"/>
              </w:rPr>
            </w:pPr>
          </w:p>
        </w:tc>
      </w:tr>
      <w:tr>
        <w:trPr>
          <w:trHeight w:val="227"/>
        </w:trPr>
        <w:tc>
          <w:tcPr>
            <w:tcW w:w="582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19"/>
                <w:szCs w:val="19"/>
                <w:color w:val="auto"/>
              </w:rPr>
            </w:pPr>
          </w:p>
        </w:tc>
        <w:tc>
          <w:tcPr>
            <w:tcW w:w="820" w:type="dxa"/>
            <w:vAlign w:val="bottom"/>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1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59"/>
              <w:spacing w:after="0"/>
              <w:rPr>
                <w:sz w:val="20"/>
                <w:szCs w:val="20"/>
                <w:color w:val="auto"/>
              </w:rPr>
            </w:pPr>
            <w:r>
              <w:rPr>
                <w:rFonts w:ascii="Arial" w:cs="Arial" w:eastAsia="Arial" w:hAnsi="Arial"/>
                <w:sz w:val="16"/>
                <w:szCs w:val="16"/>
                <w:b w:val="1"/>
                <w:bCs w:val="1"/>
                <w:color w:val="auto"/>
              </w:rPr>
              <w:t>2015</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508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64"/>
        </w:trPr>
        <w:tc>
          <w:tcPr>
            <w:tcW w:w="5820" w:type="dxa"/>
            <w:vAlign w:val="bottom"/>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Balance Sheet Data</w:t>
            </w:r>
          </w:p>
        </w:tc>
        <w:tc>
          <w:tcPr>
            <w:tcW w:w="240" w:type="dxa"/>
            <w:vAlign w:val="bottom"/>
            <w:shd w:val="clear" w:color="auto" w:fill="DCE2EF"/>
          </w:tcPr>
          <w:p>
            <w:pPr>
              <w:spacing w:after="0"/>
              <w:rPr>
                <w:sz w:val="22"/>
                <w:szCs w:val="22"/>
                <w:color w:val="auto"/>
              </w:rPr>
            </w:pPr>
          </w:p>
        </w:tc>
        <w:tc>
          <w:tcPr>
            <w:tcW w:w="82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220" w:type="dxa"/>
            <w:vAlign w:val="bottom"/>
            <w:shd w:val="clear" w:color="auto" w:fill="DCE2EF"/>
          </w:tcPr>
          <w:p>
            <w:pPr>
              <w:spacing w:after="0"/>
              <w:rPr>
                <w:sz w:val="22"/>
                <w:szCs w:val="22"/>
                <w:color w:val="auto"/>
              </w:rPr>
            </w:pPr>
          </w:p>
        </w:tc>
        <w:tc>
          <w:tcPr>
            <w:tcW w:w="80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04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220" w:type="dxa"/>
            <w:vAlign w:val="bottom"/>
            <w:shd w:val="clear" w:color="auto" w:fill="DCE2EF"/>
          </w:tcPr>
          <w:p>
            <w:pPr>
              <w:spacing w:after="0"/>
              <w:rPr>
                <w:sz w:val="22"/>
                <w:szCs w:val="22"/>
                <w:color w:val="auto"/>
              </w:rPr>
            </w:pPr>
          </w:p>
        </w:tc>
        <w:tc>
          <w:tcPr>
            <w:tcW w:w="80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220" w:type="dxa"/>
            <w:vAlign w:val="bottom"/>
            <w:shd w:val="clear" w:color="auto" w:fill="DCE2EF"/>
          </w:tcPr>
          <w:p>
            <w:pPr>
              <w:spacing w:after="0"/>
              <w:rPr>
                <w:sz w:val="22"/>
                <w:szCs w:val="22"/>
                <w:color w:val="auto"/>
              </w:rPr>
            </w:pPr>
          </w:p>
        </w:tc>
        <w:tc>
          <w:tcPr>
            <w:tcW w:w="800" w:type="dxa"/>
            <w:vAlign w:val="bottom"/>
            <w:shd w:val="clear" w:color="auto" w:fill="DCE2EF"/>
          </w:tcPr>
          <w:p>
            <w:pPr>
              <w:spacing w:after="0"/>
              <w:rPr>
                <w:sz w:val="22"/>
                <w:szCs w:val="22"/>
                <w:color w:val="auto"/>
              </w:rPr>
            </w:pPr>
          </w:p>
        </w:tc>
      </w:tr>
      <w:tr>
        <w:trPr>
          <w:trHeight w:val="262"/>
        </w:trPr>
        <w:tc>
          <w:tcPr>
            <w:tcW w:w="5820" w:type="dxa"/>
            <w:vAlign w:val="bottom"/>
            <w:gridSpan w:val="3"/>
          </w:tcPr>
          <w:p>
            <w:pPr>
              <w:ind w:left="40"/>
              <w:spacing w:after="0"/>
              <w:rPr>
                <w:sz w:val="20"/>
                <w:szCs w:val="20"/>
                <w:color w:val="auto"/>
              </w:rPr>
            </w:pPr>
            <w:r>
              <w:rPr>
                <w:rFonts w:ascii="Arial" w:cs="Arial" w:eastAsia="Arial" w:hAnsi="Arial"/>
                <w:sz w:val="16"/>
                <w:szCs w:val="16"/>
                <w:color w:val="auto"/>
              </w:rPr>
              <w:t>Total assets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3,692.6</w:t>
            </w:r>
          </w:p>
        </w:tc>
        <w:tc>
          <w:tcPr>
            <w:tcW w:w="120" w:type="dxa"/>
            <w:vAlign w:val="bottom"/>
          </w:tcPr>
          <w:p>
            <w:pPr>
              <w:spacing w:after="0"/>
              <w:rPr>
                <w:sz w:val="22"/>
                <w:szCs w:val="22"/>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3,627.5</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   3,812.6</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2,278.8</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2,130.7</w:t>
            </w:r>
          </w:p>
        </w:tc>
      </w:tr>
      <w:tr>
        <w:trPr>
          <w:trHeight w:val="278"/>
        </w:trPr>
        <w:tc>
          <w:tcPr>
            <w:tcW w:w="582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Trade accounts receivable, net of allowances</w:t>
            </w:r>
            <w:r>
              <w:rPr>
                <w:rFonts w:ascii="Arial" w:cs="Arial" w:eastAsia="Arial" w:hAnsi="Arial"/>
                <w:sz w:val="21"/>
                <w:szCs w:val="21"/>
                <w:color w:val="auto"/>
                <w:vertAlign w:val="superscript"/>
              </w:rPr>
              <w:t>(6)</w:t>
            </w:r>
          </w:p>
        </w:tc>
        <w:tc>
          <w:tcPr>
            <w:tcW w:w="240" w:type="dxa"/>
            <w:vAlign w:val="bottom"/>
            <w:shd w:val="clear" w:color="auto" w:fill="DCE2EF"/>
          </w:tcPr>
          <w:p>
            <w:pPr>
              <w:spacing w:after="0"/>
              <w:rPr>
                <w:sz w:val="24"/>
                <w:szCs w:val="24"/>
                <w:color w:val="auto"/>
              </w:rPr>
            </w:pPr>
          </w:p>
        </w:tc>
        <w:tc>
          <w:tcPr>
            <w:tcW w:w="8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1,013.2</w:t>
            </w:r>
          </w:p>
        </w:tc>
        <w:tc>
          <w:tcPr>
            <w:tcW w:w="12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80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1,014.1</w:t>
            </w:r>
          </w:p>
        </w:tc>
        <w:tc>
          <w:tcPr>
            <w:tcW w:w="1140" w:type="dxa"/>
            <w:vAlign w:val="bottom"/>
            <w:gridSpan w:val="2"/>
            <w:shd w:val="clear" w:color="auto" w:fill="DCE2EF"/>
          </w:tcPr>
          <w:p>
            <w:pPr>
              <w:jc w:val="right"/>
              <w:ind w:right="120"/>
              <w:spacing w:after="0"/>
              <w:rPr>
                <w:sz w:val="20"/>
                <w:szCs w:val="20"/>
                <w:color w:val="auto"/>
              </w:rPr>
            </w:pPr>
            <w:r>
              <w:rPr>
                <w:rFonts w:ascii="Arial" w:cs="Arial" w:eastAsia="Arial" w:hAnsi="Arial"/>
                <w:sz w:val="16"/>
                <w:szCs w:val="16"/>
                <w:color w:val="auto"/>
              </w:rPr>
              <w:t>1,038.1</w:t>
            </w:r>
          </w:p>
        </w:tc>
        <w:tc>
          <w:tcPr>
            <w:tcW w:w="10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80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803.7</w:t>
            </w:r>
          </w:p>
        </w:tc>
        <w:tc>
          <w:tcPr>
            <w:tcW w:w="12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80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742.9</w:t>
            </w:r>
          </w:p>
        </w:tc>
      </w:tr>
      <w:tr>
        <w:trPr>
          <w:trHeight w:val="270"/>
        </w:trPr>
        <w:tc>
          <w:tcPr>
            <w:tcW w:w="5820" w:type="dxa"/>
            <w:vAlign w:val="bottom"/>
            <w:gridSpan w:val="3"/>
          </w:tcPr>
          <w:p>
            <w:pPr>
              <w:ind w:left="40"/>
              <w:spacing w:after="0"/>
              <w:rPr>
                <w:sz w:val="20"/>
                <w:szCs w:val="20"/>
                <w:color w:val="auto"/>
              </w:rPr>
            </w:pPr>
            <w:r>
              <w:rPr>
                <w:rFonts w:ascii="Arial" w:cs="Arial" w:eastAsia="Arial" w:hAnsi="Arial"/>
                <w:sz w:val="16"/>
                <w:szCs w:val="16"/>
                <w:color w:val="auto"/>
              </w:rPr>
              <w:t>Goodwill</w:t>
            </w:r>
            <w:r>
              <w:rPr>
                <w:rFonts w:ascii="Arial" w:cs="Arial" w:eastAsia="Arial" w:hAnsi="Arial"/>
                <w:sz w:val="21"/>
                <w:szCs w:val="21"/>
                <w:color w:val="auto"/>
                <w:vertAlign w:val="superscript"/>
              </w:rPr>
              <w:t>(7)</w:t>
            </w:r>
          </w:p>
        </w:tc>
        <w:tc>
          <w:tcPr>
            <w:tcW w:w="24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1,835.4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1,834.8</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1,864.2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912.8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867.5</w:t>
            </w:r>
          </w:p>
        </w:tc>
      </w:tr>
      <w:tr>
        <w:trPr>
          <w:trHeight w:val="270"/>
        </w:trPr>
        <w:tc>
          <w:tcPr>
            <w:tcW w:w="582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Other intangible assets, net of accumulated amortization</w:t>
            </w:r>
            <w:r>
              <w:rPr>
                <w:rFonts w:ascii="Arial" w:cs="Arial" w:eastAsia="Arial" w:hAnsi="Arial"/>
                <w:sz w:val="21"/>
                <w:szCs w:val="21"/>
                <w:color w:val="auto"/>
                <w:vertAlign w:val="superscript"/>
              </w:rPr>
              <w:t>(8)</w:t>
            </w:r>
          </w:p>
        </w:tc>
        <w:tc>
          <w:tcPr>
            <w:tcW w:w="240" w:type="dxa"/>
            <w:vAlign w:val="bottom"/>
            <w:shd w:val="clear" w:color="auto" w:fill="DCE2EF"/>
          </w:tcPr>
          <w:p>
            <w:pPr>
              <w:spacing w:after="0"/>
              <w:rPr>
                <w:sz w:val="23"/>
                <w:szCs w:val="23"/>
                <w:color w:val="auto"/>
              </w:rPr>
            </w:pPr>
          </w:p>
        </w:tc>
        <w:tc>
          <w:tcPr>
            <w:tcW w:w="8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297.2</w:t>
            </w:r>
          </w:p>
        </w:tc>
        <w:tc>
          <w:tcPr>
            <w:tcW w:w="120" w:type="dxa"/>
            <w:vAlign w:val="bottom"/>
            <w:shd w:val="clear" w:color="auto" w:fill="DCE2EF"/>
          </w:tcPr>
          <w:p>
            <w:pPr>
              <w:spacing w:after="0"/>
              <w:rPr>
                <w:sz w:val="23"/>
                <w:szCs w:val="23"/>
                <w:color w:val="auto"/>
              </w:rPr>
            </w:pPr>
          </w:p>
        </w:tc>
        <w:tc>
          <w:tcPr>
            <w:tcW w:w="220" w:type="dxa"/>
            <w:vAlign w:val="bottom"/>
            <w:shd w:val="clear" w:color="auto" w:fill="DCE2EF"/>
          </w:tcPr>
          <w:p>
            <w:pPr>
              <w:spacing w:after="0"/>
              <w:rPr>
                <w:sz w:val="23"/>
                <w:szCs w:val="23"/>
                <w:color w:val="auto"/>
              </w:rPr>
            </w:pPr>
          </w:p>
        </w:tc>
        <w:tc>
          <w:tcPr>
            <w:tcW w:w="80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355.7</w:t>
            </w:r>
          </w:p>
        </w:tc>
        <w:tc>
          <w:tcPr>
            <w:tcW w:w="1140" w:type="dxa"/>
            <w:vAlign w:val="bottom"/>
            <w:gridSpan w:val="2"/>
            <w:shd w:val="clear" w:color="auto" w:fill="DCE2EF"/>
          </w:tcPr>
          <w:p>
            <w:pPr>
              <w:jc w:val="right"/>
              <w:ind w:right="120"/>
              <w:spacing w:after="0"/>
              <w:rPr>
                <w:sz w:val="20"/>
                <w:szCs w:val="20"/>
                <w:color w:val="auto"/>
              </w:rPr>
            </w:pPr>
            <w:r>
              <w:rPr>
                <w:rFonts w:ascii="Arial" w:cs="Arial" w:eastAsia="Arial" w:hAnsi="Arial"/>
                <w:sz w:val="16"/>
                <w:szCs w:val="16"/>
                <w:color w:val="auto"/>
              </w:rPr>
              <w:t>430.1</w:t>
            </w:r>
          </w:p>
        </w:tc>
        <w:tc>
          <w:tcPr>
            <w:tcW w:w="100" w:type="dxa"/>
            <w:vAlign w:val="bottom"/>
            <w:shd w:val="clear" w:color="auto" w:fill="DCE2EF"/>
          </w:tcPr>
          <w:p>
            <w:pPr>
              <w:spacing w:after="0"/>
              <w:rPr>
                <w:sz w:val="23"/>
                <w:szCs w:val="23"/>
                <w:color w:val="auto"/>
              </w:rPr>
            </w:pPr>
          </w:p>
        </w:tc>
        <w:tc>
          <w:tcPr>
            <w:tcW w:w="220" w:type="dxa"/>
            <w:vAlign w:val="bottom"/>
            <w:shd w:val="clear" w:color="auto" w:fill="DCE2EF"/>
          </w:tcPr>
          <w:p>
            <w:pPr>
              <w:spacing w:after="0"/>
              <w:rPr>
                <w:sz w:val="23"/>
                <w:szCs w:val="23"/>
                <w:color w:val="auto"/>
              </w:rPr>
            </w:pPr>
          </w:p>
        </w:tc>
        <w:tc>
          <w:tcPr>
            <w:tcW w:w="80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103.8</w:t>
            </w:r>
          </w:p>
        </w:tc>
        <w:tc>
          <w:tcPr>
            <w:tcW w:w="120" w:type="dxa"/>
            <w:vAlign w:val="bottom"/>
            <w:shd w:val="clear" w:color="auto" w:fill="DCE2EF"/>
          </w:tcPr>
          <w:p>
            <w:pPr>
              <w:spacing w:after="0"/>
              <w:rPr>
                <w:sz w:val="23"/>
                <w:szCs w:val="23"/>
                <w:color w:val="auto"/>
              </w:rPr>
            </w:pPr>
          </w:p>
        </w:tc>
        <w:tc>
          <w:tcPr>
            <w:tcW w:w="220" w:type="dxa"/>
            <w:vAlign w:val="bottom"/>
            <w:shd w:val="clear" w:color="auto" w:fill="DCE2EF"/>
          </w:tcPr>
          <w:p>
            <w:pPr>
              <w:spacing w:after="0"/>
              <w:rPr>
                <w:sz w:val="23"/>
                <w:szCs w:val="23"/>
                <w:color w:val="auto"/>
              </w:rPr>
            </w:pPr>
          </w:p>
        </w:tc>
        <w:tc>
          <w:tcPr>
            <w:tcW w:w="80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111.4</w:t>
            </w:r>
          </w:p>
        </w:tc>
      </w:tr>
      <w:tr>
        <w:trPr>
          <w:trHeight w:val="270"/>
        </w:trPr>
        <w:tc>
          <w:tcPr>
            <w:tcW w:w="5820" w:type="dxa"/>
            <w:vAlign w:val="bottom"/>
            <w:gridSpan w:val="3"/>
          </w:tcPr>
          <w:p>
            <w:pPr>
              <w:ind w:left="40"/>
              <w:spacing w:after="0"/>
              <w:rPr>
                <w:sz w:val="20"/>
                <w:szCs w:val="20"/>
                <w:color w:val="auto"/>
              </w:rPr>
            </w:pPr>
            <w:r>
              <w:rPr>
                <w:rFonts w:ascii="Arial" w:cs="Arial" w:eastAsia="Arial" w:hAnsi="Arial"/>
                <w:sz w:val="16"/>
                <w:szCs w:val="16"/>
                <w:color w:val="auto"/>
              </w:rPr>
              <w:t>Long-term debt, net</w:t>
            </w:r>
            <w:r>
              <w:rPr>
                <w:rFonts w:ascii="Arial" w:cs="Arial" w:eastAsia="Arial" w:hAnsi="Arial"/>
                <w:sz w:val="21"/>
                <w:szCs w:val="21"/>
                <w:color w:val="auto"/>
                <w:vertAlign w:val="superscript"/>
              </w:rPr>
              <w:t>(9)</w:t>
            </w:r>
          </w:p>
        </w:tc>
        <w:tc>
          <w:tcPr>
            <w:tcW w:w="24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744.2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902.0</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1,161.3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268.3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158.0</w:t>
            </w:r>
          </w:p>
        </w:tc>
      </w:tr>
      <w:tr>
        <w:trPr>
          <w:trHeight w:val="270"/>
        </w:trPr>
        <w:tc>
          <w:tcPr>
            <w:tcW w:w="582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Insurance claims</w:t>
            </w:r>
          </w:p>
        </w:tc>
        <w:tc>
          <w:tcPr>
            <w:tcW w:w="240" w:type="dxa"/>
            <w:vAlign w:val="bottom"/>
            <w:shd w:val="clear" w:color="auto" w:fill="DCE2EF"/>
          </w:tcPr>
          <w:p>
            <w:pPr>
              <w:spacing w:after="0"/>
              <w:rPr>
                <w:sz w:val="23"/>
                <w:szCs w:val="23"/>
                <w:color w:val="auto"/>
              </w:rPr>
            </w:pPr>
          </w:p>
        </w:tc>
        <w:tc>
          <w:tcPr>
            <w:tcW w:w="8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515.0</w:t>
            </w:r>
          </w:p>
        </w:tc>
        <w:tc>
          <w:tcPr>
            <w:tcW w:w="120" w:type="dxa"/>
            <w:vAlign w:val="bottom"/>
            <w:shd w:val="clear" w:color="auto" w:fill="DCE2EF"/>
          </w:tcPr>
          <w:p>
            <w:pPr>
              <w:spacing w:after="0"/>
              <w:rPr>
                <w:sz w:val="23"/>
                <w:szCs w:val="23"/>
                <w:color w:val="auto"/>
              </w:rPr>
            </w:pPr>
          </w:p>
        </w:tc>
        <w:tc>
          <w:tcPr>
            <w:tcW w:w="220" w:type="dxa"/>
            <w:vAlign w:val="bottom"/>
            <w:shd w:val="clear" w:color="auto" w:fill="DCE2EF"/>
          </w:tcPr>
          <w:p>
            <w:pPr>
              <w:spacing w:after="0"/>
              <w:rPr>
                <w:sz w:val="23"/>
                <w:szCs w:val="23"/>
                <w:color w:val="auto"/>
              </w:rPr>
            </w:pPr>
          </w:p>
        </w:tc>
        <w:tc>
          <w:tcPr>
            <w:tcW w:w="80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510.3</w:t>
            </w:r>
          </w:p>
        </w:tc>
        <w:tc>
          <w:tcPr>
            <w:tcW w:w="1140" w:type="dxa"/>
            <w:vAlign w:val="bottom"/>
            <w:gridSpan w:val="2"/>
            <w:shd w:val="clear" w:color="auto" w:fill="DCE2EF"/>
          </w:tcPr>
          <w:p>
            <w:pPr>
              <w:jc w:val="right"/>
              <w:ind w:right="120"/>
              <w:spacing w:after="0"/>
              <w:rPr>
                <w:sz w:val="20"/>
                <w:szCs w:val="20"/>
                <w:color w:val="auto"/>
              </w:rPr>
            </w:pPr>
            <w:r>
              <w:rPr>
                <w:rFonts w:ascii="Arial" w:cs="Arial" w:eastAsia="Arial" w:hAnsi="Arial"/>
                <w:sz w:val="16"/>
                <w:szCs w:val="16"/>
                <w:color w:val="auto"/>
              </w:rPr>
              <w:t>495.4</w:t>
            </w:r>
          </w:p>
        </w:tc>
        <w:tc>
          <w:tcPr>
            <w:tcW w:w="100" w:type="dxa"/>
            <w:vAlign w:val="bottom"/>
            <w:shd w:val="clear" w:color="auto" w:fill="DCE2EF"/>
          </w:tcPr>
          <w:p>
            <w:pPr>
              <w:spacing w:after="0"/>
              <w:rPr>
                <w:sz w:val="23"/>
                <w:szCs w:val="23"/>
                <w:color w:val="auto"/>
              </w:rPr>
            </w:pPr>
          </w:p>
        </w:tc>
        <w:tc>
          <w:tcPr>
            <w:tcW w:w="220" w:type="dxa"/>
            <w:vAlign w:val="bottom"/>
            <w:shd w:val="clear" w:color="auto" w:fill="DCE2EF"/>
          </w:tcPr>
          <w:p>
            <w:pPr>
              <w:spacing w:after="0"/>
              <w:rPr>
                <w:sz w:val="23"/>
                <w:szCs w:val="23"/>
                <w:color w:val="auto"/>
              </w:rPr>
            </w:pPr>
          </w:p>
        </w:tc>
        <w:tc>
          <w:tcPr>
            <w:tcW w:w="80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423.8</w:t>
            </w:r>
          </w:p>
        </w:tc>
        <w:tc>
          <w:tcPr>
            <w:tcW w:w="120" w:type="dxa"/>
            <w:vAlign w:val="bottom"/>
            <w:shd w:val="clear" w:color="auto" w:fill="DCE2EF"/>
          </w:tcPr>
          <w:p>
            <w:pPr>
              <w:spacing w:after="0"/>
              <w:rPr>
                <w:sz w:val="23"/>
                <w:szCs w:val="23"/>
                <w:color w:val="auto"/>
              </w:rPr>
            </w:pPr>
          </w:p>
        </w:tc>
        <w:tc>
          <w:tcPr>
            <w:tcW w:w="220" w:type="dxa"/>
            <w:vAlign w:val="bottom"/>
            <w:shd w:val="clear" w:color="auto" w:fill="DCE2EF"/>
          </w:tcPr>
          <w:p>
            <w:pPr>
              <w:spacing w:after="0"/>
              <w:rPr>
                <w:sz w:val="23"/>
                <w:szCs w:val="23"/>
                <w:color w:val="auto"/>
              </w:rPr>
            </w:pPr>
          </w:p>
        </w:tc>
        <w:tc>
          <w:tcPr>
            <w:tcW w:w="80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387.4</w:t>
            </w:r>
          </w:p>
        </w:tc>
      </w:tr>
    </w:tbl>
    <w:p>
      <w:pPr>
        <w:spacing w:after="0" w:line="144" w:lineRule="exact"/>
        <w:rPr>
          <w:sz w:val="20"/>
          <w:szCs w:val="20"/>
          <w:color w:val="auto"/>
        </w:rPr>
      </w:pPr>
    </w:p>
    <w:p>
      <w:pPr>
        <w:jc w:val="both"/>
        <w:ind w:left="60" w:firstLine="2"/>
        <w:spacing w:after="0" w:line="236" w:lineRule="auto"/>
        <w:tabs>
          <w:tab w:leader="none" w:pos="248" w:val="left"/>
        </w:tabs>
        <w:numPr>
          <w:ilvl w:val="0"/>
          <w:numId w:val="5"/>
        </w:numPr>
        <w:rPr>
          <w:rFonts w:ascii="Arial" w:cs="Arial" w:eastAsia="Arial" w:hAnsi="Arial"/>
          <w:sz w:val="22"/>
          <w:szCs w:val="22"/>
          <w:color w:val="auto"/>
          <w:vertAlign w:val="superscript"/>
        </w:rPr>
      </w:pPr>
      <w:r>
        <w:rPr>
          <w:rFonts w:ascii="Arial" w:cs="Arial" w:eastAsia="Arial" w:hAnsi="Arial"/>
          <w:sz w:val="16"/>
          <w:szCs w:val="16"/>
          <w:color w:val="auto"/>
        </w:rPr>
        <w:t xml:space="preserve">Revenues in 2019 reflect the adoption of Accounting Standards Update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and ASU 2017-10, </w:t>
      </w:r>
      <w:r>
        <w:rPr>
          <w:rFonts w:ascii="Arial" w:cs="Arial" w:eastAsia="Arial" w:hAnsi="Arial"/>
          <w:sz w:val="16"/>
          <w:szCs w:val="16"/>
          <w:i w:val="1"/>
          <w:iCs w:val="1"/>
          <w:color w:val="auto"/>
        </w:rPr>
        <w:t>Service Concession Arrangements (Topic 853): Determining the Customer of the Operation Services</w:t>
      </w:r>
      <w:r>
        <w:rPr>
          <w:rFonts w:ascii="Arial" w:cs="Arial" w:eastAsia="Arial" w:hAnsi="Arial"/>
          <w:sz w:val="16"/>
          <w:szCs w:val="16"/>
          <w:color w:val="auto"/>
        </w:rPr>
        <w:t>. Following the adoption of Topic 853, $48.6 million of rent expense related to service concession arrangements is now presented as a reduction of revenues, but was previously presented as an operating expense. Refer to Note 2, “Basis of Presentation and Significant Accounting Policies,” and Note 3, “Revenues,” in the Financial Statements for additional information regarding the impact of adopting these ASUs.</w:t>
      </w:r>
    </w:p>
    <w:p>
      <w:pPr>
        <w:spacing w:after="0" w:line="135" w:lineRule="exact"/>
        <w:rPr>
          <w:rFonts w:ascii="Arial" w:cs="Arial" w:eastAsia="Arial" w:hAnsi="Arial"/>
          <w:sz w:val="22"/>
          <w:szCs w:val="22"/>
          <w:color w:val="auto"/>
          <w:vertAlign w:val="superscript"/>
        </w:rPr>
      </w:pPr>
    </w:p>
    <w:p>
      <w:pPr>
        <w:ind w:left="60" w:firstLine="2"/>
        <w:spacing w:after="0" w:line="223" w:lineRule="auto"/>
        <w:tabs>
          <w:tab w:leader="none" w:pos="256" w:val="left"/>
        </w:tabs>
        <w:numPr>
          <w:ilvl w:val="0"/>
          <w:numId w:val="5"/>
        </w:numPr>
        <w:rPr>
          <w:rFonts w:ascii="Arial" w:cs="Arial" w:eastAsia="Arial" w:hAnsi="Arial"/>
          <w:sz w:val="22"/>
          <w:szCs w:val="22"/>
          <w:color w:val="auto"/>
          <w:vertAlign w:val="superscript"/>
        </w:rPr>
      </w:pPr>
      <w:r>
        <w:rPr>
          <w:rFonts w:ascii="Arial" w:cs="Arial" w:eastAsia="Arial" w:hAnsi="Arial"/>
          <w:sz w:val="16"/>
          <w:szCs w:val="16"/>
          <w:color w:val="auto"/>
        </w:rPr>
        <w:t>Revenues in 2018 included $858.1 million of incremental revenue from acquisitions, primarily $855.7 million related to the acquisition of GCA Services Group (“GCA”). Revenues in 2017 included $208.1 million of incremental revenue from acquisitions, including $169.7 million related to GCA.</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93" w:right="239" w:bottom="1440" w:gutter="0" w:footer="0" w:header="0"/>
        </w:sectPr>
      </w:pPr>
    </w:p>
    <w:bookmarkStart w:id="21" w:name="page22"/>
    <w:bookmarkEnd w:id="21"/>
    <w:p>
      <w:pPr>
        <w:ind w:left="160" w:hanging="158"/>
        <w:spacing w:after="0"/>
        <w:tabs>
          <w:tab w:leader="none" w:pos="160"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Factors affecting comparability of operating profit consisted of the following:</w:t>
      </w:r>
    </w:p>
    <w:p>
      <w:pPr>
        <w:spacing w:after="0" w:line="132" w:lineRule="exact"/>
        <w:rPr>
          <w:rFonts w:ascii="Arial" w:cs="Arial" w:eastAsia="Arial" w:hAnsi="Arial"/>
          <w:sz w:val="19"/>
          <w:szCs w:val="19"/>
          <w:color w:val="auto"/>
          <w:vertAlign w:val="superscript"/>
        </w:rPr>
      </w:pPr>
    </w:p>
    <w:p>
      <w:pPr>
        <w:jc w:val="both"/>
        <w:ind w:left="600" w:hanging="328"/>
        <w:spacing w:after="0" w:line="269" w:lineRule="auto"/>
        <w:tabs>
          <w:tab w:leader="none" w:pos="600" w:val="left"/>
        </w:tabs>
        <w:numPr>
          <w:ilvl w:val="1"/>
          <w:numId w:val="6"/>
        </w:numPr>
        <w:rPr>
          <w:rFonts w:ascii="Arial" w:cs="Arial" w:eastAsia="Arial" w:hAnsi="Arial"/>
          <w:sz w:val="16"/>
          <w:szCs w:val="16"/>
          <w:color w:val="auto"/>
        </w:rPr>
      </w:pPr>
      <w:r>
        <w:rPr>
          <w:rFonts w:ascii="Arial" w:cs="Arial" w:eastAsia="Arial" w:hAnsi="Arial"/>
          <w:sz w:val="16"/>
          <w:szCs w:val="16"/>
          <w:color w:val="auto"/>
        </w:rPr>
        <w:t>Operating profit in 2019 was positively impacted by higher gross margin, $14.5 million lower restructuring and related expenses, and a $13.6 million lower self-insurance adjustment related to prior year claims. Additionally, 2019 benefited from the absence of $26.5 million of impairment charges recognized during 2018.</w:t>
      </w:r>
    </w:p>
    <w:p>
      <w:pPr>
        <w:spacing w:after="0" w:line="110" w:lineRule="exact"/>
        <w:rPr>
          <w:rFonts w:ascii="Arial" w:cs="Arial" w:eastAsia="Arial" w:hAnsi="Arial"/>
          <w:sz w:val="16"/>
          <w:szCs w:val="16"/>
          <w:color w:val="auto"/>
        </w:rPr>
      </w:pPr>
    </w:p>
    <w:p>
      <w:pPr>
        <w:jc w:val="both"/>
        <w:ind w:left="600" w:hanging="328"/>
        <w:spacing w:after="0" w:line="261" w:lineRule="auto"/>
        <w:tabs>
          <w:tab w:leader="none" w:pos="600" w:val="left"/>
        </w:tabs>
        <w:numPr>
          <w:ilvl w:val="1"/>
          <w:numId w:val="6"/>
        </w:numPr>
        <w:rPr>
          <w:rFonts w:ascii="Arial" w:cs="Arial" w:eastAsia="Arial" w:hAnsi="Arial"/>
          <w:sz w:val="16"/>
          <w:szCs w:val="16"/>
          <w:color w:val="auto"/>
        </w:rPr>
      </w:pPr>
      <w:r>
        <w:rPr>
          <w:rFonts w:ascii="Arial" w:cs="Arial" w:eastAsia="Arial" w:hAnsi="Arial"/>
          <w:sz w:val="16"/>
          <w:szCs w:val="16"/>
          <w:color w:val="auto"/>
        </w:rPr>
        <w:t>Operating profit in 2018 was positively impacted by $67.6 million of incremental operating profit resulting from the GCA acquisition and an $11.8 million lower self-insurance adjustment, partially offset by $34.4 million of higher amortization expense and impairment charges of $26.5 million. Additionally, 2018 benefited from the absence of $24.2 million of transaction expenses incurred in 2017 related to the GCA acquisition, but this benefit was partially offset by the absence of a $17.4 million impairment recovery recorded in 2017 related to our Government Services business.</w:t>
      </w:r>
    </w:p>
    <w:p>
      <w:pPr>
        <w:spacing w:after="0" w:line="118" w:lineRule="exact"/>
        <w:rPr>
          <w:rFonts w:ascii="Arial" w:cs="Arial" w:eastAsia="Arial" w:hAnsi="Arial"/>
          <w:sz w:val="16"/>
          <w:szCs w:val="16"/>
          <w:color w:val="auto"/>
        </w:rPr>
      </w:pPr>
    </w:p>
    <w:p>
      <w:pPr>
        <w:jc w:val="both"/>
        <w:ind w:left="600" w:hanging="328"/>
        <w:spacing w:after="0" w:line="269" w:lineRule="auto"/>
        <w:tabs>
          <w:tab w:leader="none" w:pos="600" w:val="left"/>
        </w:tabs>
        <w:numPr>
          <w:ilvl w:val="1"/>
          <w:numId w:val="6"/>
        </w:numPr>
        <w:rPr>
          <w:rFonts w:ascii="Arial" w:cs="Arial" w:eastAsia="Arial" w:hAnsi="Arial"/>
          <w:sz w:val="16"/>
          <w:szCs w:val="16"/>
          <w:color w:val="auto"/>
        </w:rPr>
      </w:pPr>
      <w:r>
        <w:rPr>
          <w:rFonts w:ascii="Arial" w:cs="Arial" w:eastAsia="Arial" w:hAnsi="Arial"/>
          <w:sz w:val="16"/>
          <w:szCs w:val="16"/>
          <w:color w:val="auto"/>
        </w:rPr>
        <w:t xml:space="preserve">Operating profit in 2017 benefited from a $17.4 million impairment recovery, a $10.9 million lower self-insurance adjustment, a reduction in restructuring and related expenses, and procurement and organizational savings from our </w:t>
      </w:r>
      <w:r>
        <w:rPr>
          <w:rFonts w:ascii="Arial" w:cs="Arial" w:eastAsia="Arial" w:hAnsi="Arial"/>
          <w:sz w:val="16"/>
          <w:szCs w:val="16"/>
          <w:b w:val="1"/>
          <w:bCs w:val="1"/>
          <w:color w:val="FF9900"/>
        </w:rPr>
        <w:t>2020</w:t>
      </w:r>
      <w:r>
        <w:rPr>
          <w:rFonts w:ascii="Arial" w:cs="Arial" w:eastAsia="Arial" w:hAnsi="Arial"/>
          <w:sz w:val="16"/>
          <w:szCs w:val="16"/>
          <w:color w:val="auto"/>
        </w:rPr>
        <w:t xml:space="preserve"> </w:t>
      </w:r>
      <w:r>
        <w:rPr>
          <w:rFonts w:ascii="Arial" w:cs="Arial" w:eastAsia="Arial" w:hAnsi="Arial"/>
          <w:sz w:val="16"/>
          <w:szCs w:val="16"/>
          <w:b w:val="1"/>
          <w:bCs w:val="1"/>
          <w:color w:val="0070C0"/>
        </w:rPr>
        <w:t>Vision</w:t>
      </w:r>
      <w:r>
        <w:rPr>
          <w:rFonts w:ascii="Arial" w:cs="Arial" w:eastAsia="Arial" w:hAnsi="Arial"/>
          <w:sz w:val="16"/>
          <w:szCs w:val="16"/>
          <w:color w:val="auto"/>
        </w:rPr>
        <w:t xml:space="preserve"> initiatives, all partially offset by $24.2 million of transaction expenses related to the GCA acquisition.</w:t>
      </w:r>
    </w:p>
    <w:p>
      <w:pPr>
        <w:spacing w:after="0" w:line="110" w:lineRule="exact"/>
        <w:rPr>
          <w:rFonts w:ascii="Arial" w:cs="Arial" w:eastAsia="Arial" w:hAnsi="Arial"/>
          <w:sz w:val="16"/>
          <w:szCs w:val="16"/>
          <w:color w:val="auto"/>
        </w:rPr>
      </w:pPr>
    </w:p>
    <w:p>
      <w:pPr>
        <w:jc w:val="both"/>
        <w:ind w:left="600" w:hanging="328"/>
        <w:spacing w:after="0" w:line="260" w:lineRule="auto"/>
        <w:tabs>
          <w:tab w:leader="none" w:pos="600" w:val="left"/>
        </w:tabs>
        <w:numPr>
          <w:ilvl w:val="1"/>
          <w:numId w:val="6"/>
        </w:numPr>
        <w:rPr>
          <w:rFonts w:ascii="Arial" w:cs="Arial" w:eastAsia="Arial" w:hAnsi="Arial"/>
          <w:sz w:val="16"/>
          <w:szCs w:val="16"/>
          <w:color w:val="auto"/>
        </w:rPr>
      </w:pPr>
      <w:r>
        <w:rPr>
          <w:rFonts w:ascii="Arial" w:cs="Arial" w:eastAsia="Arial" w:hAnsi="Arial"/>
          <w:sz w:val="16"/>
          <w:szCs w:val="16"/>
          <w:color w:val="auto"/>
        </w:rPr>
        <w:t xml:space="preserve">Operating profit in 2016 was negatively impacted by insurance expense of $49.6 million, consisting of a $32.9 million unfavorable self-insurance adjustment related to prior year claims and $16.7 million of higher insurance expense due to an increase in the rate used to record our insurance reserves during 2016. Operating profit was also unfavorably impacted by $29.0 million of </w:t>
      </w:r>
      <w:r>
        <w:rPr>
          <w:rFonts w:ascii="Arial" w:cs="Arial" w:eastAsia="Arial" w:hAnsi="Arial"/>
          <w:sz w:val="16"/>
          <w:szCs w:val="16"/>
          <w:b w:val="1"/>
          <w:bCs w:val="1"/>
          <w:color w:val="FF9900"/>
        </w:rPr>
        <w:t>2020</w:t>
      </w:r>
      <w:r>
        <w:rPr>
          <w:rFonts w:ascii="Arial" w:cs="Arial" w:eastAsia="Arial" w:hAnsi="Arial"/>
          <w:sz w:val="16"/>
          <w:szCs w:val="16"/>
          <w:color w:val="auto"/>
        </w:rPr>
        <w:t xml:space="preserve"> </w:t>
      </w:r>
      <w:r>
        <w:rPr>
          <w:rFonts w:ascii="Arial" w:cs="Arial" w:eastAsia="Arial" w:hAnsi="Arial"/>
          <w:sz w:val="16"/>
          <w:szCs w:val="16"/>
          <w:b w:val="1"/>
          <w:bCs w:val="1"/>
          <w:color w:val="0070C0"/>
        </w:rPr>
        <w:t>Vision</w:t>
      </w:r>
      <w:r>
        <w:rPr>
          <w:rFonts w:ascii="Arial" w:cs="Arial" w:eastAsia="Arial" w:hAnsi="Arial"/>
          <w:sz w:val="16"/>
          <w:szCs w:val="16"/>
          <w:color w:val="auto"/>
        </w:rPr>
        <w:t xml:space="preserve"> restructuring and related charges and a $22.5 million impairment charge for our Government Services business, consisting of both goodwill and long-lived asset charges. Operating profit in 2016 was favorably impacted by approximately $22 million in savings from our </w:t>
      </w:r>
      <w:r>
        <w:rPr>
          <w:rFonts w:ascii="Arial" w:cs="Arial" w:eastAsia="Arial" w:hAnsi="Arial"/>
          <w:sz w:val="16"/>
          <w:szCs w:val="16"/>
          <w:b w:val="1"/>
          <w:bCs w:val="1"/>
          <w:color w:val="FF9900"/>
        </w:rPr>
        <w:t>2020</w:t>
      </w:r>
      <w:r>
        <w:rPr>
          <w:rFonts w:ascii="Arial" w:cs="Arial" w:eastAsia="Arial" w:hAnsi="Arial"/>
          <w:sz w:val="16"/>
          <w:szCs w:val="16"/>
          <w:color w:val="auto"/>
        </w:rPr>
        <w:t xml:space="preserve"> </w:t>
      </w:r>
      <w:r>
        <w:rPr>
          <w:rFonts w:ascii="Arial" w:cs="Arial" w:eastAsia="Arial" w:hAnsi="Arial"/>
          <w:sz w:val="16"/>
          <w:szCs w:val="16"/>
          <w:b w:val="1"/>
          <w:bCs w:val="1"/>
          <w:color w:val="0070C0"/>
        </w:rPr>
        <w:t>Vision</w:t>
      </w:r>
      <w:r>
        <w:rPr>
          <w:rFonts w:ascii="Arial" w:cs="Arial" w:eastAsia="Arial" w:hAnsi="Arial"/>
          <w:sz w:val="16"/>
          <w:szCs w:val="16"/>
          <w:color w:val="auto"/>
        </w:rPr>
        <w:t xml:space="preserve"> initiatives.</w:t>
      </w:r>
    </w:p>
    <w:p>
      <w:pPr>
        <w:spacing w:after="0" w:line="110" w:lineRule="exact"/>
        <w:rPr>
          <w:rFonts w:ascii="Arial" w:cs="Arial" w:eastAsia="Arial" w:hAnsi="Arial"/>
          <w:sz w:val="16"/>
          <w:szCs w:val="16"/>
          <w:color w:val="auto"/>
        </w:rPr>
      </w:pPr>
    </w:p>
    <w:p>
      <w:pPr>
        <w:ind w:left="600" w:hanging="328"/>
        <w:spacing w:after="0"/>
        <w:tabs>
          <w:tab w:leader="none" w:pos="600" w:val="left"/>
        </w:tabs>
        <w:numPr>
          <w:ilvl w:val="1"/>
          <w:numId w:val="6"/>
        </w:numPr>
        <w:rPr>
          <w:rFonts w:ascii="Arial" w:cs="Arial" w:eastAsia="Arial" w:hAnsi="Arial"/>
          <w:sz w:val="16"/>
          <w:szCs w:val="16"/>
          <w:color w:val="auto"/>
        </w:rPr>
      </w:pPr>
      <w:r>
        <w:rPr>
          <w:rFonts w:ascii="Arial" w:cs="Arial" w:eastAsia="Arial" w:hAnsi="Arial"/>
          <w:sz w:val="16"/>
          <w:szCs w:val="16"/>
          <w:color w:val="auto"/>
        </w:rPr>
        <w:t>Operating profit in 2015 was negatively impacted by a $35.9 million unfavorable self-insurance adjustment related to prior year claims.</w:t>
      </w:r>
    </w:p>
    <w:p>
      <w:pPr>
        <w:spacing w:after="0" w:line="167" w:lineRule="exact"/>
        <w:rPr>
          <w:rFonts w:ascii="Arial" w:cs="Arial" w:eastAsia="Arial" w:hAnsi="Arial"/>
          <w:sz w:val="16"/>
          <w:szCs w:val="16"/>
          <w:color w:val="auto"/>
        </w:rPr>
      </w:pPr>
    </w:p>
    <w:p>
      <w:pPr>
        <w:jc w:val="both"/>
        <w:ind w:firstLine="2"/>
        <w:spacing w:after="0" w:line="376" w:lineRule="auto"/>
        <w:tabs>
          <w:tab w:leader="none" w:pos="162"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We had income from discontinued operations in 2018 of $1.8 million due to an insurance reimbursement on a legal settlement and collection of previously written off receivables, partially offset by union audit settlements. The loss from discontinued operations in 2017 included legal settlements associated with our former Security business of $120.0 million. Income from discontinued operations for 2015 reflected the $14.4 million after-tax gain on the sale of the Security business.</w:t>
      </w:r>
    </w:p>
    <w:p>
      <w:pPr>
        <w:spacing w:after="0" w:line="35" w:lineRule="exact"/>
        <w:rPr>
          <w:rFonts w:ascii="Arial" w:cs="Arial" w:eastAsia="Arial" w:hAnsi="Arial"/>
          <w:sz w:val="19"/>
          <w:szCs w:val="19"/>
          <w:color w:val="auto"/>
          <w:vertAlign w:val="superscript"/>
        </w:rPr>
      </w:pPr>
    </w:p>
    <w:p>
      <w:pPr>
        <w:jc w:val="both"/>
        <w:ind w:firstLine="2"/>
        <w:spacing w:after="0" w:line="246" w:lineRule="auto"/>
        <w:tabs>
          <w:tab w:leader="none" w:pos="176"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Net income tax payments during 2018 were impacted by a $19.4 million refund received for prior year legal settlements. Additionally, we had cash tax savings of approximately $6 million for 2019, $7 million for 2018, and $10 million for each of 2017 and 2016 related to coverage provided by IFM Assurance Company, our wholly-owned captive insurance company.</w:t>
      </w:r>
    </w:p>
    <w:p>
      <w:pPr>
        <w:spacing w:after="0" w:line="128" w:lineRule="exact"/>
        <w:rPr>
          <w:rFonts w:ascii="Arial" w:cs="Arial" w:eastAsia="Arial" w:hAnsi="Arial"/>
          <w:sz w:val="21"/>
          <w:szCs w:val="21"/>
          <w:color w:val="auto"/>
          <w:vertAlign w:val="superscript"/>
        </w:rPr>
      </w:pPr>
    </w:p>
    <w:p>
      <w:pPr>
        <w:ind w:left="160" w:hanging="158"/>
        <w:spacing w:after="0"/>
        <w:tabs>
          <w:tab w:leader="none" w:pos="160"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Trade accounts receivable, net of allowances, increased by $118.1 million on September 1, 2017 as a result of the GCA acquisition.</w:t>
      </w:r>
    </w:p>
    <w:p>
      <w:pPr>
        <w:spacing w:after="0" w:line="132" w:lineRule="exact"/>
        <w:rPr>
          <w:rFonts w:ascii="Arial" w:cs="Arial" w:eastAsia="Arial" w:hAnsi="Arial"/>
          <w:sz w:val="19"/>
          <w:szCs w:val="19"/>
          <w:color w:val="auto"/>
          <w:vertAlign w:val="superscript"/>
        </w:rPr>
      </w:pPr>
    </w:p>
    <w:p>
      <w:pPr>
        <w:jc w:val="both"/>
        <w:ind w:firstLine="2"/>
        <w:spacing w:after="0" w:line="230" w:lineRule="auto"/>
        <w:tabs>
          <w:tab w:leader="none" w:pos="194"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Goodwill decreased in 2018 due to an impairment charge of $20.3 million related to Westway Services Holdings (2014) Ltd. (“Westway”) and to a $7.0 million adjustment to the final GCA purchase price allocation. Goodwill increased by $933.9 million on September 1, 2017 as a result of the GCA acquisition and by $53.8 million on December 1, 2015 due to the Westway acquisition.</w:t>
      </w:r>
    </w:p>
    <w:p>
      <w:pPr>
        <w:spacing w:after="0" w:line="134" w:lineRule="exact"/>
        <w:rPr>
          <w:rFonts w:ascii="Arial" w:cs="Arial" w:eastAsia="Arial" w:hAnsi="Arial"/>
          <w:sz w:val="22"/>
          <w:szCs w:val="22"/>
          <w:color w:val="auto"/>
          <w:vertAlign w:val="superscript"/>
        </w:rPr>
      </w:pPr>
    </w:p>
    <w:p>
      <w:pPr>
        <w:jc w:val="both"/>
        <w:ind w:firstLine="2"/>
        <w:spacing w:after="0"/>
        <w:tabs>
          <w:tab w:leader="none" w:pos="194"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In 2018, other intangible assets, net of accumulated amortization, was reduced by an impairment charge of $6.2 million related to Westway and a $1.0 million adjustment to the final GCA purchase price allocation. During 2017, we recorded $349.0 million of other intangible assets as a result of the GCA acquisition.</w:t>
      </w:r>
    </w:p>
    <w:p>
      <w:pPr>
        <w:spacing w:after="0" w:line="292" w:lineRule="exact"/>
        <w:rPr>
          <w:rFonts w:ascii="Arial" w:cs="Arial" w:eastAsia="Arial" w:hAnsi="Arial"/>
          <w:sz w:val="22"/>
          <w:szCs w:val="22"/>
          <w:color w:val="auto"/>
          <w:vertAlign w:val="superscript"/>
        </w:rPr>
      </w:pPr>
    </w:p>
    <w:p>
      <w:pPr>
        <w:ind w:firstLine="2"/>
        <w:spacing w:after="0" w:line="263" w:lineRule="auto"/>
        <w:tabs>
          <w:tab w:leader="none" w:pos="157"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On September 1, 2017, we refinanced and replaced our existing $800.0 million credit facility with a new secured $1.7 billion credit facility, which we partially used to fund the GCA acquisition. During 2015, we used the cash proceeds from the sale of the Security business to pay down a portion of our line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300" w:top="50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0046AD"/>
        </w:rPr>
        <w:t>ITEM 7. MANAGEMENT’S DISCUSSION AND ANALYSIS OF FINANCIAL CONDITION AND RESULTS OF OPERATIONS.</w:t>
      </w:r>
    </w:p>
    <w:p>
      <w:pPr>
        <w:spacing w:after="0" w:line="17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facilitate an understanding of the results of operations and financial condition of ABM Industries Incorporated and its subsidiaries (collectively referred to as “ABM,” “we,” “us,” “our,” or the “Company”). This MD&amp;A is provided as a supplement to, and should be read in conjunction with, our consolidated financial statements and the accompanying notes (“Financial Statements”). This MD&amp;A contains both historical and forward-looking statements, within the meaning of the Private Securities Litigation Reform Act of 1995, that involve risks and uncertainties.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Factors that might cause such differences include, but are not limited to, those discussed in Part 1. of this Form 10-K under Item 1A., “Risk Factors,” which are incorporated herein by reference. Our future results and financial condition may be materially different from those we currently anticipate.</w:t>
      </w:r>
    </w:p>
    <w:p>
      <w:pPr>
        <w:spacing w:after="0" w:line="129"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18"/>
          <w:szCs w:val="18"/>
          <w:color w:val="auto"/>
        </w:rPr>
        <w:t>Throughout the MD&amp;A, amounts and percentages may not recalculate due to rounding. Unless otherwise indicated, all information in the MD&amp;A and references to years are based on our fiscal year, which ends on October 31.</w:t>
      </w:r>
    </w:p>
    <w:p>
      <w:pPr>
        <w:spacing w:after="0" w:line="9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Effective November 1, 2018, we adopted Accounting Standards Update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(Topic 606)</w:t>
      </w:r>
      <w:r>
        <w:rPr>
          <w:rFonts w:ascii="Arial" w:cs="Arial" w:eastAsia="Arial" w:hAnsi="Arial"/>
          <w:sz w:val="18"/>
          <w:szCs w:val="18"/>
          <w:color w:val="auto"/>
        </w:rPr>
        <w:t>, and ASU 2017-10</w:t>
      </w:r>
      <w:r>
        <w:rPr>
          <w:rFonts w:ascii="Arial" w:cs="Arial" w:eastAsia="Arial" w:hAnsi="Arial"/>
          <w:sz w:val="18"/>
          <w:szCs w:val="18"/>
          <w:i w:val="1"/>
          <w:iCs w:val="1"/>
          <w:color w:val="auto"/>
        </w:rPr>
        <w:t>, Service Concession Arrangements (Topic 853): Determining the Customer of the Operation Services</w:t>
      </w:r>
      <w:r>
        <w:rPr>
          <w:rFonts w:ascii="Arial" w:cs="Arial" w:eastAsia="Arial" w:hAnsi="Arial"/>
          <w:sz w:val="18"/>
          <w:szCs w:val="18"/>
          <w:color w:val="auto"/>
        </w:rPr>
        <w:t>, using a</w:t>
      </w:r>
      <w:r>
        <w:rPr>
          <w:rFonts w:ascii="Arial" w:cs="Arial" w:eastAsia="Arial" w:hAnsi="Arial"/>
          <w:sz w:val="18"/>
          <w:szCs w:val="18"/>
          <w:i w:val="1"/>
          <w:iCs w:val="1"/>
          <w:color w:val="auto"/>
        </w:rPr>
        <w:t xml:space="preserve"> </w:t>
      </w:r>
      <w:r>
        <w:rPr>
          <w:rFonts w:ascii="Arial" w:cs="Arial" w:eastAsia="Arial" w:hAnsi="Arial"/>
          <w:sz w:val="18"/>
          <w:szCs w:val="18"/>
          <w:color w:val="auto"/>
        </w:rPr>
        <w:t>modified retrospective approach with a cumulative-effect adjustment to retained earnings as of the beginning of 2019; prior period financial statements were not adjusted. Refer to Note 2, “Basis of Presentation and Significant Accounting Policies,” and Note 3, “Revenues,” in the Financial Statements for additional information regarding the impact of adoption. Additionally, refer to “Segment Information” below for information regarding the modification of the presentation of inter-segment revenues and the reorganization of our Healthcare business during 2019.</w:t>
      </w: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0046AD"/>
        </w:rPr>
        <w:t>Business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 xml:space="preserve">ABM is a leading provider of integrated facility solutions, customized by industry, with a mission to </w:t>
      </w:r>
      <w:r>
        <w:rPr>
          <w:rFonts w:ascii="Arial" w:cs="Arial" w:eastAsia="Arial" w:hAnsi="Arial"/>
          <w:sz w:val="18"/>
          <w:szCs w:val="18"/>
          <w:b w:val="1"/>
          <w:bCs w:val="1"/>
          <w:color w:val="006EBF"/>
        </w:rPr>
        <w:t>make a difference, every person,</w:t>
      </w:r>
      <w:r>
        <w:rPr>
          <w:rFonts w:ascii="Arial" w:cs="Arial" w:eastAsia="Arial" w:hAnsi="Arial"/>
          <w:sz w:val="18"/>
          <w:szCs w:val="18"/>
          <w:color w:val="auto"/>
        </w:rPr>
        <w:t xml:space="preserve"> </w:t>
      </w:r>
      <w:r>
        <w:rPr>
          <w:rFonts w:ascii="Arial" w:cs="Arial" w:eastAsia="Arial" w:hAnsi="Arial"/>
          <w:sz w:val="18"/>
          <w:szCs w:val="18"/>
          <w:b w:val="1"/>
          <w:bCs w:val="1"/>
          <w:color w:val="006EBF"/>
        </w:rPr>
        <w:t>every day</w:t>
      </w:r>
      <w:r>
        <w:rPr>
          <w:rFonts w:ascii="Arial" w:cs="Arial" w:eastAsia="Arial" w:hAnsi="Arial"/>
          <w:sz w:val="18"/>
          <w:szCs w:val="18"/>
          <w:color w:val="000000"/>
        </w:rPr>
        <w:t>. Our principal operations are in the United States, and in 2019 our U.S. operations generated approximately 93% of our revenues.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Strategic Growth</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remain focused on long-term, profitable growth related to both new and existing clients within our industry groups and across our many service lines. Our revenue strategy is predicated on pursuing new sales and targeting a favorable retention rate among existing contracts. Cross-selling and up-selling projects and services is also an integral part of our strategy. We believe operational leverage from our strategic growth initiatives, coupled with our continued focus on efficiency, will increase profitability.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Systems and Technology Transformation</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have initiated many technology-based modernization efforts that we believe will enable us to operate more efficiently and provide us with greater data and insights to enhance our business management capabilities. We believe these new tools and systems will equip us for long-term success and position us for an even stronger and more prosperous future.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Human Resources and Labor Management</w:t>
      </w:r>
    </w:p>
    <w:p>
      <w:pPr>
        <w:spacing w:after="0" w:line="2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During 2019 we launched our new cloud-based human capital management system as well as a new time and attendance system. These investments will create a human resources (“HR”) structure that centralizes and standardizes hiring and training practices, fostering a data-driven model to measure key metrics, such as employee retention and labor productivity, to help us make more informed decisions and ultimately manage certain costs. We have also introduced new tools to help our operators manage labor more efficiently and continue to invest in attracting, developing, and retaining talent.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93"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0046AD"/>
        </w:rPr>
        <w:t>Enterprise Resource Planning</w:t>
      </w:r>
    </w:p>
    <w:p>
      <w:pPr>
        <w:spacing w:after="0" w:line="16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2019 we also made progress with the multi-phased deployment of our new enterprise resource planning (“ERP”) system, and in the future we anticipate having a unified system where we can integrate our legacy ABM and our legacy GCA finance environments for the first time. This newly combined system will streamline the operational and financial execution of our business and lead to more effective decision making in the future.</w:t>
      </w: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0046AD"/>
        </w:rPr>
        <w:t>Developments and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Economic Labor Outlook</w:t>
      </w:r>
    </w:p>
    <w:p>
      <w:pPr>
        <w:spacing w:after="0" w:line="17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The U.S. economy continues to demonstrate positive underlying fundamentals, with expanding gross domestic product growth and improving employment conditions, which have led to historically low levels of both unemployment and underemployment across the country. These factors have contributed to the lower availability of qualified labor for our business and higher turnover in certain markets, as our employees have more job opportunities both inside and outside our industry. This in turn has caused, and may continue to cause, higher labor and related personnel costs.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Acquisition of GCA during 2017</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September 1, 2017 (the “Acquisition Date”), we acquired GCA, a provider of integrated facility services to educational institutions and commercial facilities. Refer to Note 4, “Acquisitions,” in the Financial Statements for more information on this transaction. Our consolidated statements of comprehensive income and statements of cash flows include GCA’s results of operations in 2019 and 2018, but exclude GCA’s results of operations in 2017 prior to the Acquisition Date.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Restructuring and Related Costs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periodically engage in various restructuring activities intended to drive long-term profitable growth and increase operational efficiency, which can include streamlining and realigning our overall organizational structure and reallocating resources. These activities may result in restructuring costs related to employee severance, other project fees, external support fees, lease exit costs, and asset impairment charges.</w:t>
      </w:r>
    </w:p>
    <w:p>
      <w:pPr>
        <w:spacing w:after="0" w:line="11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During 2019, our restructuring activities primarily related to the continued integration of GCA and other initiatives, including standardizing our financial systems and streamlining our operations by migrating and upgrading several key management platforms, such as our human resources information systems, ERP system, and labor management system. We also continued consolidating our real estate leases. Severance and other expenses associated with our Healthcare reorganization during 2019 were immaterial. We expect to incur additional restructuring charges, primarily related to some of our technology initiatives and other project fees, as we continue to consolidate our operational and financial processes.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8"/>
              </w:rPr>
              <w:t>Year Ended</w:t>
            </w:r>
          </w:p>
        </w:tc>
        <w:tc>
          <w:tcPr>
            <w:tcW w:w="3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368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October 31, 2019</w:t>
            </w:r>
          </w:p>
        </w:tc>
        <w:tc>
          <w:tcPr>
            <w:tcW w:w="380" w:type="dxa"/>
            <w:vAlign w:val="bottom"/>
          </w:tcPr>
          <w:p>
            <w:pPr>
              <w:spacing w:after="0"/>
              <w:rPr>
                <w:sz w:val="20"/>
                <w:szCs w:val="20"/>
                <w:color w:val="auto"/>
              </w:rPr>
            </w:pPr>
          </w:p>
        </w:tc>
        <w:tc>
          <w:tcPr>
            <w:tcW w:w="1800" w:type="dxa"/>
            <w:vAlign w:val="bottom"/>
          </w:tcPr>
          <w:p>
            <w:pPr>
              <w:jc w:val="right"/>
              <w:ind w:right="510"/>
              <w:spacing w:after="0"/>
              <w:rPr>
                <w:sz w:val="20"/>
                <w:szCs w:val="20"/>
                <w:color w:val="auto"/>
              </w:rPr>
            </w:pPr>
            <w:r>
              <w:rPr>
                <w:rFonts w:ascii="Arial" w:cs="Arial" w:eastAsia="Arial" w:hAnsi="Arial"/>
                <w:sz w:val="18"/>
                <w:szCs w:val="18"/>
                <w:b w:val="1"/>
                <w:bCs w:val="1"/>
                <w:color w:val="auto"/>
              </w:rPr>
              <w:t>Cumulative</w:t>
            </w:r>
          </w:p>
        </w:tc>
        <w:tc>
          <w:tcPr>
            <w:tcW w:w="0" w:type="dxa"/>
            <w:vAlign w:val="bottom"/>
          </w:tcPr>
          <w:p>
            <w:pPr>
              <w:spacing w:after="0"/>
              <w:rPr>
                <w:sz w:val="1"/>
                <w:szCs w:val="1"/>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2940" w:type="dxa"/>
            <w:vAlign w:val="bottom"/>
            <w:tcBorders>
              <w:bottom w:val="single" w:sz="8" w:color="DCE2EF"/>
            </w:tcBorders>
          </w:tcPr>
          <w:p>
            <w:pPr>
              <w:spacing w:after="0" w:line="20" w:lineRule="exact"/>
              <w:rPr>
                <w:sz w:val="1"/>
                <w:szCs w:val="1"/>
                <w:color w:val="auto"/>
              </w:rPr>
            </w:pPr>
          </w:p>
        </w:tc>
        <w:tc>
          <w:tcPr>
            <w:tcW w:w="328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6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Employee severance</w:t>
            </w:r>
          </w:p>
        </w:tc>
        <w:tc>
          <w:tcPr>
            <w:tcW w:w="3540" w:type="dxa"/>
            <w:vAlign w:val="bottom"/>
            <w:gridSpan w:val="2"/>
            <w:shd w:val="clear" w:color="auto" w:fill="DCE2EF"/>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DCE2EF"/>
          </w:tcPr>
          <w:p>
            <w:pPr>
              <w:spacing w:after="0"/>
              <w:rPr>
                <w:sz w:val="21"/>
                <w:szCs w:val="21"/>
                <w:color w:val="auto"/>
              </w:rPr>
            </w:pPr>
          </w:p>
        </w:tc>
        <w:tc>
          <w:tcPr>
            <w:tcW w:w="380" w:type="dxa"/>
            <w:vAlign w:val="bottom"/>
            <w:shd w:val="clear" w:color="auto" w:fill="DCE2EF"/>
          </w:tcPr>
          <w:p>
            <w:pPr>
              <w:jc w:val="right"/>
              <w:ind w:right="150"/>
              <w:spacing w:after="0"/>
              <w:rPr>
                <w:sz w:val="20"/>
                <w:szCs w:val="20"/>
                <w:color w:val="auto"/>
              </w:rPr>
            </w:pPr>
            <w:r>
              <w:rPr>
                <w:rFonts w:ascii="Arial" w:cs="Arial" w:eastAsia="Arial" w:hAnsi="Arial"/>
                <w:sz w:val="18"/>
                <w:szCs w:val="18"/>
                <w:color w:val="auto"/>
              </w:rPr>
              <w:t>$</w:t>
            </w:r>
          </w:p>
        </w:tc>
        <w:tc>
          <w:tcPr>
            <w:tcW w:w="18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65"/>
        </w:trPr>
        <w:tc>
          <w:tcPr>
            <w:tcW w:w="3680" w:type="dxa"/>
            <w:vAlign w:val="bottom"/>
            <w:gridSpan w:val="3"/>
          </w:tcPr>
          <w:p>
            <w:pPr>
              <w:ind w:left="40"/>
              <w:spacing w:after="0"/>
              <w:rPr>
                <w:sz w:val="20"/>
                <w:szCs w:val="20"/>
                <w:color w:val="auto"/>
              </w:rPr>
            </w:pPr>
            <w:r>
              <w:rPr>
                <w:rFonts w:ascii="Arial" w:cs="Arial" w:eastAsia="Arial" w:hAnsi="Arial"/>
                <w:sz w:val="18"/>
                <w:szCs w:val="18"/>
                <w:color w:val="auto"/>
              </w:rPr>
              <w:t>Other project fees</w:t>
            </w:r>
          </w:p>
        </w:tc>
        <w:tc>
          <w:tcPr>
            <w:tcW w:w="3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5"/>
        </w:trPr>
        <w:tc>
          <w:tcPr>
            <w:tcW w:w="36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External support fees</w:t>
            </w:r>
          </w:p>
        </w:tc>
        <w:tc>
          <w:tcPr>
            <w:tcW w:w="3280" w:type="dxa"/>
            <w:vAlign w:val="bottom"/>
            <w:shd w:val="clear" w:color="auto" w:fill="DCE2EF"/>
          </w:tcPr>
          <w:p>
            <w:pPr>
              <w:spacing w:after="0"/>
              <w:rPr>
                <w:sz w:val="23"/>
                <w:szCs w:val="23"/>
                <w:color w:val="auto"/>
              </w:rPr>
            </w:pPr>
          </w:p>
        </w:tc>
        <w:tc>
          <w:tcPr>
            <w:tcW w:w="260" w:type="dxa"/>
            <w:vAlign w:val="bottom"/>
            <w:shd w:val="clear" w:color="auto" w:fill="DCE2EF"/>
          </w:tcPr>
          <w:p>
            <w:pPr>
              <w:spacing w:after="0"/>
              <w:rPr>
                <w:sz w:val="23"/>
                <w:szCs w:val="23"/>
                <w:color w:val="auto"/>
              </w:rPr>
            </w:pPr>
          </w:p>
        </w:tc>
        <w:tc>
          <w:tcPr>
            <w:tcW w:w="192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DCE2EF"/>
          </w:tcPr>
          <w:p>
            <w:pPr>
              <w:spacing w:after="0"/>
              <w:rPr>
                <w:sz w:val="23"/>
                <w:szCs w:val="23"/>
                <w:color w:val="auto"/>
              </w:rPr>
            </w:pPr>
          </w:p>
        </w:tc>
        <w:tc>
          <w:tcPr>
            <w:tcW w:w="380" w:type="dxa"/>
            <w:vAlign w:val="bottom"/>
            <w:shd w:val="clear" w:color="auto" w:fill="DCE2EF"/>
          </w:tcPr>
          <w:p>
            <w:pPr>
              <w:spacing w:after="0"/>
              <w:rPr>
                <w:sz w:val="23"/>
                <w:szCs w:val="23"/>
                <w:color w:val="auto"/>
              </w:rPr>
            </w:pPr>
          </w:p>
        </w:tc>
        <w:tc>
          <w:tcPr>
            <w:tcW w:w="18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65"/>
        </w:trPr>
        <w:tc>
          <w:tcPr>
            <w:tcW w:w="3680" w:type="dxa"/>
            <w:vAlign w:val="bottom"/>
            <w:tcBorders>
              <w:bottom w:val="single" w:sz="8" w:color="DCE2EF"/>
            </w:tcBorders>
            <w:gridSpan w:val="3"/>
          </w:tcPr>
          <w:p>
            <w:pPr>
              <w:ind w:left="40"/>
              <w:spacing w:after="0"/>
              <w:rPr>
                <w:sz w:val="20"/>
                <w:szCs w:val="20"/>
                <w:color w:val="auto"/>
              </w:rPr>
            </w:pPr>
            <w:r>
              <w:rPr>
                <w:rFonts w:ascii="Arial" w:cs="Arial" w:eastAsia="Arial" w:hAnsi="Arial"/>
                <w:sz w:val="18"/>
                <w:szCs w:val="18"/>
                <w:color w:val="auto"/>
              </w:rPr>
              <w:t>Lease exit costs</w:t>
            </w:r>
          </w:p>
        </w:tc>
        <w:tc>
          <w:tcPr>
            <w:tcW w:w="3280" w:type="dxa"/>
            <w:vAlign w:val="bottom"/>
            <w:tcBorders>
              <w:bottom w:val="single" w:sz="8" w:color="DCE2E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DCE2E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55"/>
        </w:trPr>
        <w:tc>
          <w:tcPr>
            <w:tcW w:w="3680" w:type="dxa"/>
            <w:vAlign w:val="bottom"/>
            <w:gridSpan w:val="3"/>
            <w:shd w:val="clear" w:color="auto" w:fill="DCE2EF"/>
          </w:tcPr>
          <w:p>
            <w:pPr>
              <w:ind w:left="40"/>
              <w:spacing w:after="0"/>
              <w:rPr>
                <w:sz w:val="20"/>
                <w:szCs w:val="20"/>
                <w:color w:val="auto"/>
              </w:rPr>
            </w:pPr>
            <w:r>
              <w:rPr>
                <w:rFonts w:ascii="Arial" w:cs="Arial" w:eastAsia="Arial" w:hAnsi="Arial"/>
                <w:sz w:val="18"/>
                <w:szCs w:val="18"/>
                <w:b w:val="1"/>
                <w:bCs w:val="1"/>
                <w:color w:val="auto"/>
              </w:rPr>
              <w:t>Total</w:t>
            </w:r>
          </w:p>
        </w:tc>
        <w:tc>
          <w:tcPr>
            <w:tcW w:w="3540" w:type="dxa"/>
            <w:vAlign w:val="bottom"/>
            <w:gridSpan w:val="2"/>
            <w:shd w:val="clear" w:color="auto" w:fill="DCE2EF"/>
          </w:tcPr>
          <w:p>
            <w:pPr>
              <w:jc w:val="right"/>
              <w:ind w:right="120"/>
              <w:spacing w:after="0"/>
              <w:rPr>
                <w:sz w:val="20"/>
                <w:szCs w:val="20"/>
                <w:color w:val="auto"/>
              </w:rPr>
            </w:pPr>
            <w:r>
              <w:rPr>
                <w:rFonts w:ascii="Arial" w:cs="Arial" w:eastAsia="Arial" w:hAnsi="Arial"/>
                <w:sz w:val="18"/>
                <w:szCs w:val="18"/>
                <w:b w:val="1"/>
                <w:bCs w:val="1"/>
                <w:color w:val="auto"/>
              </w:rPr>
              <w:t>$</w:t>
            </w:r>
          </w:p>
        </w:tc>
        <w:tc>
          <w:tcPr>
            <w:tcW w:w="1920" w:type="dxa"/>
            <w:vAlign w:val="bottom"/>
            <w:shd w:val="clear" w:color="auto" w:fill="DCE2EF"/>
          </w:tcPr>
          <w:p>
            <w:pPr>
              <w:jc w:val="right"/>
              <w:ind w:right="30"/>
              <w:spacing w:after="0"/>
              <w:rPr>
                <w:sz w:val="20"/>
                <w:szCs w:val="20"/>
                <w:color w:val="auto"/>
              </w:rPr>
            </w:pPr>
            <w:r>
              <w:rPr>
                <w:rFonts w:ascii="Arial" w:cs="Arial" w:eastAsia="Arial" w:hAnsi="Arial"/>
                <w:sz w:val="18"/>
                <w:szCs w:val="18"/>
                <w:b w:val="1"/>
                <w:bCs w:val="1"/>
                <w:color w:val="auto"/>
              </w:rPr>
              <w:t>11.2</w:t>
            </w:r>
          </w:p>
        </w:tc>
        <w:tc>
          <w:tcPr>
            <w:tcW w:w="100" w:type="dxa"/>
            <w:vAlign w:val="bottom"/>
            <w:shd w:val="clear" w:color="auto" w:fill="DCE2EF"/>
          </w:tcPr>
          <w:p>
            <w:pPr>
              <w:spacing w:after="0"/>
              <w:rPr>
                <w:sz w:val="22"/>
                <w:szCs w:val="22"/>
                <w:color w:val="auto"/>
              </w:rPr>
            </w:pPr>
          </w:p>
        </w:tc>
        <w:tc>
          <w:tcPr>
            <w:tcW w:w="380" w:type="dxa"/>
            <w:vAlign w:val="bottom"/>
            <w:shd w:val="clear" w:color="auto" w:fill="DCE2EF"/>
          </w:tcPr>
          <w:p>
            <w:pPr>
              <w:jc w:val="right"/>
              <w:ind w:right="150"/>
              <w:spacing w:after="0"/>
              <w:rPr>
                <w:sz w:val="20"/>
                <w:szCs w:val="20"/>
                <w:color w:val="auto"/>
              </w:rPr>
            </w:pPr>
            <w:r>
              <w:rPr>
                <w:rFonts w:ascii="Arial" w:cs="Arial" w:eastAsia="Arial" w:hAnsi="Arial"/>
                <w:sz w:val="18"/>
                <w:szCs w:val="18"/>
                <w:b w:val="1"/>
                <w:bCs w:val="1"/>
                <w:color w:val="auto"/>
              </w:rPr>
              <w:t>$</w:t>
            </w:r>
          </w:p>
        </w:tc>
        <w:tc>
          <w:tcPr>
            <w:tcW w:w="1800" w:type="dxa"/>
            <w:vAlign w:val="bottom"/>
            <w:shd w:val="clear" w:color="auto" w:fill="DCE2EF"/>
          </w:tcPr>
          <w:p>
            <w:pPr>
              <w:jc w:val="right"/>
              <w:ind w:right="10"/>
              <w:spacing w:after="0"/>
              <w:rPr>
                <w:sz w:val="20"/>
                <w:szCs w:val="20"/>
                <w:color w:val="auto"/>
              </w:rPr>
            </w:pPr>
            <w:r>
              <w:rPr>
                <w:rFonts w:ascii="Arial" w:cs="Arial" w:eastAsia="Arial" w:hAnsi="Arial"/>
                <w:sz w:val="18"/>
                <w:szCs w:val="18"/>
                <w:b w:val="1"/>
                <w:bCs w:val="1"/>
                <w:color w:val="auto"/>
              </w:rPr>
              <w:t>34.6</w:t>
            </w:r>
          </w:p>
        </w:tc>
        <w:tc>
          <w:tcPr>
            <w:tcW w:w="0" w:type="dxa"/>
            <w:vAlign w:val="bottom"/>
          </w:tcPr>
          <w:p>
            <w:pPr>
              <w:spacing w:after="0"/>
              <w:rPr>
                <w:sz w:val="1"/>
                <w:szCs w:val="1"/>
                <w:color w:val="auto"/>
              </w:rPr>
            </w:pPr>
          </w:p>
        </w:tc>
      </w:tr>
      <w:tr>
        <w:trPr>
          <w:trHeight w:val="20"/>
        </w:trPr>
        <w:tc>
          <w:tcPr>
            <w:tcW w:w="40" w:type="dxa"/>
            <w:vAlign w:val="bottom"/>
            <w:tcBorders>
              <w:top w:val="single" w:sz="8" w:color="DCE2EF"/>
            </w:tcBorders>
          </w:tcPr>
          <w:p>
            <w:pPr>
              <w:spacing w:after="0" w:line="20" w:lineRule="exact"/>
              <w:rPr>
                <w:sz w:val="1"/>
                <w:szCs w:val="1"/>
                <w:color w:val="auto"/>
              </w:rPr>
            </w:pPr>
          </w:p>
        </w:tc>
        <w:tc>
          <w:tcPr>
            <w:tcW w:w="700" w:type="dxa"/>
            <w:vAlign w:val="bottom"/>
            <w:tcBorders>
              <w:top w:val="single" w:sz="8" w:color="DCE2EF"/>
            </w:tcBorders>
          </w:tcPr>
          <w:p>
            <w:pPr>
              <w:spacing w:after="0" w:line="20" w:lineRule="exact"/>
              <w:rPr>
                <w:sz w:val="1"/>
                <w:szCs w:val="1"/>
                <w:color w:val="auto"/>
              </w:rPr>
            </w:pPr>
          </w:p>
        </w:tc>
        <w:tc>
          <w:tcPr>
            <w:tcW w:w="2940" w:type="dxa"/>
            <w:vAlign w:val="bottom"/>
            <w:tcBorders>
              <w:top w:val="single" w:sz="8" w:color="DCE2EF"/>
            </w:tcBorders>
          </w:tcPr>
          <w:p>
            <w:pPr>
              <w:spacing w:after="0" w:line="20" w:lineRule="exact"/>
              <w:rPr>
                <w:sz w:val="1"/>
                <w:szCs w:val="1"/>
                <w:color w:val="auto"/>
              </w:rPr>
            </w:pPr>
          </w:p>
        </w:tc>
        <w:tc>
          <w:tcPr>
            <w:tcW w:w="3280" w:type="dxa"/>
            <w:vAlign w:val="bottom"/>
            <w:tcBorders>
              <w:top w:val="single" w:sz="8" w:color="DCE2EF"/>
              <w:bottom w:val="single" w:sz="8" w:color="DCE2EF"/>
            </w:tcBorders>
            <w:vMerge w:val="restart"/>
          </w:tcPr>
          <w:p>
            <w:pPr>
              <w:jc w:val="right"/>
              <w:ind w:right="1050"/>
              <w:spacing w:after="0"/>
              <w:rPr>
                <w:sz w:val="20"/>
                <w:szCs w:val="20"/>
                <w:color w:val="auto"/>
              </w:rPr>
            </w:pPr>
            <w:r>
              <w:rPr>
                <w:rFonts w:ascii="Arial" w:cs="Arial" w:eastAsia="Arial" w:hAnsi="Arial"/>
                <w:sz w:val="18"/>
                <w:szCs w:val="18"/>
                <w:color w:val="auto"/>
              </w:rPr>
              <w:t>21</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9"/>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97"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0046AD"/>
        </w:rPr>
        <w:t>Insurance Reserves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use a combination of insured and self-insurance programs to cover workers’ compensation, general liability, automobile liability, property damage, and other insurable risks. Insurance claim liabilities represent our estimate of retained risks without regard to insurance coverage. We retain a substantial portion of the risk related to certain workers’ compensation and medical claims. Liabilities associated with these losses include estimates of both filed claims and incurred but not reported claims (“IBNR Claims”).</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With the assistance of third-party actuaries, we periodically review our estimate of ultimate losses for IBNR Claims and adjust our required self-insurance reserves as appropriate. As part of this evaluation, we review the status of existing and new claim reserves as established by third-party claims administrators. The third-party claims administrators establish the case reserves based upon known factors related to the type and severity of the claims, demographic factors, legislative matters, and case law, as appropriate. We compare actual trends to expected trends and monitor claims developments. The specific case reserves estimated by the third-party administrators are provided to an actuary who assists us in projecting an actuarial estimate of the overall ultimate losses for our self-insured or high deductible programs, which includes the case reserves plus an actuarial estimate of reserves required for additional developments, such as IBNR Claims. We utilize the results of actuarial studies to estimate our insurance rates and insurance reserves for future periods and to adjust reserves, if appropriate, for prior years.</w:t>
      </w:r>
    </w:p>
    <w:p>
      <w:pPr>
        <w:spacing w:after="0" w:line="12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actuarial reviews continue to demonstrate that the changes we have made to our risk management program are positively impacting the frequency and severity of claims. There is some flattening of claims frequency reductions as compared to prior periods, but the claims management strategies and programs that we have implemented have resulted in better than anticipated improvements in early identification of certain claims that may potentially develop adversely. Furthermore, we continue to adjust our reserves consistent with known fact patterns. Based on the results of the actuarial reviews performed, we decreased our total reserves for known claims as well as our estimate of the loss amounts associated with IBNR Claims for prior periods by $3.4 million during 2019. In 2018, we increased our total reserves related to prior year claims by $10.2 million.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Divestiture of Government Services Business During 2017</w:t>
      </w:r>
    </w:p>
    <w:p>
      <w:pPr>
        <w:spacing w:after="0" w:line="17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On May 31, 2017, we completed the sale of our Government Services business for $35.5 million and recorded a pre-tax gain of $1.2 million, which gain is reflected in impairment loss (recovery) on our consolidated statements of comprehensive income. Prior to the sale of this business, we recorded a $17.4 million impairment recovery to adjust the fair value of certain previously impaired assets to the valuation of the assets as implied by the agreed-upon sales price, less estimated costs to sell. The reported results for this business are through the date of sale, and future results could include run-off costs. As this business has been sold and is no longer part of our ongoing operations, we have excluded a discussion of its results for the periods in this report.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Key Financial Highlights</w:t>
      </w:r>
    </w:p>
    <w:p>
      <w:pPr>
        <w:spacing w:after="0" w:line="171" w:lineRule="exact"/>
        <w:rPr>
          <w:sz w:val="20"/>
          <w:szCs w:val="20"/>
          <w:color w:val="auto"/>
        </w:rPr>
      </w:pPr>
    </w:p>
    <w:p>
      <w:pPr>
        <w:ind w:left="660" w:hanging="328"/>
        <w:spacing w:after="0" w:line="29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Revenues increased by $56.4 million, or 0.9%, during 2019, as compared to 2018, primarily due to organic growth in our U.S. Technical Solutions business, partially offset by the loss of certain accounts across our other industry groups.</w:t>
      </w:r>
    </w:p>
    <w:p>
      <w:pPr>
        <w:spacing w:after="0" w:line="90"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profit increased by $69.7 million, or 50.3%, during 2019, as compared to 2018. The increase in operating profit is primarily attributable to higher gross margin, the absence of $26.5 million of impairment charges recognized during 2018, $14.5 million of lower restructuring and related expenses, and a $13.6 million lower self-insurance adjustment related to prior year claims.</w:t>
      </w:r>
    </w:p>
    <w:p>
      <w:pPr>
        <w:spacing w:after="0" w:line="55"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had a provision for taxes of $32.7 million during 2019, as compared to a benefit from taxes of $8.2 million during 2018, primarily due to a net discrete tax benefit of $23.2 million in 2018 related to the Tax Cuts and Jobs Act (the “Tax Act”).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cash provided by operating activities of continuing operations was $262.8 million during 2019.</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Dividends of $47.7 million were paid to shareholders, and dividends totaling $0.720 per common share were declared during 2019.</w:t>
      </w:r>
    </w:p>
    <w:p>
      <w:pPr>
        <w:spacing w:after="0" w:line="171" w:lineRule="exact"/>
        <w:rPr>
          <w:rFonts w:ascii="Arial" w:cs="Arial" w:eastAsia="Arial" w:hAnsi="Arial"/>
          <w:sz w:val="18"/>
          <w:szCs w:val="18"/>
          <w:color w:val="auto"/>
        </w:rPr>
      </w:pPr>
    </w:p>
    <w:p>
      <w:pPr>
        <w:ind w:left="660" w:right="20" w:hanging="328"/>
        <w:spacing w:after="0" w:line="29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October 31, 2019, total outstanding borrowings under our credit facility were $808.4 million, and we had up to $574.2 million of borrowing capacity under our credit facility; however, covenant restrictions limited our actual borrowing capacity to $406.6 million.</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93" w:right="239" w:bottom="1440" w:gutter="0" w:footer="0" w:header="0"/>
        </w:sectPr>
      </w:pPr>
    </w:p>
    <w:bookmarkStart w:id="25" w:name="page26"/>
    <w:bookmarkEnd w:id="25"/>
    <w:p>
      <w:pPr>
        <w:ind w:left="40"/>
        <w:spacing w:after="0"/>
        <w:rPr>
          <w:sz w:val="20"/>
          <w:szCs w:val="20"/>
          <w:color w:val="auto"/>
        </w:rPr>
      </w:pPr>
      <w:r>
        <w:rPr>
          <w:rFonts w:ascii="Arial" w:cs="Arial" w:eastAsia="Arial" w:hAnsi="Arial"/>
          <w:sz w:val="18"/>
          <w:szCs w:val="18"/>
          <w:b w:val="1"/>
          <w:bCs w:val="1"/>
          <w:color w:val="0046AD"/>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The Year Ended October 31, 2019 Compared with the Year Ended October 31,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Consolidated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140" w:type="dxa"/>
            <w:vAlign w:val="bottom"/>
            <w:gridSpan w:val="5"/>
          </w:tcPr>
          <w:p>
            <w:pPr>
              <w:ind w:left="380"/>
              <w:spacing w:after="0"/>
              <w:rPr>
                <w:sz w:val="20"/>
                <w:szCs w:val="20"/>
                <w:color w:val="auto"/>
              </w:rPr>
            </w:pPr>
            <w:r>
              <w:rPr>
                <w:rFonts w:ascii="Arial" w:cs="Arial" w:eastAsia="Arial" w:hAnsi="Arial"/>
                <w:sz w:val="16"/>
                <w:szCs w:val="16"/>
                <w:b w:val="1"/>
                <w:bCs w:val="1"/>
                <w:color w:val="auto"/>
              </w:rPr>
              <w:t>Years Ended October 31,</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27"/>
        </w:trPr>
        <w:tc>
          <w:tcPr>
            <w:tcW w:w="5300" w:type="dxa"/>
            <w:vAlign w:val="bottom"/>
            <w:gridSpan w:val="5"/>
          </w:tcPr>
          <w:p>
            <w:pPr>
              <w:ind w:left="4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gridSpan w:val="2"/>
          </w:tcPr>
          <w:p>
            <w:pPr>
              <w:ind w:left="200"/>
              <w:spacing w:after="0"/>
              <w:rPr>
                <w:sz w:val="20"/>
                <w:szCs w:val="20"/>
                <w:color w:val="auto"/>
              </w:rPr>
            </w:pPr>
            <w:r>
              <w:rPr>
                <w:rFonts w:ascii="Arial" w:cs="Arial" w:eastAsia="Arial" w:hAnsi="Arial"/>
                <w:sz w:val="16"/>
                <w:szCs w:val="16"/>
                <w:b w:val="1"/>
                <w:bCs w:val="1"/>
                <w:color w:val="auto"/>
              </w:rPr>
              <w:t>Increase / (Decrease)</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60" w:type="dxa"/>
            <w:vAlign w:val="bottom"/>
            <w:tcBorders>
              <w:top w:val="single" w:sz="8" w:color="auto"/>
              <w:bottom w:val="single" w:sz="8" w:color="DCE2EF"/>
            </w:tcBorders>
          </w:tcPr>
          <w:p>
            <w:pPr>
              <w:spacing w:after="0" w:line="20" w:lineRule="exact"/>
              <w:rPr>
                <w:sz w:val="1"/>
                <w:szCs w:val="1"/>
                <w:color w:val="auto"/>
              </w:rPr>
            </w:pPr>
          </w:p>
        </w:tc>
        <w:tc>
          <w:tcPr>
            <w:tcW w:w="60" w:type="dxa"/>
            <w:vAlign w:val="bottom"/>
            <w:tcBorders>
              <w:top w:val="single" w:sz="8" w:color="auto"/>
              <w:bottom w:val="single" w:sz="8" w:color="DCE2EF"/>
            </w:tcBorders>
          </w:tcPr>
          <w:p>
            <w:pPr>
              <w:spacing w:after="0" w:line="20" w:lineRule="exact"/>
              <w:rPr>
                <w:sz w:val="1"/>
                <w:szCs w:val="1"/>
                <w:color w:val="auto"/>
              </w:rPr>
            </w:pPr>
          </w:p>
        </w:tc>
        <w:tc>
          <w:tcPr>
            <w:tcW w:w="60" w:type="dxa"/>
            <w:vAlign w:val="bottom"/>
            <w:tcBorders>
              <w:bottom w:val="single" w:sz="8" w:color="DCE2EF"/>
            </w:tcBorders>
          </w:tcPr>
          <w:p>
            <w:pPr>
              <w:spacing w:after="0" w:line="20" w:lineRule="exact"/>
              <w:rPr>
                <w:sz w:val="1"/>
                <w:szCs w:val="1"/>
                <w:color w:val="auto"/>
              </w:rPr>
            </w:pPr>
          </w:p>
        </w:tc>
        <w:tc>
          <w:tcPr>
            <w:tcW w:w="438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DCE2EF"/>
            </w:tcBorders>
            <w:shd w:val="clear" w:color="auto" w:fill="DCE2EF"/>
          </w:tcPr>
          <w:p>
            <w:pPr>
              <w:spacing w:after="0"/>
              <w:rPr>
                <w:sz w:val="21"/>
                <w:szCs w:val="21"/>
                <w:color w:val="auto"/>
              </w:rPr>
            </w:pPr>
          </w:p>
        </w:tc>
        <w:tc>
          <w:tcPr>
            <w:tcW w:w="76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6"/>
                <w:szCs w:val="16"/>
                <w:b w:val="1"/>
                <w:bCs w:val="1"/>
                <w:color w:val="auto"/>
                <w:w w:val="97"/>
                <w:shd w:val="clear" w:color="auto" w:fill="DCE2EF"/>
              </w:rPr>
              <w:t>Revenues</w:t>
            </w:r>
          </w:p>
        </w:tc>
        <w:tc>
          <w:tcPr>
            <w:tcW w:w="120" w:type="dxa"/>
            <w:vAlign w:val="bottom"/>
            <w:tcBorders>
              <w:bottom w:val="single" w:sz="8" w:color="DCE2EF"/>
            </w:tcBorders>
            <w:gridSpan w:val="2"/>
            <w:shd w:val="clear" w:color="auto" w:fill="DCE2EF"/>
          </w:tcPr>
          <w:p>
            <w:pPr>
              <w:spacing w:after="0"/>
              <w:rPr>
                <w:sz w:val="21"/>
                <w:szCs w:val="21"/>
                <w:color w:val="auto"/>
              </w:rPr>
            </w:pPr>
          </w:p>
        </w:tc>
        <w:tc>
          <w:tcPr>
            <w:tcW w:w="4380" w:type="dxa"/>
            <w:vAlign w:val="bottom"/>
            <w:tcBorders>
              <w:bottom w:val="single" w:sz="8" w:color="DCE2EF"/>
            </w:tcBorders>
            <w:shd w:val="clear" w:color="auto" w:fill="DCE2EF"/>
          </w:tcPr>
          <w:p>
            <w:pPr>
              <w:spacing w:after="0"/>
              <w:rPr>
                <w:sz w:val="21"/>
                <w:szCs w:val="21"/>
                <w:color w:val="auto"/>
              </w:rPr>
            </w:pPr>
          </w:p>
        </w:tc>
        <w:tc>
          <w:tcPr>
            <w:tcW w:w="380" w:type="dxa"/>
            <w:vAlign w:val="bottom"/>
            <w:tcBorders>
              <w:bottom w:val="single" w:sz="8" w:color="DCE2EF"/>
            </w:tcBorders>
            <w:shd w:val="clear" w:color="auto" w:fill="DCE2E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DCE2EF"/>
            </w:tcBorders>
            <w:shd w:val="clear" w:color="auto" w:fill="DCE2EF"/>
          </w:tcPr>
          <w:p>
            <w:pPr>
              <w:jc w:val="right"/>
              <w:ind w:right="79"/>
              <w:spacing w:after="0"/>
              <w:rPr>
                <w:sz w:val="20"/>
                <w:szCs w:val="20"/>
                <w:color w:val="auto"/>
              </w:rPr>
            </w:pPr>
            <w:r>
              <w:rPr>
                <w:rFonts w:ascii="Arial" w:cs="Arial" w:eastAsia="Arial" w:hAnsi="Arial"/>
                <w:sz w:val="16"/>
                <w:szCs w:val="16"/>
                <w:color w:val="auto"/>
              </w:rPr>
              <w:t>6,498.6</w:t>
            </w:r>
          </w:p>
        </w:tc>
        <w:tc>
          <w:tcPr>
            <w:tcW w:w="120" w:type="dxa"/>
            <w:vAlign w:val="bottom"/>
            <w:tcBorders>
              <w:bottom w:val="single" w:sz="8" w:color="DCE2EF"/>
            </w:tcBorders>
            <w:shd w:val="clear" w:color="auto" w:fill="DCE2EF"/>
          </w:tcPr>
          <w:p>
            <w:pPr>
              <w:spacing w:after="0"/>
              <w:rPr>
                <w:sz w:val="21"/>
                <w:szCs w:val="21"/>
                <w:color w:val="auto"/>
              </w:rPr>
            </w:pPr>
          </w:p>
        </w:tc>
        <w:tc>
          <w:tcPr>
            <w:tcW w:w="380" w:type="dxa"/>
            <w:vAlign w:val="bottom"/>
            <w:tcBorders>
              <w:bottom w:val="single" w:sz="8" w:color="DCE2EF"/>
            </w:tcBorders>
            <w:shd w:val="clear" w:color="auto" w:fill="DCE2E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DCE2EF"/>
            </w:tcBorders>
            <w:shd w:val="clear" w:color="auto" w:fill="DCE2EF"/>
          </w:tcPr>
          <w:p>
            <w:pPr>
              <w:jc w:val="right"/>
              <w:ind w:right="79"/>
              <w:spacing w:after="0"/>
              <w:rPr>
                <w:sz w:val="20"/>
                <w:szCs w:val="20"/>
                <w:color w:val="auto"/>
              </w:rPr>
            </w:pPr>
            <w:r>
              <w:rPr>
                <w:rFonts w:ascii="Arial" w:cs="Arial" w:eastAsia="Arial" w:hAnsi="Arial"/>
                <w:sz w:val="16"/>
                <w:szCs w:val="16"/>
                <w:color w:val="auto"/>
              </w:rPr>
              <w:t>6,442.2</w:t>
            </w:r>
          </w:p>
        </w:tc>
        <w:tc>
          <w:tcPr>
            <w:tcW w:w="120" w:type="dxa"/>
            <w:vAlign w:val="bottom"/>
            <w:tcBorders>
              <w:bottom w:val="single" w:sz="8" w:color="DCE2EF"/>
            </w:tcBorders>
            <w:shd w:val="clear" w:color="auto" w:fill="DCE2EF"/>
          </w:tcPr>
          <w:p>
            <w:pPr>
              <w:spacing w:after="0"/>
              <w:rPr>
                <w:sz w:val="21"/>
                <w:szCs w:val="21"/>
                <w:color w:val="auto"/>
              </w:rPr>
            </w:pPr>
          </w:p>
        </w:tc>
        <w:tc>
          <w:tcPr>
            <w:tcW w:w="300" w:type="dxa"/>
            <w:vAlign w:val="bottom"/>
            <w:tcBorders>
              <w:bottom w:val="single" w:sz="8" w:color="DCE2EF"/>
            </w:tcBorders>
            <w:shd w:val="clear" w:color="auto" w:fill="DCE2E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DCE2EF"/>
            </w:tcBorders>
            <w:shd w:val="clear" w:color="auto" w:fill="DCE2EF"/>
          </w:tcPr>
          <w:p>
            <w:pPr>
              <w:jc w:val="right"/>
              <w:ind w:right="19"/>
              <w:spacing w:after="0"/>
              <w:rPr>
                <w:sz w:val="20"/>
                <w:szCs w:val="20"/>
                <w:color w:val="auto"/>
              </w:rPr>
            </w:pPr>
            <w:r>
              <w:rPr>
                <w:rFonts w:ascii="Arial" w:cs="Arial" w:eastAsia="Arial" w:hAnsi="Arial"/>
                <w:sz w:val="16"/>
                <w:szCs w:val="16"/>
                <w:color w:val="auto"/>
              </w:rPr>
              <w:t>56.4</w:t>
            </w:r>
          </w:p>
        </w:tc>
        <w:tc>
          <w:tcPr>
            <w:tcW w:w="1360" w:type="dxa"/>
            <w:vAlign w:val="bottom"/>
            <w:tcBorders>
              <w:bottom w:val="single" w:sz="8" w:color="DCE2EF"/>
            </w:tcBorders>
            <w:shd w:val="clear" w:color="auto" w:fill="DCE2EF"/>
          </w:tcPr>
          <w:p>
            <w:pPr>
              <w:jc w:val="center"/>
              <w:ind w:left="39"/>
              <w:spacing w:after="0"/>
              <w:rPr>
                <w:sz w:val="20"/>
                <w:szCs w:val="20"/>
                <w:color w:val="auto"/>
              </w:rPr>
            </w:pPr>
            <w:r>
              <w:rPr>
                <w:rFonts w:ascii="Arial" w:cs="Arial" w:eastAsia="Arial" w:hAnsi="Arial"/>
                <w:sz w:val="16"/>
                <w:szCs w:val="16"/>
                <w:color w:val="auto"/>
                <w:w w:val="98"/>
              </w:rPr>
              <w:t>0.9%</w:t>
            </w:r>
          </w:p>
        </w:tc>
      </w:tr>
      <w:tr>
        <w:trPr>
          <w:trHeight w:val="262"/>
        </w:trPr>
        <w:tc>
          <w:tcPr>
            <w:tcW w:w="5300" w:type="dxa"/>
            <w:vAlign w:val="bottom"/>
            <w:gridSpan w:val="5"/>
          </w:tcPr>
          <w:p>
            <w:pPr>
              <w:ind w:left="40"/>
              <w:spacing w:after="0"/>
              <w:rPr>
                <w:sz w:val="20"/>
                <w:szCs w:val="20"/>
                <w:color w:val="auto"/>
              </w:rPr>
            </w:pPr>
            <w:r>
              <w:rPr>
                <w:rFonts w:ascii="Arial" w:cs="Arial" w:eastAsia="Arial" w:hAnsi="Arial"/>
                <w:sz w:val="16"/>
                <w:szCs w:val="16"/>
                <w:color w:val="auto"/>
              </w:rPr>
              <w:t>Operating expenses</w:t>
            </w: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5,767.5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5,747.4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20.1</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98"/>
              </w:rPr>
              <w:t>0.3%</w:t>
            </w:r>
          </w:p>
        </w:tc>
      </w:tr>
      <w:tr>
        <w:trPr>
          <w:trHeight w:val="258"/>
        </w:trPr>
        <w:tc>
          <w:tcPr>
            <w:tcW w:w="40" w:type="dxa"/>
            <w:vAlign w:val="bottom"/>
            <w:tcBorders>
              <w:bottom w:val="single" w:sz="8" w:color="DCE2EF"/>
            </w:tcBorders>
            <w:shd w:val="clear" w:color="auto" w:fill="DCE2EF"/>
          </w:tcPr>
          <w:p>
            <w:pPr>
              <w:spacing w:after="0"/>
              <w:rPr>
                <w:sz w:val="22"/>
                <w:szCs w:val="22"/>
                <w:color w:val="auto"/>
              </w:rPr>
            </w:pPr>
          </w:p>
        </w:tc>
        <w:tc>
          <w:tcPr>
            <w:tcW w:w="5260" w:type="dxa"/>
            <w:vAlign w:val="bottom"/>
            <w:tcBorders>
              <w:bottom w:val="single" w:sz="8" w:color="DCE2EF"/>
            </w:tcBorders>
            <w:gridSpan w:val="4"/>
            <w:shd w:val="clear" w:color="auto" w:fill="DCE2EF"/>
          </w:tcPr>
          <w:p>
            <w:pPr>
              <w:ind w:left="140"/>
              <w:spacing w:after="0"/>
              <w:rPr>
                <w:sz w:val="20"/>
                <w:szCs w:val="20"/>
                <w:color w:val="auto"/>
              </w:rPr>
            </w:pPr>
            <w:r>
              <w:rPr>
                <w:rFonts w:ascii="Arial" w:cs="Arial" w:eastAsia="Arial" w:hAnsi="Arial"/>
                <w:sz w:val="14"/>
                <w:szCs w:val="14"/>
                <w:i w:val="1"/>
                <w:iCs w:val="1"/>
                <w:color w:val="auto"/>
                <w:shd w:val="clear" w:color="auto" w:fill="DCE2EF"/>
              </w:rPr>
              <w:t>Gross margin</w:t>
            </w:r>
          </w:p>
        </w:tc>
        <w:tc>
          <w:tcPr>
            <w:tcW w:w="380" w:type="dxa"/>
            <w:vAlign w:val="bottom"/>
            <w:tcBorders>
              <w:bottom w:val="single" w:sz="8" w:color="DCE2EF"/>
            </w:tcBorders>
            <w:shd w:val="clear" w:color="auto" w:fill="DCE2EF"/>
          </w:tcPr>
          <w:p>
            <w:pPr>
              <w:spacing w:after="0"/>
              <w:rPr>
                <w:sz w:val="22"/>
                <w:szCs w:val="22"/>
                <w:color w:val="auto"/>
              </w:rPr>
            </w:pPr>
          </w:p>
        </w:tc>
        <w:tc>
          <w:tcPr>
            <w:tcW w:w="12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4"/>
                <w:szCs w:val="14"/>
                <w:i w:val="1"/>
                <w:iCs w:val="1"/>
                <w:color w:val="auto"/>
              </w:rPr>
              <w:t>11.2%</w:t>
            </w:r>
          </w:p>
        </w:tc>
        <w:tc>
          <w:tcPr>
            <w:tcW w:w="120" w:type="dxa"/>
            <w:vAlign w:val="bottom"/>
            <w:tcBorders>
              <w:bottom w:val="single" w:sz="8" w:color="DCE2EF"/>
            </w:tcBorders>
            <w:shd w:val="clear" w:color="auto" w:fill="DCE2EF"/>
          </w:tcPr>
          <w:p>
            <w:pPr>
              <w:spacing w:after="0"/>
              <w:rPr>
                <w:sz w:val="22"/>
                <w:szCs w:val="22"/>
                <w:color w:val="auto"/>
              </w:rPr>
            </w:pPr>
          </w:p>
        </w:tc>
        <w:tc>
          <w:tcPr>
            <w:tcW w:w="380" w:type="dxa"/>
            <w:vAlign w:val="bottom"/>
            <w:tcBorders>
              <w:bottom w:val="single" w:sz="8" w:color="DCE2EF"/>
            </w:tcBorders>
            <w:shd w:val="clear" w:color="auto" w:fill="DCE2EF"/>
          </w:tcPr>
          <w:p>
            <w:pPr>
              <w:spacing w:after="0"/>
              <w:rPr>
                <w:sz w:val="22"/>
                <w:szCs w:val="22"/>
                <w:color w:val="auto"/>
              </w:rPr>
            </w:pPr>
          </w:p>
        </w:tc>
        <w:tc>
          <w:tcPr>
            <w:tcW w:w="12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4"/>
                <w:szCs w:val="14"/>
                <w:i w:val="1"/>
                <w:iCs w:val="1"/>
                <w:color w:val="auto"/>
              </w:rPr>
              <w:t>10.8%</w:t>
            </w:r>
          </w:p>
        </w:tc>
        <w:tc>
          <w:tcPr>
            <w:tcW w:w="120" w:type="dxa"/>
            <w:vAlign w:val="bottom"/>
            <w:tcBorders>
              <w:bottom w:val="single" w:sz="8" w:color="DCE2EF"/>
            </w:tcBorders>
            <w:shd w:val="clear" w:color="auto" w:fill="DCE2EF"/>
          </w:tcPr>
          <w:p>
            <w:pPr>
              <w:spacing w:after="0"/>
              <w:rPr>
                <w:sz w:val="22"/>
                <w:szCs w:val="22"/>
                <w:color w:val="auto"/>
              </w:rPr>
            </w:pPr>
          </w:p>
        </w:tc>
        <w:tc>
          <w:tcPr>
            <w:tcW w:w="300" w:type="dxa"/>
            <w:vAlign w:val="bottom"/>
            <w:tcBorders>
              <w:bottom w:val="single" w:sz="8" w:color="DCE2EF"/>
            </w:tcBorders>
            <w:shd w:val="clear" w:color="auto" w:fill="DCE2EF"/>
          </w:tcPr>
          <w:p>
            <w:pPr>
              <w:spacing w:after="0"/>
              <w:rPr>
                <w:sz w:val="22"/>
                <w:szCs w:val="22"/>
                <w:color w:val="auto"/>
              </w:rPr>
            </w:pPr>
          </w:p>
        </w:tc>
        <w:tc>
          <w:tcPr>
            <w:tcW w:w="940" w:type="dxa"/>
            <w:vAlign w:val="bottom"/>
            <w:tcBorders>
              <w:bottom w:val="single" w:sz="8" w:color="DCE2EF"/>
            </w:tcBorders>
            <w:shd w:val="clear" w:color="auto" w:fill="DCE2EF"/>
          </w:tcPr>
          <w:p>
            <w:pPr>
              <w:jc w:val="right"/>
              <w:ind w:right="19"/>
              <w:spacing w:after="0"/>
              <w:rPr>
                <w:sz w:val="20"/>
                <w:szCs w:val="20"/>
                <w:color w:val="auto"/>
              </w:rPr>
            </w:pPr>
            <w:r>
              <w:rPr>
                <w:rFonts w:ascii="Arial" w:cs="Arial" w:eastAsia="Arial" w:hAnsi="Arial"/>
                <w:sz w:val="14"/>
                <w:szCs w:val="14"/>
                <w:i w:val="1"/>
                <w:iCs w:val="1"/>
                <w:color w:val="auto"/>
              </w:rPr>
              <w:t>46 bps</w:t>
            </w:r>
          </w:p>
        </w:tc>
        <w:tc>
          <w:tcPr>
            <w:tcW w:w="1360" w:type="dxa"/>
            <w:vAlign w:val="bottom"/>
            <w:tcBorders>
              <w:bottom w:val="single" w:sz="8" w:color="DCE2EF"/>
            </w:tcBorders>
            <w:shd w:val="clear" w:color="auto" w:fill="DCE2EF"/>
          </w:tcPr>
          <w:p>
            <w:pPr>
              <w:spacing w:after="0"/>
              <w:rPr>
                <w:sz w:val="22"/>
                <w:szCs w:val="22"/>
                <w:color w:val="auto"/>
              </w:rPr>
            </w:pPr>
          </w:p>
        </w:tc>
      </w:tr>
      <w:tr>
        <w:trPr>
          <w:trHeight w:val="262"/>
        </w:trPr>
        <w:tc>
          <w:tcPr>
            <w:tcW w:w="5300" w:type="dxa"/>
            <w:vAlign w:val="bottom"/>
            <w:gridSpan w:val="5"/>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452.9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438.0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14.9</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98"/>
              </w:rPr>
              <w:t>3.4%</w:t>
            </w:r>
          </w:p>
        </w:tc>
      </w:tr>
      <w:tr>
        <w:trPr>
          <w:trHeight w:val="258"/>
        </w:trPr>
        <w:tc>
          <w:tcPr>
            <w:tcW w:w="40" w:type="dxa"/>
            <w:vAlign w:val="bottom"/>
            <w:tcBorders>
              <w:bottom w:val="single" w:sz="8" w:color="DCE2EF"/>
            </w:tcBorders>
            <w:shd w:val="clear" w:color="auto" w:fill="DCE2EF"/>
          </w:tcPr>
          <w:p>
            <w:pPr>
              <w:spacing w:after="0"/>
              <w:rPr>
                <w:sz w:val="22"/>
                <w:szCs w:val="22"/>
                <w:color w:val="auto"/>
              </w:rPr>
            </w:pPr>
          </w:p>
        </w:tc>
        <w:tc>
          <w:tcPr>
            <w:tcW w:w="5260" w:type="dxa"/>
            <w:vAlign w:val="bottom"/>
            <w:tcBorders>
              <w:bottom w:val="single" w:sz="8" w:color="DCE2EF"/>
            </w:tcBorders>
            <w:gridSpan w:val="4"/>
            <w:shd w:val="clear" w:color="auto" w:fill="DCE2EF"/>
          </w:tcPr>
          <w:p>
            <w:pPr>
              <w:spacing w:after="0"/>
              <w:rPr>
                <w:sz w:val="20"/>
                <w:szCs w:val="20"/>
                <w:color w:val="auto"/>
              </w:rPr>
            </w:pPr>
            <w:r>
              <w:rPr>
                <w:rFonts w:ascii="Arial" w:cs="Arial" w:eastAsia="Arial" w:hAnsi="Arial"/>
                <w:sz w:val="16"/>
                <w:szCs w:val="16"/>
                <w:color w:val="auto"/>
                <w:shd w:val="clear" w:color="auto" w:fill="DCE2EF"/>
              </w:rPr>
              <w:t>Restructuring and related expenses</w:t>
            </w:r>
          </w:p>
        </w:tc>
        <w:tc>
          <w:tcPr>
            <w:tcW w:w="380" w:type="dxa"/>
            <w:vAlign w:val="bottom"/>
            <w:tcBorders>
              <w:bottom w:val="single" w:sz="8" w:color="DCE2EF"/>
            </w:tcBorders>
            <w:shd w:val="clear" w:color="auto" w:fill="DCE2EF"/>
          </w:tcPr>
          <w:p>
            <w:pPr>
              <w:spacing w:after="0"/>
              <w:rPr>
                <w:sz w:val="22"/>
                <w:szCs w:val="22"/>
                <w:color w:val="auto"/>
              </w:rPr>
            </w:pPr>
          </w:p>
        </w:tc>
        <w:tc>
          <w:tcPr>
            <w:tcW w:w="1260" w:type="dxa"/>
            <w:vAlign w:val="bottom"/>
            <w:tcBorders>
              <w:bottom w:val="single" w:sz="8" w:color="DCE2EF"/>
            </w:tcBorders>
            <w:shd w:val="clear" w:color="auto" w:fill="DCE2EF"/>
          </w:tcPr>
          <w:p>
            <w:pPr>
              <w:jc w:val="right"/>
              <w:ind w:right="79"/>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DCE2EF"/>
            </w:tcBorders>
            <w:shd w:val="clear" w:color="auto" w:fill="DCE2EF"/>
          </w:tcPr>
          <w:p>
            <w:pPr>
              <w:spacing w:after="0"/>
              <w:rPr>
                <w:sz w:val="22"/>
                <w:szCs w:val="22"/>
                <w:color w:val="auto"/>
              </w:rPr>
            </w:pPr>
          </w:p>
        </w:tc>
        <w:tc>
          <w:tcPr>
            <w:tcW w:w="380" w:type="dxa"/>
            <w:vAlign w:val="bottom"/>
            <w:tcBorders>
              <w:bottom w:val="single" w:sz="8" w:color="DCE2EF"/>
            </w:tcBorders>
            <w:shd w:val="clear" w:color="auto" w:fill="DCE2EF"/>
          </w:tcPr>
          <w:p>
            <w:pPr>
              <w:spacing w:after="0"/>
              <w:rPr>
                <w:sz w:val="22"/>
                <w:szCs w:val="22"/>
                <w:color w:val="auto"/>
              </w:rPr>
            </w:pPr>
          </w:p>
        </w:tc>
        <w:tc>
          <w:tcPr>
            <w:tcW w:w="1260" w:type="dxa"/>
            <w:vAlign w:val="bottom"/>
            <w:tcBorders>
              <w:bottom w:val="single" w:sz="8" w:color="DCE2EF"/>
            </w:tcBorders>
            <w:shd w:val="clear" w:color="auto" w:fill="DCE2EF"/>
          </w:tcPr>
          <w:p>
            <w:pPr>
              <w:jc w:val="right"/>
              <w:ind w:right="79"/>
              <w:spacing w:after="0"/>
              <w:rPr>
                <w:sz w:val="20"/>
                <w:szCs w:val="20"/>
                <w:color w:val="auto"/>
              </w:rPr>
            </w:pPr>
            <w:r>
              <w:rPr>
                <w:rFonts w:ascii="Arial" w:cs="Arial" w:eastAsia="Arial" w:hAnsi="Arial"/>
                <w:sz w:val="16"/>
                <w:szCs w:val="16"/>
                <w:color w:val="auto"/>
              </w:rPr>
              <w:t>25.7</w:t>
            </w:r>
          </w:p>
        </w:tc>
        <w:tc>
          <w:tcPr>
            <w:tcW w:w="120" w:type="dxa"/>
            <w:vAlign w:val="bottom"/>
            <w:tcBorders>
              <w:bottom w:val="single" w:sz="8" w:color="DCE2EF"/>
            </w:tcBorders>
            <w:shd w:val="clear" w:color="auto" w:fill="DCE2EF"/>
          </w:tcPr>
          <w:p>
            <w:pPr>
              <w:spacing w:after="0"/>
              <w:rPr>
                <w:sz w:val="22"/>
                <w:szCs w:val="22"/>
                <w:color w:val="auto"/>
              </w:rPr>
            </w:pPr>
          </w:p>
        </w:tc>
        <w:tc>
          <w:tcPr>
            <w:tcW w:w="300" w:type="dxa"/>
            <w:vAlign w:val="bottom"/>
            <w:tcBorders>
              <w:bottom w:val="single" w:sz="8" w:color="DCE2EF"/>
            </w:tcBorders>
            <w:shd w:val="clear" w:color="auto" w:fill="DCE2EF"/>
          </w:tcPr>
          <w:p>
            <w:pPr>
              <w:spacing w:after="0"/>
              <w:rPr>
                <w:sz w:val="22"/>
                <w:szCs w:val="22"/>
                <w:color w:val="auto"/>
              </w:rPr>
            </w:pPr>
          </w:p>
        </w:tc>
        <w:tc>
          <w:tcPr>
            <w:tcW w:w="94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(14.5)</w:t>
            </w:r>
          </w:p>
        </w:tc>
        <w:tc>
          <w:tcPr>
            <w:tcW w:w="1360" w:type="dxa"/>
            <w:vAlign w:val="bottom"/>
            <w:tcBorders>
              <w:bottom w:val="single" w:sz="8" w:color="DCE2EF"/>
            </w:tcBorders>
            <w:shd w:val="clear" w:color="auto" w:fill="DCE2EF"/>
          </w:tcPr>
          <w:p>
            <w:pPr>
              <w:jc w:val="center"/>
              <w:ind w:left="39"/>
              <w:spacing w:after="0"/>
              <w:rPr>
                <w:sz w:val="20"/>
                <w:szCs w:val="20"/>
                <w:color w:val="auto"/>
              </w:rPr>
            </w:pPr>
            <w:r>
              <w:rPr>
                <w:rFonts w:ascii="Arial" w:cs="Arial" w:eastAsia="Arial" w:hAnsi="Arial"/>
                <w:sz w:val="16"/>
                <w:szCs w:val="16"/>
                <w:color w:val="auto"/>
                <w:w w:val="99"/>
              </w:rPr>
              <w:t>(56.3)%</w:t>
            </w:r>
          </w:p>
        </w:tc>
      </w:tr>
      <w:tr>
        <w:trPr>
          <w:trHeight w:val="262"/>
        </w:trPr>
        <w:tc>
          <w:tcPr>
            <w:tcW w:w="5300" w:type="dxa"/>
            <w:vAlign w:val="bottom"/>
            <w:gridSpan w:val="5"/>
          </w:tcPr>
          <w:p>
            <w:pPr>
              <w:ind w:left="40"/>
              <w:spacing w:after="0"/>
              <w:rPr>
                <w:sz w:val="20"/>
                <w:szCs w:val="20"/>
                <w:color w:val="auto"/>
              </w:rPr>
            </w:pPr>
            <w:r>
              <w:rPr>
                <w:rFonts w:ascii="Arial" w:cs="Arial" w:eastAsia="Arial" w:hAnsi="Arial"/>
                <w:sz w:val="16"/>
                <w:szCs w:val="16"/>
                <w:color w:val="auto"/>
              </w:rPr>
              <w:t>Amortization of intangible assets</w:t>
            </w: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58.5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66.0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(7.5)</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99"/>
              </w:rPr>
              <w:t>(11.3)%</w:t>
            </w:r>
          </w:p>
        </w:tc>
      </w:tr>
      <w:tr>
        <w:trPr>
          <w:trHeight w:val="278"/>
        </w:trPr>
        <w:tc>
          <w:tcPr>
            <w:tcW w:w="40" w:type="dxa"/>
            <w:vAlign w:val="bottom"/>
            <w:tcBorders>
              <w:bottom w:val="single" w:sz="8" w:color="DCE2EF"/>
            </w:tcBorders>
            <w:shd w:val="clear" w:color="auto" w:fill="DCE2EF"/>
          </w:tcPr>
          <w:p>
            <w:pPr>
              <w:spacing w:after="0"/>
              <w:rPr>
                <w:sz w:val="24"/>
                <w:szCs w:val="24"/>
                <w:color w:val="auto"/>
              </w:rPr>
            </w:pPr>
          </w:p>
        </w:tc>
        <w:tc>
          <w:tcPr>
            <w:tcW w:w="5260" w:type="dxa"/>
            <w:vAlign w:val="bottom"/>
            <w:tcBorders>
              <w:bottom w:val="single" w:sz="8" w:color="DCE2EF"/>
            </w:tcBorders>
            <w:gridSpan w:val="4"/>
            <w:shd w:val="clear" w:color="auto" w:fill="DCE2EF"/>
          </w:tcPr>
          <w:p>
            <w:pPr>
              <w:spacing w:after="0"/>
              <w:rPr>
                <w:sz w:val="20"/>
                <w:szCs w:val="20"/>
                <w:color w:val="auto"/>
              </w:rPr>
            </w:pPr>
            <w:r>
              <w:rPr>
                <w:rFonts w:ascii="Arial" w:cs="Arial" w:eastAsia="Arial" w:hAnsi="Arial"/>
                <w:sz w:val="16"/>
                <w:szCs w:val="16"/>
                <w:color w:val="auto"/>
                <w:shd w:val="clear" w:color="auto" w:fill="DCE2EF"/>
              </w:rPr>
              <w:t>Impairment loss</w:t>
            </w:r>
          </w:p>
        </w:tc>
        <w:tc>
          <w:tcPr>
            <w:tcW w:w="380" w:type="dxa"/>
            <w:vAlign w:val="bottom"/>
            <w:tcBorders>
              <w:bottom w:val="single" w:sz="8" w:color="DCE2EF"/>
            </w:tcBorders>
            <w:shd w:val="clear" w:color="auto" w:fill="DCE2EF"/>
          </w:tcPr>
          <w:p>
            <w:pPr>
              <w:spacing w:after="0"/>
              <w:rPr>
                <w:sz w:val="24"/>
                <w:szCs w:val="24"/>
                <w:color w:val="auto"/>
              </w:rPr>
            </w:pPr>
          </w:p>
        </w:tc>
        <w:tc>
          <w:tcPr>
            <w:tcW w:w="1380" w:type="dxa"/>
            <w:vAlign w:val="bottom"/>
            <w:tcBorders>
              <w:bottom w:val="single" w:sz="8" w:color="DCE2EF"/>
            </w:tcBorders>
            <w:gridSpan w:val="2"/>
            <w:shd w:val="clear" w:color="auto" w:fill="DCE2EF"/>
          </w:tcPr>
          <w:p>
            <w:pPr>
              <w:jc w:val="right"/>
              <w:ind w:right="28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DCE2EF"/>
            </w:tcBorders>
            <w:shd w:val="clear" w:color="auto" w:fill="DCE2EF"/>
          </w:tcPr>
          <w:p>
            <w:pPr>
              <w:spacing w:after="0"/>
              <w:rPr>
                <w:sz w:val="24"/>
                <w:szCs w:val="24"/>
                <w:color w:val="auto"/>
              </w:rPr>
            </w:pPr>
          </w:p>
        </w:tc>
        <w:tc>
          <w:tcPr>
            <w:tcW w:w="1260" w:type="dxa"/>
            <w:vAlign w:val="bottom"/>
            <w:tcBorders>
              <w:bottom w:val="single" w:sz="8" w:color="DCE2EF"/>
            </w:tcBorders>
            <w:shd w:val="clear" w:color="auto" w:fill="DCE2EF"/>
          </w:tcPr>
          <w:p>
            <w:pPr>
              <w:jc w:val="right"/>
              <w:ind w:right="79"/>
              <w:spacing w:after="0"/>
              <w:rPr>
                <w:sz w:val="20"/>
                <w:szCs w:val="20"/>
                <w:color w:val="auto"/>
              </w:rPr>
            </w:pPr>
            <w:r>
              <w:rPr>
                <w:rFonts w:ascii="Arial" w:cs="Arial" w:eastAsia="Arial" w:hAnsi="Arial"/>
                <w:sz w:val="16"/>
                <w:szCs w:val="16"/>
                <w:color w:val="auto"/>
              </w:rPr>
              <w:t>26.5</w:t>
            </w:r>
          </w:p>
        </w:tc>
        <w:tc>
          <w:tcPr>
            <w:tcW w:w="120" w:type="dxa"/>
            <w:vAlign w:val="bottom"/>
            <w:tcBorders>
              <w:bottom w:val="single" w:sz="8" w:color="DCE2EF"/>
            </w:tcBorders>
            <w:shd w:val="clear" w:color="auto" w:fill="DCE2EF"/>
          </w:tcPr>
          <w:p>
            <w:pPr>
              <w:spacing w:after="0"/>
              <w:rPr>
                <w:sz w:val="24"/>
                <w:szCs w:val="24"/>
                <w:color w:val="auto"/>
              </w:rPr>
            </w:pPr>
          </w:p>
        </w:tc>
        <w:tc>
          <w:tcPr>
            <w:tcW w:w="300" w:type="dxa"/>
            <w:vAlign w:val="bottom"/>
            <w:tcBorders>
              <w:bottom w:val="single" w:sz="8" w:color="DCE2EF"/>
            </w:tcBorders>
            <w:shd w:val="clear" w:color="auto" w:fill="DCE2EF"/>
          </w:tcPr>
          <w:p>
            <w:pPr>
              <w:spacing w:after="0"/>
              <w:rPr>
                <w:sz w:val="24"/>
                <w:szCs w:val="24"/>
                <w:color w:val="auto"/>
              </w:rPr>
            </w:pPr>
          </w:p>
        </w:tc>
        <w:tc>
          <w:tcPr>
            <w:tcW w:w="94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(26.5)</w:t>
            </w:r>
          </w:p>
        </w:tc>
        <w:tc>
          <w:tcPr>
            <w:tcW w:w="1360" w:type="dxa"/>
            <w:vAlign w:val="bottom"/>
            <w:tcBorders>
              <w:bottom w:val="single" w:sz="8" w:color="DCE2EF"/>
            </w:tcBorders>
            <w:shd w:val="clear" w:color="auto" w:fill="DCE2EF"/>
          </w:tcPr>
          <w:p>
            <w:pPr>
              <w:ind w:left="580"/>
              <w:spacing w:after="0"/>
              <w:rPr>
                <w:sz w:val="20"/>
                <w:szCs w:val="20"/>
                <w:color w:val="auto"/>
              </w:rPr>
            </w:pPr>
            <w:r>
              <w:rPr>
                <w:rFonts w:ascii="Arial" w:cs="Arial" w:eastAsia="Arial" w:hAnsi="Arial"/>
                <w:sz w:val="16"/>
                <w:szCs w:val="16"/>
                <w:color w:val="auto"/>
              </w:rPr>
              <w:t>NM*</w:t>
            </w:r>
          </w:p>
        </w:tc>
      </w:tr>
      <w:tr>
        <w:trPr>
          <w:trHeight w:val="246"/>
        </w:trPr>
        <w:tc>
          <w:tcPr>
            <w:tcW w:w="5300" w:type="dxa"/>
            <w:vAlign w:val="bottom"/>
            <w:gridSpan w:val="5"/>
          </w:tcPr>
          <w:p>
            <w:pPr>
              <w:ind w:left="40"/>
              <w:spacing w:after="0"/>
              <w:rPr>
                <w:sz w:val="20"/>
                <w:szCs w:val="20"/>
                <w:color w:val="auto"/>
              </w:rPr>
            </w:pPr>
            <w:r>
              <w:rPr>
                <w:rFonts w:ascii="Arial" w:cs="Arial" w:eastAsia="Arial" w:hAnsi="Arial"/>
                <w:sz w:val="16"/>
                <w:szCs w:val="16"/>
                <w:b w:val="1"/>
                <w:bCs w:val="1"/>
                <w:color w:val="auto"/>
              </w:rPr>
              <w:t>Operating profit</w:t>
            </w:r>
          </w:p>
        </w:tc>
        <w:tc>
          <w:tcPr>
            <w:tcW w:w="3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208.3</w:t>
            </w: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138.6</w:t>
            </w: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69.7</w:t>
            </w:r>
          </w:p>
        </w:tc>
        <w:tc>
          <w:tcPr>
            <w:tcW w:w="1360" w:type="dxa"/>
            <w:vAlign w:val="bottom"/>
          </w:tcPr>
          <w:p>
            <w:pPr>
              <w:jc w:val="center"/>
              <w:ind w:left="19"/>
              <w:spacing w:after="0"/>
              <w:rPr>
                <w:sz w:val="20"/>
                <w:szCs w:val="20"/>
                <w:color w:val="auto"/>
              </w:rPr>
            </w:pPr>
            <w:r>
              <w:rPr>
                <w:rFonts w:ascii="Arial" w:cs="Arial" w:eastAsia="Arial" w:hAnsi="Arial"/>
                <w:sz w:val="16"/>
                <w:szCs w:val="16"/>
                <w:color w:val="auto"/>
              </w:rPr>
              <w:t>50.3%</w:t>
            </w:r>
          </w:p>
        </w:tc>
      </w:tr>
      <w:tr>
        <w:trPr>
          <w:trHeight w:val="254"/>
        </w:trPr>
        <w:tc>
          <w:tcPr>
            <w:tcW w:w="40" w:type="dxa"/>
            <w:vAlign w:val="bottom"/>
            <w:tcBorders>
              <w:bottom w:val="single" w:sz="8" w:color="DCE2EF"/>
            </w:tcBorders>
            <w:shd w:val="clear" w:color="auto" w:fill="DCE2EF"/>
          </w:tcPr>
          <w:p>
            <w:pPr>
              <w:spacing w:after="0"/>
              <w:rPr>
                <w:sz w:val="22"/>
                <w:szCs w:val="22"/>
                <w:color w:val="auto"/>
              </w:rPr>
            </w:pPr>
          </w:p>
        </w:tc>
        <w:tc>
          <w:tcPr>
            <w:tcW w:w="5260" w:type="dxa"/>
            <w:vAlign w:val="bottom"/>
            <w:tcBorders>
              <w:bottom w:val="single" w:sz="8" w:color="DCE2EF"/>
            </w:tcBorders>
            <w:gridSpan w:val="4"/>
            <w:shd w:val="clear" w:color="auto" w:fill="DCE2EF"/>
          </w:tcPr>
          <w:p>
            <w:pPr>
              <w:spacing w:after="0"/>
              <w:rPr>
                <w:sz w:val="20"/>
                <w:szCs w:val="20"/>
                <w:color w:val="auto"/>
              </w:rPr>
            </w:pPr>
            <w:r>
              <w:rPr>
                <w:rFonts w:ascii="Arial" w:cs="Arial" w:eastAsia="Arial" w:hAnsi="Arial"/>
                <w:sz w:val="16"/>
                <w:szCs w:val="16"/>
                <w:color w:val="auto"/>
                <w:shd w:val="clear" w:color="auto" w:fill="DCE2EF"/>
              </w:rPr>
              <w:t>Income from unconsolidated affiliates</w:t>
            </w:r>
          </w:p>
        </w:tc>
        <w:tc>
          <w:tcPr>
            <w:tcW w:w="380" w:type="dxa"/>
            <w:vAlign w:val="bottom"/>
            <w:tcBorders>
              <w:bottom w:val="single" w:sz="8" w:color="DCE2EF"/>
            </w:tcBorders>
            <w:shd w:val="clear" w:color="auto" w:fill="DCE2EF"/>
          </w:tcPr>
          <w:p>
            <w:pPr>
              <w:spacing w:after="0"/>
              <w:rPr>
                <w:sz w:val="22"/>
                <w:szCs w:val="22"/>
                <w:color w:val="auto"/>
              </w:rPr>
            </w:pPr>
          </w:p>
        </w:tc>
        <w:tc>
          <w:tcPr>
            <w:tcW w:w="1260" w:type="dxa"/>
            <w:vAlign w:val="bottom"/>
            <w:tcBorders>
              <w:bottom w:val="single" w:sz="8" w:color="DCE2EF"/>
            </w:tcBorders>
            <w:shd w:val="clear" w:color="auto" w:fill="DCE2EF"/>
          </w:tcPr>
          <w:p>
            <w:pPr>
              <w:jc w:val="right"/>
              <w:ind w:right="79"/>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DCE2EF"/>
            </w:tcBorders>
            <w:shd w:val="clear" w:color="auto" w:fill="DCE2EF"/>
          </w:tcPr>
          <w:p>
            <w:pPr>
              <w:spacing w:after="0"/>
              <w:rPr>
                <w:sz w:val="22"/>
                <w:szCs w:val="22"/>
                <w:color w:val="auto"/>
              </w:rPr>
            </w:pPr>
          </w:p>
        </w:tc>
        <w:tc>
          <w:tcPr>
            <w:tcW w:w="380" w:type="dxa"/>
            <w:vAlign w:val="bottom"/>
            <w:tcBorders>
              <w:bottom w:val="single" w:sz="8" w:color="DCE2EF"/>
            </w:tcBorders>
            <w:shd w:val="clear" w:color="auto" w:fill="DCE2EF"/>
          </w:tcPr>
          <w:p>
            <w:pPr>
              <w:spacing w:after="0"/>
              <w:rPr>
                <w:sz w:val="22"/>
                <w:szCs w:val="22"/>
                <w:color w:val="auto"/>
              </w:rPr>
            </w:pPr>
          </w:p>
        </w:tc>
        <w:tc>
          <w:tcPr>
            <w:tcW w:w="1260" w:type="dxa"/>
            <w:vAlign w:val="bottom"/>
            <w:tcBorders>
              <w:bottom w:val="single" w:sz="8" w:color="DCE2EF"/>
            </w:tcBorders>
            <w:shd w:val="clear" w:color="auto" w:fill="DCE2EF"/>
          </w:tcPr>
          <w:p>
            <w:pPr>
              <w:jc w:val="right"/>
              <w:ind w:right="7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DCE2EF"/>
            </w:tcBorders>
            <w:shd w:val="clear" w:color="auto" w:fill="DCE2EF"/>
          </w:tcPr>
          <w:p>
            <w:pPr>
              <w:spacing w:after="0"/>
              <w:rPr>
                <w:sz w:val="22"/>
                <w:szCs w:val="22"/>
                <w:color w:val="auto"/>
              </w:rPr>
            </w:pPr>
          </w:p>
        </w:tc>
        <w:tc>
          <w:tcPr>
            <w:tcW w:w="300" w:type="dxa"/>
            <w:vAlign w:val="bottom"/>
            <w:tcBorders>
              <w:bottom w:val="single" w:sz="8" w:color="DCE2EF"/>
            </w:tcBorders>
            <w:shd w:val="clear" w:color="auto" w:fill="DCE2EF"/>
          </w:tcPr>
          <w:p>
            <w:pPr>
              <w:spacing w:after="0"/>
              <w:rPr>
                <w:sz w:val="22"/>
                <w:szCs w:val="22"/>
                <w:color w:val="auto"/>
              </w:rPr>
            </w:pPr>
          </w:p>
        </w:tc>
        <w:tc>
          <w:tcPr>
            <w:tcW w:w="94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(0.2)</w:t>
            </w:r>
          </w:p>
        </w:tc>
        <w:tc>
          <w:tcPr>
            <w:tcW w:w="1360" w:type="dxa"/>
            <w:vAlign w:val="bottom"/>
            <w:tcBorders>
              <w:bottom w:val="single" w:sz="8" w:color="DCE2EF"/>
            </w:tcBorders>
            <w:shd w:val="clear" w:color="auto" w:fill="DCE2EF"/>
          </w:tcPr>
          <w:p>
            <w:pPr>
              <w:jc w:val="center"/>
              <w:ind w:left="39"/>
              <w:spacing w:after="0"/>
              <w:rPr>
                <w:sz w:val="20"/>
                <w:szCs w:val="20"/>
                <w:color w:val="auto"/>
              </w:rPr>
            </w:pPr>
            <w:r>
              <w:rPr>
                <w:rFonts w:ascii="Arial" w:cs="Arial" w:eastAsia="Arial" w:hAnsi="Arial"/>
                <w:sz w:val="16"/>
                <w:szCs w:val="16"/>
                <w:color w:val="auto"/>
              </w:rPr>
              <w:t>(6.8)%</w:t>
            </w:r>
          </w:p>
        </w:tc>
      </w:tr>
      <w:tr>
        <w:trPr>
          <w:trHeight w:val="264"/>
        </w:trPr>
        <w:tc>
          <w:tcPr>
            <w:tcW w:w="5300" w:type="dxa"/>
            <w:vAlign w:val="bottom"/>
            <w:tcBorders>
              <w:bottom w:val="single" w:sz="8" w:color="DCE2EF"/>
            </w:tcBorders>
            <w:gridSpan w:val="5"/>
          </w:tcPr>
          <w:p>
            <w:pPr>
              <w:ind w:left="40"/>
              <w:spacing w:after="0"/>
              <w:rPr>
                <w:sz w:val="20"/>
                <w:szCs w:val="20"/>
                <w:color w:val="auto"/>
              </w:rPr>
            </w:pPr>
            <w:r>
              <w:rPr>
                <w:rFonts w:ascii="Arial" w:cs="Arial" w:eastAsia="Arial" w:hAnsi="Arial"/>
                <w:sz w:val="16"/>
                <w:szCs w:val="16"/>
                <w:color w:val="auto"/>
              </w:rPr>
              <w:t>Interest expense</w:t>
            </w: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(51.1)</w:t>
            </w:r>
          </w:p>
        </w:tc>
        <w:tc>
          <w:tcPr>
            <w:tcW w:w="120" w:type="dxa"/>
            <w:vAlign w:val="bottom"/>
            <w:tcBorders>
              <w:bottom w:val="single" w:sz="8" w:color="DCE2E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(54.1)</w:t>
            </w:r>
          </w:p>
        </w:tc>
        <w:tc>
          <w:tcPr>
            <w:tcW w:w="120" w:type="dxa"/>
            <w:vAlign w:val="bottom"/>
            <w:tcBorders>
              <w:bottom w:val="single" w:sz="8" w:color="DCE2E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360" w:type="dxa"/>
            <w:vAlign w:val="bottom"/>
            <w:tcBorders>
              <w:bottom w:val="single" w:sz="8" w:color="DCE2EF"/>
            </w:tcBorders>
          </w:tcPr>
          <w:p>
            <w:pPr>
              <w:jc w:val="center"/>
              <w:ind w:left="39"/>
              <w:spacing w:after="0"/>
              <w:rPr>
                <w:sz w:val="20"/>
                <w:szCs w:val="20"/>
                <w:color w:val="auto"/>
              </w:rPr>
            </w:pPr>
            <w:r>
              <w:rPr>
                <w:rFonts w:ascii="Arial" w:cs="Arial" w:eastAsia="Arial" w:hAnsi="Arial"/>
                <w:sz w:val="16"/>
                <w:szCs w:val="16"/>
                <w:color w:val="auto"/>
              </w:rPr>
              <w:t>(5.5)%</w:t>
            </w:r>
          </w:p>
        </w:tc>
      </w:tr>
      <w:tr>
        <w:trPr>
          <w:trHeight w:val="237"/>
        </w:trPr>
        <w:tc>
          <w:tcPr>
            <w:tcW w:w="40" w:type="dxa"/>
            <w:vAlign w:val="bottom"/>
            <w:tcBorders>
              <w:bottom w:val="single" w:sz="8" w:color="DCE2EF"/>
            </w:tcBorders>
            <w:shd w:val="clear" w:color="auto" w:fill="DCE2EF"/>
          </w:tcPr>
          <w:p>
            <w:pPr>
              <w:spacing w:after="0"/>
              <w:rPr>
                <w:sz w:val="20"/>
                <w:szCs w:val="20"/>
                <w:color w:val="auto"/>
              </w:rPr>
            </w:pPr>
          </w:p>
        </w:tc>
        <w:tc>
          <w:tcPr>
            <w:tcW w:w="5260" w:type="dxa"/>
            <w:vAlign w:val="bottom"/>
            <w:tcBorders>
              <w:bottom w:val="single" w:sz="8" w:color="DCE2EF"/>
            </w:tcBorders>
            <w:gridSpan w:val="4"/>
            <w:shd w:val="clear" w:color="auto" w:fill="DCE2EF"/>
          </w:tcPr>
          <w:p>
            <w:pPr>
              <w:spacing w:after="0"/>
              <w:rPr>
                <w:sz w:val="20"/>
                <w:szCs w:val="20"/>
                <w:color w:val="auto"/>
              </w:rPr>
            </w:pPr>
            <w:r>
              <w:rPr>
                <w:rFonts w:ascii="Arial" w:cs="Arial" w:eastAsia="Arial" w:hAnsi="Arial"/>
                <w:sz w:val="16"/>
                <w:szCs w:val="16"/>
                <w:color w:val="auto"/>
                <w:shd w:val="clear" w:color="auto" w:fill="DCE2EF"/>
              </w:rPr>
              <w:t>Income from continuing operations before income taxes</w:t>
            </w:r>
          </w:p>
        </w:tc>
        <w:tc>
          <w:tcPr>
            <w:tcW w:w="380" w:type="dxa"/>
            <w:vAlign w:val="bottom"/>
            <w:tcBorders>
              <w:bottom w:val="single" w:sz="8" w:color="DCE2EF"/>
            </w:tcBorders>
            <w:shd w:val="clear" w:color="auto" w:fill="DCE2EF"/>
          </w:tcPr>
          <w:p>
            <w:pPr>
              <w:spacing w:after="0"/>
              <w:rPr>
                <w:sz w:val="20"/>
                <w:szCs w:val="20"/>
                <w:color w:val="auto"/>
              </w:rPr>
            </w:pPr>
          </w:p>
        </w:tc>
        <w:tc>
          <w:tcPr>
            <w:tcW w:w="1260" w:type="dxa"/>
            <w:vAlign w:val="bottom"/>
            <w:tcBorders>
              <w:bottom w:val="single" w:sz="8" w:color="DCE2EF"/>
            </w:tcBorders>
            <w:shd w:val="clear" w:color="auto" w:fill="DCE2EF"/>
          </w:tcPr>
          <w:p>
            <w:pPr>
              <w:jc w:val="right"/>
              <w:ind w:right="79"/>
              <w:spacing w:after="0"/>
              <w:rPr>
                <w:sz w:val="20"/>
                <w:szCs w:val="20"/>
                <w:color w:val="auto"/>
              </w:rPr>
            </w:pPr>
            <w:r>
              <w:rPr>
                <w:rFonts w:ascii="Arial" w:cs="Arial" w:eastAsia="Arial" w:hAnsi="Arial"/>
                <w:sz w:val="16"/>
                <w:szCs w:val="16"/>
                <w:color w:val="auto"/>
              </w:rPr>
              <w:t>160.2</w:t>
            </w:r>
          </w:p>
        </w:tc>
        <w:tc>
          <w:tcPr>
            <w:tcW w:w="120" w:type="dxa"/>
            <w:vAlign w:val="bottom"/>
            <w:tcBorders>
              <w:bottom w:val="single" w:sz="8" w:color="DCE2EF"/>
            </w:tcBorders>
            <w:shd w:val="clear" w:color="auto" w:fill="DCE2EF"/>
          </w:tcPr>
          <w:p>
            <w:pPr>
              <w:spacing w:after="0"/>
              <w:rPr>
                <w:sz w:val="20"/>
                <w:szCs w:val="20"/>
                <w:color w:val="auto"/>
              </w:rPr>
            </w:pPr>
          </w:p>
        </w:tc>
        <w:tc>
          <w:tcPr>
            <w:tcW w:w="380" w:type="dxa"/>
            <w:vAlign w:val="bottom"/>
            <w:tcBorders>
              <w:bottom w:val="single" w:sz="8" w:color="DCE2EF"/>
            </w:tcBorders>
            <w:shd w:val="clear" w:color="auto" w:fill="DCE2EF"/>
          </w:tcPr>
          <w:p>
            <w:pPr>
              <w:spacing w:after="0"/>
              <w:rPr>
                <w:sz w:val="20"/>
                <w:szCs w:val="20"/>
                <w:color w:val="auto"/>
              </w:rPr>
            </w:pPr>
          </w:p>
        </w:tc>
        <w:tc>
          <w:tcPr>
            <w:tcW w:w="1260" w:type="dxa"/>
            <w:vAlign w:val="bottom"/>
            <w:tcBorders>
              <w:bottom w:val="single" w:sz="8" w:color="DCE2EF"/>
            </w:tcBorders>
            <w:shd w:val="clear" w:color="auto" w:fill="DCE2EF"/>
          </w:tcPr>
          <w:p>
            <w:pPr>
              <w:jc w:val="right"/>
              <w:ind w:right="79"/>
              <w:spacing w:after="0"/>
              <w:rPr>
                <w:sz w:val="20"/>
                <w:szCs w:val="20"/>
                <w:color w:val="auto"/>
              </w:rPr>
            </w:pPr>
            <w:r>
              <w:rPr>
                <w:rFonts w:ascii="Arial" w:cs="Arial" w:eastAsia="Arial" w:hAnsi="Arial"/>
                <w:sz w:val="16"/>
                <w:szCs w:val="16"/>
                <w:color w:val="auto"/>
              </w:rPr>
              <w:t>87.7</w:t>
            </w:r>
          </w:p>
        </w:tc>
        <w:tc>
          <w:tcPr>
            <w:tcW w:w="120" w:type="dxa"/>
            <w:vAlign w:val="bottom"/>
            <w:tcBorders>
              <w:bottom w:val="single" w:sz="8" w:color="DCE2EF"/>
            </w:tcBorders>
            <w:shd w:val="clear" w:color="auto" w:fill="DCE2EF"/>
          </w:tcPr>
          <w:p>
            <w:pPr>
              <w:spacing w:after="0"/>
              <w:rPr>
                <w:sz w:val="20"/>
                <w:szCs w:val="20"/>
                <w:color w:val="auto"/>
              </w:rPr>
            </w:pPr>
          </w:p>
        </w:tc>
        <w:tc>
          <w:tcPr>
            <w:tcW w:w="300" w:type="dxa"/>
            <w:vAlign w:val="bottom"/>
            <w:tcBorders>
              <w:bottom w:val="single" w:sz="8" w:color="DCE2EF"/>
            </w:tcBorders>
            <w:shd w:val="clear" w:color="auto" w:fill="DCE2EF"/>
          </w:tcPr>
          <w:p>
            <w:pPr>
              <w:spacing w:after="0"/>
              <w:rPr>
                <w:sz w:val="20"/>
                <w:szCs w:val="20"/>
                <w:color w:val="auto"/>
              </w:rPr>
            </w:pPr>
          </w:p>
        </w:tc>
        <w:tc>
          <w:tcPr>
            <w:tcW w:w="940" w:type="dxa"/>
            <w:vAlign w:val="bottom"/>
            <w:tcBorders>
              <w:bottom w:val="single" w:sz="8" w:color="DCE2EF"/>
            </w:tcBorders>
            <w:shd w:val="clear" w:color="auto" w:fill="DCE2EF"/>
          </w:tcPr>
          <w:p>
            <w:pPr>
              <w:jc w:val="right"/>
              <w:ind w:right="19"/>
              <w:spacing w:after="0"/>
              <w:rPr>
                <w:sz w:val="20"/>
                <w:szCs w:val="20"/>
                <w:color w:val="auto"/>
              </w:rPr>
            </w:pPr>
            <w:r>
              <w:rPr>
                <w:rFonts w:ascii="Arial" w:cs="Arial" w:eastAsia="Arial" w:hAnsi="Arial"/>
                <w:sz w:val="16"/>
                <w:szCs w:val="16"/>
                <w:color w:val="auto"/>
              </w:rPr>
              <w:t>72.5</w:t>
            </w:r>
          </w:p>
        </w:tc>
        <w:tc>
          <w:tcPr>
            <w:tcW w:w="1360" w:type="dxa"/>
            <w:vAlign w:val="bottom"/>
            <w:tcBorders>
              <w:bottom w:val="single" w:sz="8" w:color="DCE2EF"/>
            </w:tcBorders>
            <w:shd w:val="clear" w:color="auto" w:fill="DCE2EF"/>
          </w:tcPr>
          <w:p>
            <w:pPr>
              <w:jc w:val="center"/>
              <w:ind w:left="19"/>
              <w:spacing w:after="0"/>
              <w:rPr>
                <w:sz w:val="20"/>
                <w:szCs w:val="20"/>
                <w:color w:val="auto"/>
              </w:rPr>
            </w:pPr>
            <w:r>
              <w:rPr>
                <w:rFonts w:ascii="Arial" w:cs="Arial" w:eastAsia="Arial" w:hAnsi="Arial"/>
                <w:sz w:val="16"/>
                <w:szCs w:val="16"/>
                <w:color w:val="auto"/>
              </w:rPr>
              <w:t>82.6%</w:t>
            </w:r>
          </w:p>
        </w:tc>
      </w:tr>
      <w:tr>
        <w:trPr>
          <w:trHeight w:val="264"/>
        </w:trPr>
        <w:tc>
          <w:tcPr>
            <w:tcW w:w="5300" w:type="dxa"/>
            <w:vAlign w:val="bottom"/>
            <w:tcBorders>
              <w:bottom w:val="single" w:sz="8" w:color="DCE2EF"/>
            </w:tcBorders>
            <w:gridSpan w:val="5"/>
          </w:tcPr>
          <w:p>
            <w:pPr>
              <w:ind w:left="40"/>
              <w:spacing w:after="0"/>
              <w:rPr>
                <w:sz w:val="20"/>
                <w:szCs w:val="20"/>
                <w:color w:val="auto"/>
              </w:rPr>
            </w:pPr>
            <w:r>
              <w:rPr>
                <w:rFonts w:ascii="Arial" w:cs="Arial" w:eastAsia="Arial" w:hAnsi="Arial"/>
                <w:sz w:val="16"/>
                <w:szCs w:val="16"/>
                <w:color w:val="auto"/>
              </w:rPr>
              <w:t>Income tax (provision) benefit</w:t>
            </w: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(32.7)</w:t>
            </w:r>
          </w:p>
        </w:tc>
        <w:tc>
          <w:tcPr>
            <w:tcW w:w="120" w:type="dxa"/>
            <w:vAlign w:val="bottom"/>
            <w:tcBorders>
              <w:bottom w:val="single" w:sz="8" w:color="DCE2E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DCE2E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w:t>
            </w:r>
          </w:p>
        </w:tc>
        <w:tc>
          <w:tcPr>
            <w:tcW w:w="1360" w:type="dxa"/>
            <w:vAlign w:val="bottom"/>
            <w:tcBorders>
              <w:bottom w:val="single" w:sz="8" w:color="DCE2EF"/>
            </w:tcBorders>
          </w:tcPr>
          <w:p>
            <w:pPr>
              <w:ind w:left="580"/>
              <w:spacing w:after="0"/>
              <w:rPr>
                <w:sz w:val="20"/>
                <w:szCs w:val="20"/>
                <w:color w:val="auto"/>
              </w:rPr>
            </w:pPr>
            <w:r>
              <w:rPr>
                <w:rFonts w:ascii="Arial" w:cs="Arial" w:eastAsia="Arial" w:hAnsi="Arial"/>
                <w:sz w:val="16"/>
                <w:szCs w:val="16"/>
                <w:color w:val="auto"/>
              </w:rPr>
              <w:t>NM*</w:t>
            </w:r>
          </w:p>
        </w:tc>
      </w:tr>
      <w:tr>
        <w:trPr>
          <w:trHeight w:val="237"/>
        </w:trPr>
        <w:tc>
          <w:tcPr>
            <w:tcW w:w="40" w:type="dxa"/>
            <w:vAlign w:val="bottom"/>
            <w:tcBorders>
              <w:bottom w:val="single" w:sz="8" w:color="DCE2EF"/>
            </w:tcBorders>
            <w:shd w:val="clear" w:color="auto" w:fill="DCE2EF"/>
          </w:tcPr>
          <w:p>
            <w:pPr>
              <w:spacing w:after="0"/>
              <w:rPr>
                <w:sz w:val="20"/>
                <w:szCs w:val="20"/>
                <w:color w:val="auto"/>
              </w:rPr>
            </w:pPr>
          </w:p>
        </w:tc>
        <w:tc>
          <w:tcPr>
            <w:tcW w:w="5260" w:type="dxa"/>
            <w:vAlign w:val="bottom"/>
            <w:tcBorders>
              <w:bottom w:val="single" w:sz="8" w:color="DCE2EF"/>
            </w:tcBorders>
            <w:gridSpan w:val="4"/>
            <w:shd w:val="clear" w:color="auto" w:fill="DCE2EF"/>
          </w:tcPr>
          <w:p>
            <w:pPr>
              <w:spacing w:after="0"/>
              <w:rPr>
                <w:sz w:val="20"/>
                <w:szCs w:val="20"/>
                <w:color w:val="auto"/>
              </w:rPr>
            </w:pPr>
            <w:r>
              <w:rPr>
                <w:rFonts w:ascii="Arial" w:cs="Arial" w:eastAsia="Arial" w:hAnsi="Arial"/>
                <w:sz w:val="16"/>
                <w:szCs w:val="16"/>
                <w:color w:val="auto"/>
                <w:shd w:val="clear" w:color="auto" w:fill="DCE2EF"/>
              </w:rPr>
              <w:t>Income from continuing operations</w:t>
            </w:r>
          </w:p>
        </w:tc>
        <w:tc>
          <w:tcPr>
            <w:tcW w:w="380" w:type="dxa"/>
            <w:vAlign w:val="bottom"/>
            <w:tcBorders>
              <w:bottom w:val="single" w:sz="8" w:color="DCE2EF"/>
            </w:tcBorders>
            <w:shd w:val="clear" w:color="auto" w:fill="DCE2EF"/>
          </w:tcPr>
          <w:p>
            <w:pPr>
              <w:spacing w:after="0"/>
              <w:rPr>
                <w:sz w:val="20"/>
                <w:szCs w:val="20"/>
                <w:color w:val="auto"/>
              </w:rPr>
            </w:pPr>
          </w:p>
        </w:tc>
        <w:tc>
          <w:tcPr>
            <w:tcW w:w="1260" w:type="dxa"/>
            <w:vAlign w:val="bottom"/>
            <w:tcBorders>
              <w:bottom w:val="single" w:sz="8" w:color="DCE2EF"/>
            </w:tcBorders>
            <w:shd w:val="clear" w:color="auto" w:fill="DCE2EF"/>
          </w:tcPr>
          <w:p>
            <w:pPr>
              <w:jc w:val="right"/>
              <w:ind w:right="79"/>
              <w:spacing w:after="0"/>
              <w:rPr>
                <w:sz w:val="20"/>
                <w:szCs w:val="20"/>
                <w:color w:val="auto"/>
              </w:rPr>
            </w:pPr>
            <w:r>
              <w:rPr>
                <w:rFonts w:ascii="Arial" w:cs="Arial" w:eastAsia="Arial" w:hAnsi="Arial"/>
                <w:sz w:val="16"/>
                <w:szCs w:val="16"/>
                <w:color w:val="auto"/>
              </w:rPr>
              <w:t>127.5</w:t>
            </w:r>
          </w:p>
        </w:tc>
        <w:tc>
          <w:tcPr>
            <w:tcW w:w="120" w:type="dxa"/>
            <w:vAlign w:val="bottom"/>
            <w:tcBorders>
              <w:bottom w:val="single" w:sz="8" w:color="DCE2EF"/>
            </w:tcBorders>
            <w:shd w:val="clear" w:color="auto" w:fill="DCE2EF"/>
          </w:tcPr>
          <w:p>
            <w:pPr>
              <w:spacing w:after="0"/>
              <w:rPr>
                <w:sz w:val="20"/>
                <w:szCs w:val="20"/>
                <w:color w:val="auto"/>
              </w:rPr>
            </w:pPr>
          </w:p>
        </w:tc>
        <w:tc>
          <w:tcPr>
            <w:tcW w:w="380" w:type="dxa"/>
            <w:vAlign w:val="bottom"/>
            <w:tcBorders>
              <w:bottom w:val="single" w:sz="8" w:color="DCE2EF"/>
            </w:tcBorders>
            <w:shd w:val="clear" w:color="auto" w:fill="DCE2EF"/>
          </w:tcPr>
          <w:p>
            <w:pPr>
              <w:spacing w:after="0"/>
              <w:rPr>
                <w:sz w:val="20"/>
                <w:szCs w:val="20"/>
                <w:color w:val="auto"/>
              </w:rPr>
            </w:pPr>
          </w:p>
        </w:tc>
        <w:tc>
          <w:tcPr>
            <w:tcW w:w="1260" w:type="dxa"/>
            <w:vAlign w:val="bottom"/>
            <w:tcBorders>
              <w:bottom w:val="single" w:sz="8" w:color="DCE2EF"/>
            </w:tcBorders>
            <w:shd w:val="clear" w:color="auto" w:fill="DCE2EF"/>
          </w:tcPr>
          <w:p>
            <w:pPr>
              <w:jc w:val="right"/>
              <w:ind w:right="79"/>
              <w:spacing w:after="0"/>
              <w:rPr>
                <w:sz w:val="20"/>
                <w:szCs w:val="20"/>
                <w:color w:val="auto"/>
              </w:rPr>
            </w:pPr>
            <w:r>
              <w:rPr>
                <w:rFonts w:ascii="Arial" w:cs="Arial" w:eastAsia="Arial" w:hAnsi="Arial"/>
                <w:sz w:val="16"/>
                <w:szCs w:val="16"/>
                <w:color w:val="auto"/>
              </w:rPr>
              <w:t>95.9</w:t>
            </w:r>
          </w:p>
        </w:tc>
        <w:tc>
          <w:tcPr>
            <w:tcW w:w="120" w:type="dxa"/>
            <w:vAlign w:val="bottom"/>
            <w:tcBorders>
              <w:bottom w:val="single" w:sz="8" w:color="DCE2EF"/>
            </w:tcBorders>
            <w:shd w:val="clear" w:color="auto" w:fill="DCE2EF"/>
          </w:tcPr>
          <w:p>
            <w:pPr>
              <w:spacing w:after="0"/>
              <w:rPr>
                <w:sz w:val="20"/>
                <w:szCs w:val="20"/>
                <w:color w:val="auto"/>
              </w:rPr>
            </w:pPr>
          </w:p>
        </w:tc>
        <w:tc>
          <w:tcPr>
            <w:tcW w:w="300" w:type="dxa"/>
            <w:vAlign w:val="bottom"/>
            <w:tcBorders>
              <w:bottom w:val="single" w:sz="8" w:color="DCE2EF"/>
            </w:tcBorders>
            <w:shd w:val="clear" w:color="auto" w:fill="DCE2EF"/>
          </w:tcPr>
          <w:p>
            <w:pPr>
              <w:spacing w:after="0"/>
              <w:rPr>
                <w:sz w:val="20"/>
                <w:szCs w:val="20"/>
                <w:color w:val="auto"/>
              </w:rPr>
            </w:pPr>
          </w:p>
        </w:tc>
        <w:tc>
          <w:tcPr>
            <w:tcW w:w="940" w:type="dxa"/>
            <w:vAlign w:val="bottom"/>
            <w:tcBorders>
              <w:bottom w:val="single" w:sz="8" w:color="DCE2EF"/>
            </w:tcBorders>
            <w:shd w:val="clear" w:color="auto" w:fill="DCE2EF"/>
          </w:tcPr>
          <w:p>
            <w:pPr>
              <w:jc w:val="right"/>
              <w:ind w:right="19"/>
              <w:spacing w:after="0"/>
              <w:rPr>
                <w:sz w:val="20"/>
                <w:szCs w:val="20"/>
                <w:color w:val="auto"/>
              </w:rPr>
            </w:pPr>
            <w:r>
              <w:rPr>
                <w:rFonts w:ascii="Arial" w:cs="Arial" w:eastAsia="Arial" w:hAnsi="Arial"/>
                <w:sz w:val="16"/>
                <w:szCs w:val="16"/>
                <w:color w:val="auto"/>
              </w:rPr>
              <w:t>31.6</w:t>
            </w:r>
          </w:p>
        </w:tc>
        <w:tc>
          <w:tcPr>
            <w:tcW w:w="1360" w:type="dxa"/>
            <w:vAlign w:val="bottom"/>
            <w:tcBorders>
              <w:bottom w:val="single" w:sz="8" w:color="DCE2EF"/>
            </w:tcBorders>
            <w:shd w:val="clear" w:color="auto" w:fill="DCE2EF"/>
          </w:tcPr>
          <w:p>
            <w:pPr>
              <w:jc w:val="center"/>
              <w:ind w:left="19"/>
              <w:spacing w:after="0"/>
              <w:rPr>
                <w:sz w:val="20"/>
                <w:szCs w:val="20"/>
                <w:color w:val="auto"/>
              </w:rPr>
            </w:pPr>
            <w:r>
              <w:rPr>
                <w:rFonts w:ascii="Arial" w:cs="Arial" w:eastAsia="Arial" w:hAnsi="Arial"/>
                <w:sz w:val="16"/>
                <w:szCs w:val="16"/>
                <w:color w:val="auto"/>
              </w:rPr>
              <w:t>32.9%</w:t>
            </w:r>
          </w:p>
        </w:tc>
      </w:tr>
      <w:tr>
        <w:trPr>
          <w:trHeight w:val="264"/>
        </w:trPr>
        <w:tc>
          <w:tcPr>
            <w:tcW w:w="5300" w:type="dxa"/>
            <w:vAlign w:val="bottom"/>
            <w:tcBorders>
              <w:bottom w:val="single" w:sz="8" w:color="DCE2EF"/>
            </w:tcBorders>
            <w:gridSpan w:val="5"/>
          </w:tcPr>
          <w:p>
            <w:pPr>
              <w:ind w:left="40"/>
              <w:spacing w:after="0"/>
              <w:rPr>
                <w:sz w:val="20"/>
                <w:szCs w:val="20"/>
                <w:color w:val="auto"/>
              </w:rPr>
            </w:pPr>
            <w:r>
              <w:rPr>
                <w:rFonts w:ascii="Arial" w:cs="Arial" w:eastAsia="Arial" w:hAnsi="Arial"/>
                <w:sz w:val="16"/>
                <w:szCs w:val="16"/>
                <w:color w:val="auto"/>
              </w:rPr>
              <w:t>(Loss) income from discontinued operations, net of taxes</w:t>
            </w: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DCE2E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DCE2E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360" w:type="dxa"/>
            <w:vAlign w:val="bottom"/>
            <w:tcBorders>
              <w:bottom w:val="single" w:sz="8" w:color="DCE2EF"/>
            </w:tcBorders>
          </w:tcPr>
          <w:p>
            <w:pPr>
              <w:ind w:left="580"/>
              <w:spacing w:after="0"/>
              <w:rPr>
                <w:sz w:val="20"/>
                <w:szCs w:val="20"/>
                <w:color w:val="auto"/>
              </w:rPr>
            </w:pPr>
            <w:r>
              <w:rPr>
                <w:rFonts w:ascii="Arial" w:cs="Arial" w:eastAsia="Arial" w:hAnsi="Arial"/>
                <w:sz w:val="16"/>
                <w:szCs w:val="16"/>
                <w:color w:val="auto"/>
              </w:rPr>
              <w:t>NM*</w:t>
            </w:r>
          </w:p>
        </w:tc>
      </w:tr>
      <w:tr>
        <w:trPr>
          <w:trHeight w:val="257"/>
        </w:trPr>
        <w:tc>
          <w:tcPr>
            <w:tcW w:w="40" w:type="dxa"/>
            <w:vAlign w:val="bottom"/>
            <w:tcBorders>
              <w:bottom w:val="single" w:sz="8" w:color="DCE2EF"/>
            </w:tcBorders>
            <w:shd w:val="clear" w:color="auto" w:fill="DCE2EF"/>
          </w:tcPr>
          <w:p>
            <w:pPr>
              <w:spacing w:after="0"/>
              <w:rPr>
                <w:sz w:val="22"/>
                <w:szCs w:val="22"/>
                <w:color w:val="auto"/>
              </w:rPr>
            </w:pPr>
          </w:p>
        </w:tc>
        <w:tc>
          <w:tcPr>
            <w:tcW w:w="880" w:type="dxa"/>
            <w:vAlign w:val="bottom"/>
            <w:tcBorders>
              <w:bottom w:val="single" w:sz="8" w:color="DCE2EF"/>
            </w:tcBorders>
            <w:gridSpan w:val="3"/>
            <w:shd w:val="clear" w:color="auto" w:fill="DCE2EF"/>
          </w:tcPr>
          <w:p>
            <w:pPr>
              <w:spacing w:after="0"/>
              <w:rPr>
                <w:sz w:val="20"/>
                <w:szCs w:val="20"/>
                <w:color w:val="auto"/>
              </w:rPr>
            </w:pPr>
            <w:r>
              <w:rPr>
                <w:rFonts w:ascii="Arial" w:cs="Arial" w:eastAsia="Arial" w:hAnsi="Arial"/>
                <w:sz w:val="16"/>
                <w:szCs w:val="16"/>
                <w:b w:val="1"/>
                <w:bCs w:val="1"/>
                <w:color w:val="auto"/>
                <w:w w:val="99"/>
                <w:shd w:val="clear" w:color="auto" w:fill="DCE2EF"/>
              </w:rPr>
              <w:t>Net income</w:t>
            </w:r>
          </w:p>
        </w:tc>
        <w:tc>
          <w:tcPr>
            <w:tcW w:w="4380" w:type="dxa"/>
            <w:vAlign w:val="bottom"/>
            <w:tcBorders>
              <w:bottom w:val="single" w:sz="8" w:color="DCE2EF"/>
            </w:tcBorders>
            <w:shd w:val="clear" w:color="auto" w:fill="DCE2EF"/>
          </w:tcPr>
          <w:p>
            <w:pPr>
              <w:spacing w:after="0"/>
              <w:rPr>
                <w:sz w:val="22"/>
                <w:szCs w:val="22"/>
                <w:color w:val="auto"/>
              </w:rPr>
            </w:pPr>
          </w:p>
        </w:tc>
        <w:tc>
          <w:tcPr>
            <w:tcW w:w="380" w:type="dxa"/>
            <w:vAlign w:val="bottom"/>
            <w:tcBorders>
              <w:bottom w:val="single" w:sz="8" w:color="DCE2EF"/>
            </w:tcBorders>
            <w:shd w:val="clear" w:color="auto" w:fill="DCE2EF"/>
          </w:tcPr>
          <w:p>
            <w:pPr>
              <w:spacing w:after="0"/>
              <w:rPr>
                <w:sz w:val="22"/>
                <w:szCs w:val="22"/>
                <w:color w:val="auto"/>
              </w:rPr>
            </w:pPr>
          </w:p>
        </w:tc>
        <w:tc>
          <w:tcPr>
            <w:tcW w:w="1260" w:type="dxa"/>
            <w:vAlign w:val="bottom"/>
            <w:tcBorders>
              <w:bottom w:val="single" w:sz="8" w:color="DCE2EF"/>
            </w:tcBorders>
            <w:shd w:val="clear" w:color="auto" w:fill="DCE2EF"/>
          </w:tcPr>
          <w:p>
            <w:pPr>
              <w:jc w:val="right"/>
              <w:ind w:right="79"/>
              <w:spacing w:after="0"/>
              <w:rPr>
                <w:sz w:val="20"/>
                <w:szCs w:val="20"/>
                <w:color w:val="auto"/>
              </w:rPr>
            </w:pPr>
            <w:r>
              <w:rPr>
                <w:rFonts w:ascii="Arial" w:cs="Arial" w:eastAsia="Arial" w:hAnsi="Arial"/>
                <w:sz w:val="16"/>
                <w:szCs w:val="16"/>
                <w:color w:val="auto"/>
              </w:rPr>
              <w:t>127.4</w:t>
            </w:r>
          </w:p>
        </w:tc>
        <w:tc>
          <w:tcPr>
            <w:tcW w:w="120" w:type="dxa"/>
            <w:vAlign w:val="bottom"/>
            <w:tcBorders>
              <w:bottom w:val="single" w:sz="8" w:color="DCE2EF"/>
            </w:tcBorders>
            <w:shd w:val="clear" w:color="auto" w:fill="DCE2EF"/>
          </w:tcPr>
          <w:p>
            <w:pPr>
              <w:spacing w:after="0"/>
              <w:rPr>
                <w:sz w:val="22"/>
                <w:szCs w:val="22"/>
                <w:color w:val="auto"/>
              </w:rPr>
            </w:pPr>
          </w:p>
        </w:tc>
        <w:tc>
          <w:tcPr>
            <w:tcW w:w="380" w:type="dxa"/>
            <w:vAlign w:val="bottom"/>
            <w:tcBorders>
              <w:bottom w:val="single" w:sz="8" w:color="DCE2EF"/>
            </w:tcBorders>
            <w:shd w:val="clear" w:color="auto" w:fill="DCE2EF"/>
          </w:tcPr>
          <w:p>
            <w:pPr>
              <w:spacing w:after="0"/>
              <w:rPr>
                <w:sz w:val="22"/>
                <w:szCs w:val="22"/>
                <w:color w:val="auto"/>
              </w:rPr>
            </w:pPr>
          </w:p>
        </w:tc>
        <w:tc>
          <w:tcPr>
            <w:tcW w:w="1260" w:type="dxa"/>
            <w:vAlign w:val="bottom"/>
            <w:tcBorders>
              <w:bottom w:val="single" w:sz="8" w:color="DCE2EF"/>
            </w:tcBorders>
            <w:shd w:val="clear" w:color="auto" w:fill="DCE2EF"/>
          </w:tcPr>
          <w:p>
            <w:pPr>
              <w:jc w:val="right"/>
              <w:ind w:right="79"/>
              <w:spacing w:after="0"/>
              <w:rPr>
                <w:sz w:val="20"/>
                <w:szCs w:val="20"/>
                <w:color w:val="auto"/>
              </w:rPr>
            </w:pPr>
            <w:r>
              <w:rPr>
                <w:rFonts w:ascii="Arial" w:cs="Arial" w:eastAsia="Arial" w:hAnsi="Arial"/>
                <w:sz w:val="16"/>
                <w:szCs w:val="16"/>
                <w:color w:val="auto"/>
              </w:rPr>
              <w:t>97.8</w:t>
            </w:r>
          </w:p>
        </w:tc>
        <w:tc>
          <w:tcPr>
            <w:tcW w:w="120" w:type="dxa"/>
            <w:vAlign w:val="bottom"/>
            <w:tcBorders>
              <w:bottom w:val="single" w:sz="8" w:color="DCE2EF"/>
            </w:tcBorders>
            <w:shd w:val="clear" w:color="auto" w:fill="DCE2EF"/>
          </w:tcPr>
          <w:p>
            <w:pPr>
              <w:spacing w:after="0"/>
              <w:rPr>
                <w:sz w:val="22"/>
                <w:szCs w:val="22"/>
                <w:color w:val="auto"/>
              </w:rPr>
            </w:pPr>
          </w:p>
        </w:tc>
        <w:tc>
          <w:tcPr>
            <w:tcW w:w="300" w:type="dxa"/>
            <w:vAlign w:val="bottom"/>
            <w:tcBorders>
              <w:bottom w:val="single" w:sz="8" w:color="DCE2EF"/>
            </w:tcBorders>
            <w:shd w:val="clear" w:color="auto" w:fill="DCE2EF"/>
          </w:tcPr>
          <w:p>
            <w:pPr>
              <w:spacing w:after="0"/>
              <w:rPr>
                <w:sz w:val="22"/>
                <w:szCs w:val="22"/>
                <w:color w:val="auto"/>
              </w:rPr>
            </w:pPr>
          </w:p>
        </w:tc>
        <w:tc>
          <w:tcPr>
            <w:tcW w:w="940" w:type="dxa"/>
            <w:vAlign w:val="bottom"/>
            <w:tcBorders>
              <w:bottom w:val="single" w:sz="8" w:color="DCE2EF"/>
            </w:tcBorders>
            <w:shd w:val="clear" w:color="auto" w:fill="DCE2EF"/>
          </w:tcPr>
          <w:p>
            <w:pPr>
              <w:jc w:val="right"/>
              <w:ind w:right="19"/>
              <w:spacing w:after="0"/>
              <w:rPr>
                <w:sz w:val="20"/>
                <w:szCs w:val="20"/>
                <w:color w:val="auto"/>
              </w:rPr>
            </w:pPr>
            <w:r>
              <w:rPr>
                <w:rFonts w:ascii="Arial" w:cs="Arial" w:eastAsia="Arial" w:hAnsi="Arial"/>
                <w:sz w:val="16"/>
                <w:szCs w:val="16"/>
                <w:color w:val="auto"/>
              </w:rPr>
              <w:t>29.6</w:t>
            </w:r>
          </w:p>
        </w:tc>
        <w:tc>
          <w:tcPr>
            <w:tcW w:w="1360" w:type="dxa"/>
            <w:vAlign w:val="bottom"/>
            <w:tcBorders>
              <w:bottom w:val="single" w:sz="8" w:color="DCE2EF"/>
            </w:tcBorders>
            <w:shd w:val="clear" w:color="auto" w:fill="DCE2EF"/>
          </w:tcPr>
          <w:p>
            <w:pPr>
              <w:jc w:val="center"/>
              <w:ind w:left="19"/>
              <w:spacing w:after="0"/>
              <w:rPr>
                <w:sz w:val="20"/>
                <w:szCs w:val="20"/>
                <w:color w:val="auto"/>
              </w:rPr>
            </w:pPr>
            <w:r>
              <w:rPr>
                <w:rFonts w:ascii="Arial" w:cs="Arial" w:eastAsia="Arial" w:hAnsi="Arial"/>
                <w:sz w:val="16"/>
                <w:szCs w:val="16"/>
                <w:color w:val="auto"/>
              </w:rPr>
              <w:t>30.3%</w:t>
            </w:r>
          </w:p>
        </w:tc>
      </w:tr>
      <w:tr>
        <w:trPr>
          <w:trHeight w:val="256"/>
        </w:trPr>
        <w:tc>
          <w:tcPr>
            <w:tcW w:w="5300" w:type="dxa"/>
            <w:vAlign w:val="bottom"/>
            <w:gridSpan w:val="5"/>
          </w:tcPr>
          <w:p>
            <w:pPr>
              <w:ind w:left="40"/>
              <w:spacing w:after="0"/>
              <w:rPr>
                <w:sz w:val="20"/>
                <w:szCs w:val="20"/>
                <w:color w:val="auto"/>
              </w:rPr>
            </w:pPr>
            <w:r>
              <w:rPr>
                <w:rFonts w:ascii="Arial" w:cs="Arial" w:eastAsia="Arial" w:hAnsi="Arial"/>
                <w:sz w:val="16"/>
                <w:szCs w:val="16"/>
                <w:color w:val="auto"/>
              </w:rPr>
              <w:t>Other comprehensive income (loss)</w:t>
            </w:r>
          </w:p>
        </w:tc>
        <w:tc>
          <w:tcPr>
            <w:tcW w:w="38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360" w:type="dxa"/>
            <w:vAlign w:val="bottom"/>
          </w:tcPr>
          <w:p>
            <w:pPr>
              <w:spacing w:after="0"/>
              <w:rPr>
                <w:sz w:val="22"/>
                <w:szCs w:val="22"/>
                <w:color w:val="auto"/>
              </w:rPr>
            </w:pPr>
          </w:p>
        </w:tc>
      </w:tr>
      <w:tr>
        <w:trPr>
          <w:trHeight w:val="258"/>
        </w:trPr>
        <w:tc>
          <w:tcPr>
            <w:tcW w:w="40" w:type="dxa"/>
            <w:vAlign w:val="bottom"/>
            <w:tcBorders>
              <w:bottom w:val="single" w:sz="8" w:color="DCE2EF"/>
            </w:tcBorders>
            <w:shd w:val="clear" w:color="auto" w:fill="DCE2EF"/>
          </w:tcPr>
          <w:p>
            <w:pPr>
              <w:spacing w:after="0"/>
              <w:rPr>
                <w:sz w:val="22"/>
                <w:szCs w:val="22"/>
                <w:color w:val="auto"/>
              </w:rPr>
            </w:pPr>
          </w:p>
        </w:tc>
        <w:tc>
          <w:tcPr>
            <w:tcW w:w="5260" w:type="dxa"/>
            <w:vAlign w:val="bottom"/>
            <w:tcBorders>
              <w:bottom w:val="single" w:sz="8" w:color="DCE2EF"/>
            </w:tcBorders>
            <w:gridSpan w:val="4"/>
            <w:shd w:val="clear" w:color="auto" w:fill="DCE2EF"/>
          </w:tcPr>
          <w:p>
            <w:pPr>
              <w:ind w:left="340"/>
              <w:spacing w:after="0"/>
              <w:rPr>
                <w:sz w:val="20"/>
                <w:szCs w:val="20"/>
                <w:color w:val="auto"/>
              </w:rPr>
            </w:pPr>
            <w:r>
              <w:rPr>
                <w:rFonts w:ascii="Arial" w:cs="Arial" w:eastAsia="Arial" w:hAnsi="Arial"/>
                <w:sz w:val="16"/>
                <w:szCs w:val="16"/>
                <w:color w:val="auto"/>
                <w:shd w:val="clear" w:color="auto" w:fill="DCE2EF"/>
              </w:rPr>
              <w:t>Interest rate swaps and other</w:t>
            </w:r>
          </w:p>
        </w:tc>
        <w:tc>
          <w:tcPr>
            <w:tcW w:w="380" w:type="dxa"/>
            <w:vAlign w:val="bottom"/>
            <w:tcBorders>
              <w:bottom w:val="single" w:sz="8" w:color="DCE2EF"/>
            </w:tcBorders>
            <w:shd w:val="clear" w:color="auto" w:fill="DCE2EF"/>
          </w:tcPr>
          <w:p>
            <w:pPr>
              <w:spacing w:after="0"/>
              <w:rPr>
                <w:sz w:val="22"/>
                <w:szCs w:val="22"/>
                <w:color w:val="auto"/>
              </w:rPr>
            </w:pPr>
          </w:p>
        </w:tc>
        <w:tc>
          <w:tcPr>
            <w:tcW w:w="1260" w:type="dxa"/>
            <w:vAlign w:val="bottom"/>
            <w:tcBorders>
              <w:bottom w:val="single" w:sz="8" w:color="DCE2EF"/>
            </w:tcBorders>
            <w:shd w:val="clear" w:color="auto" w:fill="DCE2EF"/>
          </w:tcPr>
          <w:p>
            <w:pPr>
              <w:jc w:val="right"/>
              <w:ind w:right="19"/>
              <w:spacing w:after="0"/>
              <w:rPr>
                <w:sz w:val="20"/>
                <w:szCs w:val="20"/>
                <w:color w:val="auto"/>
              </w:rPr>
            </w:pPr>
            <w:r>
              <w:rPr>
                <w:rFonts w:ascii="Arial" w:cs="Arial" w:eastAsia="Arial" w:hAnsi="Arial"/>
                <w:sz w:val="16"/>
                <w:szCs w:val="16"/>
                <w:color w:val="auto"/>
              </w:rPr>
              <w:t>(22.4)</w:t>
            </w:r>
          </w:p>
        </w:tc>
        <w:tc>
          <w:tcPr>
            <w:tcW w:w="120" w:type="dxa"/>
            <w:vAlign w:val="bottom"/>
            <w:tcBorders>
              <w:bottom w:val="single" w:sz="8" w:color="DCE2EF"/>
            </w:tcBorders>
            <w:shd w:val="clear" w:color="auto" w:fill="DCE2EF"/>
          </w:tcPr>
          <w:p>
            <w:pPr>
              <w:spacing w:after="0"/>
              <w:rPr>
                <w:sz w:val="22"/>
                <w:szCs w:val="22"/>
                <w:color w:val="auto"/>
              </w:rPr>
            </w:pPr>
          </w:p>
        </w:tc>
        <w:tc>
          <w:tcPr>
            <w:tcW w:w="380" w:type="dxa"/>
            <w:vAlign w:val="bottom"/>
            <w:tcBorders>
              <w:bottom w:val="single" w:sz="8" w:color="DCE2EF"/>
            </w:tcBorders>
            <w:shd w:val="clear" w:color="auto" w:fill="DCE2EF"/>
          </w:tcPr>
          <w:p>
            <w:pPr>
              <w:spacing w:after="0"/>
              <w:rPr>
                <w:sz w:val="22"/>
                <w:szCs w:val="22"/>
                <w:color w:val="auto"/>
              </w:rPr>
            </w:pPr>
          </w:p>
        </w:tc>
        <w:tc>
          <w:tcPr>
            <w:tcW w:w="1260" w:type="dxa"/>
            <w:vAlign w:val="bottom"/>
            <w:tcBorders>
              <w:bottom w:val="single" w:sz="8" w:color="DCE2EF"/>
            </w:tcBorders>
            <w:shd w:val="clear" w:color="auto" w:fill="DCE2EF"/>
          </w:tcPr>
          <w:p>
            <w:pPr>
              <w:jc w:val="right"/>
              <w:ind w:right="79"/>
              <w:spacing w:after="0"/>
              <w:rPr>
                <w:sz w:val="20"/>
                <w:szCs w:val="20"/>
                <w:color w:val="auto"/>
              </w:rPr>
            </w:pPr>
            <w:r>
              <w:rPr>
                <w:rFonts w:ascii="Arial" w:cs="Arial" w:eastAsia="Arial" w:hAnsi="Arial"/>
                <w:sz w:val="16"/>
                <w:szCs w:val="16"/>
                <w:color w:val="auto"/>
              </w:rPr>
              <w:t>21.9</w:t>
            </w:r>
          </w:p>
        </w:tc>
        <w:tc>
          <w:tcPr>
            <w:tcW w:w="120" w:type="dxa"/>
            <w:vAlign w:val="bottom"/>
            <w:tcBorders>
              <w:bottom w:val="single" w:sz="8" w:color="DCE2EF"/>
            </w:tcBorders>
            <w:shd w:val="clear" w:color="auto" w:fill="DCE2EF"/>
          </w:tcPr>
          <w:p>
            <w:pPr>
              <w:spacing w:after="0"/>
              <w:rPr>
                <w:sz w:val="22"/>
                <w:szCs w:val="22"/>
                <w:color w:val="auto"/>
              </w:rPr>
            </w:pPr>
          </w:p>
        </w:tc>
        <w:tc>
          <w:tcPr>
            <w:tcW w:w="300" w:type="dxa"/>
            <w:vAlign w:val="bottom"/>
            <w:tcBorders>
              <w:bottom w:val="single" w:sz="8" w:color="DCE2EF"/>
            </w:tcBorders>
            <w:shd w:val="clear" w:color="auto" w:fill="DCE2EF"/>
          </w:tcPr>
          <w:p>
            <w:pPr>
              <w:spacing w:after="0"/>
              <w:rPr>
                <w:sz w:val="22"/>
                <w:szCs w:val="22"/>
                <w:color w:val="auto"/>
              </w:rPr>
            </w:pPr>
          </w:p>
        </w:tc>
        <w:tc>
          <w:tcPr>
            <w:tcW w:w="94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(44.3)</w:t>
            </w:r>
          </w:p>
        </w:tc>
        <w:tc>
          <w:tcPr>
            <w:tcW w:w="1360" w:type="dxa"/>
            <w:vAlign w:val="bottom"/>
            <w:tcBorders>
              <w:bottom w:val="single" w:sz="8" w:color="DCE2EF"/>
            </w:tcBorders>
            <w:shd w:val="clear" w:color="auto" w:fill="DCE2EF"/>
          </w:tcPr>
          <w:p>
            <w:pPr>
              <w:ind w:left="580"/>
              <w:spacing w:after="0"/>
              <w:rPr>
                <w:sz w:val="20"/>
                <w:szCs w:val="20"/>
                <w:color w:val="auto"/>
              </w:rPr>
            </w:pPr>
            <w:r>
              <w:rPr>
                <w:rFonts w:ascii="Arial" w:cs="Arial" w:eastAsia="Arial" w:hAnsi="Arial"/>
                <w:sz w:val="16"/>
                <w:szCs w:val="16"/>
                <w:color w:val="auto"/>
              </w:rPr>
              <w:t>NM*</w:t>
            </w:r>
          </w:p>
        </w:tc>
      </w:tr>
      <w:tr>
        <w:trPr>
          <w:trHeight w:val="262"/>
        </w:trPr>
        <w:tc>
          <w:tcPr>
            <w:tcW w:w="40" w:type="dxa"/>
            <w:vAlign w:val="bottom"/>
          </w:tcPr>
          <w:p>
            <w:pPr>
              <w:spacing w:after="0"/>
              <w:rPr>
                <w:sz w:val="22"/>
                <w:szCs w:val="22"/>
                <w:color w:val="auto"/>
              </w:rPr>
            </w:pPr>
          </w:p>
        </w:tc>
        <w:tc>
          <w:tcPr>
            <w:tcW w:w="5260" w:type="dxa"/>
            <w:vAlign w:val="bottom"/>
            <w:gridSpan w:val="4"/>
          </w:tcPr>
          <w:p>
            <w:pPr>
              <w:ind w:left="320"/>
              <w:spacing w:after="0"/>
              <w:rPr>
                <w:sz w:val="20"/>
                <w:szCs w:val="20"/>
                <w:color w:val="auto"/>
              </w:rPr>
            </w:pPr>
            <w:r>
              <w:rPr>
                <w:rFonts w:ascii="Arial" w:cs="Arial" w:eastAsia="Arial" w:hAnsi="Arial"/>
                <w:sz w:val="16"/>
                <w:szCs w:val="16"/>
                <w:color w:val="auto"/>
              </w:rPr>
              <w:t>Foreign currency translation</w:t>
            </w: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1360" w:type="dxa"/>
            <w:vAlign w:val="bottom"/>
          </w:tcPr>
          <w:p>
            <w:pPr>
              <w:ind w:left="580"/>
              <w:spacing w:after="0"/>
              <w:rPr>
                <w:sz w:val="20"/>
                <w:szCs w:val="20"/>
                <w:color w:val="auto"/>
              </w:rPr>
            </w:pPr>
            <w:r>
              <w:rPr>
                <w:rFonts w:ascii="Arial" w:cs="Arial" w:eastAsia="Arial" w:hAnsi="Arial"/>
                <w:sz w:val="16"/>
                <w:szCs w:val="16"/>
                <w:color w:val="auto"/>
              </w:rPr>
              <w:t>NM*</w:t>
            </w:r>
          </w:p>
        </w:tc>
      </w:tr>
      <w:tr>
        <w:trPr>
          <w:trHeight w:val="278"/>
        </w:trPr>
        <w:tc>
          <w:tcPr>
            <w:tcW w:w="40" w:type="dxa"/>
            <w:vAlign w:val="bottom"/>
            <w:tcBorders>
              <w:bottom w:val="single" w:sz="8" w:color="DCE2EF"/>
            </w:tcBorders>
            <w:shd w:val="clear" w:color="auto" w:fill="DCE2EF"/>
          </w:tcPr>
          <w:p>
            <w:pPr>
              <w:spacing w:after="0"/>
              <w:rPr>
                <w:sz w:val="24"/>
                <w:szCs w:val="24"/>
                <w:color w:val="auto"/>
              </w:rPr>
            </w:pPr>
          </w:p>
        </w:tc>
        <w:tc>
          <w:tcPr>
            <w:tcW w:w="5260" w:type="dxa"/>
            <w:vAlign w:val="bottom"/>
            <w:tcBorders>
              <w:bottom w:val="single" w:sz="8" w:color="DCE2EF"/>
            </w:tcBorders>
            <w:gridSpan w:val="4"/>
            <w:shd w:val="clear" w:color="auto" w:fill="DCE2EF"/>
          </w:tcPr>
          <w:p>
            <w:pPr>
              <w:ind w:left="340"/>
              <w:spacing w:after="0"/>
              <w:rPr>
                <w:sz w:val="20"/>
                <w:szCs w:val="20"/>
                <w:color w:val="auto"/>
              </w:rPr>
            </w:pPr>
            <w:r>
              <w:rPr>
                <w:rFonts w:ascii="Arial" w:cs="Arial" w:eastAsia="Arial" w:hAnsi="Arial"/>
                <w:sz w:val="16"/>
                <w:szCs w:val="16"/>
                <w:color w:val="auto"/>
                <w:shd w:val="clear" w:color="auto" w:fill="DCE2EF"/>
              </w:rPr>
              <w:t>Income tax benefit (provision)</w:t>
            </w:r>
          </w:p>
        </w:tc>
        <w:tc>
          <w:tcPr>
            <w:tcW w:w="380" w:type="dxa"/>
            <w:vAlign w:val="bottom"/>
            <w:tcBorders>
              <w:bottom w:val="single" w:sz="8" w:color="DCE2EF"/>
            </w:tcBorders>
            <w:shd w:val="clear" w:color="auto" w:fill="DCE2EF"/>
          </w:tcPr>
          <w:p>
            <w:pPr>
              <w:spacing w:after="0"/>
              <w:rPr>
                <w:sz w:val="24"/>
                <w:szCs w:val="24"/>
                <w:color w:val="auto"/>
              </w:rPr>
            </w:pPr>
          </w:p>
        </w:tc>
        <w:tc>
          <w:tcPr>
            <w:tcW w:w="1260" w:type="dxa"/>
            <w:vAlign w:val="bottom"/>
            <w:tcBorders>
              <w:bottom w:val="single" w:sz="8" w:color="DCE2EF"/>
            </w:tcBorders>
            <w:shd w:val="clear" w:color="auto" w:fill="DCE2EF"/>
          </w:tcPr>
          <w:p>
            <w:pPr>
              <w:jc w:val="right"/>
              <w:ind w:right="79"/>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DCE2EF"/>
            </w:tcBorders>
            <w:shd w:val="clear" w:color="auto" w:fill="DCE2EF"/>
          </w:tcPr>
          <w:p>
            <w:pPr>
              <w:spacing w:after="0"/>
              <w:rPr>
                <w:sz w:val="24"/>
                <w:szCs w:val="24"/>
                <w:color w:val="auto"/>
              </w:rPr>
            </w:pPr>
          </w:p>
        </w:tc>
        <w:tc>
          <w:tcPr>
            <w:tcW w:w="380" w:type="dxa"/>
            <w:vAlign w:val="bottom"/>
            <w:tcBorders>
              <w:bottom w:val="single" w:sz="8" w:color="DCE2EF"/>
            </w:tcBorders>
            <w:shd w:val="clear" w:color="auto" w:fill="DCE2EF"/>
          </w:tcPr>
          <w:p>
            <w:pPr>
              <w:spacing w:after="0"/>
              <w:rPr>
                <w:sz w:val="24"/>
                <w:szCs w:val="24"/>
                <w:color w:val="auto"/>
              </w:rPr>
            </w:pPr>
          </w:p>
        </w:tc>
        <w:tc>
          <w:tcPr>
            <w:tcW w:w="1260" w:type="dxa"/>
            <w:vAlign w:val="bottom"/>
            <w:tcBorders>
              <w:bottom w:val="single" w:sz="8" w:color="DCE2EF"/>
            </w:tcBorders>
            <w:shd w:val="clear" w:color="auto" w:fill="DCE2EF"/>
          </w:tcPr>
          <w:p>
            <w:pPr>
              <w:jc w:val="right"/>
              <w:ind w:right="19"/>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DCE2EF"/>
            </w:tcBorders>
            <w:shd w:val="clear" w:color="auto" w:fill="DCE2EF"/>
          </w:tcPr>
          <w:p>
            <w:pPr>
              <w:spacing w:after="0"/>
              <w:rPr>
                <w:sz w:val="24"/>
                <w:szCs w:val="24"/>
                <w:color w:val="auto"/>
              </w:rPr>
            </w:pPr>
          </w:p>
        </w:tc>
        <w:tc>
          <w:tcPr>
            <w:tcW w:w="300" w:type="dxa"/>
            <w:vAlign w:val="bottom"/>
            <w:tcBorders>
              <w:bottom w:val="single" w:sz="8" w:color="DCE2EF"/>
            </w:tcBorders>
            <w:shd w:val="clear" w:color="auto" w:fill="DCE2EF"/>
          </w:tcPr>
          <w:p>
            <w:pPr>
              <w:spacing w:after="0"/>
              <w:rPr>
                <w:sz w:val="24"/>
                <w:szCs w:val="24"/>
                <w:color w:val="auto"/>
              </w:rPr>
            </w:pPr>
          </w:p>
        </w:tc>
        <w:tc>
          <w:tcPr>
            <w:tcW w:w="940" w:type="dxa"/>
            <w:vAlign w:val="bottom"/>
            <w:tcBorders>
              <w:bottom w:val="single" w:sz="8" w:color="DCE2EF"/>
            </w:tcBorders>
            <w:shd w:val="clear" w:color="auto" w:fill="DCE2EF"/>
          </w:tcPr>
          <w:p>
            <w:pPr>
              <w:jc w:val="right"/>
              <w:ind w:right="19"/>
              <w:spacing w:after="0"/>
              <w:rPr>
                <w:sz w:val="20"/>
                <w:szCs w:val="20"/>
                <w:color w:val="auto"/>
              </w:rPr>
            </w:pPr>
            <w:r>
              <w:rPr>
                <w:rFonts w:ascii="Arial" w:cs="Arial" w:eastAsia="Arial" w:hAnsi="Arial"/>
                <w:sz w:val="16"/>
                <w:szCs w:val="16"/>
                <w:color w:val="auto"/>
              </w:rPr>
              <w:t>11.8</w:t>
            </w:r>
          </w:p>
        </w:tc>
        <w:tc>
          <w:tcPr>
            <w:tcW w:w="1360" w:type="dxa"/>
            <w:vAlign w:val="bottom"/>
            <w:tcBorders>
              <w:bottom w:val="single" w:sz="8" w:color="DCE2EF"/>
            </w:tcBorders>
            <w:shd w:val="clear" w:color="auto" w:fill="DCE2EF"/>
          </w:tcPr>
          <w:p>
            <w:pPr>
              <w:ind w:left="580"/>
              <w:spacing w:after="0"/>
              <w:rPr>
                <w:sz w:val="20"/>
                <w:szCs w:val="20"/>
                <w:color w:val="auto"/>
              </w:rPr>
            </w:pPr>
            <w:r>
              <w:rPr>
                <w:rFonts w:ascii="Arial" w:cs="Arial" w:eastAsia="Arial" w:hAnsi="Arial"/>
                <w:sz w:val="16"/>
                <w:szCs w:val="16"/>
                <w:color w:val="auto"/>
              </w:rPr>
              <w:t>NM*</w:t>
            </w:r>
          </w:p>
        </w:tc>
      </w:tr>
      <w:tr>
        <w:trPr>
          <w:trHeight w:val="237"/>
        </w:trPr>
        <w:tc>
          <w:tcPr>
            <w:tcW w:w="5300" w:type="dxa"/>
            <w:vAlign w:val="bottom"/>
            <w:gridSpan w:val="5"/>
          </w:tcPr>
          <w:p>
            <w:pPr>
              <w:ind w:left="40"/>
              <w:spacing w:after="0"/>
              <w:rPr>
                <w:sz w:val="20"/>
                <w:szCs w:val="20"/>
                <w:color w:val="auto"/>
              </w:rPr>
            </w:pPr>
            <w:r>
              <w:rPr>
                <w:rFonts w:ascii="Arial" w:cs="Arial" w:eastAsia="Arial" w:hAnsi="Arial"/>
                <w:sz w:val="16"/>
                <w:szCs w:val="16"/>
                <w:b w:val="1"/>
                <w:bCs w:val="1"/>
                <w:color w:val="auto"/>
              </w:rPr>
              <w:t>Comprehensive income</w:t>
            </w: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112.5</w:t>
            </w:r>
          </w:p>
        </w:tc>
        <w:tc>
          <w:tcPr>
            <w:tcW w:w="12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109.0</w:t>
            </w:r>
          </w:p>
        </w:tc>
        <w:tc>
          <w:tcPr>
            <w:tcW w:w="1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3.5</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98"/>
              </w:rPr>
              <w:t>3.2%</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44"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 meaningful</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Revenues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Revenues increased by $56.4 million, or 0.9%, during 2019, as compared to 2018. The increase in revenues was attributable to organic growth, primarily in our U.S. Technical Solutions business, partially offset by the loss of certain accounts across our other industry groups. Revenues in 2019 reflect the adoption of Topic 853, which required rent expense of $ 48.6 million, primarily within Aviation, to be presented as a reduction of revenues versus the comparative period presentation of recording rent expense as an operating expense.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Operating Expenses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Operating expenses increased by $20.1 million, or 0.3%, during 2019, as compared to 2018. The increase was partially offset by the reclassification of $ 48.6 million of rent expense related to the adoption of Topic 853, as noted above. Gross margin increased by 46 bps to 11.2% in 2019 from 10.8% in 2018. The increase in gross margin was primarily associated with improved margins within our U.S. B&amp;I business, a lower self-insurance adjustment related to prior year claims, and the impact of Topic 606 within our Technical Solutions business.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Selling, General and Administrative Expenses</w:t>
      </w:r>
    </w:p>
    <w:p>
      <w:pPr>
        <w:spacing w:after="0" w:line="17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Selling, general and administrative expenses increased by $14.9 million, or 3.4%, during 2019, as compared to 2018. The increase in selling, general and administrative expenses was primarily related to:</w:t>
      </w:r>
    </w:p>
    <w:p>
      <w:pPr>
        <w:spacing w:after="0" w:line="9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$18.1 million increase in technology investments and related support;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absence of a $7.0 million reimbursement of previously expensed legal settlement costs received in the prior year;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09" w:right="239" w:bottom="1440" w:gutter="0" w:footer="0" w:header="0"/>
        </w:sectPr>
      </w:pPr>
    </w:p>
    <w:bookmarkStart w:id="26" w:name="page27"/>
    <w:bookmarkEnd w:id="26"/>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$3.9 million reserve established for an anticipated union pension settlement;</w:t>
      </w:r>
    </w:p>
    <w:p>
      <w:pPr>
        <w:spacing w:after="0" w:line="171"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absence of a $3.4 million benefit in the prior year resulting from actuarial evaluations performed on our medical and dental self-insurance plans;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$2.5 million reserve established for a non-recurring adjustment related to a client account.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partially offset by:</w:t>
      </w:r>
    </w:p>
    <w:p>
      <w:pPr>
        <w:spacing w:after="0" w:line="17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$10.3 million decrease in legal settlement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$4.1 million decrease in compensation and related expenses;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absence of $2.2 million of acquisition costs incurred in the prior year related to the GCA acquisition.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Restructuring and Related Expenses</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Restructuring and related expenses decreased by $14.5 million, or 56.3%, during 2019, as compared to 2018. The decrease was due to restructuring expenses incurred in the prior year following the acquisition of GCA, primarily severance, partially offset by other restructuring expenses incurred in the current year.</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Amortization of Intangible Assets</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Amortization of intangible assets decreased by $7.5 million, or 11.3%, during 2019, as compared to 2018, primarily related to certain intangible assets being amortized using the sum-of-the-years’-digits method, which results in declining amortization expense over the assets’ useful lives.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Impairment Loss</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During 2018, we recorded impairment charges on goodwill and customer relationships related to our U.K. Technical Solutions business totaling $26.5 million, which primarily reflected the declining operating performance of this business due to adverse impacts of Brexit and the resulting effects on microeconomic conditions in the U.K. retail sector.</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Income Taxes from Continuing Operations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2019 and 2018, we had effective tax rates on income from continuing operations of 20.4% and (9.4)%, respectively, resulting in a provision for tax of $32.7 million and a benefit from tax of $8.2 million, respectively. Our effective tax rate for 2019 was impacted by the following discrete items: a $1.8 million benefit from the transition tax (including foreign tax credits); a $1.7 million benefit from state true -ups; a $1.6 million benefit from federal true-ups; a $1.3 million provision related to the Work Opportunity Tax Credit (“WOTC”); a $1.3 million benefit from expiring statutes of limitations; a $ 1.1 million benefit from the vesting of share-based compensation awards; and a $0.9 million benefit from research and development credits. Our effective tax rate for 2018 was impacted by the following discrete items: a $23.2 million benefit related to the Tax Act enactment; a $5.8 million benefit from expiring statutes of limitations; a $ 3.4 million benefit from the vesting of share-based compensation awards; a $2.8 million benefit for energy efficient government buildings; and a $1.0 million provision for certain tax credits, including WOTC.</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Interest Rate Swaps and Other</w:t>
      </w:r>
    </w:p>
    <w:p>
      <w:pPr>
        <w:spacing w:after="0" w:line="17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During 2019, we recognized as a component of our comprehensive income a loss of $22.4 million related to our interest rate swaps, compared to a gain of $21.9 million during 2018, primarily due to underlying changes in the fair value of the interest rate swaps. Additionally, we continue to amortize the gain we realized in 2018 from the termination of our prior interest rate swaps from accumulated other comprehensive income (“AOCI”) to interest expense. During 2019 we amortized $4.1 million, net of taxes of $1.5 million, of that gain compared to $1.8 million, net of taxes of $0.7 million, amortized during 2018.</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Foreign Currency Translation</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2019, we recognized as a component of our comprehensive income a foreign currency translation gain of $1.6 million compared to a loss of $4.7 million during 2018. This change was due to fluctuations in the exchange rate between the U.S. Dollar (“USD”) and the Great Britain Pound (“GBP”). Future gains and losses on foreign currency translation will be dependent upon changes in the relative value of foreign currencies to the USD and the extent of our foreign assets and liabilities.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9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0046AD"/>
        </w:rPr>
        <w:t>Segment Information</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current reportable segments consist of Business &amp; Industry (“B&amp;I”), Aviation, Technology &amp; Manufacturing (“T&amp;M”), Education, and Technical Solutions. Effective November 1, 2018, we modified the presentation of inter-segment revenues, which are recorded at cost with no associated intercompany profit or loss and are eliminated in consolidation. Additionally, during the third quarter of 2019, we made changes to our operating structure to better align the services and expertise of our Healthcare business with our other industry groups, allowing us to leverage our existing branch network to support the long-term growth of this business. As a result, our former Healthcare portfolio is now included primarily in our B&amp;I segment. Our prior period segment data has been reclassified to conform with our current period presentation. These changes had no impact on our previously reported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Financial Information for Each Reportable Segment</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80" w:type="dxa"/>
            <w:vAlign w:val="bottom"/>
            <w:gridSpan w:val="5"/>
          </w:tcPr>
          <w:p>
            <w:pPr>
              <w:ind w:left="200"/>
              <w:spacing w:after="0"/>
              <w:rPr>
                <w:sz w:val="20"/>
                <w:szCs w:val="20"/>
                <w:color w:val="auto"/>
              </w:rPr>
            </w:pPr>
            <w:r>
              <w:rPr>
                <w:rFonts w:ascii="Arial" w:cs="Arial" w:eastAsia="Arial" w:hAnsi="Arial"/>
                <w:sz w:val="16"/>
                <w:szCs w:val="16"/>
                <w:b w:val="1"/>
                <w:bCs w:val="1"/>
                <w:color w:val="auto"/>
              </w:rPr>
              <w:t>Years Ended October 31,</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27"/>
        </w:trPr>
        <w:tc>
          <w:tcPr>
            <w:tcW w:w="542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40" w:type="dxa"/>
            <w:vAlign w:val="bottom"/>
            <w:gridSpan w:val="2"/>
          </w:tcPr>
          <w:p>
            <w:pPr>
              <w:ind w:left="240"/>
              <w:spacing w:after="0"/>
              <w:rPr>
                <w:sz w:val="20"/>
                <w:szCs w:val="20"/>
                <w:color w:val="auto"/>
              </w:rPr>
            </w:pPr>
            <w:r>
              <w:rPr>
                <w:rFonts w:ascii="Arial" w:cs="Arial" w:eastAsia="Arial" w:hAnsi="Arial"/>
                <w:sz w:val="16"/>
                <w:szCs w:val="16"/>
                <w:b w:val="1"/>
                <w:bCs w:val="1"/>
                <w:color w:val="auto"/>
              </w:rPr>
              <w:t>Increase / (Decrease)</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456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64"/>
        </w:trPr>
        <w:tc>
          <w:tcPr>
            <w:tcW w:w="5420" w:type="dxa"/>
            <w:vAlign w:val="bottom"/>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Revenues</w:t>
            </w:r>
          </w:p>
        </w:tc>
        <w:tc>
          <w:tcPr>
            <w:tcW w:w="300" w:type="dxa"/>
            <w:vAlign w:val="bottom"/>
            <w:shd w:val="clear" w:color="auto" w:fill="DCE2EF"/>
          </w:tcPr>
          <w:p>
            <w:pPr>
              <w:spacing w:after="0"/>
              <w:rPr>
                <w:sz w:val="22"/>
                <w:szCs w:val="22"/>
                <w:color w:val="auto"/>
              </w:rPr>
            </w:pPr>
          </w:p>
        </w:tc>
        <w:tc>
          <w:tcPr>
            <w:tcW w:w="108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320" w:type="dxa"/>
            <w:vAlign w:val="bottom"/>
            <w:shd w:val="clear" w:color="auto" w:fill="DCE2EF"/>
          </w:tcPr>
          <w:p>
            <w:pPr>
              <w:spacing w:after="0"/>
              <w:rPr>
                <w:sz w:val="22"/>
                <w:szCs w:val="22"/>
                <w:color w:val="auto"/>
              </w:rPr>
            </w:pPr>
          </w:p>
        </w:tc>
        <w:tc>
          <w:tcPr>
            <w:tcW w:w="108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360" w:type="dxa"/>
            <w:vAlign w:val="bottom"/>
            <w:shd w:val="clear" w:color="auto" w:fill="DCE2EF"/>
          </w:tcPr>
          <w:p>
            <w:pPr>
              <w:spacing w:after="0"/>
              <w:rPr>
                <w:sz w:val="22"/>
                <w:szCs w:val="22"/>
                <w:color w:val="auto"/>
              </w:rPr>
            </w:pPr>
          </w:p>
        </w:tc>
        <w:tc>
          <w:tcPr>
            <w:tcW w:w="980" w:type="dxa"/>
            <w:vAlign w:val="bottom"/>
            <w:shd w:val="clear" w:color="auto" w:fill="DCE2EF"/>
          </w:tcPr>
          <w:p>
            <w:pPr>
              <w:spacing w:after="0"/>
              <w:rPr>
                <w:sz w:val="22"/>
                <w:szCs w:val="22"/>
                <w:color w:val="auto"/>
              </w:rPr>
            </w:pPr>
          </w:p>
        </w:tc>
        <w:tc>
          <w:tcPr>
            <w:tcW w:w="1460" w:type="dxa"/>
            <w:vAlign w:val="bottom"/>
            <w:shd w:val="clear" w:color="auto" w:fill="DCE2EF"/>
          </w:tcPr>
          <w:p>
            <w:pPr>
              <w:spacing w:after="0"/>
              <w:rPr>
                <w:sz w:val="22"/>
                <w:szCs w:val="22"/>
                <w:color w:val="auto"/>
              </w:rPr>
            </w:pPr>
          </w:p>
        </w:tc>
      </w:tr>
      <w:tr>
        <w:trPr>
          <w:trHeight w:val="262"/>
        </w:trPr>
        <w:tc>
          <w:tcPr>
            <w:tcW w:w="5420" w:type="dxa"/>
            <w:vAlign w:val="bottom"/>
            <w:gridSpan w:val="3"/>
          </w:tcPr>
          <w:p>
            <w:pPr>
              <w:ind w:left="40"/>
              <w:spacing w:after="0"/>
              <w:rPr>
                <w:sz w:val="20"/>
                <w:szCs w:val="20"/>
                <w:color w:val="auto"/>
              </w:rPr>
            </w:pPr>
            <w:r>
              <w:rPr>
                <w:rFonts w:ascii="Arial" w:cs="Arial" w:eastAsia="Arial" w:hAnsi="Arial"/>
                <w:sz w:val="16"/>
                <w:szCs w:val="16"/>
                <w:color w:val="auto"/>
              </w:rPr>
              <w:t>Business &amp; Industry</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3,251.4</w:t>
            </w:r>
          </w:p>
        </w:tc>
        <w:tc>
          <w:tcPr>
            <w:tcW w:w="10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3,268.4</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(17.0)</w:t>
            </w:r>
          </w:p>
        </w:tc>
        <w:tc>
          <w:tcPr>
            <w:tcW w:w="1460" w:type="dxa"/>
            <w:vAlign w:val="bottom"/>
          </w:tcPr>
          <w:p>
            <w:pPr>
              <w:jc w:val="center"/>
              <w:ind w:left="19"/>
              <w:spacing w:after="0"/>
              <w:rPr>
                <w:sz w:val="20"/>
                <w:szCs w:val="20"/>
                <w:color w:val="auto"/>
              </w:rPr>
            </w:pPr>
            <w:r>
              <w:rPr>
                <w:rFonts w:ascii="Arial" w:cs="Arial" w:eastAsia="Arial" w:hAnsi="Arial"/>
                <w:sz w:val="16"/>
                <w:szCs w:val="16"/>
                <w:color w:val="auto"/>
              </w:rPr>
              <w:t>(0.5)%</w:t>
            </w:r>
          </w:p>
        </w:tc>
      </w:tr>
      <w:tr>
        <w:trPr>
          <w:trHeight w:val="258"/>
        </w:trPr>
        <w:tc>
          <w:tcPr>
            <w:tcW w:w="40" w:type="dxa"/>
            <w:vAlign w:val="bottom"/>
            <w:tcBorders>
              <w:bottom w:val="single" w:sz="8" w:color="DCE2EF"/>
            </w:tcBorders>
            <w:shd w:val="clear" w:color="auto" w:fill="DCE2EF"/>
          </w:tcPr>
          <w:p>
            <w:pPr>
              <w:spacing w:after="0"/>
              <w:rPr>
                <w:sz w:val="22"/>
                <w:szCs w:val="22"/>
                <w:color w:val="auto"/>
              </w:rPr>
            </w:pPr>
          </w:p>
        </w:tc>
        <w:tc>
          <w:tcPr>
            <w:tcW w:w="82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6"/>
                <w:szCs w:val="16"/>
                <w:color w:val="auto"/>
                <w:shd w:val="clear" w:color="auto" w:fill="DCE2EF"/>
              </w:rPr>
              <w:t>Aviation</w:t>
            </w:r>
          </w:p>
        </w:tc>
        <w:tc>
          <w:tcPr>
            <w:tcW w:w="4560" w:type="dxa"/>
            <w:vAlign w:val="bottom"/>
            <w:tcBorders>
              <w:bottom w:val="single" w:sz="8" w:color="DCE2EF"/>
            </w:tcBorders>
            <w:shd w:val="clear" w:color="auto" w:fill="DCE2EF"/>
          </w:tcPr>
          <w:p>
            <w:pPr>
              <w:spacing w:after="0"/>
              <w:rPr>
                <w:sz w:val="22"/>
                <w:szCs w:val="22"/>
                <w:color w:val="auto"/>
              </w:rPr>
            </w:pPr>
          </w:p>
        </w:tc>
        <w:tc>
          <w:tcPr>
            <w:tcW w:w="300" w:type="dxa"/>
            <w:vAlign w:val="bottom"/>
            <w:tcBorders>
              <w:bottom w:val="single" w:sz="8" w:color="DCE2EF"/>
            </w:tcBorders>
            <w:shd w:val="clear" w:color="auto" w:fill="DCE2EF"/>
          </w:tcPr>
          <w:p>
            <w:pPr>
              <w:spacing w:after="0"/>
              <w:rPr>
                <w:sz w:val="22"/>
                <w:szCs w:val="22"/>
                <w:color w:val="auto"/>
              </w:rPr>
            </w:pPr>
          </w:p>
        </w:tc>
        <w:tc>
          <w:tcPr>
            <w:tcW w:w="1080" w:type="dxa"/>
            <w:vAlign w:val="bottom"/>
            <w:tcBorders>
              <w:bottom w:val="single" w:sz="8" w:color="DCE2EF"/>
            </w:tcBorders>
            <w:shd w:val="clear" w:color="auto" w:fill="DCE2EF"/>
          </w:tcPr>
          <w:p>
            <w:pPr>
              <w:jc w:val="right"/>
              <w:ind w:right="81"/>
              <w:spacing w:after="0"/>
              <w:rPr>
                <w:sz w:val="20"/>
                <w:szCs w:val="20"/>
                <w:color w:val="auto"/>
              </w:rPr>
            </w:pPr>
            <w:r>
              <w:rPr>
                <w:rFonts w:ascii="Arial" w:cs="Arial" w:eastAsia="Arial" w:hAnsi="Arial"/>
                <w:sz w:val="16"/>
                <w:szCs w:val="16"/>
                <w:color w:val="auto"/>
              </w:rPr>
              <w:t>1,017.3</w:t>
            </w:r>
          </w:p>
        </w:tc>
        <w:tc>
          <w:tcPr>
            <w:tcW w:w="100" w:type="dxa"/>
            <w:vAlign w:val="bottom"/>
            <w:tcBorders>
              <w:bottom w:val="single" w:sz="8" w:color="DCE2EF"/>
            </w:tcBorders>
            <w:shd w:val="clear" w:color="auto" w:fill="DCE2EF"/>
          </w:tcPr>
          <w:p>
            <w:pPr>
              <w:spacing w:after="0"/>
              <w:rPr>
                <w:sz w:val="22"/>
                <w:szCs w:val="22"/>
                <w:color w:val="auto"/>
              </w:rPr>
            </w:pPr>
          </w:p>
        </w:tc>
        <w:tc>
          <w:tcPr>
            <w:tcW w:w="320" w:type="dxa"/>
            <w:vAlign w:val="bottom"/>
            <w:tcBorders>
              <w:bottom w:val="single" w:sz="8" w:color="DCE2EF"/>
            </w:tcBorders>
            <w:shd w:val="clear" w:color="auto" w:fill="DCE2EF"/>
          </w:tcPr>
          <w:p>
            <w:pPr>
              <w:spacing w:after="0"/>
              <w:rPr>
                <w:sz w:val="22"/>
                <w:szCs w:val="22"/>
                <w:color w:val="auto"/>
              </w:rPr>
            </w:pPr>
          </w:p>
        </w:tc>
        <w:tc>
          <w:tcPr>
            <w:tcW w:w="1080" w:type="dxa"/>
            <w:vAlign w:val="bottom"/>
            <w:tcBorders>
              <w:bottom w:val="single" w:sz="8" w:color="DCE2EF"/>
            </w:tcBorders>
            <w:shd w:val="clear" w:color="auto" w:fill="DCE2EF"/>
          </w:tcPr>
          <w:p>
            <w:pPr>
              <w:jc w:val="right"/>
              <w:ind w:right="81"/>
              <w:spacing w:after="0"/>
              <w:rPr>
                <w:sz w:val="20"/>
                <w:szCs w:val="20"/>
                <w:color w:val="auto"/>
              </w:rPr>
            </w:pPr>
            <w:r>
              <w:rPr>
                <w:rFonts w:ascii="Arial" w:cs="Arial" w:eastAsia="Arial" w:hAnsi="Arial"/>
                <w:sz w:val="16"/>
                <w:szCs w:val="16"/>
                <w:color w:val="auto"/>
              </w:rPr>
              <w:t>1,038.7</w:t>
            </w:r>
          </w:p>
        </w:tc>
        <w:tc>
          <w:tcPr>
            <w:tcW w:w="100" w:type="dxa"/>
            <w:vAlign w:val="bottom"/>
            <w:tcBorders>
              <w:bottom w:val="single" w:sz="8" w:color="DCE2EF"/>
            </w:tcBorders>
            <w:shd w:val="clear" w:color="auto" w:fill="DCE2EF"/>
          </w:tcPr>
          <w:p>
            <w:pPr>
              <w:spacing w:after="0"/>
              <w:rPr>
                <w:sz w:val="22"/>
                <w:szCs w:val="22"/>
                <w:color w:val="auto"/>
              </w:rPr>
            </w:pPr>
          </w:p>
        </w:tc>
        <w:tc>
          <w:tcPr>
            <w:tcW w:w="360" w:type="dxa"/>
            <w:vAlign w:val="bottom"/>
            <w:tcBorders>
              <w:bottom w:val="single" w:sz="8" w:color="DCE2EF"/>
            </w:tcBorders>
            <w:shd w:val="clear" w:color="auto" w:fill="DCE2EF"/>
          </w:tcPr>
          <w:p>
            <w:pPr>
              <w:spacing w:after="0"/>
              <w:rPr>
                <w:sz w:val="22"/>
                <w:szCs w:val="22"/>
                <w:color w:val="auto"/>
              </w:rPr>
            </w:pPr>
          </w:p>
        </w:tc>
        <w:tc>
          <w:tcPr>
            <w:tcW w:w="9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(21.4)</w:t>
            </w:r>
          </w:p>
        </w:tc>
        <w:tc>
          <w:tcPr>
            <w:tcW w:w="1460" w:type="dxa"/>
            <w:vAlign w:val="bottom"/>
            <w:tcBorders>
              <w:bottom w:val="single" w:sz="8" w:color="DCE2EF"/>
            </w:tcBorders>
            <w:shd w:val="clear" w:color="auto" w:fill="DCE2EF"/>
          </w:tcPr>
          <w:p>
            <w:pPr>
              <w:jc w:val="center"/>
              <w:ind w:left="19"/>
              <w:spacing w:after="0"/>
              <w:rPr>
                <w:sz w:val="20"/>
                <w:szCs w:val="20"/>
                <w:color w:val="auto"/>
              </w:rPr>
            </w:pPr>
            <w:r>
              <w:rPr>
                <w:rFonts w:ascii="Arial" w:cs="Arial" w:eastAsia="Arial" w:hAnsi="Arial"/>
                <w:sz w:val="16"/>
                <w:szCs w:val="16"/>
                <w:color w:val="auto"/>
              </w:rPr>
              <w:t>(2.1)%</w:t>
            </w:r>
          </w:p>
        </w:tc>
      </w:tr>
      <w:tr>
        <w:trPr>
          <w:trHeight w:val="262"/>
        </w:trPr>
        <w:tc>
          <w:tcPr>
            <w:tcW w:w="5420" w:type="dxa"/>
            <w:vAlign w:val="bottom"/>
            <w:gridSpan w:val="3"/>
          </w:tcPr>
          <w:p>
            <w:pPr>
              <w:ind w:left="40"/>
              <w:spacing w:after="0"/>
              <w:rPr>
                <w:sz w:val="20"/>
                <w:szCs w:val="20"/>
                <w:color w:val="auto"/>
              </w:rPr>
            </w:pPr>
            <w:r>
              <w:rPr>
                <w:rFonts w:ascii="Arial" w:cs="Arial" w:eastAsia="Arial" w:hAnsi="Arial"/>
                <w:sz w:val="16"/>
                <w:szCs w:val="16"/>
                <w:color w:val="auto"/>
              </w:rPr>
              <w:t>Technology &amp; Manufacturing</w:t>
            </w:r>
          </w:p>
        </w:tc>
        <w:tc>
          <w:tcPr>
            <w:tcW w:w="300" w:type="dxa"/>
            <w:vAlign w:val="bottom"/>
          </w:tcPr>
          <w:p>
            <w:pPr>
              <w:spacing w:after="0"/>
              <w:rPr>
                <w:sz w:val="22"/>
                <w:szCs w:val="22"/>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917.0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925.4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(8.4)</w:t>
            </w:r>
          </w:p>
        </w:tc>
        <w:tc>
          <w:tcPr>
            <w:tcW w:w="1460" w:type="dxa"/>
            <w:vAlign w:val="bottom"/>
          </w:tcPr>
          <w:p>
            <w:pPr>
              <w:jc w:val="center"/>
              <w:ind w:left="19"/>
              <w:spacing w:after="0"/>
              <w:rPr>
                <w:sz w:val="20"/>
                <w:szCs w:val="20"/>
                <w:color w:val="auto"/>
              </w:rPr>
            </w:pPr>
            <w:r>
              <w:rPr>
                <w:rFonts w:ascii="Arial" w:cs="Arial" w:eastAsia="Arial" w:hAnsi="Arial"/>
                <w:sz w:val="16"/>
                <w:szCs w:val="16"/>
                <w:color w:val="auto"/>
              </w:rPr>
              <w:t>(0.9)%</w:t>
            </w:r>
          </w:p>
        </w:tc>
      </w:tr>
      <w:tr>
        <w:trPr>
          <w:trHeight w:val="258"/>
        </w:trPr>
        <w:tc>
          <w:tcPr>
            <w:tcW w:w="40" w:type="dxa"/>
            <w:vAlign w:val="bottom"/>
            <w:tcBorders>
              <w:bottom w:val="single" w:sz="8" w:color="DCE2EF"/>
            </w:tcBorders>
            <w:shd w:val="clear" w:color="auto" w:fill="DCE2EF"/>
          </w:tcPr>
          <w:p>
            <w:pPr>
              <w:spacing w:after="0"/>
              <w:rPr>
                <w:sz w:val="22"/>
                <w:szCs w:val="22"/>
                <w:color w:val="auto"/>
              </w:rPr>
            </w:pPr>
          </w:p>
        </w:tc>
        <w:tc>
          <w:tcPr>
            <w:tcW w:w="82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6"/>
                <w:szCs w:val="16"/>
                <w:color w:val="auto"/>
                <w:shd w:val="clear" w:color="auto" w:fill="DCE2EF"/>
              </w:rPr>
              <w:t>Education</w:t>
            </w:r>
          </w:p>
        </w:tc>
        <w:tc>
          <w:tcPr>
            <w:tcW w:w="4560" w:type="dxa"/>
            <w:vAlign w:val="bottom"/>
            <w:tcBorders>
              <w:bottom w:val="single" w:sz="8" w:color="DCE2EF"/>
            </w:tcBorders>
            <w:shd w:val="clear" w:color="auto" w:fill="DCE2EF"/>
          </w:tcPr>
          <w:p>
            <w:pPr>
              <w:spacing w:after="0"/>
              <w:rPr>
                <w:sz w:val="22"/>
                <w:szCs w:val="22"/>
                <w:color w:val="auto"/>
              </w:rPr>
            </w:pPr>
          </w:p>
        </w:tc>
        <w:tc>
          <w:tcPr>
            <w:tcW w:w="300" w:type="dxa"/>
            <w:vAlign w:val="bottom"/>
            <w:tcBorders>
              <w:bottom w:val="single" w:sz="8" w:color="DCE2EF"/>
            </w:tcBorders>
            <w:shd w:val="clear" w:color="auto" w:fill="DCE2EF"/>
          </w:tcPr>
          <w:p>
            <w:pPr>
              <w:spacing w:after="0"/>
              <w:rPr>
                <w:sz w:val="22"/>
                <w:szCs w:val="22"/>
                <w:color w:val="auto"/>
              </w:rPr>
            </w:pPr>
          </w:p>
        </w:tc>
        <w:tc>
          <w:tcPr>
            <w:tcW w:w="1080" w:type="dxa"/>
            <w:vAlign w:val="bottom"/>
            <w:tcBorders>
              <w:bottom w:val="single" w:sz="8" w:color="DCE2EF"/>
            </w:tcBorders>
            <w:shd w:val="clear" w:color="auto" w:fill="DCE2EF"/>
          </w:tcPr>
          <w:p>
            <w:pPr>
              <w:jc w:val="right"/>
              <w:ind w:right="81"/>
              <w:spacing w:after="0"/>
              <w:rPr>
                <w:sz w:val="20"/>
                <w:szCs w:val="20"/>
                <w:color w:val="auto"/>
              </w:rPr>
            </w:pPr>
            <w:r>
              <w:rPr>
                <w:rFonts w:ascii="Arial" w:cs="Arial" w:eastAsia="Arial" w:hAnsi="Arial"/>
                <w:sz w:val="16"/>
                <w:szCs w:val="16"/>
                <w:color w:val="auto"/>
              </w:rPr>
              <w:t>847.4</w:t>
            </w:r>
          </w:p>
        </w:tc>
        <w:tc>
          <w:tcPr>
            <w:tcW w:w="100" w:type="dxa"/>
            <w:vAlign w:val="bottom"/>
            <w:tcBorders>
              <w:bottom w:val="single" w:sz="8" w:color="DCE2EF"/>
            </w:tcBorders>
            <w:shd w:val="clear" w:color="auto" w:fill="DCE2EF"/>
          </w:tcPr>
          <w:p>
            <w:pPr>
              <w:spacing w:after="0"/>
              <w:rPr>
                <w:sz w:val="22"/>
                <w:szCs w:val="22"/>
                <w:color w:val="auto"/>
              </w:rPr>
            </w:pPr>
          </w:p>
        </w:tc>
        <w:tc>
          <w:tcPr>
            <w:tcW w:w="320" w:type="dxa"/>
            <w:vAlign w:val="bottom"/>
            <w:tcBorders>
              <w:bottom w:val="single" w:sz="8" w:color="DCE2EF"/>
            </w:tcBorders>
            <w:shd w:val="clear" w:color="auto" w:fill="DCE2EF"/>
          </w:tcPr>
          <w:p>
            <w:pPr>
              <w:spacing w:after="0"/>
              <w:rPr>
                <w:sz w:val="22"/>
                <w:szCs w:val="22"/>
                <w:color w:val="auto"/>
              </w:rPr>
            </w:pPr>
          </w:p>
        </w:tc>
        <w:tc>
          <w:tcPr>
            <w:tcW w:w="1080" w:type="dxa"/>
            <w:vAlign w:val="bottom"/>
            <w:tcBorders>
              <w:bottom w:val="single" w:sz="8" w:color="DCE2EF"/>
            </w:tcBorders>
            <w:shd w:val="clear" w:color="auto" w:fill="DCE2EF"/>
          </w:tcPr>
          <w:p>
            <w:pPr>
              <w:jc w:val="right"/>
              <w:ind w:right="81"/>
              <w:spacing w:after="0"/>
              <w:rPr>
                <w:sz w:val="20"/>
                <w:szCs w:val="20"/>
                <w:color w:val="auto"/>
              </w:rPr>
            </w:pPr>
            <w:r>
              <w:rPr>
                <w:rFonts w:ascii="Arial" w:cs="Arial" w:eastAsia="Arial" w:hAnsi="Arial"/>
                <w:sz w:val="16"/>
                <w:szCs w:val="16"/>
                <w:color w:val="auto"/>
              </w:rPr>
              <w:t>856.7</w:t>
            </w:r>
          </w:p>
        </w:tc>
        <w:tc>
          <w:tcPr>
            <w:tcW w:w="100" w:type="dxa"/>
            <w:vAlign w:val="bottom"/>
            <w:tcBorders>
              <w:bottom w:val="single" w:sz="8" w:color="DCE2EF"/>
            </w:tcBorders>
            <w:shd w:val="clear" w:color="auto" w:fill="DCE2EF"/>
          </w:tcPr>
          <w:p>
            <w:pPr>
              <w:spacing w:after="0"/>
              <w:rPr>
                <w:sz w:val="22"/>
                <w:szCs w:val="22"/>
                <w:color w:val="auto"/>
              </w:rPr>
            </w:pPr>
          </w:p>
        </w:tc>
        <w:tc>
          <w:tcPr>
            <w:tcW w:w="360" w:type="dxa"/>
            <w:vAlign w:val="bottom"/>
            <w:tcBorders>
              <w:bottom w:val="single" w:sz="8" w:color="DCE2EF"/>
            </w:tcBorders>
            <w:shd w:val="clear" w:color="auto" w:fill="DCE2EF"/>
          </w:tcPr>
          <w:p>
            <w:pPr>
              <w:spacing w:after="0"/>
              <w:rPr>
                <w:sz w:val="22"/>
                <w:szCs w:val="22"/>
                <w:color w:val="auto"/>
              </w:rPr>
            </w:pPr>
          </w:p>
        </w:tc>
        <w:tc>
          <w:tcPr>
            <w:tcW w:w="9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(9.3)</w:t>
            </w:r>
          </w:p>
        </w:tc>
        <w:tc>
          <w:tcPr>
            <w:tcW w:w="1460" w:type="dxa"/>
            <w:vAlign w:val="bottom"/>
            <w:tcBorders>
              <w:bottom w:val="single" w:sz="8" w:color="DCE2EF"/>
            </w:tcBorders>
            <w:shd w:val="clear" w:color="auto" w:fill="DCE2EF"/>
          </w:tcPr>
          <w:p>
            <w:pPr>
              <w:jc w:val="center"/>
              <w:ind w:left="19"/>
              <w:spacing w:after="0"/>
              <w:rPr>
                <w:sz w:val="20"/>
                <w:szCs w:val="20"/>
                <w:color w:val="auto"/>
              </w:rPr>
            </w:pPr>
            <w:r>
              <w:rPr>
                <w:rFonts w:ascii="Arial" w:cs="Arial" w:eastAsia="Arial" w:hAnsi="Arial"/>
                <w:sz w:val="16"/>
                <w:szCs w:val="16"/>
                <w:color w:val="auto"/>
              </w:rPr>
              <w:t>(1.1)%</w:t>
            </w:r>
          </w:p>
        </w:tc>
      </w:tr>
      <w:tr>
        <w:trPr>
          <w:trHeight w:val="262"/>
        </w:trPr>
        <w:tc>
          <w:tcPr>
            <w:tcW w:w="5420" w:type="dxa"/>
            <w:vAlign w:val="bottom"/>
            <w:gridSpan w:val="3"/>
          </w:tcPr>
          <w:p>
            <w:pPr>
              <w:ind w:left="40"/>
              <w:spacing w:after="0"/>
              <w:rPr>
                <w:sz w:val="20"/>
                <w:szCs w:val="20"/>
                <w:color w:val="auto"/>
              </w:rPr>
            </w:pPr>
            <w:r>
              <w:rPr>
                <w:rFonts w:ascii="Arial" w:cs="Arial" w:eastAsia="Arial" w:hAnsi="Arial"/>
                <w:sz w:val="16"/>
                <w:szCs w:val="16"/>
                <w:color w:val="auto"/>
              </w:rPr>
              <w:t>Technical Solutions</w:t>
            </w:r>
          </w:p>
        </w:tc>
        <w:tc>
          <w:tcPr>
            <w:tcW w:w="300" w:type="dxa"/>
            <w:vAlign w:val="bottom"/>
          </w:tcPr>
          <w:p>
            <w:pPr>
              <w:spacing w:after="0"/>
              <w:rPr>
                <w:sz w:val="22"/>
                <w:szCs w:val="22"/>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593.2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500.1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93.1</w:t>
            </w:r>
          </w:p>
        </w:tc>
        <w:tc>
          <w:tcPr>
            <w:tcW w:w="1460" w:type="dxa"/>
            <w:vAlign w:val="bottom"/>
          </w:tcPr>
          <w:p>
            <w:pPr>
              <w:jc w:val="center"/>
              <w:ind w:left="39"/>
              <w:spacing w:after="0"/>
              <w:rPr>
                <w:sz w:val="20"/>
                <w:szCs w:val="20"/>
                <w:color w:val="auto"/>
              </w:rPr>
            </w:pPr>
            <w:r>
              <w:rPr>
                <w:rFonts w:ascii="Arial" w:cs="Arial" w:eastAsia="Arial" w:hAnsi="Arial"/>
                <w:sz w:val="16"/>
                <w:szCs w:val="16"/>
                <w:color w:val="auto"/>
              </w:rPr>
              <w:t>18.6%</w:t>
            </w:r>
          </w:p>
        </w:tc>
      </w:tr>
      <w:tr>
        <w:trPr>
          <w:trHeight w:val="271"/>
        </w:trPr>
        <w:tc>
          <w:tcPr>
            <w:tcW w:w="542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Elimination of inter-segment revenues</w:t>
            </w:r>
          </w:p>
        </w:tc>
        <w:tc>
          <w:tcPr>
            <w:tcW w:w="300" w:type="dxa"/>
            <w:vAlign w:val="bottom"/>
            <w:tcBorders>
              <w:bottom w:val="single" w:sz="8" w:color="auto"/>
            </w:tcBorders>
            <w:shd w:val="clear" w:color="auto" w:fill="DCE2EF"/>
          </w:tcPr>
          <w:p>
            <w:pPr>
              <w:spacing w:after="0"/>
              <w:rPr>
                <w:sz w:val="23"/>
                <w:szCs w:val="23"/>
                <w:color w:val="auto"/>
              </w:rPr>
            </w:pPr>
          </w:p>
        </w:tc>
        <w:tc>
          <w:tcPr>
            <w:tcW w:w="1080" w:type="dxa"/>
            <w:vAlign w:val="bottom"/>
            <w:tcBorders>
              <w:bottom w:val="single" w:sz="8" w:color="auto"/>
            </w:tcBorders>
            <w:shd w:val="clear" w:color="auto" w:fill="DCE2EF"/>
          </w:tcPr>
          <w:p>
            <w:pPr>
              <w:jc w:val="right"/>
              <w:ind w:right="21"/>
              <w:spacing w:after="0"/>
              <w:rPr>
                <w:sz w:val="20"/>
                <w:szCs w:val="20"/>
                <w:color w:val="auto"/>
              </w:rPr>
            </w:pPr>
            <w:r>
              <w:rPr>
                <w:rFonts w:ascii="Arial" w:cs="Arial" w:eastAsia="Arial" w:hAnsi="Arial"/>
                <w:sz w:val="16"/>
                <w:szCs w:val="16"/>
                <w:color w:val="auto"/>
              </w:rPr>
              <w:t>(127.7)</w:t>
            </w:r>
          </w:p>
        </w:tc>
        <w:tc>
          <w:tcPr>
            <w:tcW w:w="100" w:type="dxa"/>
            <w:vAlign w:val="bottom"/>
            <w:shd w:val="clear" w:color="auto" w:fill="DCE2EF"/>
          </w:tcPr>
          <w:p>
            <w:pPr>
              <w:spacing w:after="0"/>
              <w:rPr>
                <w:sz w:val="23"/>
                <w:szCs w:val="23"/>
                <w:color w:val="auto"/>
              </w:rPr>
            </w:pPr>
          </w:p>
        </w:tc>
        <w:tc>
          <w:tcPr>
            <w:tcW w:w="320" w:type="dxa"/>
            <w:vAlign w:val="bottom"/>
            <w:tcBorders>
              <w:bottom w:val="single" w:sz="8" w:color="auto"/>
            </w:tcBorders>
            <w:shd w:val="clear" w:color="auto" w:fill="DCE2EF"/>
          </w:tcPr>
          <w:p>
            <w:pPr>
              <w:spacing w:after="0"/>
              <w:rPr>
                <w:sz w:val="23"/>
                <w:szCs w:val="23"/>
                <w:color w:val="auto"/>
              </w:rPr>
            </w:pPr>
          </w:p>
        </w:tc>
        <w:tc>
          <w:tcPr>
            <w:tcW w:w="1080" w:type="dxa"/>
            <w:vAlign w:val="bottom"/>
            <w:tcBorders>
              <w:bottom w:val="single" w:sz="8" w:color="auto"/>
            </w:tcBorders>
            <w:shd w:val="clear" w:color="auto" w:fill="DCE2EF"/>
          </w:tcPr>
          <w:p>
            <w:pPr>
              <w:jc w:val="right"/>
              <w:ind w:right="21"/>
              <w:spacing w:after="0"/>
              <w:rPr>
                <w:sz w:val="20"/>
                <w:szCs w:val="20"/>
                <w:color w:val="auto"/>
              </w:rPr>
            </w:pPr>
            <w:r>
              <w:rPr>
                <w:rFonts w:ascii="Arial" w:cs="Arial" w:eastAsia="Arial" w:hAnsi="Arial"/>
                <w:sz w:val="16"/>
                <w:szCs w:val="16"/>
                <w:color w:val="auto"/>
              </w:rPr>
              <w:t>(147.1)</w:t>
            </w:r>
          </w:p>
        </w:tc>
        <w:tc>
          <w:tcPr>
            <w:tcW w:w="100" w:type="dxa"/>
            <w:vAlign w:val="bottom"/>
            <w:shd w:val="clear" w:color="auto" w:fill="DCE2EF"/>
          </w:tcPr>
          <w:p>
            <w:pPr>
              <w:spacing w:after="0"/>
              <w:rPr>
                <w:sz w:val="23"/>
                <w:szCs w:val="23"/>
                <w:color w:val="auto"/>
              </w:rPr>
            </w:pPr>
          </w:p>
        </w:tc>
        <w:tc>
          <w:tcPr>
            <w:tcW w:w="360" w:type="dxa"/>
            <w:vAlign w:val="bottom"/>
            <w:tcBorders>
              <w:bottom w:val="single" w:sz="8" w:color="auto"/>
            </w:tcBorders>
            <w:shd w:val="clear" w:color="auto" w:fill="DCE2EF"/>
          </w:tcPr>
          <w:p>
            <w:pPr>
              <w:spacing w:after="0"/>
              <w:rPr>
                <w:sz w:val="23"/>
                <w:szCs w:val="23"/>
                <w:color w:val="auto"/>
              </w:rPr>
            </w:pPr>
          </w:p>
        </w:tc>
        <w:tc>
          <w:tcPr>
            <w:tcW w:w="980" w:type="dxa"/>
            <w:vAlign w:val="bottom"/>
            <w:tcBorders>
              <w:bottom w:val="single" w:sz="8" w:color="auto"/>
            </w:tcBorders>
            <w:shd w:val="clear" w:color="auto" w:fill="DCE2EF"/>
          </w:tcPr>
          <w:p>
            <w:pPr>
              <w:jc w:val="right"/>
              <w:ind w:right="21"/>
              <w:spacing w:after="0"/>
              <w:rPr>
                <w:sz w:val="20"/>
                <w:szCs w:val="20"/>
                <w:color w:val="auto"/>
              </w:rPr>
            </w:pPr>
            <w:r>
              <w:rPr>
                <w:rFonts w:ascii="Arial" w:cs="Arial" w:eastAsia="Arial" w:hAnsi="Arial"/>
                <w:sz w:val="16"/>
                <w:szCs w:val="16"/>
                <w:color w:val="auto"/>
              </w:rPr>
              <w:t>19.4</w:t>
            </w:r>
          </w:p>
        </w:tc>
        <w:tc>
          <w:tcPr>
            <w:tcW w:w="146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rPr>
              <w:t>13.2%</w:t>
            </w:r>
          </w:p>
        </w:tc>
      </w:tr>
      <w:tr>
        <w:trPr>
          <w:trHeight w:val="282"/>
        </w:trPr>
        <w:tc>
          <w:tcPr>
            <w:tcW w:w="40" w:type="dxa"/>
            <w:vAlign w:val="bottom"/>
            <w:tcBorders>
              <w:bottom w:val="single" w:sz="8" w:color="DCE2EF"/>
            </w:tcBorders>
          </w:tcPr>
          <w:p>
            <w:pPr>
              <w:spacing w:after="0"/>
              <w:rPr>
                <w:sz w:val="24"/>
                <w:szCs w:val="24"/>
                <w:color w:val="auto"/>
              </w:rPr>
            </w:pPr>
          </w:p>
        </w:tc>
        <w:tc>
          <w:tcPr>
            <w:tcW w:w="820" w:type="dxa"/>
            <w:vAlign w:val="bottom"/>
            <w:tcBorders>
              <w:bottom w:val="single" w:sz="8" w:color="DCE2EF"/>
            </w:tcBorders>
          </w:tcPr>
          <w:p>
            <w:pPr>
              <w:spacing w:after="0"/>
              <w:rPr>
                <w:sz w:val="24"/>
                <w:szCs w:val="24"/>
                <w:color w:val="auto"/>
              </w:rPr>
            </w:pPr>
          </w:p>
        </w:tc>
        <w:tc>
          <w:tcPr>
            <w:tcW w:w="4560" w:type="dxa"/>
            <w:vAlign w:val="bottom"/>
            <w:tcBorders>
              <w:bottom w:val="single" w:sz="8" w:color="DCE2EF"/>
            </w:tcBorders>
          </w:tcPr>
          <w:p>
            <w:pPr>
              <w:spacing w:after="0"/>
              <w:rPr>
                <w:sz w:val="24"/>
                <w:szCs w:val="24"/>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6,498.6</w:t>
            </w:r>
          </w:p>
        </w:tc>
        <w:tc>
          <w:tcPr>
            <w:tcW w:w="100" w:type="dxa"/>
            <w:vAlign w:val="bottom"/>
            <w:tcBorders>
              <w:bottom w:val="single" w:sz="8" w:color="DCE2EF"/>
            </w:tcBorders>
          </w:tcPr>
          <w:p>
            <w:pPr>
              <w:spacing w:after="0"/>
              <w:rPr>
                <w:sz w:val="24"/>
                <w:szCs w:val="24"/>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6,442.2</w:t>
            </w:r>
          </w:p>
        </w:tc>
        <w:tc>
          <w:tcPr>
            <w:tcW w:w="100" w:type="dxa"/>
            <w:vAlign w:val="bottom"/>
            <w:tcBorders>
              <w:bottom w:val="single" w:sz="8" w:color="DCE2EF"/>
            </w:tcBorders>
          </w:tcPr>
          <w:p>
            <w:pPr>
              <w:spacing w:after="0"/>
              <w:rPr>
                <w:sz w:val="24"/>
                <w:szCs w:val="24"/>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56.4</w:t>
            </w:r>
          </w:p>
        </w:tc>
        <w:tc>
          <w:tcPr>
            <w:tcW w:w="1460" w:type="dxa"/>
            <w:vAlign w:val="bottom"/>
            <w:tcBorders>
              <w:bottom w:val="single" w:sz="8" w:color="DCE2EF"/>
            </w:tcBorders>
          </w:tcPr>
          <w:p>
            <w:pPr>
              <w:jc w:val="center"/>
              <w:ind w:left="19"/>
              <w:spacing w:after="0"/>
              <w:rPr>
                <w:sz w:val="20"/>
                <w:szCs w:val="20"/>
                <w:color w:val="auto"/>
              </w:rPr>
            </w:pPr>
            <w:r>
              <w:rPr>
                <w:rFonts w:ascii="Arial" w:cs="Arial" w:eastAsia="Arial" w:hAnsi="Arial"/>
                <w:sz w:val="16"/>
                <w:szCs w:val="16"/>
                <w:color w:val="auto"/>
                <w:w w:val="98"/>
              </w:rPr>
              <w:t>0.9%</w:t>
            </w:r>
          </w:p>
        </w:tc>
      </w:tr>
      <w:tr>
        <w:trPr>
          <w:trHeight w:val="252"/>
        </w:trPr>
        <w:tc>
          <w:tcPr>
            <w:tcW w:w="5420" w:type="dxa"/>
            <w:vAlign w:val="bottom"/>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Operating profit (loss)</w:t>
            </w:r>
          </w:p>
        </w:tc>
        <w:tc>
          <w:tcPr>
            <w:tcW w:w="300" w:type="dxa"/>
            <w:vAlign w:val="bottom"/>
            <w:shd w:val="clear" w:color="auto" w:fill="DCE2EF"/>
          </w:tcPr>
          <w:p>
            <w:pPr>
              <w:spacing w:after="0"/>
              <w:rPr>
                <w:sz w:val="21"/>
                <w:szCs w:val="21"/>
                <w:color w:val="auto"/>
              </w:rPr>
            </w:pPr>
          </w:p>
        </w:tc>
        <w:tc>
          <w:tcPr>
            <w:tcW w:w="1080" w:type="dxa"/>
            <w:vAlign w:val="bottom"/>
            <w:shd w:val="clear" w:color="auto" w:fill="DCE2EF"/>
          </w:tcPr>
          <w:p>
            <w:pPr>
              <w:spacing w:after="0"/>
              <w:rPr>
                <w:sz w:val="21"/>
                <w:szCs w:val="21"/>
                <w:color w:val="auto"/>
              </w:rPr>
            </w:pPr>
          </w:p>
        </w:tc>
        <w:tc>
          <w:tcPr>
            <w:tcW w:w="100" w:type="dxa"/>
            <w:vAlign w:val="bottom"/>
            <w:shd w:val="clear" w:color="auto" w:fill="DCE2EF"/>
          </w:tcPr>
          <w:p>
            <w:pPr>
              <w:spacing w:after="0"/>
              <w:rPr>
                <w:sz w:val="21"/>
                <w:szCs w:val="21"/>
                <w:color w:val="auto"/>
              </w:rPr>
            </w:pPr>
          </w:p>
        </w:tc>
        <w:tc>
          <w:tcPr>
            <w:tcW w:w="320" w:type="dxa"/>
            <w:vAlign w:val="bottom"/>
            <w:shd w:val="clear" w:color="auto" w:fill="DCE2EF"/>
          </w:tcPr>
          <w:p>
            <w:pPr>
              <w:spacing w:after="0"/>
              <w:rPr>
                <w:sz w:val="21"/>
                <w:szCs w:val="21"/>
                <w:color w:val="auto"/>
              </w:rPr>
            </w:pPr>
          </w:p>
        </w:tc>
        <w:tc>
          <w:tcPr>
            <w:tcW w:w="1080" w:type="dxa"/>
            <w:vAlign w:val="bottom"/>
            <w:shd w:val="clear" w:color="auto" w:fill="DCE2EF"/>
          </w:tcPr>
          <w:p>
            <w:pPr>
              <w:spacing w:after="0"/>
              <w:rPr>
                <w:sz w:val="21"/>
                <w:szCs w:val="21"/>
                <w:color w:val="auto"/>
              </w:rPr>
            </w:pPr>
          </w:p>
        </w:tc>
        <w:tc>
          <w:tcPr>
            <w:tcW w:w="100" w:type="dxa"/>
            <w:vAlign w:val="bottom"/>
            <w:shd w:val="clear" w:color="auto" w:fill="DCE2EF"/>
          </w:tcPr>
          <w:p>
            <w:pPr>
              <w:spacing w:after="0"/>
              <w:rPr>
                <w:sz w:val="21"/>
                <w:szCs w:val="21"/>
                <w:color w:val="auto"/>
              </w:rPr>
            </w:pPr>
          </w:p>
        </w:tc>
        <w:tc>
          <w:tcPr>
            <w:tcW w:w="360" w:type="dxa"/>
            <w:vAlign w:val="bottom"/>
            <w:shd w:val="clear" w:color="auto" w:fill="DCE2EF"/>
          </w:tcPr>
          <w:p>
            <w:pPr>
              <w:spacing w:after="0"/>
              <w:rPr>
                <w:sz w:val="21"/>
                <w:szCs w:val="21"/>
                <w:color w:val="auto"/>
              </w:rPr>
            </w:pPr>
          </w:p>
        </w:tc>
        <w:tc>
          <w:tcPr>
            <w:tcW w:w="980" w:type="dxa"/>
            <w:vAlign w:val="bottom"/>
            <w:shd w:val="clear" w:color="auto" w:fill="DCE2EF"/>
          </w:tcPr>
          <w:p>
            <w:pPr>
              <w:spacing w:after="0"/>
              <w:rPr>
                <w:sz w:val="21"/>
                <w:szCs w:val="21"/>
                <w:color w:val="auto"/>
              </w:rPr>
            </w:pPr>
          </w:p>
        </w:tc>
        <w:tc>
          <w:tcPr>
            <w:tcW w:w="1460" w:type="dxa"/>
            <w:vAlign w:val="bottom"/>
            <w:shd w:val="clear" w:color="auto" w:fill="DCE2EF"/>
          </w:tcPr>
          <w:p>
            <w:pPr>
              <w:spacing w:after="0"/>
              <w:rPr>
                <w:sz w:val="21"/>
                <w:szCs w:val="21"/>
                <w:color w:val="auto"/>
              </w:rPr>
            </w:pPr>
          </w:p>
        </w:tc>
      </w:tr>
      <w:tr>
        <w:trPr>
          <w:trHeight w:val="262"/>
        </w:trPr>
        <w:tc>
          <w:tcPr>
            <w:tcW w:w="5420" w:type="dxa"/>
            <w:vAlign w:val="bottom"/>
            <w:gridSpan w:val="3"/>
          </w:tcPr>
          <w:p>
            <w:pPr>
              <w:ind w:left="40"/>
              <w:spacing w:after="0"/>
              <w:rPr>
                <w:sz w:val="20"/>
                <w:szCs w:val="20"/>
                <w:color w:val="auto"/>
              </w:rPr>
            </w:pPr>
            <w:r>
              <w:rPr>
                <w:rFonts w:ascii="Arial" w:cs="Arial" w:eastAsia="Arial" w:hAnsi="Arial"/>
                <w:sz w:val="16"/>
                <w:szCs w:val="16"/>
                <w:color w:val="auto"/>
              </w:rPr>
              <w:t>Business &amp; Industry</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182.3</w:t>
            </w:r>
          </w:p>
        </w:tc>
        <w:tc>
          <w:tcPr>
            <w:tcW w:w="10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157.9</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24.4</w:t>
            </w:r>
          </w:p>
        </w:tc>
        <w:tc>
          <w:tcPr>
            <w:tcW w:w="1460" w:type="dxa"/>
            <w:vAlign w:val="bottom"/>
          </w:tcPr>
          <w:p>
            <w:pPr>
              <w:jc w:val="center"/>
              <w:ind w:left="39"/>
              <w:spacing w:after="0"/>
              <w:rPr>
                <w:sz w:val="20"/>
                <w:szCs w:val="20"/>
                <w:color w:val="auto"/>
              </w:rPr>
            </w:pPr>
            <w:r>
              <w:rPr>
                <w:rFonts w:ascii="Arial" w:cs="Arial" w:eastAsia="Arial" w:hAnsi="Arial"/>
                <w:sz w:val="16"/>
                <w:szCs w:val="16"/>
                <w:color w:val="auto"/>
              </w:rPr>
              <w:t>15.5%</w:t>
            </w:r>
          </w:p>
        </w:tc>
      </w:tr>
      <w:tr>
        <w:trPr>
          <w:trHeight w:val="278"/>
        </w:trPr>
        <w:tc>
          <w:tcPr>
            <w:tcW w:w="40" w:type="dxa"/>
            <w:vAlign w:val="bottom"/>
            <w:shd w:val="clear" w:color="auto" w:fill="DCE2EF"/>
          </w:tcPr>
          <w:p>
            <w:pPr>
              <w:spacing w:after="0"/>
              <w:rPr>
                <w:sz w:val="24"/>
                <w:szCs w:val="24"/>
                <w:color w:val="auto"/>
              </w:rPr>
            </w:pPr>
          </w:p>
        </w:tc>
        <w:tc>
          <w:tcPr>
            <w:tcW w:w="538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00" w:type="dxa"/>
            <w:vAlign w:val="bottom"/>
            <w:shd w:val="clear" w:color="auto" w:fill="DCE2EF"/>
          </w:tcPr>
          <w:p>
            <w:pPr>
              <w:spacing w:after="0"/>
              <w:rPr>
                <w:sz w:val="24"/>
                <w:szCs w:val="24"/>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5.6%</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4.8%</w:t>
            </w:r>
          </w:p>
        </w:tc>
        <w:tc>
          <w:tcPr>
            <w:tcW w:w="100" w:type="dxa"/>
            <w:vAlign w:val="bottom"/>
            <w:shd w:val="clear" w:color="auto" w:fill="DCE2EF"/>
          </w:tcPr>
          <w:p>
            <w:pPr>
              <w:spacing w:after="0"/>
              <w:rPr>
                <w:sz w:val="24"/>
                <w:szCs w:val="24"/>
                <w:color w:val="auto"/>
              </w:rPr>
            </w:pPr>
          </w:p>
        </w:tc>
        <w:tc>
          <w:tcPr>
            <w:tcW w:w="360" w:type="dxa"/>
            <w:vAlign w:val="bottom"/>
            <w:shd w:val="clear" w:color="auto" w:fill="DCE2EF"/>
          </w:tcPr>
          <w:p>
            <w:pPr>
              <w:spacing w:after="0"/>
              <w:rPr>
                <w:sz w:val="24"/>
                <w:szCs w:val="24"/>
                <w:color w:val="auto"/>
              </w:rPr>
            </w:pPr>
          </w:p>
        </w:tc>
        <w:tc>
          <w:tcPr>
            <w:tcW w:w="980" w:type="dxa"/>
            <w:vAlign w:val="bottom"/>
            <w:shd w:val="clear" w:color="auto" w:fill="DCE2EF"/>
          </w:tcPr>
          <w:p>
            <w:pPr>
              <w:jc w:val="right"/>
              <w:ind w:right="21"/>
              <w:spacing w:after="0"/>
              <w:rPr>
                <w:sz w:val="20"/>
                <w:szCs w:val="20"/>
                <w:color w:val="auto"/>
              </w:rPr>
            </w:pPr>
            <w:r>
              <w:rPr>
                <w:rFonts w:ascii="Arial" w:cs="Arial" w:eastAsia="Arial" w:hAnsi="Arial"/>
                <w:sz w:val="14"/>
                <w:szCs w:val="14"/>
                <w:i w:val="1"/>
                <w:iCs w:val="1"/>
                <w:color w:val="auto"/>
              </w:rPr>
              <w:t>78 bps</w:t>
            </w:r>
          </w:p>
        </w:tc>
        <w:tc>
          <w:tcPr>
            <w:tcW w:w="1460" w:type="dxa"/>
            <w:vAlign w:val="bottom"/>
            <w:shd w:val="clear" w:color="auto" w:fill="DCE2EF"/>
          </w:tcPr>
          <w:p>
            <w:pPr>
              <w:spacing w:after="0"/>
              <w:rPr>
                <w:sz w:val="24"/>
                <w:szCs w:val="24"/>
                <w:color w:val="auto"/>
              </w:rPr>
            </w:pPr>
          </w:p>
        </w:tc>
      </w:tr>
      <w:tr>
        <w:trPr>
          <w:trHeight w:val="262"/>
        </w:trPr>
        <w:tc>
          <w:tcPr>
            <w:tcW w:w="5420" w:type="dxa"/>
            <w:vAlign w:val="bottom"/>
            <w:gridSpan w:val="3"/>
          </w:tcPr>
          <w:p>
            <w:pPr>
              <w:ind w:left="40"/>
              <w:spacing w:after="0"/>
              <w:rPr>
                <w:sz w:val="20"/>
                <w:szCs w:val="20"/>
                <w:color w:val="auto"/>
              </w:rPr>
            </w:pPr>
            <w:r>
              <w:rPr>
                <w:rFonts w:ascii="Arial" w:cs="Arial" w:eastAsia="Arial" w:hAnsi="Arial"/>
                <w:sz w:val="16"/>
                <w:szCs w:val="16"/>
                <w:color w:val="auto"/>
              </w:rPr>
              <w:t>Aviation</w:t>
            </w:r>
          </w:p>
        </w:tc>
        <w:tc>
          <w:tcPr>
            <w:tcW w:w="300" w:type="dxa"/>
            <w:vAlign w:val="bottom"/>
          </w:tcPr>
          <w:p>
            <w:pPr>
              <w:spacing w:after="0"/>
              <w:rPr>
                <w:sz w:val="22"/>
                <w:szCs w:val="22"/>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w:t>
            </w:r>
          </w:p>
        </w:tc>
        <w:tc>
          <w:tcPr>
            <w:tcW w:w="1460" w:type="dxa"/>
            <w:vAlign w:val="bottom"/>
          </w:tcPr>
          <w:p>
            <w:pPr>
              <w:jc w:val="center"/>
              <w:ind w:left="19"/>
              <w:spacing w:after="0"/>
              <w:rPr>
                <w:sz w:val="20"/>
                <w:szCs w:val="20"/>
                <w:color w:val="auto"/>
              </w:rPr>
            </w:pPr>
            <w:r>
              <w:rPr>
                <w:rFonts w:ascii="Arial" w:cs="Arial" w:eastAsia="Arial" w:hAnsi="Arial"/>
                <w:sz w:val="16"/>
                <w:szCs w:val="16"/>
                <w:color w:val="auto"/>
              </w:rPr>
              <w:t>(8.9)%</w:t>
            </w:r>
          </w:p>
        </w:tc>
      </w:tr>
      <w:tr>
        <w:trPr>
          <w:trHeight w:val="278"/>
        </w:trPr>
        <w:tc>
          <w:tcPr>
            <w:tcW w:w="40" w:type="dxa"/>
            <w:vAlign w:val="bottom"/>
            <w:shd w:val="clear" w:color="auto" w:fill="DCE2EF"/>
          </w:tcPr>
          <w:p>
            <w:pPr>
              <w:spacing w:after="0"/>
              <w:rPr>
                <w:sz w:val="24"/>
                <w:szCs w:val="24"/>
                <w:color w:val="auto"/>
              </w:rPr>
            </w:pPr>
          </w:p>
        </w:tc>
        <w:tc>
          <w:tcPr>
            <w:tcW w:w="538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00" w:type="dxa"/>
            <w:vAlign w:val="bottom"/>
            <w:shd w:val="clear" w:color="auto" w:fill="DCE2EF"/>
          </w:tcPr>
          <w:p>
            <w:pPr>
              <w:spacing w:after="0"/>
              <w:rPr>
                <w:sz w:val="24"/>
                <w:szCs w:val="24"/>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2.1%</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2.2%</w:t>
            </w:r>
          </w:p>
        </w:tc>
        <w:tc>
          <w:tcPr>
            <w:tcW w:w="100" w:type="dxa"/>
            <w:vAlign w:val="bottom"/>
            <w:shd w:val="clear" w:color="auto" w:fill="DCE2EF"/>
          </w:tcPr>
          <w:p>
            <w:pPr>
              <w:spacing w:after="0"/>
              <w:rPr>
                <w:sz w:val="24"/>
                <w:szCs w:val="24"/>
                <w:color w:val="auto"/>
              </w:rPr>
            </w:pPr>
          </w:p>
        </w:tc>
        <w:tc>
          <w:tcPr>
            <w:tcW w:w="360" w:type="dxa"/>
            <w:vAlign w:val="bottom"/>
            <w:shd w:val="clear" w:color="auto" w:fill="DCE2EF"/>
          </w:tcPr>
          <w:p>
            <w:pPr>
              <w:spacing w:after="0"/>
              <w:rPr>
                <w:sz w:val="24"/>
                <w:szCs w:val="24"/>
                <w:color w:val="auto"/>
              </w:rPr>
            </w:pPr>
          </w:p>
        </w:tc>
        <w:tc>
          <w:tcPr>
            <w:tcW w:w="980" w:type="dxa"/>
            <w:vAlign w:val="bottom"/>
            <w:shd w:val="clear" w:color="auto" w:fill="DCE2EF"/>
          </w:tcPr>
          <w:p>
            <w:pPr>
              <w:jc w:val="right"/>
              <w:ind w:right="21"/>
              <w:spacing w:after="0"/>
              <w:rPr>
                <w:sz w:val="20"/>
                <w:szCs w:val="20"/>
                <w:color w:val="auto"/>
              </w:rPr>
            </w:pPr>
            <w:r>
              <w:rPr>
                <w:rFonts w:ascii="Arial" w:cs="Arial" w:eastAsia="Arial" w:hAnsi="Arial"/>
                <w:sz w:val="14"/>
                <w:szCs w:val="14"/>
                <w:i w:val="1"/>
                <w:iCs w:val="1"/>
                <w:color w:val="auto"/>
              </w:rPr>
              <w:t>(15) bps</w:t>
            </w:r>
          </w:p>
        </w:tc>
        <w:tc>
          <w:tcPr>
            <w:tcW w:w="1460" w:type="dxa"/>
            <w:vAlign w:val="bottom"/>
            <w:shd w:val="clear" w:color="auto" w:fill="DCE2EF"/>
          </w:tcPr>
          <w:p>
            <w:pPr>
              <w:spacing w:after="0"/>
              <w:rPr>
                <w:sz w:val="24"/>
                <w:szCs w:val="24"/>
                <w:color w:val="auto"/>
              </w:rPr>
            </w:pPr>
          </w:p>
        </w:tc>
      </w:tr>
      <w:tr>
        <w:trPr>
          <w:trHeight w:val="262"/>
        </w:trPr>
        <w:tc>
          <w:tcPr>
            <w:tcW w:w="5420" w:type="dxa"/>
            <w:vAlign w:val="bottom"/>
            <w:gridSpan w:val="3"/>
          </w:tcPr>
          <w:p>
            <w:pPr>
              <w:ind w:left="40"/>
              <w:spacing w:after="0"/>
              <w:rPr>
                <w:sz w:val="20"/>
                <w:szCs w:val="20"/>
                <w:color w:val="auto"/>
              </w:rPr>
            </w:pPr>
            <w:r>
              <w:rPr>
                <w:rFonts w:ascii="Arial" w:cs="Arial" w:eastAsia="Arial" w:hAnsi="Arial"/>
                <w:sz w:val="16"/>
                <w:szCs w:val="16"/>
                <w:color w:val="auto"/>
              </w:rPr>
              <w:t>Technology &amp; Manufacturing</w:t>
            </w:r>
          </w:p>
        </w:tc>
        <w:tc>
          <w:tcPr>
            <w:tcW w:w="300" w:type="dxa"/>
            <w:vAlign w:val="bottom"/>
          </w:tcPr>
          <w:p>
            <w:pPr>
              <w:spacing w:after="0"/>
              <w:rPr>
                <w:sz w:val="22"/>
                <w:szCs w:val="22"/>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72.5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67.4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5.1</w:t>
            </w:r>
          </w:p>
        </w:tc>
        <w:tc>
          <w:tcPr>
            <w:tcW w:w="1460" w:type="dxa"/>
            <w:vAlign w:val="bottom"/>
          </w:tcPr>
          <w:p>
            <w:pPr>
              <w:jc w:val="center"/>
              <w:ind w:left="19"/>
              <w:spacing w:after="0"/>
              <w:rPr>
                <w:sz w:val="20"/>
                <w:szCs w:val="20"/>
                <w:color w:val="auto"/>
              </w:rPr>
            </w:pPr>
            <w:r>
              <w:rPr>
                <w:rFonts w:ascii="Arial" w:cs="Arial" w:eastAsia="Arial" w:hAnsi="Arial"/>
                <w:sz w:val="16"/>
                <w:szCs w:val="16"/>
                <w:color w:val="auto"/>
                <w:w w:val="98"/>
              </w:rPr>
              <w:t>7.6%</w:t>
            </w:r>
          </w:p>
        </w:tc>
      </w:tr>
      <w:tr>
        <w:trPr>
          <w:trHeight w:val="278"/>
        </w:trPr>
        <w:tc>
          <w:tcPr>
            <w:tcW w:w="40" w:type="dxa"/>
            <w:vAlign w:val="bottom"/>
            <w:shd w:val="clear" w:color="auto" w:fill="DCE2EF"/>
          </w:tcPr>
          <w:p>
            <w:pPr>
              <w:spacing w:after="0"/>
              <w:rPr>
                <w:sz w:val="24"/>
                <w:szCs w:val="24"/>
                <w:color w:val="auto"/>
              </w:rPr>
            </w:pPr>
          </w:p>
        </w:tc>
        <w:tc>
          <w:tcPr>
            <w:tcW w:w="538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00" w:type="dxa"/>
            <w:vAlign w:val="bottom"/>
            <w:shd w:val="clear" w:color="auto" w:fill="DCE2EF"/>
          </w:tcPr>
          <w:p>
            <w:pPr>
              <w:spacing w:after="0"/>
              <w:rPr>
                <w:sz w:val="24"/>
                <w:szCs w:val="24"/>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7.9%</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7.3%</w:t>
            </w:r>
          </w:p>
        </w:tc>
        <w:tc>
          <w:tcPr>
            <w:tcW w:w="100" w:type="dxa"/>
            <w:vAlign w:val="bottom"/>
            <w:shd w:val="clear" w:color="auto" w:fill="DCE2EF"/>
          </w:tcPr>
          <w:p>
            <w:pPr>
              <w:spacing w:after="0"/>
              <w:rPr>
                <w:sz w:val="24"/>
                <w:szCs w:val="24"/>
                <w:color w:val="auto"/>
              </w:rPr>
            </w:pPr>
          </w:p>
        </w:tc>
        <w:tc>
          <w:tcPr>
            <w:tcW w:w="360" w:type="dxa"/>
            <w:vAlign w:val="bottom"/>
            <w:shd w:val="clear" w:color="auto" w:fill="DCE2EF"/>
          </w:tcPr>
          <w:p>
            <w:pPr>
              <w:spacing w:after="0"/>
              <w:rPr>
                <w:sz w:val="24"/>
                <w:szCs w:val="24"/>
                <w:color w:val="auto"/>
              </w:rPr>
            </w:pPr>
          </w:p>
        </w:tc>
        <w:tc>
          <w:tcPr>
            <w:tcW w:w="980" w:type="dxa"/>
            <w:vAlign w:val="bottom"/>
            <w:shd w:val="clear" w:color="auto" w:fill="DCE2EF"/>
          </w:tcPr>
          <w:p>
            <w:pPr>
              <w:jc w:val="right"/>
              <w:ind w:right="21"/>
              <w:spacing w:after="0"/>
              <w:rPr>
                <w:sz w:val="20"/>
                <w:szCs w:val="20"/>
                <w:color w:val="auto"/>
              </w:rPr>
            </w:pPr>
            <w:r>
              <w:rPr>
                <w:rFonts w:ascii="Arial" w:cs="Arial" w:eastAsia="Arial" w:hAnsi="Arial"/>
                <w:sz w:val="14"/>
                <w:szCs w:val="14"/>
                <w:i w:val="1"/>
                <w:iCs w:val="1"/>
                <w:color w:val="auto"/>
              </w:rPr>
              <w:t>62 bps</w:t>
            </w:r>
          </w:p>
        </w:tc>
        <w:tc>
          <w:tcPr>
            <w:tcW w:w="1460" w:type="dxa"/>
            <w:vAlign w:val="bottom"/>
            <w:shd w:val="clear" w:color="auto" w:fill="DCE2EF"/>
          </w:tcPr>
          <w:p>
            <w:pPr>
              <w:spacing w:after="0"/>
              <w:rPr>
                <w:sz w:val="24"/>
                <w:szCs w:val="24"/>
                <w:color w:val="auto"/>
              </w:rPr>
            </w:pPr>
          </w:p>
        </w:tc>
      </w:tr>
      <w:tr>
        <w:trPr>
          <w:trHeight w:val="262"/>
        </w:trPr>
        <w:tc>
          <w:tcPr>
            <w:tcW w:w="5420" w:type="dxa"/>
            <w:vAlign w:val="bottom"/>
            <w:gridSpan w:val="3"/>
          </w:tcPr>
          <w:p>
            <w:pPr>
              <w:ind w:left="40"/>
              <w:spacing w:after="0"/>
              <w:rPr>
                <w:sz w:val="20"/>
                <w:szCs w:val="20"/>
                <w:color w:val="auto"/>
              </w:rPr>
            </w:pPr>
            <w:r>
              <w:rPr>
                <w:rFonts w:ascii="Arial" w:cs="Arial" w:eastAsia="Arial" w:hAnsi="Arial"/>
                <w:sz w:val="16"/>
                <w:szCs w:val="16"/>
                <w:color w:val="auto"/>
              </w:rPr>
              <w:t>Education</w:t>
            </w:r>
          </w:p>
        </w:tc>
        <w:tc>
          <w:tcPr>
            <w:tcW w:w="300" w:type="dxa"/>
            <w:vAlign w:val="bottom"/>
          </w:tcPr>
          <w:p>
            <w:pPr>
              <w:spacing w:after="0"/>
              <w:rPr>
                <w:sz w:val="22"/>
                <w:szCs w:val="22"/>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39.0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44.1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w:t>
            </w:r>
          </w:p>
        </w:tc>
        <w:tc>
          <w:tcPr>
            <w:tcW w:w="1460" w:type="dxa"/>
            <w:vAlign w:val="bottom"/>
          </w:tcPr>
          <w:p>
            <w:pPr>
              <w:jc w:val="center"/>
              <w:ind w:left="19"/>
              <w:spacing w:after="0"/>
              <w:rPr>
                <w:sz w:val="20"/>
                <w:szCs w:val="20"/>
                <w:color w:val="auto"/>
              </w:rPr>
            </w:pPr>
            <w:r>
              <w:rPr>
                <w:rFonts w:ascii="Arial" w:cs="Arial" w:eastAsia="Arial" w:hAnsi="Arial"/>
                <w:sz w:val="16"/>
                <w:szCs w:val="16"/>
                <w:color w:val="auto"/>
                <w:w w:val="99"/>
              </w:rPr>
              <w:t>(11.4)%</w:t>
            </w:r>
          </w:p>
        </w:tc>
      </w:tr>
      <w:tr>
        <w:trPr>
          <w:trHeight w:val="278"/>
        </w:trPr>
        <w:tc>
          <w:tcPr>
            <w:tcW w:w="40" w:type="dxa"/>
            <w:vAlign w:val="bottom"/>
            <w:shd w:val="clear" w:color="auto" w:fill="DCE2EF"/>
          </w:tcPr>
          <w:p>
            <w:pPr>
              <w:spacing w:after="0"/>
              <w:rPr>
                <w:sz w:val="24"/>
                <w:szCs w:val="24"/>
                <w:color w:val="auto"/>
              </w:rPr>
            </w:pPr>
          </w:p>
        </w:tc>
        <w:tc>
          <w:tcPr>
            <w:tcW w:w="538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00" w:type="dxa"/>
            <w:vAlign w:val="bottom"/>
            <w:shd w:val="clear" w:color="auto" w:fill="DCE2EF"/>
          </w:tcPr>
          <w:p>
            <w:pPr>
              <w:spacing w:after="0"/>
              <w:rPr>
                <w:sz w:val="24"/>
                <w:szCs w:val="24"/>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4.6%</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5.1%</w:t>
            </w:r>
          </w:p>
        </w:tc>
        <w:tc>
          <w:tcPr>
            <w:tcW w:w="100" w:type="dxa"/>
            <w:vAlign w:val="bottom"/>
            <w:shd w:val="clear" w:color="auto" w:fill="DCE2EF"/>
          </w:tcPr>
          <w:p>
            <w:pPr>
              <w:spacing w:after="0"/>
              <w:rPr>
                <w:sz w:val="24"/>
                <w:szCs w:val="24"/>
                <w:color w:val="auto"/>
              </w:rPr>
            </w:pPr>
          </w:p>
        </w:tc>
        <w:tc>
          <w:tcPr>
            <w:tcW w:w="360" w:type="dxa"/>
            <w:vAlign w:val="bottom"/>
            <w:shd w:val="clear" w:color="auto" w:fill="DCE2EF"/>
          </w:tcPr>
          <w:p>
            <w:pPr>
              <w:spacing w:after="0"/>
              <w:rPr>
                <w:sz w:val="24"/>
                <w:szCs w:val="24"/>
                <w:color w:val="auto"/>
              </w:rPr>
            </w:pPr>
          </w:p>
        </w:tc>
        <w:tc>
          <w:tcPr>
            <w:tcW w:w="980" w:type="dxa"/>
            <w:vAlign w:val="bottom"/>
            <w:shd w:val="clear" w:color="auto" w:fill="DCE2EF"/>
          </w:tcPr>
          <w:p>
            <w:pPr>
              <w:jc w:val="right"/>
              <w:ind w:right="21"/>
              <w:spacing w:after="0"/>
              <w:rPr>
                <w:sz w:val="20"/>
                <w:szCs w:val="20"/>
                <w:color w:val="auto"/>
              </w:rPr>
            </w:pPr>
            <w:r>
              <w:rPr>
                <w:rFonts w:ascii="Arial" w:cs="Arial" w:eastAsia="Arial" w:hAnsi="Arial"/>
                <w:sz w:val="14"/>
                <w:szCs w:val="14"/>
                <w:i w:val="1"/>
                <w:iCs w:val="1"/>
                <w:color w:val="auto"/>
              </w:rPr>
              <w:t>(54) bps</w:t>
            </w:r>
          </w:p>
        </w:tc>
        <w:tc>
          <w:tcPr>
            <w:tcW w:w="1460" w:type="dxa"/>
            <w:vAlign w:val="bottom"/>
            <w:shd w:val="clear" w:color="auto" w:fill="DCE2EF"/>
          </w:tcPr>
          <w:p>
            <w:pPr>
              <w:spacing w:after="0"/>
              <w:rPr>
                <w:sz w:val="24"/>
                <w:szCs w:val="24"/>
                <w:color w:val="auto"/>
              </w:rPr>
            </w:pPr>
          </w:p>
        </w:tc>
      </w:tr>
      <w:tr>
        <w:trPr>
          <w:trHeight w:val="262"/>
        </w:trPr>
        <w:tc>
          <w:tcPr>
            <w:tcW w:w="5420" w:type="dxa"/>
            <w:vAlign w:val="bottom"/>
            <w:gridSpan w:val="3"/>
          </w:tcPr>
          <w:p>
            <w:pPr>
              <w:ind w:left="40"/>
              <w:spacing w:after="0"/>
              <w:rPr>
                <w:sz w:val="20"/>
                <w:szCs w:val="20"/>
                <w:color w:val="auto"/>
              </w:rPr>
            </w:pPr>
            <w:r>
              <w:rPr>
                <w:rFonts w:ascii="Arial" w:cs="Arial" w:eastAsia="Arial" w:hAnsi="Arial"/>
                <w:sz w:val="16"/>
                <w:szCs w:val="16"/>
                <w:color w:val="auto"/>
              </w:rPr>
              <w:t>Technical Solutions</w:t>
            </w:r>
          </w:p>
        </w:tc>
        <w:tc>
          <w:tcPr>
            <w:tcW w:w="300" w:type="dxa"/>
            <w:vAlign w:val="bottom"/>
          </w:tcPr>
          <w:p>
            <w:pPr>
              <w:spacing w:after="0"/>
              <w:rPr>
                <w:sz w:val="22"/>
                <w:szCs w:val="22"/>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33.6</w:t>
            </w:r>
          </w:p>
        </w:tc>
        <w:tc>
          <w:tcPr>
            <w:tcW w:w="1460" w:type="dxa"/>
            <w:vAlign w:val="bottom"/>
          </w:tcPr>
          <w:p>
            <w:pPr>
              <w:ind w:left="620"/>
              <w:spacing w:after="0"/>
              <w:rPr>
                <w:sz w:val="20"/>
                <w:szCs w:val="20"/>
                <w:color w:val="auto"/>
              </w:rPr>
            </w:pPr>
            <w:r>
              <w:rPr>
                <w:rFonts w:ascii="Arial" w:cs="Arial" w:eastAsia="Arial" w:hAnsi="Arial"/>
                <w:sz w:val="16"/>
                <w:szCs w:val="16"/>
                <w:color w:val="auto"/>
              </w:rPr>
              <w:t>NM*</w:t>
            </w:r>
          </w:p>
        </w:tc>
      </w:tr>
      <w:tr>
        <w:trPr>
          <w:trHeight w:val="278"/>
        </w:trPr>
        <w:tc>
          <w:tcPr>
            <w:tcW w:w="40" w:type="dxa"/>
            <w:vAlign w:val="bottom"/>
            <w:shd w:val="clear" w:color="auto" w:fill="DCE2EF"/>
          </w:tcPr>
          <w:p>
            <w:pPr>
              <w:spacing w:after="0"/>
              <w:rPr>
                <w:sz w:val="24"/>
                <w:szCs w:val="24"/>
                <w:color w:val="auto"/>
              </w:rPr>
            </w:pPr>
          </w:p>
        </w:tc>
        <w:tc>
          <w:tcPr>
            <w:tcW w:w="538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00" w:type="dxa"/>
            <w:vAlign w:val="bottom"/>
            <w:shd w:val="clear" w:color="auto" w:fill="DCE2EF"/>
          </w:tcPr>
          <w:p>
            <w:pPr>
              <w:spacing w:after="0"/>
              <w:rPr>
                <w:sz w:val="24"/>
                <w:szCs w:val="24"/>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9.3%</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4.4%</w:t>
            </w:r>
          </w:p>
        </w:tc>
        <w:tc>
          <w:tcPr>
            <w:tcW w:w="100" w:type="dxa"/>
            <w:vAlign w:val="bottom"/>
            <w:shd w:val="clear" w:color="auto" w:fill="DCE2EF"/>
          </w:tcPr>
          <w:p>
            <w:pPr>
              <w:spacing w:after="0"/>
              <w:rPr>
                <w:sz w:val="24"/>
                <w:szCs w:val="24"/>
                <w:color w:val="auto"/>
              </w:rPr>
            </w:pPr>
          </w:p>
        </w:tc>
        <w:tc>
          <w:tcPr>
            <w:tcW w:w="360" w:type="dxa"/>
            <w:vAlign w:val="bottom"/>
            <w:shd w:val="clear" w:color="auto" w:fill="DCE2EF"/>
          </w:tcPr>
          <w:p>
            <w:pPr>
              <w:spacing w:after="0"/>
              <w:rPr>
                <w:sz w:val="24"/>
                <w:szCs w:val="24"/>
                <w:color w:val="auto"/>
              </w:rPr>
            </w:pPr>
          </w:p>
        </w:tc>
        <w:tc>
          <w:tcPr>
            <w:tcW w:w="980" w:type="dxa"/>
            <w:vAlign w:val="bottom"/>
            <w:shd w:val="clear" w:color="auto" w:fill="DCE2EF"/>
          </w:tcPr>
          <w:p>
            <w:pPr>
              <w:jc w:val="right"/>
              <w:ind w:right="21"/>
              <w:spacing w:after="0"/>
              <w:rPr>
                <w:sz w:val="20"/>
                <w:szCs w:val="20"/>
                <w:color w:val="auto"/>
              </w:rPr>
            </w:pPr>
            <w:r>
              <w:rPr>
                <w:rFonts w:ascii="Arial" w:cs="Arial" w:eastAsia="Arial" w:hAnsi="Arial"/>
                <w:sz w:val="14"/>
                <w:szCs w:val="14"/>
                <w:i w:val="1"/>
                <w:iCs w:val="1"/>
                <w:color w:val="auto"/>
              </w:rPr>
              <w:t>497 bps</w:t>
            </w:r>
          </w:p>
        </w:tc>
        <w:tc>
          <w:tcPr>
            <w:tcW w:w="1460" w:type="dxa"/>
            <w:vAlign w:val="bottom"/>
            <w:shd w:val="clear" w:color="auto" w:fill="DCE2EF"/>
          </w:tcPr>
          <w:p>
            <w:pPr>
              <w:spacing w:after="0"/>
              <w:rPr>
                <w:sz w:val="24"/>
                <w:szCs w:val="24"/>
                <w:color w:val="auto"/>
              </w:rPr>
            </w:pPr>
          </w:p>
        </w:tc>
      </w:tr>
      <w:tr>
        <w:trPr>
          <w:trHeight w:val="262"/>
        </w:trPr>
        <w:tc>
          <w:tcPr>
            <w:tcW w:w="5420" w:type="dxa"/>
            <w:vAlign w:val="bottom"/>
            <w:gridSpan w:val="3"/>
          </w:tcPr>
          <w:p>
            <w:pPr>
              <w:ind w:left="40"/>
              <w:spacing w:after="0"/>
              <w:rPr>
                <w:sz w:val="20"/>
                <w:szCs w:val="20"/>
                <w:color w:val="auto"/>
              </w:rPr>
            </w:pPr>
            <w:r>
              <w:rPr>
                <w:rFonts w:ascii="Arial" w:cs="Arial" w:eastAsia="Arial" w:hAnsi="Arial"/>
                <w:sz w:val="16"/>
                <w:szCs w:val="16"/>
                <w:color w:val="auto"/>
              </w:rPr>
              <w:t>Government Services</w:t>
            </w:r>
          </w:p>
        </w:tc>
        <w:tc>
          <w:tcPr>
            <w:tcW w:w="300" w:type="dxa"/>
            <w:vAlign w:val="bottom"/>
          </w:tcPr>
          <w:p>
            <w:pPr>
              <w:spacing w:after="0"/>
              <w:rPr>
                <w:sz w:val="22"/>
                <w:szCs w:val="22"/>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0.7</w:t>
            </w:r>
          </w:p>
        </w:tc>
        <w:tc>
          <w:tcPr>
            <w:tcW w:w="1460" w:type="dxa"/>
            <w:vAlign w:val="bottom"/>
          </w:tcPr>
          <w:p>
            <w:pPr>
              <w:jc w:val="center"/>
              <w:ind w:left="39"/>
              <w:spacing w:after="0"/>
              <w:rPr>
                <w:sz w:val="20"/>
                <w:szCs w:val="20"/>
                <w:color w:val="auto"/>
              </w:rPr>
            </w:pPr>
            <w:r>
              <w:rPr>
                <w:rFonts w:ascii="Arial" w:cs="Arial" w:eastAsia="Arial" w:hAnsi="Arial"/>
                <w:sz w:val="16"/>
                <w:szCs w:val="16"/>
                <w:color w:val="auto"/>
              </w:rPr>
              <w:t>90.1%</w:t>
            </w:r>
          </w:p>
        </w:tc>
      </w:tr>
      <w:tr>
        <w:trPr>
          <w:trHeight w:val="278"/>
        </w:trPr>
        <w:tc>
          <w:tcPr>
            <w:tcW w:w="40" w:type="dxa"/>
            <w:vAlign w:val="bottom"/>
            <w:shd w:val="clear" w:color="auto" w:fill="DCE2EF"/>
          </w:tcPr>
          <w:p>
            <w:pPr>
              <w:spacing w:after="0"/>
              <w:rPr>
                <w:sz w:val="24"/>
                <w:szCs w:val="24"/>
                <w:color w:val="auto"/>
              </w:rPr>
            </w:pPr>
          </w:p>
        </w:tc>
        <w:tc>
          <w:tcPr>
            <w:tcW w:w="538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00" w:type="dxa"/>
            <w:vAlign w:val="bottom"/>
            <w:shd w:val="clear" w:color="auto" w:fill="DCE2EF"/>
          </w:tcPr>
          <w:p>
            <w:pPr>
              <w:spacing w:after="0"/>
              <w:rPr>
                <w:sz w:val="24"/>
                <w:szCs w:val="24"/>
                <w:color w:val="auto"/>
              </w:rPr>
            </w:pPr>
          </w:p>
        </w:tc>
        <w:tc>
          <w:tcPr>
            <w:tcW w:w="1180" w:type="dxa"/>
            <w:vAlign w:val="bottom"/>
            <w:gridSpan w:val="2"/>
            <w:shd w:val="clear" w:color="auto" w:fill="DCE2EF"/>
          </w:tcPr>
          <w:p>
            <w:pPr>
              <w:ind w:left="640"/>
              <w:spacing w:after="0"/>
              <w:rPr>
                <w:sz w:val="20"/>
                <w:szCs w:val="20"/>
                <w:color w:val="auto"/>
              </w:rPr>
            </w:pPr>
            <w:r>
              <w:rPr>
                <w:rFonts w:ascii="Arial" w:cs="Arial" w:eastAsia="Arial" w:hAnsi="Arial"/>
                <w:sz w:val="14"/>
                <w:szCs w:val="14"/>
                <w:i w:val="1"/>
                <w:iCs w:val="1"/>
                <w:color w:val="auto"/>
              </w:rPr>
              <w:t>NM*</w:t>
            </w:r>
          </w:p>
        </w:tc>
        <w:tc>
          <w:tcPr>
            <w:tcW w:w="320" w:type="dxa"/>
            <w:vAlign w:val="bottom"/>
            <w:shd w:val="clear" w:color="auto" w:fill="DCE2EF"/>
          </w:tcPr>
          <w:p>
            <w:pPr>
              <w:spacing w:after="0"/>
              <w:rPr>
                <w:sz w:val="24"/>
                <w:szCs w:val="24"/>
                <w:color w:val="auto"/>
              </w:rPr>
            </w:pPr>
          </w:p>
        </w:tc>
        <w:tc>
          <w:tcPr>
            <w:tcW w:w="1180" w:type="dxa"/>
            <w:vAlign w:val="bottom"/>
            <w:gridSpan w:val="2"/>
            <w:shd w:val="clear" w:color="auto" w:fill="DCE2EF"/>
          </w:tcPr>
          <w:p>
            <w:pPr>
              <w:ind w:left="640"/>
              <w:spacing w:after="0"/>
              <w:rPr>
                <w:sz w:val="20"/>
                <w:szCs w:val="20"/>
                <w:color w:val="auto"/>
              </w:rPr>
            </w:pPr>
            <w:r>
              <w:rPr>
                <w:rFonts w:ascii="Arial" w:cs="Arial" w:eastAsia="Arial" w:hAnsi="Arial"/>
                <w:sz w:val="14"/>
                <w:szCs w:val="14"/>
                <w:i w:val="1"/>
                <w:iCs w:val="1"/>
                <w:color w:val="auto"/>
              </w:rPr>
              <w:t>NM*</w:t>
            </w:r>
          </w:p>
        </w:tc>
        <w:tc>
          <w:tcPr>
            <w:tcW w:w="360" w:type="dxa"/>
            <w:vAlign w:val="bottom"/>
            <w:shd w:val="clear" w:color="auto" w:fill="DCE2EF"/>
          </w:tcPr>
          <w:p>
            <w:pPr>
              <w:spacing w:after="0"/>
              <w:rPr>
                <w:sz w:val="24"/>
                <w:szCs w:val="24"/>
                <w:color w:val="auto"/>
              </w:rPr>
            </w:pPr>
          </w:p>
        </w:tc>
        <w:tc>
          <w:tcPr>
            <w:tcW w:w="980" w:type="dxa"/>
            <w:vAlign w:val="bottom"/>
            <w:shd w:val="clear" w:color="auto" w:fill="DCE2EF"/>
          </w:tcPr>
          <w:p>
            <w:pPr>
              <w:jc w:val="right"/>
              <w:ind w:right="21"/>
              <w:spacing w:after="0"/>
              <w:rPr>
                <w:sz w:val="20"/>
                <w:szCs w:val="20"/>
                <w:color w:val="auto"/>
              </w:rPr>
            </w:pPr>
            <w:r>
              <w:rPr>
                <w:rFonts w:ascii="Arial" w:cs="Arial" w:eastAsia="Arial" w:hAnsi="Arial"/>
                <w:sz w:val="14"/>
                <w:szCs w:val="14"/>
                <w:i w:val="1"/>
                <w:iCs w:val="1"/>
                <w:color w:val="auto"/>
              </w:rPr>
              <w:t>NM*</w:t>
            </w:r>
          </w:p>
        </w:tc>
        <w:tc>
          <w:tcPr>
            <w:tcW w:w="1460" w:type="dxa"/>
            <w:vAlign w:val="bottom"/>
            <w:shd w:val="clear" w:color="auto" w:fill="DCE2EF"/>
          </w:tcPr>
          <w:p>
            <w:pPr>
              <w:spacing w:after="0"/>
              <w:rPr>
                <w:sz w:val="24"/>
                <w:szCs w:val="24"/>
                <w:color w:val="auto"/>
              </w:rPr>
            </w:pPr>
          </w:p>
        </w:tc>
      </w:tr>
      <w:tr>
        <w:trPr>
          <w:trHeight w:val="262"/>
        </w:trPr>
        <w:tc>
          <w:tcPr>
            <w:tcW w:w="5420" w:type="dxa"/>
            <w:vAlign w:val="bottom"/>
            <w:gridSpan w:val="3"/>
          </w:tcPr>
          <w:p>
            <w:pPr>
              <w:ind w:left="40"/>
              <w:spacing w:after="0"/>
              <w:rPr>
                <w:sz w:val="20"/>
                <w:szCs w:val="20"/>
                <w:color w:val="auto"/>
              </w:rPr>
            </w:pPr>
            <w:r>
              <w:rPr>
                <w:rFonts w:ascii="Arial" w:cs="Arial" w:eastAsia="Arial" w:hAnsi="Arial"/>
                <w:sz w:val="16"/>
                <w:szCs w:val="16"/>
                <w:color w:val="auto"/>
              </w:rPr>
              <w:t>Corporate</w:t>
            </w:r>
          </w:p>
        </w:tc>
        <w:tc>
          <w:tcPr>
            <w:tcW w:w="300" w:type="dxa"/>
            <w:vAlign w:val="bottom"/>
          </w:tcPr>
          <w:p>
            <w:pPr>
              <w:spacing w:after="0"/>
              <w:rPr>
                <w:sz w:val="22"/>
                <w:szCs w:val="22"/>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(159.0)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(168.8)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9.8</w:t>
            </w:r>
          </w:p>
        </w:tc>
        <w:tc>
          <w:tcPr>
            <w:tcW w:w="1460" w:type="dxa"/>
            <w:vAlign w:val="bottom"/>
          </w:tcPr>
          <w:p>
            <w:pPr>
              <w:jc w:val="center"/>
              <w:ind w:left="19"/>
              <w:spacing w:after="0"/>
              <w:rPr>
                <w:sz w:val="20"/>
                <w:szCs w:val="20"/>
                <w:color w:val="auto"/>
              </w:rPr>
            </w:pPr>
            <w:r>
              <w:rPr>
                <w:rFonts w:ascii="Arial" w:cs="Arial" w:eastAsia="Arial" w:hAnsi="Arial"/>
                <w:sz w:val="16"/>
                <w:szCs w:val="16"/>
                <w:color w:val="auto"/>
                <w:w w:val="98"/>
              </w:rPr>
              <w:t>5.8%</w:t>
            </w:r>
          </w:p>
        </w:tc>
      </w:tr>
      <w:tr>
        <w:trPr>
          <w:trHeight w:val="278"/>
        </w:trPr>
        <w:tc>
          <w:tcPr>
            <w:tcW w:w="542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Adjustment for income from unconsolidated affiliates, included in Aviation</w:t>
            </w:r>
          </w:p>
        </w:tc>
        <w:tc>
          <w:tcPr>
            <w:tcW w:w="300" w:type="dxa"/>
            <w:vAlign w:val="bottom"/>
            <w:shd w:val="clear" w:color="auto" w:fill="DCE2EF"/>
          </w:tcPr>
          <w:p>
            <w:pPr>
              <w:spacing w:after="0"/>
              <w:rPr>
                <w:sz w:val="24"/>
                <w:szCs w:val="24"/>
                <w:color w:val="auto"/>
              </w:rPr>
            </w:pPr>
          </w:p>
        </w:tc>
        <w:tc>
          <w:tcPr>
            <w:tcW w:w="108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(3.0)</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108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(3.2)</w:t>
            </w:r>
          </w:p>
        </w:tc>
        <w:tc>
          <w:tcPr>
            <w:tcW w:w="100" w:type="dxa"/>
            <w:vAlign w:val="bottom"/>
            <w:shd w:val="clear" w:color="auto" w:fill="DCE2EF"/>
          </w:tcPr>
          <w:p>
            <w:pPr>
              <w:spacing w:after="0"/>
              <w:rPr>
                <w:sz w:val="24"/>
                <w:szCs w:val="24"/>
                <w:color w:val="auto"/>
              </w:rPr>
            </w:pPr>
          </w:p>
        </w:tc>
        <w:tc>
          <w:tcPr>
            <w:tcW w:w="360" w:type="dxa"/>
            <w:vAlign w:val="bottom"/>
            <w:shd w:val="clear" w:color="auto" w:fill="DCE2EF"/>
          </w:tcPr>
          <w:p>
            <w:pPr>
              <w:spacing w:after="0"/>
              <w:rPr>
                <w:sz w:val="24"/>
                <w:szCs w:val="24"/>
                <w:color w:val="auto"/>
              </w:rPr>
            </w:pPr>
          </w:p>
        </w:tc>
        <w:tc>
          <w:tcPr>
            <w:tcW w:w="98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0.2</w:t>
            </w:r>
          </w:p>
        </w:tc>
        <w:tc>
          <w:tcPr>
            <w:tcW w:w="146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w w:val="98"/>
              </w:rPr>
              <w:t>7.4%</w:t>
            </w:r>
          </w:p>
        </w:tc>
      </w:tr>
      <w:tr>
        <w:trPr>
          <w:trHeight w:val="198"/>
        </w:trPr>
        <w:tc>
          <w:tcPr>
            <w:tcW w:w="5420" w:type="dxa"/>
            <w:vAlign w:val="bottom"/>
            <w:gridSpan w:val="3"/>
          </w:tcPr>
          <w:p>
            <w:pPr>
              <w:ind w:left="40"/>
              <w:spacing w:after="0"/>
              <w:rPr>
                <w:sz w:val="20"/>
                <w:szCs w:val="20"/>
                <w:color w:val="auto"/>
              </w:rPr>
            </w:pPr>
            <w:r>
              <w:rPr>
                <w:rFonts w:ascii="Arial" w:cs="Arial" w:eastAsia="Arial" w:hAnsi="Arial"/>
                <w:sz w:val="16"/>
                <w:szCs w:val="16"/>
                <w:color w:val="auto"/>
              </w:rPr>
              <w:t>Adjustment for tax deductions for energy efficient government buildings,</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28"/>
        </w:trPr>
        <w:tc>
          <w:tcPr>
            <w:tcW w:w="40" w:type="dxa"/>
            <w:vAlign w:val="bottom"/>
            <w:tcBorders>
              <w:bottom w:val="single" w:sz="8" w:color="DCE2EF"/>
            </w:tcBorders>
          </w:tcPr>
          <w:p>
            <w:pPr>
              <w:spacing w:after="0"/>
              <w:rPr>
                <w:sz w:val="19"/>
                <w:szCs w:val="19"/>
                <w:color w:val="auto"/>
              </w:rPr>
            </w:pPr>
          </w:p>
        </w:tc>
        <w:tc>
          <w:tcPr>
            <w:tcW w:w="5380" w:type="dxa"/>
            <w:vAlign w:val="bottom"/>
            <w:tcBorders>
              <w:bottom w:val="single" w:sz="8" w:color="DCE2EF"/>
            </w:tcBorders>
            <w:gridSpan w:val="2"/>
          </w:tcPr>
          <w:p>
            <w:pPr>
              <w:ind w:left="160"/>
              <w:spacing w:after="0"/>
              <w:rPr>
                <w:sz w:val="20"/>
                <w:szCs w:val="20"/>
                <w:color w:val="auto"/>
              </w:rPr>
            </w:pPr>
            <w:r>
              <w:rPr>
                <w:rFonts w:ascii="Arial" w:cs="Arial" w:eastAsia="Arial" w:hAnsi="Arial"/>
                <w:sz w:val="16"/>
                <w:szCs w:val="16"/>
                <w:color w:val="auto"/>
              </w:rPr>
              <w:t>included in Technical Solutions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DCE2E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DCE2E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2.9</w:t>
            </w:r>
          </w:p>
        </w:tc>
        <w:tc>
          <w:tcPr>
            <w:tcW w:w="1460" w:type="dxa"/>
            <w:vAlign w:val="bottom"/>
            <w:tcBorders>
              <w:bottom w:val="single" w:sz="8" w:color="DCE2EF"/>
            </w:tcBorders>
          </w:tcPr>
          <w:p>
            <w:pPr>
              <w:ind w:left="620"/>
              <w:spacing w:after="0"/>
              <w:rPr>
                <w:sz w:val="20"/>
                <w:szCs w:val="20"/>
                <w:color w:val="auto"/>
              </w:rPr>
            </w:pPr>
            <w:r>
              <w:rPr>
                <w:rFonts w:ascii="Arial" w:cs="Arial" w:eastAsia="Arial" w:hAnsi="Arial"/>
                <w:sz w:val="16"/>
                <w:szCs w:val="16"/>
                <w:color w:val="auto"/>
              </w:rPr>
              <w:t>NM*</w:t>
            </w:r>
          </w:p>
        </w:tc>
      </w:tr>
      <w:tr>
        <w:trPr>
          <w:trHeight w:val="242"/>
        </w:trPr>
        <w:tc>
          <w:tcPr>
            <w:tcW w:w="40" w:type="dxa"/>
            <w:vAlign w:val="bottom"/>
            <w:tcBorders>
              <w:bottom w:val="single" w:sz="8" w:color="DCE2EF"/>
            </w:tcBorders>
            <w:shd w:val="clear" w:color="auto" w:fill="DCE2EF"/>
          </w:tcPr>
          <w:p>
            <w:pPr>
              <w:spacing w:after="0"/>
              <w:rPr>
                <w:sz w:val="21"/>
                <w:szCs w:val="21"/>
                <w:color w:val="auto"/>
              </w:rPr>
            </w:pPr>
          </w:p>
        </w:tc>
        <w:tc>
          <w:tcPr>
            <w:tcW w:w="820" w:type="dxa"/>
            <w:vAlign w:val="bottom"/>
            <w:tcBorders>
              <w:bottom w:val="single" w:sz="8" w:color="DCE2EF"/>
            </w:tcBorders>
            <w:shd w:val="clear" w:color="auto" w:fill="DCE2EF"/>
          </w:tcPr>
          <w:p>
            <w:pPr>
              <w:spacing w:after="0"/>
              <w:rPr>
                <w:sz w:val="21"/>
                <w:szCs w:val="21"/>
                <w:color w:val="auto"/>
              </w:rPr>
            </w:pPr>
          </w:p>
        </w:tc>
        <w:tc>
          <w:tcPr>
            <w:tcW w:w="4560" w:type="dxa"/>
            <w:vAlign w:val="bottom"/>
            <w:tcBorders>
              <w:bottom w:val="single" w:sz="8" w:color="DCE2EF"/>
            </w:tcBorders>
            <w:shd w:val="clear" w:color="auto" w:fill="DCE2EF"/>
          </w:tcPr>
          <w:p>
            <w:pPr>
              <w:spacing w:after="0"/>
              <w:rPr>
                <w:sz w:val="21"/>
                <w:szCs w:val="21"/>
                <w:color w:val="auto"/>
              </w:rPr>
            </w:pPr>
          </w:p>
        </w:tc>
        <w:tc>
          <w:tcPr>
            <w:tcW w:w="300" w:type="dxa"/>
            <w:vAlign w:val="bottom"/>
            <w:tcBorders>
              <w:bottom w:val="single" w:sz="8" w:color="auto"/>
            </w:tcBorders>
            <w:shd w:val="clear" w:color="auto" w:fill="DCE2E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DCE2EF"/>
          </w:tcPr>
          <w:p>
            <w:pPr>
              <w:jc w:val="right"/>
              <w:ind w:right="81"/>
              <w:spacing w:after="0"/>
              <w:rPr>
                <w:sz w:val="20"/>
                <w:szCs w:val="20"/>
                <w:color w:val="auto"/>
              </w:rPr>
            </w:pPr>
            <w:r>
              <w:rPr>
                <w:rFonts w:ascii="Arial" w:cs="Arial" w:eastAsia="Arial" w:hAnsi="Arial"/>
                <w:sz w:val="16"/>
                <w:szCs w:val="16"/>
                <w:color w:val="auto"/>
              </w:rPr>
              <w:t>208.3</w:t>
            </w:r>
          </w:p>
        </w:tc>
        <w:tc>
          <w:tcPr>
            <w:tcW w:w="100" w:type="dxa"/>
            <w:vAlign w:val="bottom"/>
            <w:tcBorders>
              <w:bottom w:val="single" w:sz="8" w:color="DCE2EF"/>
            </w:tcBorders>
            <w:shd w:val="clear" w:color="auto" w:fill="DCE2EF"/>
          </w:tcPr>
          <w:p>
            <w:pPr>
              <w:spacing w:after="0"/>
              <w:rPr>
                <w:sz w:val="21"/>
                <w:szCs w:val="21"/>
                <w:color w:val="auto"/>
              </w:rPr>
            </w:pPr>
          </w:p>
        </w:tc>
        <w:tc>
          <w:tcPr>
            <w:tcW w:w="320" w:type="dxa"/>
            <w:vAlign w:val="bottom"/>
            <w:tcBorders>
              <w:bottom w:val="single" w:sz="8" w:color="auto"/>
            </w:tcBorders>
            <w:shd w:val="clear" w:color="auto" w:fill="DCE2E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DCE2EF"/>
          </w:tcPr>
          <w:p>
            <w:pPr>
              <w:jc w:val="right"/>
              <w:ind w:right="81"/>
              <w:spacing w:after="0"/>
              <w:rPr>
                <w:sz w:val="20"/>
                <w:szCs w:val="20"/>
                <w:color w:val="auto"/>
              </w:rPr>
            </w:pPr>
            <w:r>
              <w:rPr>
                <w:rFonts w:ascii="Arial" w:cs="Arial" w:eastAsia="Arial" w:hAnsi="Arial"/>
                <w:sz w:val="16"/>
                <w:szCs w:val="16"/>
                <w:color w:val="auto"/>
              </w:rPr>
              <w:t>138.6</w:t>
            </w:r>
          </w:p>
        </w:tc>
        <w:tc>
          <w:tcPr>
            <w:tcW w:w="100" w:type="dxa"/>
            <w:vAlign w:val="bottom"/>
            <w:tcBorders>
              <w:bottom w:val="single" w:sz="8" w:color="DCE2EF"/>
            </w:tcBorders>
            <w:shd w:val="clear" w:color="auto" w:fill="DCE2EF"/>
          </w:tcPr>
          <w:p>
            <w:pPr>
              <w:spacing w:after="0"/>
              <w:rPr>
                <w:sz w:val="21"/>
                <w:szCs w:val="21"/>
                <w:color w:val="auto"/>
              </w:rPr>
            </w:pPr>
          </w:p>
        </w:tc>
        <w:tc>
          <w:tcPr>
            <w:tcW w:w="360" w:type="dxa"/>
            <w:vAlign w:val="bottom"/>
            <w:tcBorders>
              <w:bottom w:val="single" w:sz="8" w:color="auto"/>
            </w:tcBorders>
            <w:shd w:val="clear" w:color="auto" w:fill="DCE2EF"/>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DCE2EF"/>
          </w:tcPr>
          <w:p>
            <w:pPr>
              <w:jc w:val="right"/>
              <w:ind w:right="21"/>
              <w:spacing w:after="0"/>
              <w:rPr>
                <w:sz w:val="20"/>
                <w:szCs w:val="20"/>
                <w:color w:val="auto"/>
              </w:rPr>
            </w:pPr>
            <w:r>
              <w:rPr>
                <w:rFonts w:ascii="Arial" w:cs="Arial" w:eastAsia="Arial" w:hAnsi="Arial"/>
                <w:sz w:val="16"/>
                <w:szCs w:val="16"/>
                <w:color w:val="auto"/>
              </w:rPr>
              <w:t>69.7</w:t>
            </w:r>
          </w:p>
        </w:tc>
        <w:tc>
          <w:tcPr>
            <w:tcW w:w="1460" w:type="dxa"/>
            <w:vAlign w:val="bottom"/>
            <w:tcBorders>
              <w:bottom w:val="single" w:sz="8" w:color="DCE2EF"/>
            </w:tcBorders>
            <w:shd w:val="clear" w:color="auto" w:fill="DCE2EF"/>
          </w:tcPr>
          <w:p>
            <w:pPr>
              <w:jc w:val="center"/>
              <w:ind w:left="39"/>
              <w:spacing w:after="0"/>
              <w:rPr>
                <w:sz w:val="20"/>
                <w:szCs w:val="20"/>
                <w:color w:val="auto"/>
              </w:rPr>
            </w:pPr>
            <w:r>
              <w:rPr>
                <w:rFonts w:ascii="Arial" w:cs="Arial" w:eastAsia="Arial" w:hAnsi="Arial"/>
                <w:sz w:val="16"/>
                <w:szCs w:val="16"/>
                <w:color w:val="auto"/>
              </w:rPr>
              <w:t>50.3%</w:t>
            </w:r>
          </w:p>
        </w:tc>
      </w:tr>
      <w:tr>
        <w:trPr>
          <w:trHeight w:val="20"/>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144"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 meaningful</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95"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51"/>
        </w:trPr>
        <w:tc>
          <w:tcPr>
            <w:tcW w:w="41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0046AD"/>
              </w:rPr>
              <w:t>Business &amp; Industry</w:t>
            </w: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1"/>
        </w:trPr>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5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24"/>
        </w:trPr>
        <w:tc>
          <w:tcPr>
            <w:tcW w:w="416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20" w:type="dxa"/>
            <w:vAlign w:val="bottom"/>
            <w:gridSpan w:val="2"/>
          </w:tcPr>
          <w:p>
            <w:pPr>
              <w:ind w:left="380"/>
              <w:spacing w:after="0"/>
              <w:rPr>
                <w:sz w:val="20"/>
                <w:szCs w:val="20"/>
                <w:color w:val="auto"/>
              </w:rPr>
            </w:pPr>
            <w:r>
              <w:rPr>
                <w:rFonts w:ascii="Arial" w:cs="Arial" w:eastAsia="Arial" w:hAnsi="Arial"/>
                <w:sz w:val="18"/>
                <w:szCs w:val="18"/>
                <w:b w:val="1"/>
                <w:bCs w:val="1"/>
                <w:color w:val="auto"/>
              </w:rPr>
              <w:t>(Decrease) / Increase</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330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DCE2EF"/>
            </w:tcBorders>
            <w:shd w:val="clear" w:color="auto" w:fill="DCE2EF"/>
          </w:tcPr>
          <w:p>
            <w:pPr>
              <w:spacing w:after="0"/>
              <w:rPr>
                <w:sz w:val="21"/>
                <w:szCs w:val="21"/>
                <w:color w:val="auto"/>
              </w:rPr>
            </w:pPr>
          </w:p>
        </w:tc>
        <w:tc>
          <w:tcPr>
            <w:tcW w:w="82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8"/>
                <w:szCs w:val="18"/>
                <w:color w:val="auto"/>
                <w:w w:val="98"/>
                <w:shd w:val="clear" w:color="auto" w:fill="DCE2EF"/>
              </w:rPr>
              <w:t>Revenues</w:t>
            </w:r>
          </w:p>
        </w:tc>
        <w:tc>
          <w:tcPr>
            <w:tcW w:w="3300" w:type="dxa"/>
            <w:vAlign w:val="bottom"/>
            <w:tcBorders>
              <w:bottom w:val="single" w:sz="8" w:color="DCE2EF"/>
            </w:tcBorders>
            <w:shd w:val="clear" w:color="auto" w:fill="DCE2EF"/>
          </w:tcPr>
          <w:p>
            <w:pPr>
              <w:spacing w:after="0"/>
              <w:rPr>
                <w:sz w:val="21"/>
                <w:szCs w:val="21"/>
                <w:color w:val="auto"/>
              </w:rPr>
            </w:pPr>
          </w:p>
        </w:tc>
        <w:tc>
          <w:tcPr>
            <w:tcW w:w="420" w:type="dxa"/>
            <w:vAlign w:val="bottom"/>
            <w:tcBorders>
              <w:bottom w:val="single" w:sz="8" w:color="DCE2EF"/>
            </w:tcBorders>
            <w:shd w:val="clear" w:color="auto" w:fill="DCE2EF"/>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DCE2EF"/>
            </w:tcBorders>
            <w:shd w:val="clear" w:color="auto" w:fill="DCE2EF"/>
          </w:tcPr>
          <w:p>
            <w:pPr>
              <w:jc w:val="right"/>
              <w:ind w:right="74"/>
              <w:spacing w:after="0"/>
              <w:rPr>
                <w:sz w:val="20"/>
                <w:szCs w:val="20"/>
                <w:color w:val="auto"/>
              </w:rPr>
            </w:pPr>
            <w:r>
              <w:rPr>
                <w:rFonts w:ascii="Arial" w:cs="Arial" w:eastAsia="Arial" w:hAnsi="Arial"/>
                <w:sz w:val="18"/>
                <w:szCs w:val="18"/>
                <w:color w:val="auto"/>
              </w:rPr>
              <w:t>3,251.4</w:t>
            </w:r>
          </w:p>
        </w:tc>
        <w:tc>
          <w:tcPr>
            <w:tcW w:w="120" w:type="dxa"/>
            <w:vAlign w:val="bottom"/>
            <w:tcBorders>
              <w:bottom w:val="single" w:sz="8" w:color="DCE2EF"/>
            </w:tcBorders>
            <w:shd w:val="clear" w:color="auto" w:fill="DCE2EF"/>
          </w:tcPr>
          <w:p>
            <w:pPr>
              <w:spacing w:after="0"/>
              <w:rPr>
                <w:sz w:val="21"/>
                <w:szCs w:val="21"/>
                <w:color w:val="auto"/>
              </w:rPr>
            </w:pPr>
          </w:p>
        </w:tc>
        <w:tc>
          <w:tcPr>
            <w:tcW w:w="400" w:type="dxa"/>
            <w:vAlign w:val="bottom"/>
            <w:tcBorders>
              <w:bottom w:val="single" w:sz="8" w:color="DCE2EF"/>
            </w:tcBorders>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DCE2EF"/>
            </w:tcBorders>
            <w:shd w:val="clear" w:color="auto" w:fill="DCE2EF"/>
          </w:tcPr>
          <w:p>
            <w:pPr>
              <w:jc w:val="right"/>
              <w:ind w:right="74"/>
              <w:spacing w:after="0"/>
              <w:rPr>
                <w:sz w:val="20"/>
                <w:szCs w:val="20"/>
                <w:color w:val="auto"/>
              </w:rPr>
            </w:pPr>
            <w:r>
              <w:rPr>
                <w:rFonts w:ascii="Arial" w:cs="Arial" w:eastAsia="Arial" w:hAnsi="Arial"/>
                <w:sz w:val="18"/>
                <w:szCs w:val="18"/>
                <w:color w:val="auto"/>
              </w:rPr>
              <w:t>3,268.4</w:t>
            </w:r>
          </w:p>
        </w:tc>
        <w:tc>
          <w:tcPr>
            <w:tcW w:w="100" w:type="dxa"/>
            <w:vAlign w:val="bottom"/>
            <w:tcBorders>
              <w:bottom w:val="single" w:sz="8" w:color="DCE2EF"/>
            </w:tcBorders>
            <w:shd w:val="clear" w:color="auto" w:fill="DCE2EF"/>
          </w:tcPr>
          <w:p>
            <w:pPr>
              <w:spacing w:after="0"/>
              <w:rPr>
                <w:sz w:val="21"/>
                <w:szCs w:val="21"/>
                <w:color w:val="auto"/>
              </w:rPr>
            </w:pPr>
          </w:p>
        </w:tc>
        <w:tc>
          <w:tcPr>
            <w:tcW w:w="500" w:type="dxa"/>
            <w:vAlign w:val="bottom"/>
            <w:tcBorders>
              <w:bottom w:val="single" w:sz="8" w:color="DCE2EF"/>
            </w:tcBorders>
            <w:shd w:val="clear" w:color="auto" w:fill="DCE2EF"/>
          </w:tcPr>
          <w:p>
            <w:pPr>
              <w:jc w:val="right"/>
              <w:ind w:right="27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DCE2EF"/>
            </w:tcBorders>
            <w:shd w:val="clear" w:color="auto" w:fill="DCE2EF"/>
          </w:tcPr>
          <w:p>
            <w:pPr>
              <w:jc w:val="right"/>
              <w:ind w:right="294"/>
              <w:spacing w:after="0"/>
              <w:rPr>
                <w:sz w:val="20"/>
                <w:szCs w:val="20"/>
                <w:color w:val="auto"/>
              </w:rPr>
            </w:pPr>
            <w:r>
              <w:rPr>
                <w:rFonts w:ascii="Arial" w:cs="Arial" w:eastAsia="Arial" w:hAnsi="Arial"/>
                <w:sz w:val="18"/>
                <w:szCs w:val="18"/>
                <w:color w:val="auto"/>
              </w:rPr>
              <w:t>(17.0)</w:t>
            </w:r>
          </w:p>
        </w:tc>
        <w:tc>
          <w:tcPr>
            <w:tcW w:w="1480" w:type="dxa"/>
            <w:vAlign w:val="bottom"/>
            <w:tcBorders>
              <w:bottom w:val="single" w:sz="8" w:color="DCE2EF"/>
            </w:tcBorders>
            <w:shd w:val="clear" w:color="auto" w:fill="DCE2EF"/>
          </w:tcPr>
          <w:p>
            <w:pPr>
              <w:jc w:val="right"/>
              <w:ind w:right="490"/>
              <w:spacing w:after="0"/>
              <w:rPr>
                <w:sz w:val="20"/>
                <w:szCs w:val="20"/>
                <w:color w:val="auto"/>
              </w:rPr>
            </w:pPr>
            <w:r>
              <w:rPr>
                <w:rFonts w:ascii="Arial" w:cs="Arial" w:eastAsia="Arial" w:hAnsi="Arial"/>
                <w:sz w:val="18"/>
                <w:szCs w:val="18"/>
                <w:color w:val="auto"/>
              </w:rPr>
              <w:t>(0.5)%</w:t>
            </w:r>
          </w:p>
        </w:tc>
      </w:tr>
      <w:tr>
        <w:trPr>
          <w:trHeight w:val="265"/>
        </w:trPr>
        <w:tc>
          <w:tcPr>
            <w:tcW w:w="416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3"/>
                <w:szCs w:val="23"/>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182.3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40" w:type="dxa"/>
            <w:vAlign w:val="bottom"/>
          </w:tcPr>
          <w:p>
            <w:pPr>
              <w:jc w:val="right"/>
              <w:ind w:right="354"/>
              <w:spacing w:after="0"/>
              <w:rPr>
                <w:sz w:val="20"/>
                <w:szCs w:val="20"/>
                <w:color w:val="auto"/>
              </w:rPr>
            </w:pPr>
            <w:r>
              <w:rPr>
                <w:rFonts w:ascii="Arial" w:cs="Arial" w:eastAsia="Arial" w:hAnsi="Arial"/>
                <w:sz w:val="18"/>
                <w:szCs w:val="18"/>
                <w:color w:val="auto"/>
              </w:rPr>
              <w:t>24.4</w:t>
            </w:r>
          </w:p>
        </w:tc>
        <w:tc>
          <w:tcPr>
            <w:tcW w:w="1480" w:type="dxa"/>
            <w:vAlign w:val="bottom"/>
          </w:tcPr>
          <w:p>
            <w:pPr>
              <w:jc w:val="right"/>
              <w:ind w:right="510"/>
              <w:spacing w:after="0"/>
              <w:rPr>
                <w:sz w:val="20"/>
                <w:szCs w:val="20"/>
                <w:color w:val="auto"/>
              </w:rPr>
            </w:pPr>
            <w:r>
              <w:rPr>
                <w:rFonts w:ascii="Arial" w:cs="Arial" w:eastAsia="Arial" w:hAnsi="Arial"/>
                <w:sz w:val="18"/>
                <w:szCs w:val="18"/>
                <w:color w:val="auto"/>
              </w:rPr>
              <w:t>15.5%</w:t>
            </w:r>
          </w:p>
        </w:tc>
      </w:tr>
      <w:tr>
        <w:trPr>
          <w:trHeight w:val="248"/>
        </w:trPr>
        <w:tc>
          <w:tcPr>
            <w:tcW w:w="40" w:type="dxa"/>
            <w:vAlign w:val="bottom"/>
            <w:shd w:val="clear" w:color="auto" w:fill="DCE2EF"/>
          </w:tcPr>
          <w:p>
            <w:pPr>
              <w:spacing w:after="0"/>
              <w:rPr>
                <w:sz w:val="21"/>
                <w:szCs w:val="21"/>
                <w:color w:val="auto"/>
              </w:rPr>
            </w:pPr>
          </w:p>
        </w:tc>
        <w:tc>
          <w:tcPr>
            <w:tcW w:w="412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shd w:val="clear" w:color="auto" w:fill="DCE2EF"/>
              </w:rPr>
              <w:t>Operating profit margin</w:t>
            </w:r>
          </w:p>
        </w:tc>
        <w:tc>
          <w:tcPr>
            <w:tcW w:w="420" w:type="dxa"/>
            <w:vAlign w:val="bottom"/>
            <w:shd w:val="clear" w:color="auto" w:fill="DCE2EF"/>
          </w:tcPr>
          <w:p>
            <w:pPr>
              <w:spacing w:after="0"/>
              <w:rPr>
                <w:sz w:val="21"/>
                <w:szCs w:val="21"/>
                <w:color w:val="auto"/>
              </w:rPr>
            </w:pPr>
          </w:p>
        </w:tc>
        <w:tc>
          <w:tcPr>
            <w:tcW w:w="13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5.6%</w:t>
            </w:r>
          </w:p>
        </w:tc>
        <w:tc>
          <w:tcPr>
            <w:tcW w:w="120" w:type="dxa"/>
            <w:vAlign w:val="bottom"/>
            <w:shd w:val="clear" w:color="auto" w:fill="DCE2EF"/>
          </w:tcPr>
          <w:p>
            <w:pPr>
              <w:spacing w:after="0"/>
              <w:rPr>
                <w:sz w:val="21"/>
                <w:szCs w:val="21"/>
                <w:color w:val="auto"/>
              </w:rPr>
            </w:pPr>
          </w:p>
        </w:tc>
        <w:tc>
          <w:tcPr>
            <w:tcW w:w="400" w:type="dxa"/>
            <w:vAlign w:val="bottom"/>
            <w:shd w:val="clear" w:color="auto" w:fill="DCE2EF"/>
          </w:tcPr>
          <w:p>
            <w:pPr>
              <w:spacing w:after="0"/>
              <w:rPr>
                <w:sz w:val="21"/>
                <w:szCs w:val="21"/>
                <w:color w:val="auto"/>
              </w:rPr>
            </w:pPr>
          </w:p>
        </w:tc>
        <w:tc>
          <w:tcPr>
            <w:tcW w:w="13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4.8%</w:t>
            </w:r>
          </w:p>
        </w:tc>
        <w:tc>
          <w:tcPr>
            <w:tcW w:w="100" w:type="dxa"/>
            <w:vAlign w:val="bottom"/>
            <w:shd w:val="clear" w:color="auto" w:fill="DCE2EF"/>
          </w:tcPr>
          <w:p>
            <w:pPr>
              <w:spacing w:after="0"/>
              <w:rPr>
                <w:sz w:val="21"/>
                <w:szCs w:val="21"/>
                <w:color w:val="auto"/>
              </w:rPr>
            </w:pPr>
          </w:p>
        </w:tc>
        <w:tc>
          <w:tcPr>
            <w:tcW w:w="500" w:type="dxa"/>
            <w:vAlign w:val="bottom"/>
            <w:shd w:val="clear" w:color="auto" w:fill="DCE2EF"/>
          </w:tcPr>
          <w:p>
            <w:pPr>
              <w:spacing w:after="0"/>
              <w:rPr>
                <w:sz w:val="21"/>
                <w:szCs w:val="21"/>
                <w:color w:val="auto"/>
              </w:rPr>
            </w:pPr>
          </w:p>
        </w:tc>
        <w:tc>
          <w:tcPr>
            <w:tcW w:w="1540" w:type="dxa"/>
            <w:vAlign w:val="bottom"/>
            <w:shd w:val="clear" w:color="auto" w:fill="DCE2EF"/>
          </w:tcPr>
          <w:p>
            <w:pPr>
              <w:jc w:val="right"/>
              <w:ind w:right="354"/>
              <w:spacing w:after="0"/>
              <w:rPr>
                <w:sz w:val="20"/>
                <w:szCs w:val="20"/>
                <w:color w:val="auto"/>
              </w:rPr>
            </w:pPr>
            <w:r>
              <w:rPr>
                <w:rFonts w:ascii="Arial" w:cs="Arial" w:eastAsia="Arial" w:hAnsi="Arial"/>
                <w:sz w:val="14"/>
                <w:szCs w:val="14"/>
                <w:i w:val="1"/>
                <w:iCs w:val="1"/>
                <w:color w:val="auto"/>
              </w:rPr>
              <w:t>78 bps</w:t>
            </w:r>
          </w:p>
        </w:tc>
        <w:tc>
          <w:tcPr>
            <w:tcW w:w="1480" w:type="dxa"/>
            <w:vAlign w:val="bottom"/>
            <w:shd w:val="clear" w:color="auto" w:fill="DCE2EF"/>
          </w:tcPr>
          <w:p>
            <w:pPr>
              <w:spacing w:after="0"/>
              <w:rPr>
                <w:sz w:val="21"/>
                <w:szCs w:val="21"/>
                <w:color w:val="auto"/>
              </w:rPr>
            </w:pPr>
          </w:p>
        </w:tc>
      </w:tr>
      <w:tr>
        <w:trPr>
          <w:trHeight w:val="27"/>
        </w:trPr>
        <w:tc>
          <w:tcPr>
            <w:tcW w:w="40" w:type="dxa"/>
            <w:vAlign w:val="bottom"/>
            <w:shd w:val="clear" w:color="auto" w:fill="DCE2EF"/>
          </w:tcPr>
          <w:p>
            <w:pPr>
              <w:spacing w:after="0"/>
              <w:rPr>
                <w:sz w:val="2"/>
                <w:szCs w:val="2"/>
                <w:color w:val="auto"/>
              </w:rPr>
            </w:pPr>
          </w:p>
        </w:tc>
        <w:tc>
          <w:tcPr>
            <w:tcW w:w="820" w:type="dxa"/>
            <w:vAlign w:val="bottom"/>
            <w:shd w:val="clear" w:color="auto" w:fill="DCE2EF"/>
          </w:tcPr>
          <w:p>
            <w:pPr>
              <w:spacing w:after="0"/>
              <w:rPr>
                <w:sz w:val="2"/>
                <w:szCs w:val="2"/>
                <w:color w:val="auto"/>
              </w:rPr>
            </w:pPr>
          </w:p>
        </w:tc>
        <w:tc>
          <w:tcPr>
            <w:tcW w:w="3300" w:type="dxa"/>
            <w:vAlign w:val="bottom"/>
            <w:shd w:val="clear" w:color="auto" w:fill="DCE2EF"/>
          </w:tcPr>
          <w:p>
            <w:pPr>
              <w:spacing w:after="0"/>
              <w:rPr>
                <w:sz w:val="2"/>
                <w:szCs w:val="2"/>
                <w:color w:val="auto"/>
              </w:rPr>
            </w:pPr>
          </w:p>
        </w:tc>
        <w:tc>
          <w:tcPr>
            <w:tcW w:w="420" w:type="dxa"/>
            <w:vAlign w:val="bottom"/>
            <w:shd w:val="clear" w:color="auto" w:fill="DCE2EF"/>
          </w:tcPr>
          <w:p>
            <w:pPr>
              <w:spacing w:after="0"/>
              <w:rPr>
                <w:sz w:val="2"/>
                <w:szCs w:val="2"/>
                <w:color w:val="auto"/>
              </w:rPr>
            </w:pPr>
          </w:p>
        </w:tc>
        <w:tc>
          <w:tcPr>
            <w:tcW w:w="1340" w:type="dxa"/>
            <w:vAlign w:val="bottom"/>
            <w:shd w:val="clear" w:color="auto" w:fill="DCE2EF"/>
          </w:tcPr>
          <w:p>
            <w:pPr>
              <w:spacing w:after="0"/>
              <w:rPr>
                <w:sz w:val="2"/>
                <w:szCs w:val="2"/>
                <w:color w:val="auto"/>
              </w:rPr>
            </w:pPr>
          </w:p>
        </w:tc>
        <w:tc>
          <w:tcPr>
            <w:tcW w:w="120" w:type="dxa"/>
            <w:vAlign w:val="bottom"/>
            <w:shd w:val="clear" w:color="auto" w:fill="DCE2EF"/>
          </w:tcPr>
          <w:p>
            <w:pPr>
              <w:spacing w:after="0"/>
              <w:rPr>
                <w:sz w:val="2"/>
                <w:szCs w:val="2"/>
                <w:color w:val="auto"/>
              </w:rPr>
            </w:pPr>
          </w:p>
        </w:tc>
        <w:tc>
          <w:tcPr>
            <w:tcW w:w="400" w:type="dxa"/>
            <w:vAlign w:val="bottom"/>
            <w:shd w:val="clear" w:color="auto" w:fill="DCE2EF"/>
          </w:tcPr>
          <w:p>
            <w:pPr>
              <w:spacing w:after="0"/>
              <w:rPr>
                <w:sz w:val="2"/>
                <w:szCs w:val="2"/>
                <w:color w:val="auto"/>
              </w:rPr>
            </w:pPr>
          </w:p>
        </w:tc>
        <w:tc>
          <w:tcPr>
            <w:tcW w:w="1360" w:type="dxa"/>
            <w:vAlign w:val="bottom"/>
            <w:shd w:val="clear" w:color="auto" w:fill="DCE2EF"/>
          </w:tcPr>
          <w:p>
            <w:pPr>
              <w:spacing w:after="0"/>
              <w:rPr>
                <w:sz w:val="2"/>
                <w:szCs w:val="2"/>
                <w:color w:val="auto"/>
              </w:rPr>
            </w:pPr>
          </w:p>
        </w:tc>
        <w:tc>
          <w:tcPr>
            <w:tcW w:w="100" w:type="dxa"/>
            <w:vAlign w:val="bottom"/>
            <w:shd w:val="clear" w:color="auto" w:fill="DCE2EF"/>
          </w:tcPr>
          <w:p>
            <w:pPr>
              <w:spacing w:after="0"/>
              <w:rPr>
                <w:sz w:val="2"/>
                <w:szCs w:val="2"/>
                <w:color w:val="auto"/>
              </w:rPr>
            </w:pPr>
          </w:p>
        </w:tc>
        <w:tc>
          <w:tcPr>
            <w:tcW w:w="500" w:type="dxa"/>
            <w:vAlign w:val="bottom"/>
            <w:shd w:val="clear" w:color="auto" w:fill="DCE2EF"/>
          </w:tcPr>
          <w:p>
            <w:pPr>
              <w:spacing w:after="0"/>
              <w:rPr>
                <w:sz w:val="2"/>
                <w:szCs w:val="2"/>
                <w:color w:val="auto"/>
              </w:rPr>
            </w:pPr>
          </w:p>
        </w:tc>
        <w:tc>
          <w:tcPr>
            <w:tcW w:w="1540" w:type="dxa"/>
            <w:vAlign w:val="bottom"/>
            <w:shd w:val="clear" w:color="auto" w:fill="DCE2EF"/>
          </w:tcPr>
          <w:p>
            <w:pPr>
              <w:spacing w:after="0"/>
              <w:rPr>
                <w:sz w:val="2"/>
                <w:szCs w:val="2"/>
                <w:color w:val="auto"/>
              </w:rPr>
            </w:pPr>
          </w:p>
        </w:tc>
        <w:tc>
          <w:tcPr>
            <w:tcW w:w="1480" w:type="dxa"/>
            <w:vAlign w:val="bottom"/>
            <w:shd w:val="clear" w:color="auto" w:fill="DCE2EF"/>
          </w:tcPr>
          <w:p>
            <w:pPr>
              <w:spacing w:after="0"/>
              <w:rPr>
                <w:sz w:val="2"/>
                <w:szCs w:val="2"/>
                <w:color w:val="auto"/>
              </w:rPr>
            </w:pPr>
          </w:p>
        </w:tc>
      </w:tr>
    </w:tbl>
    <w:p>
      <w:pPr>
        <w:spacing w:after="0" w:line="1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B&amp;I revenues decreased by $17.0 million, or 0.5%, during 2019, as compared to 2018. The decrease was primarily attributable to the loss of certain accounts in our U.S. business, including the exit from certain lower margin or underperforming accounts, and a negative impact from fluctuations in foreign currency exchange rates related to our U.K. business. The decrease was partially offset by organic growth, including the targeted expansion of certain key clients within our U.S. business and the expansion of a contract that started in 2018 in our U.K. business. Management reimbursement revenues for this segment totaled $283.1 million and $276.6 million during 2019 and 2018, respectively.</w:t>
      </w:r>
    </w:p>
    <w:p>
      <w:pPr>
        <w:spacing w:after="0" w:line="12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Operating profit increased by $24.4 million, or 15.5%, during 2019, as compared to 2018. Operating profit margin increased by 78 bps to 5.6% in 2019 from 4.8% in 2018. The increase in operating profit margin was primarily associated with the exit from certain lower margin or underperforming accounts in our U.S. business, improvements in our labor management processes, and a decrease in unemployment taxes in certain states. This increase was partially offset by a provision for the settlement of a union health and welfare benefits audit. While labor challenges are present in certain areas of our B&amp;I business, it is our most mature business and has the highest proportion of unionized labor.</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1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0046AD"/>
              </w:rPr>
              <w:t>Aviation</w:t>
            </w: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1"/>
        </w:trPr>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6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24"/>
        </w:trPr>
        <w:tc>
          <w:tcPr>
            <w:tcW w:w="416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700" w:type="dxa"/>
            <w:vAlign w:val="bottom"/>
          </w:tcPr>
          <w:p>
            <w:pPr>
              <w:jc w:val="right"/>
              <w:ind w:right="34"/>
              <w:spacing w:after="0"/>
              <w:rPr>
                <w:sz w:val="20"/>
                <w:szCs w:val="20"/>
                <w:color w:val="auto"/>
              </w:rPr>
            </w:pPr>
            <w:r>
              <w:rPr>
                <w:rFonts w:ascii="Arial" w:cs="Arial" w:eastAsia="Arial" w:hAnsi="Arial"/>
                <w:sz w:val="18"/>
                <w:szCs w:val="18"/>
                <w:b w:val="1"/>
                <w:bCs w:val="1"/>
                <w:color w:val="auto"/>
              </w:rPr>
              <w:t>Decrease</w:t>
            </w:r>
          </w:p>
        </w:tc>
        <w:tc>
          <w:tcPr>
            <w:tcW w:w="1220" w:type="dxa"/>
            <w:vAlign w:val="bottom"/>
          </w:tcPr>
          <w:p>
            <w:pPr>
              <w:spacing w:after="0"/>
              <w:rPr>
                <w:sz w:val="19"/>
                <w:szCs w:val="19"/>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330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DCE2EF"/>
            </w:tcBorders>
            <w:shd w:val="clear" w:color="auto" w:fill="DCE2EF"/>
          </w:tcPr>
          <w:p>
            <w:pPr>
              <w:spacing w:after="0"/>
              <w:rPr>
                <w:sz w:val="21"/>
                <w:szCs w:val="21"/>
                <w:color w:val="auto"/>
              </w:rPr>
            </w:pPr>
          </w:p>
        </w:tc>
        <w:tc>
          <w:tcPr>
            <w:tcW w:w="82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8"/>
                <w:szCs w:val="18"/>
                <w:color w:val="auto"/>
                <w:w w:val="98"/>
                <w:shd w:val="clear" w:color="auto" w:fill="DCE2EF"/>
              </w:rPr>
              <w:t>Revenues</w:t>
            </w:r>
          </w:p>
        </w:tc>
        <w:tc>
          <w:tcPr>
            <w:tcW w:w="3300" w:type="dxa"/>
            <w:vAlign w:val="bottom"/>
            <w:tcBorders>
              <w:bottom w:val="single" w:sz="8" w:color="DCE2EF"/>
            </w:tcBorders>
            <w:shd w:val="clear" w:color="auto" w:fill="DCE2EF"/>
          </w:tcPr>
          <w:p>
            <w:pPr>
              <w:spacing w:after="0"/>
              <w:rPr>
                <w:sz w:val="21"/>
                <w:szCs w:val="21"/>
                <w:color w:val="auto"/>
              </w:rPr>
            </w:pPr>
          </w:p>
        </w:tc>
        <w:tc>
          <w:tcPr>
            <w:tcW w:w="420" w:type="dxa"/>
            <w:vAlign w:val="bottom"/>
            <w:tcBorders>
              <w:bottom w:val="single" w:sz="8" w:color="DCE2EF"/>
            </w:tcBorders>
            <w:shd w:val="clear" w:color="auto" w:fill="DCE2EF"/>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DCE2EF"/>
            </w:tcBorders>
            <w:shd w:val="clear" w:color="auto" w:fill="DCE2EF"/>
          </w:tcPr>
          <w:p>
            <w:pPr>
              <w:jc w:val="right"/>
              <w:ind w:right="74"/>
              <w:spacing w:after="0"/>
              <w:rPr>
                <w:sz w:val="20"/>
                <w:szCs w:val="20"/>
                <w:color w:val="auto"/>
              </w:rPr>
            </w:pPr>
            <w:r>
              <w:rPr>
                <w:rFonts w:ascii="Arial" w:cs="Arial" w:eastAsia="Arial" w:hAnsi="Arial"/>
                <w:sz w:val="18"/>
                <w:szCs w:val="18"/>
                <w:color w:val="auto"/>
              </w:rPr>
              <w:t>1,017.3</w:t>
            </w:r>
          </w:p>
        </w:tc>
        <w:tc>
          <w:tcPr>
            <w:tcW w:w="120" w:type="dxa"/>
            <w:vAlign w:val="bottom"/>
            <w:tcBorders>
              <w:bottom w:val="single" w:sz="8" w:color="DCE2EF"/>
            </w:tcBorders>
            <w:shd w:val="clear" w:color="auto" w:fill="DCE2EF"/>
          </w:tcPr>
          <w:p>
            <w:pPr>
              <w:spacing w:after="0"/>
              <w:rPr>
                <w:sz w:val="21"/>
                <w:szCs w:val="21"/>
                <w:color w:val="auto"/>
              </w:rPr>
            </w:pPr>
          </w:p>
        </w:tc>
        <w:tc>
          <w:tcPr>
            <w:tcW w:w="400" w:type="dxa"/>
            <w:vAlign w:val="bottom"/>
            <w:tcBorders>
              <w:bottom w:val="single" w:sz="8" w:color="DCE2EF"/>
            </w:tcBorders>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DCE2EF"/>
            </w:tcBorders>
            <w:shd w:val="clear" w:color="auto" w:fill="DCE2EF"/>
          </w:tcPr>
          <w:p>
            <w:pPr>
              <w:jc w:val="right"/>
              <w:ind w:right="74"/>
              <w:spacing w:after="0"/>
              <w:rPr>
                <w:sz w:val="20"/>
                <w:szCs w:val="20"/>
                <w:color w:val="auto"/>
              </w:rPr>
            </w:pPr>
            <w:r>
              <w:rPr>
                <w:rFonts w:ascii="Arial" w:cs="Arial" w:eastAsia="Arial" w:hAnsi="Arial"/>
                <w:sz w:val="18"/>
                <w:szCs w:val="18"/>
                <w:color w:val="auto"/>
              </w:rPr>
              <w:t>1,038.7</w:t>
            </w:r>
          </w:p>
        </w:tc>
        <w:tc>
          <w:tcPr>
            <w:tcW w:w="100" w:type="dxa"/>
            <w:vAlign w:val="bottom"/>
            <w:tcBorders>
              <w:bottom w:val="single" w:sz="8" w:color="DCE2EF"/>
            </w:tcBorders>
            <w:shd w:val="clear" w:color="auto" w:fill="DCE2EF"/>
          </w:tcPr>
          <w:p>
            <w:pPr>
              <w:spacing w:after="0"/>
              <w:rPr>
                <w:sz w:val="21"/>
                <w:szCs w:val="21"/>
                <w:color w:val="auto"/>
              </w:rPr>
            </w:pPr>
          </w:p>
        </w:tc>
        <w:tc>
          <w:tcPr>
            <w:tcW w:w="600" w:type="dxa"/>
            <w:vAlign w:val="bottom"/>
            <w:tcBorders>
              <w:bottom w:val="single" w:sz="8" w:color="DCE2EF"/>
            </w:tcBorders>
            <w:shd w:val="clear" w:color="auto" w:fill="DCE2EF"/>
          </w:tcPr>
          <w:p>
            <w:pPr>
              <w:jc w:val="right"/>
              <w:ind w:right="37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DCE2EF"/>
            </w:tcBorders>
            <w:shd w:val="clear" w:color="auto" w:fill="DCE2EF"/>
          </w:tcPr>
          <w:p>
            <w:pPr>
              <w:jc w:val="right"/>
              <w:ind w:right="554"/>
              <w:spacing w:after="0"/>
              <w:rPr>
                <w:sz w:val="20"/>
                <w:szCs w:val="20"/>
                <w:color w:val="auto"/>
              </w:rPr>
            </w:pPr>
            <w:r>
              <w:rPr>
                <w:rFonts w:ascii="Arial" w:cs="Arial" w:eastAsia="Arial" w:hAnsi="Arial"/>
                <w:sz w:val="18"/>
                <w:szCs w:val="18"/>
                <w:color w:val="auto"/>
              </w:rPr>
              <w:t>(21.4)</w:t>
            </w:r>
          </w:p>
        </w:tc>
        <w:tc>
          <w:tcPr>
            <w:tcW w:w="1220" w:type="dxa"/>
            <w:vAlign w:val="bottom"/>
            <w:tcBorders>
              <w:bottom w:val="single" w:sz="8" w:color="DCE2EF"/>
            </w:tcBorders>
            <w:shd w:val="clear" w:color="auto" w:fill="DCE2EF"/>
          </w:tcPr>
          <w:p>
            <w:pPr>
              <w:jc w:val="right"/>
              <w:ind w:right="490"/>
              <w:spacing w:after="0"/>
              <w:rPr>
                <w:sz w:val="20"/>
                <w:szCs w:val="20"/>
                <w:color w:val="auto"/>
              </w:rPr>
            </w:pPr>
            <w:r>
              <w:rPr>
                <w:rFonts w:ascii="Arial" w:cs="Arial" w:eastAsia="Arial" w:hAnsi="Arial"/>
                <w:sz w:val="18"/>
                <w:szCs w:val="18"/>
                <w:color w:val="auto"/>
              </w:rPr>
              <w:t>(2.1)%</w:t>
            </w:r>
          </w:p>
        </w:tc>
      </w:tr>
      <w:tr>
        <w:trPr>
          <w:trHeight w:val="265"/>
        </w:trPr>
        <w:tc>
          <w:tcPr>
            <w:tcW w:w="416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3"/>
                <w:szCs w:val="23"/>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700" w:type="dxa"/>
            <w:vAlign w:val="bottom"/>
          </w:tcPr>
          <w:p>
            <w:pPr>
              <w:jc w:val="right"/>
              <w:ind w:right="554"/>
              <w:spacing w:after="0"/>
              <w:rPr>
                <w:sz w:val="20"/>
                <w:szCs w:val="20"/>
                <w:color w:val="auto"/>
              </w:rPr>
            </w:pPr>
            <w:r>
              <w:rPr>
                <w:rFonts w:ascii="Arial" w:cs="Arial" w:eastAsia="Arial" w:hAnsi="Arial"/>
                <w:sz w:val="18"/>
                <w:szCs w:val="18"/>
                <w:color w:val="auto"/>
              </w:rPr>
              <w:t>(2.1)</w:t>
            </w:r>
          </w:p>
        </w:tc>
        <w:tc>
          <w:tcPr>
            <w:tcW w:w="1220" w:type="dxa"/>
            <w:vAlign w:val="bottom"/>
          </w:tcPr>
          <w:p>
            <w:pPr>
              <w:jc w:val="right"/>
              <w:ind w:right="490"/>
              <w:spacing w:after="0"/>
              <w:rPr>
                <w:sz w:val="20"/>
                <w:szCs w:val="20"/>
                <w:color w:val="auto"/>
              </w:rPr>
            </w:pPr>
            <w:r>
              <w:rPr>
                <w:rFonts w:ascii="Arial" w:cs="Arial" w:eastAsia="Arial" w:hAnsi="Arial"/>
                <w:sz w:val="18"/>
                <w:szCs w:val="18"/>
                <w:color w:val="auto"/>
              </w:rPr>
              <w:t>(8.9)%</w:t>
            </w:r>
          </w:p>
        </w:tc>
      </w:tr>
      <w:tr>
        <w:trPr>
          <w:trHeight w:val="248"/>
        </w:trPr>
        <w:tc>
          <w:tcPr>
            <w:tcW w:w="40" w:type="dxa"/>
            <w:vAlign w:val="bottom"/>
            <w:shd w:val="clear" w:color="auto" w:fill="DCE2EF"/>
          </w:tcPr>
          <w:p>
            <w:pPr>
              <w:spacing w:after="0"/>
              <w:rPr>
                <w:sz w:val="21"/>
                <w:szCs w:val="21"/>
                <w:color w:val="auto"/>
              </w:rPr>
            </w:pPr>
          </w:p>
        </w:tc>
        <w:tc>
          <w:tcPr>
            <w:tcW w:w="412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shd w:val="clear" w:color="auto" w:fill="DCE2EF"/>
              </w:rPr>
              <w:t>Operating profit margin</w:t>
            </w:r>
          </w:p>
        </w:tc>
        <w:tc>
          <w:tcPr>
            <w:tcW w:w="420" w:type="dxa"/>
            <w:vAlign w:val="bottom"/>
            <w:shd w:val="clear" w:color="auto" w:fill="DCE2EF"/>
          </w:tcPr>
          <w:p>
            <w:pPr>
              <w:spacing w:after="0"/>
              <w:rPr>
                <w:sz w:val="21"/>
                <w:szCs w:val="21"/>
                <w:color w:val="auto"/>
              </w:rPr>
            </w:pPr>
          </w:p>
        </w:tc>
        <w:tc>
          <w:tcPr>
            <w:tcW w:w="13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2.1%</w:t>
            </w:r>
          </w:p>
        </w:tc>
        <w:tc>
          <w:tcPr>
            <w:tcW w:w="120" w:type="dxa"/>
            <w:vAlign w:val="bottom"/>
            <w:shd w:val="clear" w:color="auto" w:fill="DCE2EF"/>
          </w:tcPr>
          <w:p>
            <w:pPr>
              <w:spacing w:after="0"/>
              <w:rPr>
                <w:sz w:val="21"/>
                <w:szCs w:val="21"/>
                <w:color w:val="auto"/>
              </w:rPr>
            </w:pPr>
          </w:p>
        </w:tc>
        <w:tc>
          <w:tcPr>
            <w:tcW w:w="400" w:type="dxa"/>
            <w:vAlign w:val="bottom"/>
            <w:shd w:val="clear" w:color="auto" w:fill="DCE2EF"/>
          </w:tcPr>
          <w:p>
            <w:pPr>
              <w:spacing w:after="0"/>
              <w:rPr>
                <w:sz w:val="21"/>
                <w:szCs w:val="21"/>
                <w:color w:val="auto"/>
              </w:rPr>
            </w:pPr>
          </w:p>
        </w:tc>
        <w:tc>
          <w:tcPr>
            <w:tcW w:w="13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2.2%</w:t>
            </w:r>
          </w:p>
        </w:tc>
        <w:tc>
          <w:tcPr>
            <w:tcW w:w="100" w:type="dxa"/>
            <w:vAlign w:val="bottom"/>
            <w:shd w:val="clear" w:color="auto" w:fill="DCE2EF"/>
          </w:tcPr>
          <w:p>
            <w:pPr>
              <w:spacing w:after="0"/>
              <w:rPr>
                <w:sz w:val="21"/>
                <w:szCs w:val="21"/>
                <w:color w:val="auto"/>
              </w:rPr>
            </w:pPr>
          </w:p>
        </w:tc>
        <w:tc>
          <w:tcPr>
            <w:tcW w:w="600" w:type="dxa"/>
            <w:vAlign w:val="bottom"/>
            <w:shd w:val="clear" w:color="auto" w:fill="DCE2EF"/>
          </w:tcPr>
          <w:p>
            <w:pPr>
              <w:spacing w:after="0"/>
              <w:rPr>
                <w:sz w:val="21"/>
                <w:szCs w:val="21"/>
                <w:color w:val="auto"/>
              </w:rPr>
            </w:pPr>
          </w:p>
        </w:tc>
        <w:tc>
          <w:tcPr>
            <w:tcW w:w="1700" w:type="dxa"/>
            <w:vAlign w:val="bottom"/>
            <w:shd w:val="clear" w:color="auto" w:fill="DCE2EF"/>
          </w:tcPr>
          <w:p>
            <w:pPr>
              <w:jc w:val="right"/>
              <w:ind w:right="614"/>
              <w:spacing w:after="0"/>
              <w:rPr>
                <w:sz w:val="20"/>
                <w:szCs w:val="20"/>
                <w:color w:val="auto"/>
              </w:rPr>
            </w:pPr>
            <w:r>
              <w:rPr>
                <w:rFonts w:ascii="Arial" w:cs="Arial" w:eastAsia="Arial" w:hAnsi="Arial"/>
                <w:sz w:val="14"/>
                <w:szCs w:val="14"/>
                <w:i w:val="1"/>
                <w:iCs w:val="1"/>
                <w:color w:val="auto"/>
              </w:rPr>
              <w:t>(15) bps</w:t>
            </w:r>
          </w:p>
        </w:tc>
        <w:tc>
          <w:tcPr>
            <w:tcW w:w="1220" w:type="dxa"/>
            <w:vAlign w:val="bottom"/>
            <w:shd w:val="clear" w:color="auto" w:fill="DCE2EF"/>
          </w:tcPr>
          <w:p>
            <w:pPr>
              <w:spacing w:after="0"/>
              <w:rPr>
                <w:sz w:val="21"/>
                <w:szCs w:val="21"/>
                <w:color w:val="auto"/>
              </w:rPr>
            </w:pPr>
          </w:p>
        </w:tc>
      </w:tr>
      <w:tr>
        <w:trPr>
          <w:trHeight w:val="27"/>
        </w:trPr>
        <w:tc>
          <w:tcPr>
            <w:tcW w:w="40" w:type="dxa"/>
            <w:vAlign w:val="bottom"/>
            <w:shd w:val="clear" w:color="auto" w:fill="DCE2EF"/>
          </w:tcPr>
          <w:p>
            <w:pPr>
              <w:spacing w:after="0"/>
              <w:rPr>
                <w:sz w:val="2"/>
                <w:szCs w:val="2"/>
                <w:color w:val="auto"/>
              </w:rPr>
            </w:pPr>
          </w:p>
        </w:tc>
        <w:tc>
          <w:tcPr>
            <w:tcW w:w="820" w:type="dxa"/>
            <w:vAlign w:val="bottom"/>
            <w:shd w:val="clear" w:color="auto" w:fill="DCE2EF"/>
          </w:tcPr>
          <w:p>
            <w:pPr>
              <w:spacing w:after="0"/>
              <w:rPr>
                <w:sz w:val="2"/>
                <w:szCs w:val="2"/>
                <w:color w:val="auto"/>
              </w:rPr>
            </w:pPr>
          </w:p>
        </w:tc>
        <w:tc>
          <w:tcPr>
            <w:tcW w:w="3300" w:type="dxa"/>
            <w:vAlign w:val="bottom"/>
            <w:shd w:val="clear" w:color="auto" w:fill="DCE2EF"/>
          </w:tcPr>
          <w:p>
            <w:pPr>
              <w:spacing w:after="0"/>
              <w:rPr>
                <w:sz w:val="2"/>
                <w:szCs w:val="2"/>
                <w:color w:val="auto"/>
              </w:rPr>
            </w:pPr>
          </w:p>
        </w:tc>
        <w:tc>
          <w:tcPr>
            <w:tcW w:w="420" w:type="dxa"/>
            <w:vAlign w:val="bottom"/>
            <w:shd w:val="clear" w:color="auto" w:fill="DCE2EF"/>
          </w:tcPr>
          <w:p>
            <w:pPr>
              <w:spacing w:after="0"/>
              <w:rPr>
                <w:sz w:val="2"/>
                <w:szCs w:val="2"/>
                <w:color w:val="auto"/>
              </w:rPr>
            </w:pPr>
          </w:p>
        </w:tc>
        <w:tc>
          <w:tcPr>
            <w:tcW w:w="1340" w:type="dxa"/>
            <w:vAlign w:val="bottom"/>
            <w:shd w:val="clear" w:color="auto" w:fill="DCE2EF"/>
          </w:tcPr>
          <w:p>
            <w:pPr>
              <w:spacing w:after="0"/>
              <w:rPr>
                <w:sz w:val="2"/>
                <w:szCs w:val="2"/>
                <w:color w:val="auto"/>
              </w:rPr>
            </w:pPr>
          </w:p>
        </w:tc>
        <w:tc>
          <w:tcPr>
            <w:tcW w:w="120" w:type="dxa"/>
            <w:vAlign w:val="bottom"/>
            <w:shd w:val="clear" w:color="auto" w:fill="DCE2EF"/>
          </w:tcPr>
          <w:p>
            <w:pPr>
              <w:spacing w:after="0"/>
              <w:rPr>
                <w:sz w:val="2"/>
                <w:szCs w:val="2"/>
                <w:color w:val="auto"/>
              </w:rPr>
            </w:pPr>
          </w:p>
        </w:tc>
        <w:tc>
          <w:tcPr>
            <w:tcW w:w="400" w:type="dxa"/>
            <w:vAlign w:val="bottom"/>
            <w:shd w:val="clear" w:color="auto" w:fill="DCE2EF"/>
          </w:tcPr>
          <w:p>
            <w:pPr>
              <w:spacing w:after="0"/>
              <w:rPr>
                <w:sz w:val="2"/>
                <w:szCs w:val="2"/>
                <w:color w:val="auto"/>
              </w:rPr>
            </w:pPr>
          </w:p>
        </w:tc>
        <w:tc>
          <w:tcPr>
            <w:tcW w:w="1360" w:type="dxa"/>
            <w:vAlign w:val="bottom"/>
            <w:shd w:val="clear" w:color="auto" w:fill="DCE2EF"/>
          </w:tcPr>
          <w:p>
            <w:pPr>
              <w:spacing w:after="0"/>
              <w:rPr>
                <w:sz w:val="2"/>
                <w:szCs w:val="2"/>
                <w:color w:val="auto"/>
              </w:rPr>
            </w:pPr>
          </w:p>
        </w:tc>
        <w:tc>
          <w:tcPr>
            <w:tcW w:w="100" w:type="dxa"/>
            <w:vAlign w:val="bottom"/>
            <w:shd w:val="clear" w:color="auto" w:fill="DCE2EF"/>
          </w:tcPr>
          <w:p>
            <w:pPr>
              <w:spacing w:after="0"/>
              <w:rPr>
                <w:sz w:val="2"/>
                <w:szCs w:val="2"/>
                <w:color w:val="auto"/>
              </w:rPr>
            </w:pPr>
          </w:p>
        </w:tc>
        <w:tc>
          <w:tcPr>
            <w:tcW w:w="600" w:type="dxa"/>
            <w:vAlign w:val="bottom"/>
            <w:shd w:val="clear" w:color="auto" w:fill="DCE2EF"/>
          </w:tcPr>
          <w:p>
            <w:pPr>
              <w:spacing w:after="0"/>
              <w:rPr>
                <w:sz w:val="2"/>
                <w:szCs w:val="2"/>
                <w:color w:val="auto"/>
              </w:rPr>
            </w:pPr>
          </w:p>
        </w:tc>
        <w:tc>
          <w:tcPr>
            <w:tcW w:w="1700" w:type="dxa"/>
            <w:vAlign w:val="bottom"/>
            <w:shd w:val="clear" w:color="auto" w:fill="DCE2EF"/>
          </w:tcPr>
          <w:p>
            <w:pPr>
              <w:spacing w:after="0"/>
              <w:rPr>
                <w:sz w:val="2"/>
                <w:szCs w:val="2"/>
                <w:color w:val="auto"/>
              </w:rPr>
            </w:pPr>
          </w:p>
        </w:tc>
        <w:tc>
          <w:tcPr>
            <w:tcW w:w="1220" w:type="dxa"/>
            <w:vAlign w:val="bottom"/>
            <w:shd w:val="clear" w:color="auto" w:fill="DCE2EF"/>
          </w:tcPr>
          <w:p>
            <w:pPr>
              <w:spacing w:after="0"/>
              <w:rPr>
                <w:sz w:val="2"/>
                <w:szCs w:val="2"/>
                <w:color w:val="auto"/>
              </w:rPr>
            </w:pPr>
          </w:p>
        </w:tc>
      </w:tr>
    </w:tbl>
    <w:p>
      <w:pPr>
        <w:spacing w:after="0" w:line="13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Aviation revenues decreased by $21.4 million, or 2.1%, during 2019, as compared to 2018. The decrease in revenues primarily related to the adoption of Topic 853, which required rent expense of $46.8 million to be presented as a reduction of revenues versus the comparative period presentation of recording rent expense as an operating expense. Overall, revenues were positively impacted by organic growth, primarily new contract wins in our U.K. business, as well as the expansion of catering logistics accounts in our U.S. business. However, this growth was partially offset by the loss of certain passenger services, facility services, and cabin cleaning accounts, as well as a negative impact from fluctuations in foreign currency exchange rates related to our U.K. business. Management reimbursement revenues for this segment totaled $95.5 million and $99.9 million during 2019 and 2018, respectively.</w:t>
      </w:r>
    </w:p>
    <w:p>
      <w:pPr>
        <w:spacing w:after="0" w:line="12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Operating profit decreased by $2.1 million, or 8.9%, during 2019, as compared to 2018. Operating profit margin decreased by 15 bps to 2.1% in 2019 from 2.2% in 2018. This decrease in operating profit margin was primarily attributable to operational issues on certain accounts, including higher labor costs due to a tight labor market, partially offset by higher margins on certain new contracts, including contract wins in our U.K. business.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18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0046AD"/>
              </w:rPr>
              <w:t>Technology &amp; Manufacturing</w:t>
            </w: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1"/>
        </w:trPr>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5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24"/>
        </w:trPr>
        <w:tc>
          <w:tcPr>
            <w:tcW w:w="418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20" w:type="dxa"/>
            <w:vAlign w:val="bottom"/>
            <w:gridSpan w:val="2"/>
          </w:tcPr>
          <w:p>
            <w:pPr>
              <w:jc w:val="right"/>
              <w:ind w:right="750"/>
              <w:spacing w:after="0"/>
              <w:rPr>
                <w:sz w:val="20"/>
                <w:szCs w:val="20"/>
                <w:color w:val="auto"/>
              </w:rPr>
            </w:pPr>
            <w:r>
              <w:rPr>
                <w:rFonts w:ascii="Arial" w:cs="Arial" w:eastAsia="Arial" w:hAnsi="Arial"/>
                <w:sz w:val="18"/>
                <w:szCs w:val="18"/>
                <w:b w:val="1"/>
                <w:bCs w:val="1"/>
                <w:color w:val="auto"/>
              </w:rPr>
              <w:t>(Decrease) / Increase</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332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DCE2EF"/>
            </w:tcBorders>
            <w:shd w:val="clear" w:color="auto" w:fill="DCE2EF"/>
          </w:tcPr>
          <w:p>
            <w:pPr>
              <w:spacing w:after="0"/>
              <w:rPr>
                <w:sz w:val="21"/>
                <w:szCs w:val="21"/>
                <w:color w:val="auto"/>
              </w:rPr>
            </w:pPr>
          </w:p>
        </w:tc>
        <w:tc>
          <w:tcPr>
            <w:tcW w:w="82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8"/>
                <w:szCs w:val="18"/>
                <w:color w:val="auto"/>
                <w:w w:val="98"/>
                <w:shd w:val="clear" w:color="auto" w:fill="DCE2EF"/>
              </w:rPr>
              <w:t>Revenues</w:t>
            </w:r>
          </w:p>
        </w:tc>
        <w:tc>
          <w:tcPr>
            <w:tcW w:w="3320" w:type="dxa"/>
            <w:vAlign w:val="bottom"/>
            <w:tcBorders>
              <w:bottom w:val="single" w:sz="8" w:color="DCE2EF"/>
            </w:tcBorders>
            <w:shd w:val="clear" w:color="auto" w:fill="DCE2EF"/>
          </w:tcPr>
          <w:p>
            <w:pPr>
              <w:spacing w:after="0"/>
              <w:rPr>
                <w:sz w:val="21"/>
                <w:szCs w:val="21"/>
                <w:color w:val="auto"/>
              </w:rPr>
            </w:pPr>
          </w:p>
        </w:tc>
        <w:tc>
          <w:tcPr>
            <w:tcW w:w="400" w:type="dxa"/>
            <w:vAlign w:val="bottom"/>
            <w:tcBorders>
              <w:bottom w:val="single" w:sz="8" w:color="DCE2EF"/>
            </w:tcBorders>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DCE2EF"/>
            </w:tcBorders>
            <w:shd w:val="clear" w:color="auto" w:fill="DCE2EF"/>
          </w:tcPr>
          <w:p>
            <w:pPr>
              <w:jc w:val="right"/>
              <w:ind w:right="74"/>
              <w:spacing w:after="0"/>
              <w:rPr>
                <w:sz w:val="20"/>
                <w:szCs w:val="20"/>
                <w:color w:val="auto"/>
              </w:rPr>
            </w:pPr>
            <w:r>
              <w:rPr>
                <w:rFonts w:ascii="Arial" w:cs="Arial" w:eastAsia="Arial" w:hAnsi="Arial"/>
                <w:sz w:val="18"/>
                <w:szCs w:val="18"/>
                <w:color w:val="auto"/>
              </w:rPr>
              <w:t>917.0</w:t>
            </w:r>
          </w:p>
        </w:tc>
        <w:tc>
          <w:tcPr>
            <w:tcW w:w="100" w:type="dxa"/>
            <w:vAlign w:val="bottom"/>
            <w:tcBorders>
              <w:bottom w:val="single" w:sz="8" w:color="DCE2EF"/>
            </w:tcBorders>
            <w:shd w:val="clear" w:color="auto" w:fill="DCE2EF"/>
          </w:tcPr>
          <w:p>
            <w:pPr>
              <w:spacing w:after="0"/>
              <w:rPr>
                <w:sz w:val="21"/>
                <w:szCs w:val="21"/>
                <w:color w:val="auto"/>
              </w:rPr>
            </w:pPr>
          </w:p>
        </w:tc>
        <w:tc>
          <w:tcPr>
            <w:tcW w:w="400" w:type="dxa"/>
            <w:vAlign w:val="bottom"/>
            <w:tcBorders>
              <w:bottom w:val="single" w:sz="8" w:color="DCE2EF"/>
            </w:tcBorders>
            <w:shd w:val="clear" w:color="auto" w:fill="DCE2EF"/>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DCE2EF"/>
            </w:tcBorders>
            <w:shd w:val="clear" w:color="auto" w:fill="DCE2EF"/>
          </w:tcPr>
          <w:p>
            <w:pPr>
              <w:jc w:val="right"/>
              <w:ind w:right="74"/>
              <w:spacing w:after="0"/>
              <w:rPr>
                <w:sz w:val="20"/>
                <w:szCs w:val="20"/>
                <w:color w:val="auto"/>
              </w:rPr>
            </w:pPr>
            <w:r>
              <w:rPr>
                <w:rFonts w:ascii="Arial" w:cs="Arial" w:eastAsia="Arial" w:hAnsi="Arial"/>
                <w:sz w:val="18"/>
                <w:szCs w:val="18"/>
                <w:color w:val="auto"/>
              </w:rPr>
              <w:t>925.4</w:t>
            </w:r>
          </w:p>
        </w:tc>
        <w:tc>
          <w:tcPr>
            <w:tcW w:w="100" w:type="dxa"/>
            <w:vAlign w:val="bottom"/>
            <w:tcBorders>
              <w:bottom w:val="single" w:sz="8" w:color="DCE2EF"/>
            </w:tcBorders>
            <w:shd w:val="clear" w:color="auto" w:fill="DCE2EF"/>
          </w:tcPr>
          <w:p>
            <w:pPr>
              <w:spacing w:after="0"/>
              <w:rPr>
                <w:sz w:val="21"/>
                <w:szCs w:val="21"/>
                <w:color w:val="auto"/>
              </w:rPr>
            </w:pPr>
          </w:p>
        </w:tc>
        <w:tc>
          <w:tcPr>
            <w:tcW w:w="500" w:type="dxa"/>
            <w:vAlign w:val="bottom"/>
            <w:tcBorders>
              <w:bottom w:val="single" w:sz="8" w:color="DCE2EF"/>
            </w:tcBorders>
            <w:shd w:val="clear" w:color="auto" w:fill="DCE2EF"/>
          </w:tcPr>
          <w:p>
            <w:pPr>
              <w:jc w:val="right"/>
              <w:ind w:right="27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DCE2EF"/>
            </w:tcBorders>
            <w:shd w:val="clear" w:color="auto" w:fill="DCE2EF"/>
          </w:tcPr>
          <w:p>
            <w:pPr>
              <w:jc w:val="right"/>
              <w:ind w:right="294"/>
              <w:spacing w:after="0"/>
              <w:rPr>
                <w:sz w:val="20"/>
                <w:szCs w:val="20"/>
                <w:color w:val="auto"/>
              </w:rPr>
            </w:pPr>
            <w:r>
              <w:rPr>
                <w:rFonts w:ascii="Arial" w:cs="Arial" w:eastAsia="Arial" w:hAnsi="Arial"/>
                <w:sz w:val="18"/>
                <w:szCs w:val="18"/>
                <w:color w:val="auto"/>
              </w:rPr>
              <w:t>(8.4)</w:t>
            </w:r>
          </w:p>
        </w:tc>
        <w:tc>
          <w:tcPr>
            <w:tcW w:w="1480" w:type="dxa"/>
            <w:vAlign w:val="bottom"/>
            <w:tcBorders>
              <w:bottom w:val="single" w:sz="8" w:color="DCE2EF"/>
            </w:tcBorders>
            <w:shd w:val="clear" w:color="auto" w:fill="DCE2EF"/>
          </w:tcPr>
          <w:p>
            <w:pPr>
              <w:jc w:val="right"/>
              <w:ind w:right="490"/>
              <w:spacing w:after="0"/>
              <w:rPr>
                <w:sz w:val="20"/>
                <w:szCs w:val="20"/>
                <w:color w:val="auto"/>
              </w:rPr>
            </w:pPr>
            <w:r>
              <w:rPr>
                <w:rFonts w:ascii="Arial" w:cs="Arial" w:eastAsia="Arial" w:hAnsi="Arial"/>
                <w:sz w:val="18"/>
                <w:szCs w:val="18"/>
                <w:color w:val="auto"/>
              </w:rPr>
              <w:t>(0.9)%</w:t>
            </w:r>
          </w:p>
        </w:tc>
      </w:tr>
      <w:tr>
        <w:trPr>
          <w:trHeight w:val="265"/>
        </w:trPr>
        <w:tc>
          <w:tcPr>
            <w:tcW w:w="418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3"/>
                <w:szCs w:val="23"/>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40" w:type="dxa"/>
            <w:vAlign w:val="bottom"/>
          </w:tcPr>
          <w:p>
            <w:pPr>
              <w:jc w:val="right"/>
              <w:ind w:right="354"/>
              <w:spacing w:after="0"/>
              <w:rPr>
                <w:sz w:val="20"/>
                <w:szCs w:val="20"/>
                <w:color w:val="auto"/>
              </w:rPr>
            </w:pPr>
            <w:r>
              <w:rPr>
                <w:rFonts w:ascii="Arial" w:cs="Arial" w:eastAsia="Arial" w:hAnsi="Arial"/>
                <w:sz w:val="18"/>
                <w:szCs w:val="18"/>
                <w:color w:val="auto"/>
              </w:rPr>
              <w:t>5.1</w:t>
            </w:r>
          </w:p>
        </w:tc>
        <w:tc>
          <w:tcPr>
            <w:tcW w:w="1480" w:type="dxa"/>
            <w:vAlign w:val="bottom"/>
          </w:tcPr>
          <w:p>
            <w:pPr>
              <w:jc w:val="right"/>
              <w:ind w:right="550"/>
              <w:spacing w:after="0"/>
              <w:rPr>
                <w:sz w:val="20"/>
                <w:szCs w:val="20"/>
                <w:color w:val="auto"/>
              </w:rPr>
            </w:pPr>
            <w:r>
              <w:rPr>
                <w:rFonts w:ascii="Arial" w:cs="Arial" w:eastAsia="Arial" w:hAnsi="Arial"/>
                <w:sz w:val="18"/>
                <w:szCs w:val="18"/>
                <w:color w:val="auto"/>
              </w:rPr>
              <w:t>7.6%</w:t>
            </w:r>
          </w:p>
        </w:tc>
      </w:tr>
      <w:tr>
        <w:trPr>
          <w:trHeight w:val="248"/>
        </w:trPr>
        <w:tc>
          <w:tcPr>
            <w:tcW w:w="40" w:type="dxa"/>
            <w:vAlign w:val="bottom"/>
            <w:shd w:val="clear" w:color="auto" w:fill="DCE2EF"/>
          </w:tcPr>
          <w:p>
            <w:pPr>
              <w:spacing w:after="0"/>
              <w:rPr>
                <w:sz w:val="21"/>
                <w:szCs w:val="21"/>
                <w:color w:val="auto"/>
              </w:rPr>
            </w:pPr>
          </w:p>
        </w:tc>
        <w:tc>
          <w:tcPr>
            <w:tcW w:w="414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shd w:val="clear" w:color="auto" w:fill="DCE2EF"/>
              </w:rPr>
              <w:t>Operating profit margin</w:t>
            </w:r>
          </w:p>
        </w:tc>
        <w:tc>
          <w:tcPr>
            <w:tcW w:w="400" w:type="dxa"/>
            <w:vAlign w:val="bottom"/>
            <w:shd w:val="clear" w:color="auto" w:fill="DCE2EF"/>
          </w:tcPr>
          <w:p>
            <w:pPr>
              <w:spacing w:after="0"/>
              <w:rPr>
                <w:sz w:val="21"/>
                <w:szCs w:val="21"/>
                <w:color w:val="auto"/>
              </w:rPr>
            </w:pPr>
          </w:p>
        </w:tc>
        <w:tc>
          <w:tcPr>
            <w:tcW w:w="13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7.9%</w:t>
            </w:r>
          </w:p>
        </w:tc>
        <w:tc>
          <w:tcPr>
            <w:tcW w:w="100" w:type="dxa"/>
            <w:vAlign w:val="bottom"/>
            <w:shd w:val="clear" w:color="auto" w:fill="DCE2EF"/>
          </w:tcPr>
          <w:p>
            <w:pPr>
              <w:spacing w:after="0"/>
              <w:rPr>
                <w:sz w:val="21"/>
                <w:szCs w:val="21"/>
                <w:color w:val="auto"/>
              </w:rPr>
            </w:pPr>
          </w:p>
        </w:tc>
        <w:tc>
          <w:tcPr>
            <w:tcW w:w="400" w:type="dxa"/>
            <w:vAlign w:val="bottom"/>
            <w:shd w:val="clear" w:color="auto" w:fill="DCE2EF"/>
          </w:tcPr>
          <w:p>
            <w:pPr>
              <w:spacing w:after="0"/>
              <w:rPr>
                <w:sz w:val="21"/>
                <w:szCs w:val="21"/>
                <w:color w:val="auto"/>
              </w:rPr>
            </w:pPr>
          </w:p>
        </w:tc>
        <w:tc>
          <w:tcPr>
            <w:tcW w:w="13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7.3%</w:t>
            </w:r>
          </w:p>
        </w:tc>
        <w:tc>
          <w:tcPr>
            <w:tcW w:w="100" w:type="dxa"/>
            <w:vAlign w:val="bottom"/>
            <w:shd w:val="clear" w:color="auto" w:fill="DCE2EF"/>
          </w:tcPr>
          <w:p>
            <w:pPr>
              <w:spacing w:after="0"/>
              <w:rPr>
                <w:sz w:val="21"/>
                <w:szCs w:val="21"/>
                <w:color w:val="auto"/>
              </w:rPr>
            </w:pPr>
          </w:p>
        </w:tc>
        <w:tc>
          <w:tcPr>
            <w:tcW w:w="500" w:type="dxa"/>
            <w:vAlign w:val="bottom"/>
            <w:shd w:val="clear" w:color="auto" w:fill="DCE2EF"/>
          </w:tcPr>
          <w:p>
            <w:pPr>
              <w:spacing w:after="0"/>
              <w:rPr>
                <w:sz w:val="21"/>
                <w:szCs w:val="21"/>
                <w:color w:val="auto"/>
              </w:rPr>
            </w:pPr>
          </w:p>
        </w:tc>
        <w:tc>
          <w:tcPr>
            <w:tcW w:w="1540" w:type="dxa"/>
            <w:vAlign w:val="bottom"/>
            <w:shd w:val="clear" w:color="auto" w:fill="DCE2EF"/>
          </w:tcPr>
          <w:p>
            <w:pPr>
              <w:jc w:val="right"/>
              <w:ind w:right="354"/>
              <w:spacing w:after="0"/>
              <w:rPr>
                <w:sz w:val="20"/>
                <w:szCs w:val="20"/>
                <w:color w:val="auto"/>
              </w:rPr>
            </w:pPr>
            <w:r>
              <w:rPr>
                <w:rFonts w:ascii="Arial" w:cs="Arial" w:eastAsia="Arial" w:hAnsi="Arial"/>
                <w:sz w:val="14"/>
                <w:szCs w:val="14"/>
                <w:i w:val="1"/>
                <w:iCs w:val="1"/>
                <w:color w:val="auto"/>
              </w:rPr>
              <w:t>62 bps</w:t>
            </w:r>
          </w:p>
        </w:tc>
        <w:tc>
          <w:tcPr>
            <w:tcW w:w="1480" w:type="dxa"/>
            <w:vAlign w:val="bottom"/>
            <w:shd w:val="clear" w:color="auto" w:fill="DCE2EF"/>
          </w:tcPr>
          <w:p>
            <w:pPr>
              <w:spacing w:after="0"/>
              <w:rPr>
                <w:sz w:val="21"/>
                <w:szCs w:val="21"/>
                <w:color w:val="auto"/>
              </w:rPr>
            </w:pPr>
          </w:p>
        </w:tc>
      </w:tr>
      <w:tr>
        <w:trPr>
          <w:trHeight w:val="27"/>
        </w:trPr>
        <w:tc>
          <w:tcPr>
            <w:tcW w:w="40" w:type="dxa"/>
            <w:vAlign w:val="bottom"/>
            <w:shd w:val="clear" w:color="auto" w:fill="DCE2EF"/>
          </w:tcPr>
          <w:p>
            <w:pPr>
              <w:spacing w:after="0"/>
              <w:rPr>
                <w:sz w:val="2"/>
                <w:szCs w:val="2"/>
                <w:color w:val="auto"/>
              </w:rPr>
            </w:pPr>
          </w:p>
        </w:tc>
        <w:tc>
          <w:tcPr>
            <w:tcW w:w="820" w:type="dxa"/>
            <w:vAlign w:val="bottom"/>
            <w:shd w:val="clear" w:color="auto" w:fill="DCE2EF"/>
          </w:tcPr>
          <w:p>
            <w:pPr>
              <w:spacing w:after="0"/>
              <w:rPr>
                <w:sz w:val="2"/>
                <w:szCs w:val="2"/>
                <w:color w:val="auto"/>
              </w:rPr>
            </w:pPr>
          </w:p>
        </w:tc>
        <w:tc>
          <w:tcPr>
            <w:tcW w:w="3320" w:type="dxa"/>
            <w:vAlign w:val="bottom"/>
            <w:shd w:val="clear" w:color="auto" w:fill="DCE2EF"/>
          </w:tcPr>
          <w:p>
            <w:pPr>
              <w:spacing w:after="0"/>
              <w:rPr>
                <w:sz w:val="2"/>
                <w:szCs w:val="2"/>
                <w:color w:val="auto"/>
              </w:rPr>
            </w:pPr>
          </w:p>
        </w:tc>
        <w:tc>
          <w:tcPr>
            <w:tcW w:w="400" w:type="dxa"/>
            <w:vAlign w:val="bottom"/>
            <w:shd w:val="clear" w:color="auto" w:fill="DCE2EF"/>
          </w:tcPr>
          <w:p>
            <w:pPr>
              <w:spacing w:after="0"/>
              <w:rPr>
                <w:sz w:val="2"/>
                <w:szCs w:val="2"/>
                <w:color w:val="auto"/>
              </w:rPr>
            </w:pPr>
          </w:p>
        </w:tc>
        <w:tc>
          <w:tcPr>
            <w:tcW w:w="1360" w:type="dxa"/>
            <w:vAlign w:val="bottom"/>
            <w:shd w:val="clear" w:color="auto" w:fill="DCE2EF"/>
          </w:tcPr>
          <w:p>
            <w:pPr>
              <w:spacing w:after="0"/>
              <w:rPr>
                <w:sz w:val="2"/>
                <w:szCs w:val="2"/>
                <w:color w:val="auto"/>
              </w:rPr>
            </w:pPr>
          </w:p>
        </w:tc>
        <w:tc>
          <w:tcPr>
            <w:tcW w:w="100" w:type="dxa"/>
            <w:vAlign w:val="bottom"/>
            <w:shd w:val="clear" w:color="auto" w:fill="DCE2EF"/>
          </w:tcPr>
          <w:p>
            <w:pPr>
              <w:spacing w:after="0"/>
              <w:rPr>
                <w:sz w:val="2"/>
                <w:szCs w:val="2"/>
                <w:color w:val="auto"/>
              </w:rPr>
            </w:pPr>
          </w:p>
        </w:tc>
        <w:tc>
          <w:tcPr>
            <w:tcW w:w="400" w:type="dxa"/>
            <w:vAlign w:val="bottom"/>
            <w:shd w:val="clear" w:color="auto" w:fill="DCE2EF"/>
          </w:tcPr>
          <w:p>
            <w:pPr>
              <w:spacing w:after="0"/>
              <w:rPr>
                <w:sz w:val="2"/>
                <w:szCs w:val="2"/>
                <w:color w:val="auto"/>
              </w:rPr>
            </w:pPr>
          </w:p>
        </w:tc>
        <w:tc>
          <w:tcPr>
            <w:tcW w:w="1360" w:type="dxa"/>
            <w:vAlign w:val="bottom"/>
            <w:shd w:val="clear" w:color="auto" w:fill="DCE2EF"/>
          </w:tcPr>
          <w:p>
            <w:pPr>
              <w:spacing w:after="0"/>
              <w:rPr>
                <w:sz w:val="2"/>
                <w:szCs w:val="2"/>
                <w:color w:val="auto"/>
              </w:rPr>
            </w:pPr>
          </w:p>
        </w:tc>
        <w:tc>
          <w:tcPr>
            <w:tcW w:w="100" w:type="dxa"/>
            <w:vAlign w:val="bottom"/>
            <w:shd w:val="clear" w:color="auto" w:fill="DCE2EF"/>
          </w:tcPr>
          <w:p>
            <w:pPr>
              <w:spacing w:after="0"/>
              <w:rPr>
                <w:sz w:val="2"/>
                <w:szCs w:val="2"/>
                <w:color w:val="auto"/>
              </w:rPr>
            </w:pPr>
          </w:p>
        </w:tc>
        <w:tc>
          <w:tcPr>
            <w:tcW w:w="500" w:type="dxa"/>
            <w:vAlign w:val="bottom"/>
            <w:shd w:val="clear" w:color="auto" w:fill="DCE2EF"/>
          </w:tcPr>
          <w:p>
            <w:pPr>
              <w:spacing w:after="0"/>
              <w:rPr>
                <w:sz w:val="2"/>
                <w:szCs w:val="2"/>
                <w:color w:val="auto"/>
              </w:rPr>
            </w:pPr>
          </w:p>
        </w:tc>
        <w:tc>
          <w:tcPr>
            <w:tcW w:w="1540" w:type="dxa"/>
            <w:vAlign w:val="bottom"/>
            <w:shd w:val="clear" w:color="auto" w:fill="DCE2EF"/>
          </w:tcPr>
          <w:p>
            <w:pPr>
              <w:spacing w:after="0"/>
              <w:rPr>
                <w:sz w:val="2"/>
                <w:szCs w:val="2"/>
                <w:color w:val="auto"/>
              </w:rPr>
            </w:pPr>
          </w:p>
        </w:tc>
        <w:tc>
          <w:tcPr>
            <w:tcW w:w="1480" w:type="dxa"/>
            <w:vAlign w:val="bottom"/>
            <w:shd w:val="clear" w:color="auto" w:fill="DCE2EF"/>
          </w:tcPr>
          <w:p>
            <w:pPr>
              <w:spacing w:after="0"/>
              <w:rPr>
                <w:sz w:val="2"/>
                <w:szCs w:val="2"/>
                <w:color w:val="auto"/>
              </w:rPr>
            </w:pPr>
          </w:p>
        </w:tc>
      </w:tr>
    </w:tbl>
    <w:p>
      <w:pPr>
        <w:spacing w:after="0" w:line="139"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18"/>
          <w:szCs w:val="18"/>
          <w:color w:val="auto"/>
        </w:rPr>
        <w:t>T&amp;M revenues decreased by $ 8.4 million, or 0.9%, during 2019, as compared to 2018. The decrease was primarily attributable to the loss of certain accounts, partially offset by the expansion of existing accounts and new business.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70" w:right="239" w:bottom="1440" w:gutter="0" w:footer="0" w:header="0"/>
        </w:sectPr>
      </w:pPr>
    </w:p>
    <w:bookmarkStart w:id="29" w:name="page30"/>
    <w:bookmarkEnd w:id="29"/>
    <w:p>
      <w:pPr>
        <w:jc w:val="both"/>
        <w:ind w:firstLine="648"/>
        <w:spacing w:after="0" w:line="271" w:lineRule="auto"/>
        <w:rPr>
          <w:sz w:val="20"/>
          <w:szCs w:val="20"/>
          <w:color w:val="auto"/>
        </w:rPr>
      </w:pPr>
      <w:r>
        <w:rPr>
          <w:rFonts w:ascii="Arial" w:cs="Arial" w:eastAsia="Arial" w:hAnsi="Arial"/>
          <w:sz w:val="18"/>
          <w:szCs w:val="18"/>
          <w:color w:val="auto"/>
        </w:rPr>
        <w:t>Operating profit increased by $5.1 million, or 7.6%, during 2019, as compared to 2018. Operating profit margin increased by 62 bps to 7.9% in 2019 from 7.3% in 2018. The increase in operating profit margin was primarily attributable to improved margins on certain accounts and the loss of a low margin account in the prior year, partially offset by specific reserves established for client receivables.</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251"/>
        </w:trPr>
        <w:tc>
          <w:tcPr>
            <w:tcW w:w="412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0046AD"/>
              </w:rPr>
              <w:t>Education</w:t>
            </w: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1"/>
        </w:trPr>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6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24"/>
        </w:trPr>
        <w:tc>
          <w:tcPr>
            <w:tcW w:w="412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Decrease</w:t>
            </w:r>
          </w:p>
        </w:tc>
        <w:tc>
          <w:tcPr>
            <w:tcW w:w="1260" w:type="dxa"/>
            <w:vAlign w:val="bottom"/>
          </w:tcPr>
          <w:p>
            <w:pPr>
              <w:spacing w:after="0"/>
              <w:rPr>
                <w:sz w:val="19"/>
                <w:szCs w:val="19"/>
                <w:color w:val="auto"/>
              </w:rPr>
            </w:pP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328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44"/>
        </w:trPr>
        <w:tc>
          <w:tcPr>
            <w:tcW w:w="20" w:type="dxa"/>
            <w:vAlign w:val="bottom"/>
            <w:tcBorders>
              <w:bottom w:val="single" w:sz="8" w:color="DCE2EF"/>
            </w:tcBorders>
            <w:shd w:val="clear" w:color="auto" w:fill="DCE2EF"/>
          </w:tcPr>
          <w:p>
            <w:pPr>
              <w:spacing w:after="0"/>
              <w:rPr>
                <w:sz w:val="21"/>
                <w:szCs w:val="21"/>
                <w:color w:val="auto"/>
              </w:rPr>
            </w:pPr>
          </w:p>
        </w:tc>
        <w:tc>
          <w:tcPr>
            <w:tcW w:w="82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8"/>
                <w:szCs w:val="18"/>
                <w:color w:val="auto"/>
                <w:w w:val="98"/>
                <w:shd w:val="clear" w:color="auto" w:fill="DCE2EF"/>
              </w:rPr>
              <w:t>Revenues</w:t>
            </w:r>
          </w:p>
        </w:tc>
        <w:tc>
          <w:tcPr>
            <w:tcW w:w="3280" w:type="dxa"/>
            <w:vAlign w:val="bottom"/>
            <w:tcBorders>
              <w:bottom w:val="single" w:sz="8" w:color="DCE2EF"/>
            </w:tcBorders>
            <w:shd w:val="clear" w:color="auto" w:fill="DCE2EF"/>
          </w:tcPr>
          <w:p>
            <w:pPr>
              <w:spacing w:after="0"/>
              <w:rPr>
                <w:sz w:val="21"/>
                <w:szCs w:val="21"/>
                <w:color w:val="auto"/>
              </w:rPr>
            </w:pPr>
          </w:p>
        </w:tc>
        <w:tc>
          <w:tcPr>
            <w:tcW w:w="420" w:type="dxa"/>
            <w:vAlign w:val="bottom"/>
            <w:tcBorders>
              <w:bottom w:val="single" w:sz="8" w:color="DCE2EF"/>
            </w:tcBorders>
            <w:shd w:val="clear" w:color="auto" w:fill="DCE2EF"/>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DCE2EF"/>
            </w:tcBorders>
            <w:shd w:val="clear" w:color="auto" w:fill="DCE2EF"/>
          </w:tcPr>
          <w:p>
            <w:pPr>
              <w:jc w:val="right"/>
              <w:ind w:right="74"/>
              <w:spacing w:after="0"/>
              <w:rPr>
                <w:sz w:val="20"/>
                <w:szCs w:val="20"/>
                <w:color w:val="auto"/>
              </w:rPr>
            </w:pPr>
            <w:r>
              <w:rPr>
                <w:rFonts w:ascii="Arial" w:cs="Arial" w:eastAsia="Arial" w:hAnsi="Arial"/>
                <w:sz w:val="18"/>
                <w:szCs w:val="18"/>
                <w:color w:val="auto"/>
              </w:rPr>
              <w:t>847.4</w:t>
            </w:r>
          </w:p>
        </w:tc>
        <w:tc>
          <w:tcPr>
            <w:tcW w:w="120" w:type="dxa"/>
            <w:vAlign w:val="bottom"/>
            <w:tcBorders>
              <w:bottom w:val="single" w:sz="8" w:color="DCE2EF"/>
            </w:tcBorders>
            <w:shd w:val="clear" w:color="auto" w:fill="DCE2EF"/>
          </w:tcPr>
          <w:p>
            <w:pPr>
              <w:spacing w:after="0"/>
              <w:rPr>
                <w:sz w:val="21"/>
                <w:szCs w:val="21"/>
                <w:color w:val="auto"/>
              </w:rPr>
            </w:pPr>
          </w:p>
        </w:tc>
        <w:tc>
          <w:tcPr>
            <w:tcW w:w="400" w:type="dxa"/>
            <w:vAlign w:val="bottom"/>
            <w:tcBorders>
              <w:bottom w:val="single" w:sz="8" w:color="DCE2EF"/>
            </w:tcBorders>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DCE2EF"/>
            </w:tcBorders>
            <w:shd w:val="clear" w:color="auto" w:fill="DCE2EF"/>
          </w:tcPr>
          <w:p>
            <w:pPr>
              <w:jc w:val="right"/>
              <w:ind w:right="74"/>
              <w:spacing w:after="0"/>
              <w:rPr>
                <w:sz w:val="20"/>
                <w:szCs w:val="20"/>
                <w:color w:val="auto"/>
              </w:rPr>
            </w:pPr>
            <w:r>
              <w:rPr>
                <w:rFonts w:ascii="Arial" w:cs="Arial" w:eastAsia="Arial" w:hAnsi="Arial"/>
                <w:sz w:val="18"/>
                <w:szCs w:val="18"/>
                <w:color w:val="auto"/>
              </w:rPr>
              <w:t>856.7</w:t>
            </w:r>
          </w:p>
        </w:tc>
        <w:tc>
          <w:tcPr>
            <w:tcW w:w="120" w:type="dxa"/>
            <w:vAlign w:val="bottom"/>
            <w:tcBorders>
              <w:bottom w:val="single" w:sz="8" w:color="DCE2EF"/>
            </w:tcBorders>
            <w:shd w:val="clear" w:color="auto" w:fill="DCE2EF"/>
          </w:tcPr>
          <w:p>
            <w:pPr>
              <w:spacing w:after="0"/>
              <w:rPr>
                <w:sz w:val="21"/>
                <w:szCs w:val="21"/>
                <w:color w:val="auto"/>
              </w:rPr>
            </w:pPr>
          </w:p>
        </w:tc>
        <w:tc>
          <w:tcPr>
            <w:tcW w:w="600" w:type="dxa"/>
            <w:vAlign w:val="bottom"/>
            <w:tcBorders>
              <w:bottom w:val="single" w:sz="8" w:color="DCE2EF"/>
            </w:tcBorders>
            <w:shd w:val="clear" w:color="auto" w:fill="DCE2EF"/>
          </w:tcPr>
          <w:p>
            <w:pPr>
              <w:jc w:val="right"/>
              <w:ind w:right="3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DCE2EF"/>
            </w:tcBorders>
            <w:shd w:val="clear" w:color="auto" w:fill="DCE2EF"/>
          </w:tcPr>
          <w:p>
            <w:pPr>
              <w:jc w:val="right"/>
              <w:ind w:right="514"/>
              <w:spacing w:after="0"/>
              <w:rPr>
                <w:sz w:val="20"/>
                <w:szCs w:val="20"/>
                <w:color w:val="auto"/>
              </w:rPr>
            </w:pPr>
            <w:r>
              <w:rPr>
                <w:rFonts w:ascii="Arial" w:cs="Arial" w:eastAsia="Arial" w:hAnsi="Arial"/>
                <w:sz w:val="18"/>
                <w:szCs w:val="18"/>
                <w:color w:val="auto"/>
              </w:rPr>
              <w:t>(9.3)</w:t>
            </w:r>
          </w:p>
        </w:tc>
        <w:tc>
          <w:tcPr>
            <w:tcW w:w="1260" w:type="dxa"/>
            <w:vAlign w:val="bottom"/>
            <w:tcBorders>
              <w:bottom w:val="single" w:sz="8" w:color="DCE2EF"/>
            </w:tcBorders>
            <w:shd w:val="clear" w:color="auto" w:fill="DCE2EF"/>
          </w:tcPr>
          <w:p>
            <w:pPr>
              <w:jc w:val="right"/>
              <w:ind w:right="490"/>
              <w:spacing w:after="0"/>
              <w:rPr>
                <w:sz w:val="20"/>
                <w:szCs w:val="20"/>
                <w:color w:val="auto"/>
              </w:rPr>
            </w:pPr>
            <w:r>
              <w:rPr>
                <w:rFonts w:ascii="Arial" w:cs="Arial" w:eastAsia="Arial" w:hAnsi="Arial"/>
                <w:sz w:val="18"/>
                <w:szCs w:val="18"/>
                <w:color w:val="auto"/>
              </w:rPr>
              <w:t>(1.1)%</w:t>
            </w:r>
          </w:p>
        </w:tc>
      </w:tr>
      <w:tr>
        <w:trPr>
          <w:trHeight w:val="265"/>
        </w:trPr>
        <w:tc>
          <w:tcPr>
            <w:tcW w:w="412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3"/>
                <w:szCs w:val="23"/>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40" w:type="dxa"/>
            <w:vAlign w:val="bottom"/>
          </w:tcPr>
          <w:p>
            <w:pPr>
              <w:jc w:val="right"/>
              <w:ind w:right="514"/>
              <w:spacing w:after="0"/>
              <w:rPr>
                <w:sz w:val="20"/>
                <w:szCs w:val="20"/>
                <w:color w:val="auto"/>
              </w:rPr>
            </w:pPr>
            <w:r>
              <w:rPr>
                <w:rFonts w:ascii="Arial" w:cs="Arial" w:eastAsia="Arial" w:hAnsi="Arial"/>
                <w:sz w:val="18"/>
                <w:szCs w:val="18"/>
                <w:color w:val="auto"/>
              </w:rPr>
              <w:t>(5.1)</w:t>
            </w:r>
          </w:p>
        </w:tc>
        <w:tc>
          <w:tcPr>
            <w:tcW w:w="1260" w:type="dxa"/>
            <w:vAlign w:val="bottom"/>
          </w:tcPr>
          <w:p>
            <w:pPr>
              <w:jc w:val="right"/>
              <w:ind w:right="450"/>
              <w:spacing w:after="0"/>
              <w:rPr>
                <w:sz w:val="20"/>
                <w:szCs w:val="20"/>
                <w:color w:val="auto"/>
              </w:rPr>
            </w:pPr>
            <w:r>
              <w:rPr>
                <w:rFonts w:ascii="Arial" w:cs="Arial" w:eastAsia="Arial" w:hAnsi="Arial"/>
                <w:sz w:val="18"/>
                <w:szCs w:val="18"/>
                <w:color w:val="auto"/>
              </w:rPr>
              <w:t>(11.4)%</w:t>
            </w:r>
          </w:p>
        </w:tc>
      </w:tr>
      <w:tr>
        <w:trPr>
          <w:trHeight w:val="248"/>
        </w:trPr>
        <w:tc>
          <w:tcPr>
            <w:tcW w:w="20" w:type="dxa"/>
            <w:vAlign w:val="bottom"/>
            <w:shd w:val="clear" w:color="auto" w:fill="DCE2EF"/>
          </w:tcPr>
          <w:p>
            <w:pPr>
              <w:spacing w:after="0"/>
              <w:rPr>
                <w:sz w:val="21"/>
                <w:szCs w:val="21"/>
                <w:color w:val="auto"/>
              </w:rPr>
            </w:pPr>
          </w:p>
        </w:tc>
        <w:tc>
          <w:tcPr>
            <w:tcW w:w="410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shd w:val="clear" w:color="auto" w:fill="DCE2EF"/>
              </w:rPr>
              <w:t>Operating profit margin</w:t>
            </w:r>
          </w:p>
        </w:tc>
        <w:tc>
          <w:tcPr>
            <w:tcW w:w="420" w:type="dxa"/>
            <w:vAlign w:val="bottom"/>
            <w:shd w:val="clear" w:color="auto" w:fill="DCE2EF"/>
          </w:tcPr>
          <w:p>
            <w:pPr>
              <w:spacing w:after="0"/>
              <w:rPr>
                <w:sz w:val="21"/>
                <w:szCs w:val="21"/>
                <w:color w:val="auto"/>
              </w:rPr>
            </w:pPr>
          </w:p>
        </w:tc>
        <w:tc>
          <w:tcPr>
            <w:tcW w:w="13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4.6%</w:t>
            </w:r>
          </w:p>
        </w:tc>
        <w:tc>
          <w:tcPr>
            <w:tcW w:w="120" w:type="dxa"/>
            <w:vAlign w:val="bottom"/>
            <w:shd w:val="clear" w:color="auto" w:fill="DCE2EF"/>
          </w:tcPr>
          <w:p>
            <w:pPr>
              <w:spacing w:after="0"/>
              <w:rPr>
                <w:sz w:val="21"/>
                <w:szCs w:val="21"/>
                <w:color w:val="auto"/>
              </w:rPr>
            </w:pPr>
          </w:p>
        </w:tc>
        <w:tc>
          <w:tcPr>
            <w:tcW w:w="400" w:type="dxa"/>
            <w:vAlign w:val="bottom"/>
            <w:shd w:val="clear" w:color="auto" w:fill="DCE2EF"/>
          </w:tcPr>
          <w:p>
            <w:pPr>
              <w:spacing w:after="0"/>
              <w:rPr>
                <w:sz w:val="21"/>
                <w:szCs w:val="21"/>
                <w:color w:val="auto"/>
              </w:rPr>
            </w:pPr>
          </w:p>
        </w:tc>
        <w:tc>
          <w:tcPr>
            <w:tcW w:w="13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5.1%</w:t>
            </w:r>
          </w:p>
        </w:tc>
        <w:tc>
          <w:tcPr>
            <w:tcW w:w="120" w:type="dxa"/>
            <w:vAlign w:val="bottom"/>
            <w:shd w:val="clear" w:color="auto" w:fill="DCE2EF"/>
          </w:tcPr>
          <w:p>
            <w:pPr>
              <w:spacing w:after="0"/>
              <w:rPr>
                <w:sz w:val="21"/>
                <w:szCs w:val="21"/>
                <w:color w:val="auto"/>
              </w:rPr>
            </w:pPr>
          </w:p>
        </w:tc>
        <w:tc>
          <w:tcPr>
            <w:tcW w:w="600" w:type="dxa"/>
            <w:vAlign w:val="bottom"/>
            <w:shd w:val="clear" w:color="auto" w:fill="DCE2EF"/>
          </w:tcPr>
          <w:p>
            <w:pPr>
              <w:spacing w:after="0"/>
              <w:rPr>
                <w:sz w:val="21"/>
                <w:szCs w:val="21"/>
                <w:color w:val="auto"/>
              </w:rPr>
            </w:pPr>
          </w:p>
        </w:tc>
        <w:tc>
          <w:tcPr>
            <w:tcW w:w="1640" w:type="dxa"/>
            <w:vAlign w:val="bottom"/>
            <w:shd w:val="clear" w:color="auto" w:fill="DCE2EF"/>
          </w:tcPr>
          <w:p>
            <w:pPr>
              <w:jc w:val="right"/>
              <w:ind w:right="574"/>
              <w:spacing w:after="0"/>
              <w:rPr>
                <w:sz w:val="20"/>
                <w:szCs w:val="20"/>
                <w:color w:val="auto"/>
              </w:rPr>
            </w:pPr>
            <w:r>
              <w:rPr>
                <w:rFonts w:ascii="Arial" w:cs="Arial" w:eastAsia="Arial" w:hAnsi="Arial"/>
                <w:sz w:val="14"/>
                <w:szCs w:val="14"/>
                <w:i w:val="1"/>
                <w:iCs w:val="1"/>
                <w:color w:val="auto"/>
              </w:rPr>
              <w:t>(54) bps</w:t>
            </w:r>
          </w:p>
        </w:tc>
        <w:tc>
          <w:tcPr>
            <w:tcW w:w="1260" w:type="dxa"/>
            <w:vAlign w:val="bottom"/>
            <w:shd w:val="clear" w:color="auto" w:fill="DCE2EF"/>
          </w:tcPr>
          <w:p>
            <w:pPr>
              <w:spacing w:after="0"/>
              <w:rPr>
                <w:sz w:val="21"/>
                <w:szCs w:val="21"/>
                <w:color w:val="auto"/>
              </w:rPr>
            </w:pPr>
          </w:p>
        </w:tc>
      </w:tr>
      <w:tr>
        <w:trPr>
          <w:trHeight w:val="27"/>
        </w:trPr>
        <w:tc>
          <w:tcPr>
            <w:tcW w:w="20" w:type="dxa"/>
            <w:vAlign w:val="bottom"/>
            <w:shd w:val="clear" w:color="auto" w:fill="DCE2EF"/>
          </w:tcPr>
          <w:p>
            <w:pPr>
              <w:spacing w:after="0"/>
              <w:rPr>
                <w:sz w:val="2"/>
                <w:szCs w:val="2"/>
                <w:color w:val="auto"/>
              </w:rPr>
            </w:pPr>
          </w:p>
        </w:tc>
        <w:tc>
          <w:tcPr>
            <w:tcW w:w="820" w:type="dxa"/>
            <w:vAlign w:val="bottom"/>
            <w:shd w:val="clear" w:color="auto" w:fill="DCE2EF"/>
          </w:tcPr>
          <w:p>
            <w:pPr>
              <w:spacing w:after="0"/>
              <w:rPr>
                <w:sz w:val="2"/>
                <w:szCs w:val="2"/>
                <w:color w:val="auto"/>
              </w:rPr>
            </w:pPr>
          </w:p>
        </w:tc>
        <w:tc>
          <w:tcPr>
            <w:tcW w:w="3280" w:type="dxa"/>
            <w:vAlign w:val="bottom"/>
            <w:shd w:val="clear" w:color="auto" w:fill="DCE2EF"/>
          </w:tcPr>
          <w:p>
            <w:pPr>
              <w:spacing w:after="0"/>
              <w:rPr>
                <w:sz w:val="2"/>
                <w:szCs w:val="2"/>
                <w:color w:val="auto"/>
              </w:rPr>
            </w:pPr>
          </w:p>
        </w:tc>
        <w:tc>
          <w:tcPr>
            <w:tcW w:w="420" w:type="dxa"/>
            <w:vAlign w:val="bottom"/>
            <w:shd w:val="clear" w:color="auto" w:fill="DCE2EF"/>
          </w:tcPr>
          <w:p>
            <w:pPr>
              <w:spacing w:after="0"/>
              <w:rPr>
                <w:sz w:val="2"/>
                <w:szCs w:val="2"/>
                <w:color w:val="auto"/>
              </w:rPr>
            </w:pPr>
          </w:p>
        </w:tc>
        <w:tc>
          <w:tcPr>
            <w:tcW w:w="1340" w:type="dxa"/>
            <w:vAlign w:val="bottom"/>
            <w:shd w:val="clear" w:color="auto" w:fill="DCE2EF"/>
          </w:tcPr>
          <w:p>
            <w:pPr>
              <w:spacing w:after="0"/>
              <w:rPr>
                <w:sz w:val="2"/>
                <w:szCs w:val="2"/>
                <w:color w:val="auto"/>
              </w:rPr>
            </w:pPr>
          </w:p>
        </w:tc>
        <w:tc>
          <w:tcPr>
            <w:tcW w:w="120" w:type="dxa"/>
            <w:vAlign w:val="bottom"/>
            <w:shd w:val="clear" w:color="auto" w:fill="DCE2EF"/>
          </w:tcPr>
          <w:p>
            <w:pPr>
              <w:spacing w:after="0"/>
              <w:rPr>
                <w:sz w:val="2"/>
                <w:szCs w:val="2"/>
                <w:color w:val="auto"/>
              </w:rPr>
            </w:pPr>
          </w:p>
        </w:tc>
        <w:tc>
          <w:tcPr>
            <w:tcW w:w="400" w:type="dxa"/>
            <w:vAlign w:val="bottom"/>
            <w:shd w:val="clear" w:color="auto" w:fill="DCE2EF"/>
          </w:tcPr>
          <w:p>
            <w:pPr>
              <w:spacing w:after="0"/>
              <w:rPr>
                <w:sz w:val="2"/>
                <w:szCs w:val="2"/>
                <w:color w:val="auto"/>
              </w:rPr>
            </w:pPr>
          </w:p>
        </w:tc>
        <w:tc>
          <w:tcPr>
            <w:tcW w:w="1340" w:type="dxa"/>
            <w:vAlign w:val="bottom"/>
            <w:shd w:val="clear" w:color="auto" w:fill="DCE2EF"/>
          </w:tcPr>
          <w:p>
            <w:pPr>
              <w:spacing w:after="0"/>
              <w:rPr>
                <w:sz w:val="2"/>
                <w:szCs w:val="2"/>
                <w:color w:val="auto"/>
              </w:rPr>
            </w:pPr>
          </w:p>
        </w:tc>
        <w:tc>
          <w:tcPr>
            <w:tcW w:w="120" w:type="dxa"/>
            <w:vAlign w:val="bottom"/>
            <w:shd w:val="clear" w:color="auto" w:fill="DCE2EF"/>
          </w:tcPr>
          <w:p>
            <w:pPr>
              <w:spacing w:after="0"/>
              <w:rPr>
                <w:sz w:val="2"/>
                <w:szCs w:val="2"/>
                <w:color w:val="auto"/>
              </w:rPr>
            </w:pPr>
          </w:p>
        </w:tc>
        <w:tc>
          <w:tcPr>
            <w:tcW w:w="600" w:type="dxa"/>
            <w:vAlign w:val="bottom"/>
            <w:shd w:val="clear" w:color="auto" w:fill="DCE2EF"/>
          </w:tcPr>
          <w:p>
            <w:pPr>
              <w:spacing w:after="0"/>
              <w:rPr>
                <w:sz w:val="2"/>
                <w:szCs w:val="2"/>
                <w:color w:val="auto"/>
              </w:rPr>
            </w:pPr>
          </w:p>
        </w:tc>
        <w:tc>
          <w:tcPr>
            <w:tcW w:w="1640" w:type="dxa"/>
            <w:vAlign w:val="bottom"/>
            <w:shd w:val="clear" w:color="auto" w:fill="DCE2EF"/>
          </w:tcPr>
          <w:p>
            <w:pPr>
              <w:spacing w:after="0"/>
              <w:rPr>
                <w:sz w:val="2"/>
                <w:szCs w:val="2"/>
                <w:color w:val="auto"/>
              </w:rPr>
            </w:pPr>
          </w:p>
        </w:tc>
        <w:tc>
          <w:tcPr>
            <w:tcW w:w="1260" w:type="dxa"/>
            <w:vAlign w:val="bottom"/>
            <w:shd w:val="clear" w:color="auto" w:fill="DCE2EF"/>
          </w:tcPr>
          <w:p>
            <w:pPr>
              <w:spacing w:after="0"/>
              <w:rPr>
                <w:sz w:val="2"/>
                <w:szCs w:val="2"/>
                <w:color w:val="auto"/>
              </w:rPr>
            </w:pPr>
          </w:p>
        </w:tc>
      </w:tr>
    </w:tbl>
    <w:p>
      <w:pPr>
        <w:spacing w:after="0" w:line="13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Education revenues decreased by $9.3 million, or 1.1%, during 2019, as compared to 2018. The decrease was attributable to the loss of certain accounts, partially offset by new business, including the expansion of certain accounts that primarily occurred in the current year.</w:t>
      </w:r>
    </w:p>
    <w:p>
      <w:pPr>
        <w:spacing w:after="0" w:line="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Operating profit decreased by $ 5.1 million, or 11.4%, during 2019, as compared to 2018. Operating profit margin decreased by 54 bps to 4.6% in 2019 from 5.1% in 2018. The decrease in operating profit margin was primarily attributable to changes in contract mix due to the loss of certain accounts and an increase in direct labor and related personnel costs on certain accounts driven by a challenging labor environment. The decrease was partially offset by the management of overhead and selling, general and administrative expenses due to the timing of certain synergies and lower reserves established for client receivables, including collections of previously written off receivables.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1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0046AD"/>
              </w:rPr>
              <w:t>Technical Solutions</w:t>
            </w: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1"/>
        </w:trPr>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6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24"/>
        </w:trPr>
        <w:tc>
          <w:tcPr>
            <w:tcW w:w="416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60" w:type="dxa"/>
            <w:vAlign w:val="bottom"/>
          </w:tcPr>
          <w:p>
            <w:pPr>
              <w:jc w:val="right"/>
              <w:ind w:right="54"/>
              <w:spacing w:after="0"/>
              <w:rPr>
                <w:sz w:val="20"/>
                <w:szCs w:val="20"/>
                <w:color w:val="auto"/>
              </w:rPr>
            </w:pPr>
            <w:r>
              <w:rPr>
                <w:rFonts w:ascii="Arial" w:cs="Arial" w:eastAsia="Arial" w:hAnsi="Arial"/>
                <w:sz w:val="18"/>
                <w:szCs w:val="18"/>
                <w:b w:val="1"/>
                <w:bCs w:val="1"/>
                <w:color w:val="auto"/>
              </w:rPr>
              <w:t>Increase</w:t>
            </w:r>
          </w:p>
        </w:tc>
        <w:tc>
          <w:tcPr>
            <w:tcW w:w="1240" w:type="dxa"/>
            <w:vAlign w:val="bottom"/>
          </w:tcPr>
          <w:p>
            <w:pPr>
              <w:spacing w:after="0"/>
              <w:rPr>
                <w:sz w:val="19"/>
                <w:szCs w:val="19"/>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330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DCE2EF"/>
            </w:tcBorders>
            <w:shd w:val="clear" w:color="auto" w:fill="DCE2EF"/>
          </w:tcPr>
          <w:p>
            <w:pPr>
              <w:spacing w:after="0"/>
              <w:rPr>
                <w:sz w:val="21"/>
                <w:szCs w:val="21"/>
                <w:color w:val="auto"/>
              </w:rPr>
            </w:pPr>
          </w:p>
        </w:tc>
        <w:tc>
          <w:tcPr>
            <w:tcW w:w="82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8"/>
                <w:szCs w:val="18"/>
                <w:color w:val="auto"/>
                <w:w w:val="98"/>
                <w:shd w:val="clear" w:color="auto" w:fill="DCE2EF"/>
              </w:rPr>
              <w:t>Revenues</w:t>
            </w:r>
          </w:p>
        </w:tc>
        <w:tc>
          <w:tcPr>
            <w:tcW w:w="3300" w:type="dxa"/>
            <w:vAlign w:val="bottom"/>
            <w:tcBorders>
              <w:bottom w:val="single" w:sz="8" w:color="DCE2EF"/>
            </w:tcBorders>
            <w:shd w:val="clear" w:color="auto" w:fill="DCE2EF"/>
          </w:tcPr>
          <w:p>
            <w:pPr>
              <w:spacing w:after="0"/>
              <w:rPr>
                <w:sz w:val="21"/>
                <w:szCs w:val="21"/>
                <w:color w:val="auto"/>
              </w:rPr>
            </w:pPr>
          </w:p>
        </w:tc>
        <w:tc>
          <w:tcPr>
            <w:tcW w:w="420" w:type="dxa"/>
            <w:vAlign w:val="bottom"/>
            <w:tcBorders>
              <w:bottom w:val="single" w:sz="8" w:color="DCE2EF"/>
            </w:tcBorders>
            <w:shd w:val="clear" w:color="auto" w:fill="DCE2EF"/>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DCE2EF"/>
            </w:tcBorders>
            <w:shd w:val="clear" w:color="auto" w:fill="DCE2EF"/>
          </w:tcPr>
          <w:p>
            <w:pPr>
              <w:jc w:val="right"/>
              <w:ind w:right="74"/>
              <w:spacing w:after="0"/>
              <w:rPr>
                <w:sz w:val="20"/>
                <w:szCs w:val="20"/>
                <w:color w:val="auto"/>
              </w:rPr>
            </w:pPr>
            <w:r>
              <w:rPr>
                <w:rFonts w:ascii="Arial" w:cs="Arial" w:eastAsia="Arial" w:hAnsi="Arial"/>
                <w:sz w:val="18"/>
                <w:szCs w:val="18"/>
                <w:color w:val="auto"/>
              </w:rPr>
              <w:t>593.2</w:t>
            </w:r>
          </w:p>
        </w:tc>
        <w:tc>
          <w:tcPr>
            <w:tcW w:w="120" w:type="dxa"/>
            <w:vAlign w:val="bottom"/>
            <w:tcBorders>
              <w:bottom w:val="single" w:sz="8" w:color="DCE2EF"/>
            </w:tcBorders>
            <w:shd w:val="clear" w:color="auto" w:fill="DCE2EF"/>
          </w:tcPr>
          <w:p>
            <w:pPr>
              <w:spacing w:after="0"/>
              <w:rPr>
                <w:sz w:val="21"/>
                <w:szCs w:val="21"/>
                <w:color w:val="auto"/>
              </w:rPr>
            </w:pPr>
          </w:p>
        </w:tc>
        <w:tc>
          <w:tcPr>
            <w:tcW w:w="400" w:type="dxa"/>
            <w:vAlign w:val="bottom"/>
            <w:tcBorders>
              <w:bottom w:val="single" w:sz="8" w:color="DCE2EF"/>
            </w:tcBorders>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DCE2EF"/>
            </w:tcBorders>
            <w:shd w:val="clear" w:color="auto" w:fill="DCE2EF"/>
          </w:tcPr>
          <w:p>
            <w:pPr>
              <w:jc w:val="right"/>
              <w:ind w:right="74"/>
              <w:spacing w:after="0"/>
              <w:rPr>
                <w:sz w:val="20"/>
                <w:szCs w:val="20"/>
                <w:color w:val="auto"/>
              </w:rPr>
            </w:pPr>
            <w:r>
              <w:rPr>
                <w:rFonts w:ascii="Arial" w:cs="Arial" w:eastAsia="Arial" w:hAnsi="Arial"/>
                <w:sz w:val="18"/>
                <w:szCs w:val="18"/>
                <w:color w:val="auto"/>
              </w:rPr>
              <w:t>500.1</w:t>
            </w:r>
          </w:p>
        </w:tc>
        <w:tc>
          <w:tcPr>
            <w:tcW w:w="100" w:type="dxa"/>
            <w:vAlign w:val="bottom"/>
            <w:tcBorders>
              <w:bottom w:val="single" w:sz="8" w:color="DCE2EF"/>
            </w:tcBorders>
            <w:shd w:val="clear" w:color="auto" w:fill="DCE2EF"/>
          </w:tcPr>
          <w:p>
            <w:pPr>
              <w:spacing w:after="0"/>
              <w:rPr>
                <w:sz w:val="21"/>
                <w:szCs w:val="21"/>
                <w:color w:val="auto"/>
              </w:rPr>
            </w:pPr>
          </w:p>
        </w:tc>
        <w:tc>
          <w:tcPr>
            <w:tcW w:w="620" w:type="dxa"/>
            <w:vAlign w:val="bottom"/>
            <w:tcBorders>
              <w:bottom w:val="single" w:sz="8" w:color="DCE2EF"/>
            </w:tcBorders>
            <w:shd w:val="clear" w:color="auto" w:fill="DCE2EF"/>
          </w:tcPr>
          <w:p>
            <w:pPr>
              <w:jc w:val="right"/>
              <w:ind w:right="39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DCE2EF"/>
            </w:tcBorders>
            <w:shd w:val="clear" w:color="auto" w:fill="DCE2EF"/>
          </w:tcPr>
          <w:p>
            <w:pPr>
              <w:jc w:val="right"/>
              <w:ind w:right="594"/>
              <w:spacing w:after="0"/>
              <w:rPr>
                <w:sz w:val="20"/>
                <w:szCs w:val="20"/>
                <w:color w:val="auto"/>
              </w:rPr>
            </w:pPr>
            <w:r>
              <w:rPr>
                <w:rFonts w:ascii="Arial" w:cs="Arial" w:eastAsia="Arial" w:hAnsi="Arial"/>
                <w:sz w:val="18"/>
                <w:szCs w:val="18"/>
                <w:color w:val="auto"/>
              </w:rPr>
              <w:t>93.1</w:t>
            </w:r>
          </w:p>
        </w:tc>
        <w:tc>
          <w:tcPr>
            <w:tcW w:w="1240" w:type="dxa"/>
            <w:vAlign w:val="bottom"/>
            <w:tcBorders>
              <w:bottom w:val="single" w:sz="8" w:color="DCE2EF"/>
            </w:tcBorders>
            <w:shd w:val="clear" w:color="auto" w:fill="DCE2EF"/>
          </w:tcPr>
          <w:p>
            <w:pPr>
              <w:jc w:val="right"/>
              <w:ind w:right="510"/>
              <w:spacing w:after="0"/>
              <w:rPr>
                <w:sz w:val="20"/>
                <w:szCs w:val="20"/>
                <w:color w:val="auto"/>
              </w:rPr>
            </w:pPr>
            <w:r>
              <w:rPr>
                <w:rFonts w:ascii="Arial" w:cs="Arial" w:eastAsia="Arial" w:hAnsi="Arial"/>
                <w:sz w:val="18"/>
                <w:szCs w:val="18"/>
                <w:color w:val="auto"/>
              </w:rPr>
              <w:t>18.6%</w:t>
            </w:r>
          </w:p>
        </w:tc>
      </w:tr>
      <w:tr>
        <w:trPr>
          <w:trHeight w:val="265"/>
        </w:trPr>
        <w:tc>
          <w:tcPr>
            <w:tcW w:w="416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3"/>
                <w:szCs w:val="23"/>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60" w:type="dxa"/>
            <w:vAlign w:val="bottom"/>
          </w:tcPr>
          <w:p>
            <w:pPr>
              <w:jc w:val="right"/>
              <w:ind w:right="594"/>
              <w:spacing w:after="0"/>
              <w:rPr>
                <w:sz w:val="20"/>
                <w:szCs w:val="20"/>
                <w:color w:val="auto"/>
              </w:rPr>
            </w:pPr>
            <w:r>
              <w:rPr>
                <w:rFonts w:ascii="Arial" w:cs="Arial" w:eastAsia="Arial" w:hAnsi="Arial"/>
                <w:sz w:val="18"/>
                <w:szCs w:val="18"/>
                <w:color w:val="auto"/>
              </w:rPr>
              <w:t>33.6</w:t>
            </w:r>
          </w:p>
        </w:tc>
        <w:tc>
          <w:tcPr>
            <w:tcW w:w="1240" w:type="dxa"/>
            <w:vAlign w:val="bottom"/>
          </w:tcPr>
          <w:p>
            <w:pPr>
              <w:jc w:val="center"/>
              <w:ind w:right="370"/>
              <w:spacing w:after="0"/>
              <w:rPr>
                <w:sz w:val="20"/>
                <w:szCs w:val="20"/>
                <w:color w:val="auto"/>
              </w:rPr>
            </w:pPr>
            <w:r>
              <w:rPr>
                <w:rFonts w:ascii="Arial" w:cs="Arial" w:eastAsia="Arial" w:hAnsi="Arial"/>
                <w:sz w:val="18"/>
                <w:szCs w:val="18"/>
                <w:color w:val="auto"/>
                <w:w w:val="97"/>
              </w:rPr>
              <w:t>NM*</w:t>
            </w:r>
          </w:p>
        </w:tc>
      </w:tr>
      <w:tr>
        <w:trPr>
          <w:trHeight w:val="248"/>
        </w:trPr>
        <w:tc>
          <w:tcPr>
            <w:tcW w:w="40" w:type="dxa"/>
            <w:vAlign w:val="bottom"/>
            <w:shd w:val="clear" w:color="auto" w:fill="DCE2EF"/>
          </w:tcPr>
          <w:p>
            <w:pPr>
              <w:spacing w:after="0"/>
              <w:rPr>
                <w:sz w:val="21"/>
                <w:szCs w:val="21"/>
                <w:color w:val="auto"/>
              </w:rPr>
            </w:pPr>
          </w:p>
        </w:tc>
        <w:tc>
          <w:tcPr>
            <w:tcW w:w="412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shd w:val="clear" w:color="auto" w:fill="DCE2EF"/>
              </w:rPr>
              <w:t>Operating profit margin</w:t>
            </w:r>
          </w:p>
        </w:tc>
        <w:tc>
          <w:tcPr>
            <w:tcW w:w="420" w:type="dxa"/>
            <w:vAlign w:val="bottom"/>
            <w:shd w:val="clear" w:color="auto" w:fill="DCE2EF"/>
          </w:tcPr>
          <w:p>
            <w:pPr>
              <w:spacing w:after="0"/>
              <w:rPr>
                <w:sz w:val="21"/>
                <w:szCs w:val="21"/>
                <w:color w:val="auto"/>
              </w:rPr>
            </w:pPr>
          </w:p>
        </w:tc>
        <w:tc>
          <w:tcPr>
            <w:tcW w:w="13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9.3%</w:t>
            </w:r>
          </w:p>
        </w:tc>
        <w:tc>
          <w:tcPr>
            <w:tcW w:w="120" w:type="dxa"/>
            <w:vAlign w:val="bottom"/>
            <w:shd w:val="clear" w:color="auto" w:fill="DCE2EF"/>
          </w:tcPr>
          <w:p>
            <w:pPr>
              <w:spacing w:after="0"/>
              <w:rPr>
                <w:sz w:val="21"/>
                <w:szCs w:val="21"/>
                <w:color w:val="auto"/>
              </w:rPr>
            </w:pPr>
          </w:p>
        </w:tc>
        <w:tc>
          <w:tcPr>
            <w:tcW w:w="400" w:type="dxa"/>
            <w:vAlign w:val="bottom"/>
            <w:shd w:val="clear" w:color="auto" w:fill="DCE2EF"/>
          </w:tcPr>
          <w:p>
            <w:pPr>
              <w:spacing w:after="0"/>
              <w:rPr>
                <w:sz w:val="21"/>
                <w:szCs w:val="21"/>
                <w:color w:val="auto"/>
              </w:rPr>
            </w:pPr>
          </w:p>
        </w:tc>
        <w:tc>
          <w:tcPr>
            <w:tcW w:w="13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4.4%</w:t>
            </w:r>
          </w:p>
        </w:tc>
        <w:tc>
          <w:tcPr>
            <w:tcW w:w="100" w:type="dxa"/>
            <w:vAlign w:val="bottom"/>
            <w:shd w:val="clear" w:color="auto" w:fill="DCE2EF"/>
          </w:tcPr>
          <w:p>
            <w:pPr>
              <w:spacing w:after="0"/>
              <w:rPr>
                <w:sz w:val="21"/>
                <w:szCs w:val="21"/>
                <w:color w:val="auto"/>
              </w:rPr>
            </w:pPr>
          </w:p>
        </w:tc>
        <w:tc>
          <w:tcPr>
            <w:tcW w:w="620" w:type="dxa"/>
            <w:vAlign w:val="bottom"/>
            <w:shd w:val="clear" w:color="auto" w:fill="DCE2EF"/>
          </w:tcPr>
          <w:p>
            <w:pPr>
              <w:spacing w:after="0"/>
              <w:rPr>
                <w:sz w:val="21"/>
                <w:szCs w:val="21"/>
                <w:color w:val="auto"/>
              </w:rPr>
            </w:pPr>
          </w:p>
        </w:tc>
        <w:tc>
          <w:tcPr>
            <w:tcW w:w="1660" w:type="dxa"/>
            <w:vAlign w:val="bottom"/>
            <w:shd w:val="clear" w:color="auto" w:fill="DCE2EF"/>
          </w:tcPr>
          <w:p>
            <w:pPr>
              <w:jc w:val="right"/>
              <w:ind w:right="594"/>
              <w:spacing w:after="0"/>
              <w:rPr>
                <w:sz w:val="20"/>
                <w:szCs w:val="20"/>
                <w:color w:val="auto"/>
              </w:rPr>
            </w:pPr>
            <w:r>
              <w:rPr>
                <w:rFonts w:ascii="Arial" w:cs="Arial" w:eastAsia="Arial" w:hAnsi="Arial"/>
                <w:sz w:val="14"/>
                <w:szCs w:val="14"/>
                <w:i w:val="1"/>
                <w:iCs w:val="1"/>
                <w:color w:val="auto"/>
              </w:rPr>
              <w:t>497 bps</w:t>
            </w:r>
          </w:p>
        </w:tc>
        <w:tc>
          <w:tcPr>
            <w:tcW w:w="1240" w:type="dxa"/>
            <w:vAlign w:val="bottom"/>
            <w:shd w:val="clear" w:color="auto" w:fill="DCE2EF"/>
          </w:tcPr>
          <w:p>
            <w:pPr>
              <w:spacing w:after="0"/>
              <w:rPr>
                <w:sz w:val="21"/>
                <w:szCs w:val="21"/>
                <w:color w:val="auto"/>
              </w:rPr>
            </w:pPr>
          </w:p>
        </w:tc>
      </w:tr>
      <w:tr>
        <w:trPr>
          <w:trHeight w:val="27"/>
        </w:trPr>
        <w:tc>
          <w:tcPr>
            <w:tcW w:w="40" w:type="dxa"/>
            <w:vAlign w:val="bottom"/>
            <w:shd w:val="clear" w:color="auto" w:fill="DCE2EF"/>
          </w:tcPr>
          <w:p>
            <w:pPr>
              <w:spacing w:after="0"/>
              <w:rPr>
                <w:sz w:val="2"/>
                <w:szCs w:val="2"/>
                <w:color w:val="auto"/>
              </w:rPr>
            </w:pPr>
          </w:p>
        </w:tc>
        <w:tc>
          <w:tcPr>
            <w:tcW w:w="820" w:type="dxa"/>
            <w:vAlign w:val="bottom"/>
            <w:shd w:val="clear" w:color="auto" w:fill="DCE2EF"/>
          </w:tcPr>
          <w:p>
            <w:pPr>
              <w:spacing w:after="0"/>
              <w:rPr>
                <w:sz w:val="2"/>
                <w:szCs w:val="2"/>
                <w:color w:val="auto"/>
              </w:rPr>
            </w:pPr>
          </w:p>
        </w:tc>
        <w:tc>
          <w:tcPr>
            <w:tcW w:w="3300" w:type="dxa"/>
            <w:vAlign w:val="bottom"/>
            <w:shd w:val="clear" w:color="auto" w:fill="DCE2EF"/>
          </w:tcPr>
          <w:p>
            <w:pPr>
              <w:spacing w:after="0"/>
              <w:rPr>
                <w:sz w:val="2"/>
                <w:szCs w:val="2"/>
                <w:color w:val="auto"/>
              </w:rPr>
            </w:pPr>
          </w:p>
        </w:tc>
        <w:tc>
          <w:tcPr>
            <w:tcW w:w="420" w:type="dxa"/>
            <w:vAlign w:val="bottom"/>
            <w:shd w:val="clear" w:color="auto" w:fill="DCE2EF"/>
          </w:tcPr>
          <w:p>
            <w:pPr>
              <w:spacing w:after="0"/>
              <w:rPr>
                <w:sz w:val="2"/>
                <w:szCs w:val="2"/>
                <w:color w:val="auto"/>
              </w:rPr>
            </w:pPr>
          </w:p>
        </w:tc>
        <w:tc>
          <w:tcPr>
            <w:tcW w:w="1340" w:type="dxa"/>
            <w:vAlign w:val="bottom"/>
            <w:shd w:val="clear" w:color="auto" w:fill="DCE2EF"/>
          </w:tcPr>
          <w:p>
            <w:pPr>
              <w:spacing w:after="0"/>
              <w:rPr>
                <w:sz w:val="2"/>
                <w:szCs w:val="2"/>
                <w:color w:val="auto"/>
              </w:rPr>
            </w:pPr>
          </w:p>
        </w:tc>
        <w:tc>
          <w:tcPr>
            <w:tcW w:w="120" w:type="dxa"/>
            <w:vAlign w:val="bottom"/>
            <w:shd w:val="clear" w:color="auto" w:fill="DCE2EF"/>
          </w:tcPr>
          <w:p>
            <w:pPr>
              <w:spacing w:after="0"/>
              <w:rPr>
                <w:sz w:val="2"/>
                <w:szCs w:val="2"/>
                <w:color w:val="auto"/>
              </w:rPr>
            </w:pPr>
          </w:p>
        </w:tc>
        <w:tc>
          <w:tcPr>
            <w:tcW w:w="400" w:type="dxa"/>
            <w:vAlign w:val="bottom"/>
            <w:shd w:val="clear" w:color="auto" w:fill="DCE2EF"/>
          </w:tcPr>
          <w:p>
            <w:pPr>
              <w:spacing w:after="0"/>
              <w:rPr>
                <w:sz w:val="2"/>
                <w:szCs w:val="2"/>
                <w:color w:val="auto"/>
              </w:rPr>
            </w:pPr>
          </w:p>
        </w:tc>
        <w:tc>
          <w:tcPr>
            <w:tcW w:w="1360" w:type="dxa"/>
            <w:vAlign w:val="bottom"/>
            <w:shd w:val="clear" w:color="auto" w:fill="DCE2EF"/>
          </w:tcPr>
          <w:p>
            <w:pPr>
              <w:spacing w:after="0"/>
              <w:rPr>
                <w:sz w:val="2"/>
                <w:szCs w:val="2"/>
                <w:color w:val="auto"/>
              </w:rPr>
            </w:pPr>
          </w:p>
        </w:tc>
        <w:tc>
          <w:tcPr>
            <w:tcW w:w="100" w:type="dxa"/>
            <w:vAlign w:val="bottom"/>
            <w:shd w:val="clear" w:color="auto" w:fill="DCE2EF"/>
          </w:tcPr>
          <w:p>
            <w:pPr>
              <w:spacing w:after="0"/>
              <w:rPr>
                <w:sz w:val="2"/>
                <w:szCs w:val="2"/>
                <w:color w:val="auto"/>
              </w:rPr>
            </w:pPr>
          </w:p>
        </w:tc>
        <w:tc>
          <w:tcPr>
            <w:tcW w:w="620" w:type="dxa"/>
            <w:vAlign w:val="bottom"/>
            <w:shd w:val="clear" w:color="auto" w:fill="DCE2EF"/>
          </w:tcPr>
          <w:p>
            <w:pPr>
              <w:spacing w:after="0"/>
              <w:rPr>
                <w:sz w:val="2"/>
                <w:szCs w:val="2"/>
                <w:color w:val="auto"/>
              </w:rPr>
            </w:pPr>
          </w:p>
        </w:tc>
        <w:tc>
          <w:tcPr>
            <w:tcW w:w="1660" w:type="dxa"/>
            <w:vAlign w:val="bottom"/>
            <w:shd w:val="clear" w:color="auto" w:fill="DCE2EF"/>
          </w:tcPr>
          <w:p>
            <w:pPr>
              <w:spacing w:after="0"/>
              <w:rPr>
                <w:sz w:val="2"/>
                <w:szCs w:val="2"/>
                <w:color w:val="auto"/>
              </w:rPr>
            </w:pPr>
          </w:p>
        </w:tc>
        <w:tc>
          <w:tcPr>
            <w:tcW w:w="1240" w:type="dxa"/>
            <w:vAlign w:val="bottom"/>
            <w:shd w:val="clear" w:color="auto" w:fill="DCE2EF"/>
          </w:tcPr>
          <w:p>
            <w:pPr>
              <w:spacing w:after="0"/>
              <w:rPr>
                <w:sz w:val="2"/>
                <w:szCs w:val="2"/>
                <w:color w:val="auto"/>
              </w:rPr>
            </w:pPr>
          </w:p>
        </w:tc>
      </w:tr>
    </w:tbl>
    <w:p>
      <w:pPr>
        <w:spacing w:after="0" w:line="1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Technical Solutions revenues increased by $93.1 million, or 18.6%, during 2019, as compared to 2018. The increase was primarily attributable to growth in our U.S. business related to bundled energy solutions (“BES”) projects and power projects, partially offset by the contraction of certain accounts in our U.K. business and a negative impact from fluctuations in foreign currency exchange rates related to our U.K. business.</w:t>
      </w:r>
    </w:p>
    <w:p>
      <w:pPr>
        <w:spacing w:after="0" w:line="1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Operating profit increased by $ 33.6 million during 2019, as compared to 2018. Operating profit margin increased by 497 bps to 9.3% in 2019 from 4.4% in 2018. The increase in operating profit margin was primarily attributable to the absence of impairment charges on goodwill and customer relationships related to our U.K. business totaling $26.5 million during 2018. The increase in operating profit margin was also due to the contribution of higher project revenues in our U.S. business, lower sales commission expense in the current year due to the deferral of commissions following the adoption of Topic 606, and lower amortization expense following the impairment recognized in our U.K. business at the end of 2018. The increase was partially offset by a higher volume of lower margin power projects in our U.S. business in the current year compared to higher margin BES projects in the prior year, the loss of certain higher margin contracts in our U.K. business, and the absence of tax deductions taken in the prior year for energy efficient government buildings.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95"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51"/>
        </w:trPr>
        <w:tc>
          <w:tcPr>
            <w:tcW w:w="43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0046AD"/>
              </w:rPr>
              <w:t>Corporate</w:t>
            </w: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1"/>
        </w:trPr>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29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Years Ended October 31,</w:t>
            </w:r>
          </w:p>
        </w:tc>
        <w:tc>
          <w:tcPr>
            <w:tcW w:w="6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24"/>
        </w:trPr>
        <w:tc>
          <w:tcPr>
            <w:tcW w:w="436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520" w:type="dxa"/>
            <w:vAlign w:val="bottom"/>
          </w:tcPr>
          <w:p>
            <w:pPr>
              <w:ind w:left="600"/>
              <w:spacing w:after="0"/>
              <w:rPr>
                <w:sz w:val="20"/>
                <w:szCs w:val="20"/>
                <w:color w:val="auto"/>
              </w:rPr>
            </w:pPr>
            <w:r>
              <w:rPr>
                <w:rFonts w:ascii="Arial" w:cs="Arial" w:eastAsia="Arial" w:hAnsi="Arial"/>
                <w:sz w:val="18"/>
                <w:szCs w:val="18"/>
                <w:b w:val="1"/>
                <w:bCs w:val="1"/>
                <w:color w:val="auto"/>
              </w:rPr>
              <w:t>Decrease</w:t>
            </w:r>
          </w:p>
        </w:tc>
        <w:tc>
          <w:tcPr>
            <w:tcW w:w="1180" w:type="dxa"/>
            <w:vAlign w:val="bottom"/>
          </w:tcPr>
          <w:p>
            <w:pPr>
              <w:spacing w:after="0"/>
              <w:rPr>
                <w:sz w:val="19"/>
                <w:szCs w:val="19"/>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3500" w:type="dxa"/>
            <w:vAlign w:val="bottom"/>
            <w:tcBorders>
              <w:bottom w:val="single" w:sz="8" w:color="DCE2E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40" w:type="dxa"/>
            <w:vAlign w:val="bottom"/>
            <w:shd w:val="clear" w:color="auto" w:fill="DCE2EF"/>
          </w:tcPr>
          <w:p>
            <w:pPr>
              <w:spacing w:after="0"/>
              <w:rPr>
                <w:sz w:val="20"/>
                <w:szCs w:val="20"/>
                <w:color w:val="auto"/>
              </w:rPr>
            </w:pPr>
          </w:p>
        </w:tc>
        <w:tc>
          <w:tcPr>
            <w:tcW w:w="4320" w:type="dxa"/>
            <w:vAlign w:val="bottom"/>
            <w:gridSpan w:val="2"/>
            <w:shd w:val="clear" w:color="auto" w:fill="DCE2EF"/>
          </w:tcPr>
          <w:p>
            <w:pPr>
              <w:spacing w:after="0"/>
              <w:rPr>
                <w:sz w:val="20"/>
                <w:szCs w:val="20"/>
                <w:color w:val="auto"/>
              </w:rPr>
            </w:pPr>
            <w:r>
              <w:rPr>
                <w:rFonts w:ascii="Arial" w:cs="Arial" w:eastAsia="Arial" w:hAnsi="Arial"/>
                <w:sz w:val="18"/>
                <w:szCs w:val="18"/>
                <w:color w:val="auto"/>
                <w:shd w:val="clear" w:color="auto" w:fill="DCE2EF"/>
              </w:rPr>
              <w:t>Corporate expenses</w:t>
            </w:r>
          </w:p>
        </w:tc>
        <w:tc>
          <w:tcPr>
            <w:tcW w:w="1100" w:type="dxa"/>
            <w:vAlign w:val="bottom"/>
            <w:shd w:val="clear" w:color="auto" w:fill="DCE2EF"/>
          </w:tcPr>
          <w:p>
            <w:pPr>
              <w:jc w:val="right"/>
              <w:ind w:right="89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159.0</w:t>
            </w:r>
          </w:p>
        </w:tc>
        <w:tc>
          <w:tcPr>
            <w:tcW w:w="100" w:type="dxa"/>
            <w:vAlign w:val="bottom"/>
            <w:shd w:val="clear" w:color="auto" w:fill="DCE2EF"/>
          </w:tcPr>
          <w:p>
            <w:pPr>
              <w:spacing w:after="0"/>
              <w:rPr>
                <w:sz w:val="20"/>
                <w:szCs w:val="20"/>
                <w:color w:val="auto"/>
              </w:rPr>
            </w:pPr>
          </w:p>
        </w:tc>
        <w:tc>
          <w:tcPr>
            <w:tcW w:w="1100" w:type="dxa"/>
            <w:vAlign w:val="bottom"/>
            <w:shd w:val="clear" w:color="auto" w:fill="DCE2EF"/>
          </w:tcPr>
          <w:p>
            <w:pPr>
              <w:jc w:val="right"/>
              <w:ind w:right="89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168.8</w:t>
            </w:r>
          </w:p>
        </w:tc>
        <w:tc>
          <w:tcPr>
            <w:tcW w:w="100" w:type="dxa"/>
            <w:vAlign w:val="bottom"/>
            <w:shd w:val="clear" w:color="auto" w:fill="DCE2EF"/>
          </w:tcPr>
          <w:p>
            <w:pPr>
              <w:spacing w:after="0"/>
              <w:rPr>
                <w:sz w:val="20"/>
                <w:szCs w:val="20"/>
                <w:color w:val="auto"/>
              </w:rPr>
            </w:pPr>
          </w:p>
        </w:tc>
        <w:tc>
          <w:tcPr>
            <w:tcW w:w="720" w:type="dxa"/>
            <w:vAlign w:val="bottom"/>
            <w:shd w:val="clear" w:color="auto" w:fill="DCE2EF"/>
          </w:tcPr>
          <w:p>
            <w:pPr>
              <w:jc w:val="right"/>
              <w:ind w:right="490"/>
              <w:spacing w:after="0"/>
              <w:rPr>
                <w:sz w:val="20"/>
                <w:szCs w:val="20"/>
                <w:color w:val="auto"/>
              </w:rPr>
            </w:pPr>
            <w:r>
              <w:rPr>
                <w:rFonts w:ascii="Arial" w:cs="Arial" w:eastAsia="Arial" w:hAnsi="Arial"/>
                <w:sz w:val="18"/>
                <w:szCs w:val="18"/>
                <w:color w:val="auto"/>
              </w:rPr>
              <w:t>$</w:t>
            </w:r>
          </w:p>
        </w:tc>
        <w:tc>
          <w:tcPr>
            <w:tcW w:w="1520" w:type="dxa"/>
            <w:vAlign w:val="bottom"/>
            <w:shd w:val="clear" w:color="auto" w:fill="DCE2EF"/>
          </w:tcPr>
          <w:p>
            <w:pPr>
              <w:ind w:left="580"/>
              <w:spacing w:after="0"/>
              <w:rPr>
                <w:sz w:val="20"/>
                <w:szCs w:val="20"/>
                <w:color w:val="auto"/>
              </w:rPr>
            </w:pPr>
            <w:r>
              <w:rPr>
                <w:rFonts w:ascii="Arial" w:cs="Arial" w:eastAsia="Arial" w:hAnsi="Arial"/>
                <w:sz w:val="18"/>
                <w:szCs w:val="18"/>
                <w:color w:val="auto"/>
              </w:rPr>
              <w:t>(9.8)</w:t>
            </w:r>
          </w:p>
        </w:tc>
        <w:tc>
          <w:tcPr>
            <w:tcW w:w="1180" w:type="dxa"/>
            <w:vAlign w:val="bottom"/>
            <w:shd w:val="clear" w:color="auto" w:fill="DCE2EF"/>
          </w:tcPr>
          <w:p>
            <w:pPr>
              <w:jc w:val="right"/>
              <w:ind w:right="450"/>
              <w:spacing w:after="0"/>
              <w:rPr>
                <w:sz w:val="20"/>
                <w:szCs w:val="20"/>
                <w:color w:val="auto"/>
              </w:rPr>
            </w:pPr>
            <w:r>
              <w:rPr>
                <w:rFonts w:ascii="Arial" w:cs="Arial" w:eastAsia="Arial" w:hAnsi="Arial"/>
                <w:sz w:val="18"/>
                <w:szCs w:val="18"/>
                <w:color w:val="auto"/>
              </w:rPr>
              <w:t>(5.8)%</w:t>
            </w:r>
          </w:p>
        </w:tc>
      </w:tr>
      <w:tr>
        <w:trPr>
          <w:trHeight w:val="27"/>
        </w:trPr>
        <w:tc>
          <w:tcPr>
            <w:tcW w:w="40" w:type="dxa"/>
            <w:vAlign w:val="bottom"/>
            <w:shd w:val="clear" w:color="auto" w:fill="DCE2EF"/>
          </w:tcPr>
          <w:p>
            <w:pPr>
              <w:spacing w:after="0"/>
              <w:rPr>
                <w:sz w:val="2"/>
                <w:szCs w:val="2"/>
                <w:color w:val="auto"/>
              </w:rPr>
            </w:pPr>
          </w:p>
        </w:tc>
        <w:tc>
          <w:tcPr>
            <w:tcW w:w="820" w:type="dxa"/>
            <w:vAlign w:val="bottom"/>
            <w:shd w:val="clear" w:color="auto" w:fill="DCE2EF"/>
          </w:tcPr>
          <w:p>
            <w:pPr>
              <w:spacing w:after="0"/>
              <w:rPr>
                <w:sz w:val="2"/>
                <w:szCs w:val="2"/>
                <w:color w:val="auto"/>
              </w:rPr>
            </w:pPr>
          </w:p>
        </w:tc>
        <w:tc>
          <w:tcPr>
            <w:tcW w:w="3500" w:type="dxa"/>
            <w:vAlign w:val="bottom"/>
            <w:shd w:val="clear" w:color="auto" w:fill="DCE2EF"/>
          </w:tcPr>
          <w:p>
            <w:pPr>
              <w:spacing w:after="0"/>
              <w:rPr>
                <w:sz w:val="2"/>
                <w:szCs w:val="2"/>
                <w:color w:val="auto"/>
              </w:rPr>
            </w:pPr>
          </w:p>
        </w:tc>
        <w:tc>
          <w:tcPr>
            <w:tcW w:w="1100" w:type="dxa"/>
            <w:vAlign w:val="bottom"/>
            <w:shd w:val="clear" w:color="auto" w:fill="DCE2EF"/>
          </w:tcPr>
          <w:p>
            <w:pPr>
              <w:spacing w:after="0"/>
              <w:rPr>
                <w:sz w:val="2"/>
                <w:szCs w:val="2"/>
                <w:color w:val="auto"/>
              </w:rPr>
            </w:pPr>
          </w:p>
        </w:tc>
        <w:tc>
          <w:tcPr>
            <w:tcW w:w="620" w:type="dxa"/>
            <w:vAlign w:val="bottom"/>
            <w:shd w:val="clear" w:color="auto" w:fill="DCE2EF"/>
          </w:tcPr>
          <w:p>
            <w:pPr>
              <w:spacing w:after="0"/>
              <w:rPr>
                <w:sz w:val="2"/>
                <w:szCs w:val="2"/>
                <w:color w:val="auto"/>
              </w:rPr>
            </w:pPr>
          </w:p>
        </w:tc>
        <w:tc>
          <w:tcPr>
            <w:tcW w:w="100" w:type="dxa"/>
            <w:vAlign w:val="bottom"/>
            <w:shd w:val="clear" w:color="auto" w:fill="DCE2EF"/>
          </w:tcPr>
          <w:p>
            <w:pPr>
              <w:spacing w:after="0"/>
              <w:rPr>
                <w:sz w:val="2"/>
                <w:szCs w:val="2"/>
                <w:color w:val="auto"/>
              </w:rPr>
            </w:pPr>
          </w:p>
        </w:tc>
        <w:tc>
          <w:tcPr>
            <w:tcW w:w="1100" w:type="dxa"/>
            <w:vAlign w:val="bottom"/>
            <w:shd w:val="clear" w:color="auto" w:fill="DCE2EF"/>
          </w:tcPr>
          <w:p>
            <w:pPr>
              <w:spacing w:after="0"/>
              <w:rPr>
                <w:sz w:val="2"/>
                <w:szCs w:val="2"/>
                <w:color w:val="auto"/>
              </w:rPr>
            </w:pPr>
          </w:p>
        </w:tc>
        <w:tc>
          <w:tcPr>
            <w:tcW w:w="620" w:type="dxa"/>
            <w:vAlign w:val="bottom"/>
            <w:shd w:val="clear" w:color="auto" w:fill="DCE2EF"/>
          </w:tcPr>
          <w:p>
            <w:pPr>
              <w:spacing w:after="0"/>
              <w:rPr>
                <w:sz w:val="2"/>
                <w:szCs w:val="2"/>
                <w:color w:val="auto"/>
              </w:rPr>
            </w:pPr>
          </w:p>
        </w:tc>
        <w:tc>
          <w:tcPr>
            <w:tcW w:w="100" w:type="dxa"/>
            <w:vAlign w:val="bottom"/>
            <w:shd w:val="clear" w:color="auto" w:fill="DCE2EF"/>
          </w:tcPr>
          <w:p>
            <w:pPr>
              <w:spacing w:after="0"/>
              <w:rPr>
                <w:sz w:val="2"/>
                <w:szCs w:val="2"/>
                <w:color w:val="auto"/>
              </w:rPr>
            </w:pPr>
          </w:p>
        </w:tc>
        <w:tc>
          <w:tcPr>
            <w:tcW w:w="720" w:type="dxa"/>
            <w:vAlign w:val="bottom"/>
            <w:shd w:val="clear" w:color="auto" w:fill="DCE2EF"/>
          </w:tcPr>
          <w:p>
            <w:pPr>
              <w:spacing w:after="0"/>
              <w:rPr>
                <w:sz w:val="2"/>
                <w:szCs w:val="2"/>
                <w:color w:val="auto"/>
              </w:rPr>
            </w:pPr>
          </w:p>
        </w:tc>
        <w:tc>
          <w:tcPr>
            <w:tcW w:w="1520" w:type="dxa"/>
            <w:vAlign w:val="bottom"/>
            <w:shd w:val="clear" w:color="auto" w:fill="DCE2EF"/>
          </w:tcPr>
          <w:p>
            <w:pPr>
              <w:spacing w:after="0"/>
              <w:rPr>
                <w:sz w:val="2"/>
                <w:szCs w:val="2"/>
                <w:color w:val="auto"/>
              </w:rPr>
            </w:pPr>
          </w:p>
        </w:tc>
        <w:tc>
          <w:tcPr>
            <w:tcW w:w="1180" w:type="dxa"/>
            <w:vAlign w:val="bottom"/>
            <w:shd w:val="clear" w:color="auto" w:fill="DCE2EF"/>
          </w:tcPr>
          <w:p>
            <w:pPr>
              <w:spacing w:after="0"/>
              <w:rPr>
                <w:sz w:val="2"/>
                <w:szCs w:val="2"/>
                <w:color w:val="auto"/>
              </w:rPr>
            </w:pPr>
          </w:p>
        </w:tc>
      </w:tr>
    </w:tbl>
    <w:p>
      <w:pPr>
        <w:spacing w:after="0" w:line="13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Corporate expenses decreased by $9.8 million, or 5.8%, during 2019, as compared to 2018. The decrease in corporate expenses was primarily related to:</w:t>
      </w:r>
    </w:p>
    <w:p>
      <w:pPr>
        <w:spacing w:after="0" w:line="91" w:lineRule="exact"/>
        <w:rPr>
          <w:sz w:val="20"/>
          <w:szCs w:val="20"/>
          <w:color w:val="auto"/>
        </w:rPr>
      </w:pPr>
    </w:p>
    <w:p>
      <w:pPr>
        <w:ind w:left="660" w:hanging="328"/>
        <w:spacing w:after="0" w:line="29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$14.5 million decrease in restructuring and related expenses as a result of restructuring expenses incurred in the prior year following the acquisition of GCA, partially offset by other restructuring expenses incurred in the current year;</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$13.6 million lower adjustment to self-insurance reserves related to prior year claims;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$11.3 million decrease in legal settlement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absence of $2.2 million of acquisition costs related to the GCA acquisition incurred in the prior year;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$1.1 million lower compensation and related expenses.</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$18.1 million increase in technology investments and related support;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absence of a $7.0 million reimbursement of previously expensed legal settlement costs received in the prior year;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$3.9 million reserve established for an anticipated union pension settlement;</w:t>
      </w:r>
    </w:p>
    <w:p>
      <w:pPr>
        <w:spacing w:after="0" w:line="171"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absence of a $3.4 million benefit in the prior year resulting from actuarial evaluations performed on our medical and dental self-insurance plans;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$2.5 million reserve established for a non-recurring adjustment related to a client account.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670" w:right="239" w:bottom="1440" w:gutter="0" w:footer="0" w:header="0"/>
        </w:sectPr>
      </w:pPr>
    </w:p>
    <w:bookmarkStart w:id="31" w:name="page32"/>
    <w:bookmarkEnd w:id="31"/>
    <w:p>
      <w:pPr>
        <w:ind w:right="4380"/>
        <w:spacing w:after="0" w:line="489" w:lineRule="auto"/>
        <w:rPr>
          <w:sz w:val="20"/>
          <w:szCs w:val="20"/>
          <w:color w:val="auto"/>
        </w:rPr>
      </w:pPr>
      <w:r>
        <w:rPr>
          <w:rFonts w:ascii="Arial" w:cs="Arial" w:eastAsia="Arial" w:hAnsi="Arial"/>
          <w:sz w:val="18"/>
          <w:szCs w:val="18"/>
          <w:b w:val="1"/>
          <w:bCs w:val="1"/>
          <w:i w:val="1"/>
          <w:iCs w:val="1"/>
          <w:color w:val="0046AD"/>
        </w:rPr>
        <w:t>The Year Ended October 31, 2018 Compared with the Year Ended October 31, 2017 Consolidated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140" w:type="dxa"/>
            <w:vAlign w:val="bottom"/>
            <w:gridSpan w:val="5"/>
          </w:tcPr>
          <w:p>
            <w:pPr>
              <w:ind w:left="380"/>
              <w:spacing w:after="0"/>
              <w:rPr>
                <w:sz w:val="20"/>
                <w:szCs w:val="20"/>
                <w:color w:val="auto"/>
              </w:rPr>
            </w:pPr>
            <w:r>
              <w:rPr>
                <w:rFonts w:ascii="Arial" w:cs="Arial" w:eastAsia="Arial" w:hAnsi="Arial"/>
                <w:sz w:val="16"/>
                <w:szCs w:val="16"/>
                <w:b w:val="1"/>
                <w:bCs w:val="1"/>
                <w:color w:val="auto"/>
              </w:rPr>
              <w:t>Years Ended October 31,</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27"/>
        </w:trPr>
        <w:tc>
          <w:tcPr>
            <w:tcW w:w="5300" w:type="dxa"/>
            <w:vAlign w:val="bottom"/>
            <w:gridSpan w:val="4"/>
          </w:tcPr>
          <w:p>
            <w:pPr>
              <w:ind w:left="4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gridSpan w:val="2"/>
          </w:tcPr>
          <w:p>
            <w:pPr>
              <w:ind w:left="200"/>
              <w:spacing w:after="0"/>
              <w:rPr>
                <w:sz w:val="20"/>
                <w:szCs w:val="20"/>
                <w:color w:val="auto"/>
              </w:rPr>
            </w:pPr>
            <w:r>
              <w:rPr>
                <w:rFonts w:ascii="Arial" w:cs="Arial" w:eastAsia="Arial" w:hAnsi="Arial"/>
                <w:sz w:val="16"/>
                <w:szCs w:val="16"/>
                <w:b w:val="1"/>
                <w:bCs w:val="1"/>
                <w:color w:val="auto"/>
              </w:rPr>
              <w:t>Increase / (Decrease)</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60" w:type="dxa"/>
            <w:vAlign w:val="bottom"/>
            <w:tcBorders>
              <w:top w:val="single" w:sz="8" w:color="auto"/>
              <w:bottom w:val="single" w:sz="8" w:color="DCE2EF"/>
            </w:tcBorders>
          </w:tcPr>
          <w:p>
            <w:pPr>
              <w:spacing w:after="0" w:line="20" w:lineRule="exact"/>
              <w:rPr>
                <w:sz w:val="1"/>
                <w:szCs w:val="1"/>
                <w:color w:val="auto"/>
              </w:rPr>
            </w:pPr>
          </w:p>
        </w:tc>
        <w:tc>
          <w:tcPr>
            <w:tcW w:w="60" w:type="dxa"/>
            <w:vAlign w:val="bottom"/>
            <w:tcBorders>
              <w:top w:val="single" w:sz="8" w:color="auto"/>
              <w:bottom w:val="single" w:sz="8" w:color="DCE2EF"/>
            </w:tcBorders>
          </w:tcPr>
          <w:p>
            <w:pPr>
              <w:spacing w:after="0" w:line="20" w:lineRule="exact"/>
              <w:rPr>
                <w:sz w:val="1"/>
                <w:szCs w:val="1"/>
                <w:color w:val="auto"/>
              </w:rPr>
            </w:pPr>
          </w:p>
        </w:tc>
        <w:tc>
          <w:tcPr>
            <w:tcW w:w="444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DCE2EF"/>
            </w:tcBorders>
            <w:shd w:val="clear" w:color="auto" w:fill="DCE2EF"/>
          </w:tcPr>
          <w:p>
            <w:pPr>
              <w:spacing w:after="0"/>
              <w:rPr>
                <w:sz w:val="21"/>
                <w:szCs w:val="21"/>
                <w:color w:val="auto"/>
              </w:rPr>
            </w:pPr>
          </w:p>
        </w:tc>
        <w:tc>
          <w:tcPr>
            <w:tcW w:w="76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6"/>
                <w:szCs w:val="16"/>
                <w:b w:val="1"/>
                <w:bCs w:val="1"/>
                <w:color w:val="auto"/>
                <w:w w:val="97"/>
                <w:shd w:val="clear" w:color="auto" w:fill="DCE2EF"/>
              </w:rPr>
              <w:t>Revenues</w:t>
            </w:r>
          </w:p>
        </w:tc>
        <w:tc>
          <w:tcPr>
            <w:tcW w:w="4500" w:type="dxa"/>
            <w:vAlign w:val="bottom"/>
            <w:tcBorders>
              <w:bottom w:val="single" w:sz="8" w:color="DCE2EF"/>
            </w:tcBorders>
            <w:gridSpan w:val="2"/>
            <w:shd w:val="clear" w:color="auto" w:fill="DCE2EF"/>
          </w:tcPr>
          <w:p>
            <w:pPr>
              <w:spacing w:after="0"/>
              <w:rPr>
                <w:sz w:val="21"/>
                <w:szCs w:val="21"/>
                <w:color w:val="auto"/>
              </w:rPr>
            </w:pPr>
          </w:p>
        </w:tc>
        <w:tc>
          <w:tcPr>
            <w:tcW w:w="380" w:type="dxa"/>
            <w:vAlign w:val="bottom"/>
            <w:tcBorders>
              <w:bottom w:val="single" w:sz="8" w:color="DCE2EF"/>
            </w:tcBorders>
            <w:shd w:val="clear" w:color="auto" w:fill="DCE2E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DCE2EF"/>
            </w:tcBorders>
            <w:shd w:val="clear" w:color="auto" w:fill="DCE2EF"/>
          </w:tcPr>
          <w:p>
            <w:pPr>
              <w:jc w:val="right"/>
              <w:ind w:right="79"/>
              <w:spacing w:after="0"/>
              <w:rPr>
                <w:sz w:val="20"/>
                <w:szCs w:val="20"/>
                <w:color w:val="auto"/>
              </w:rPr>
            </w:pPr>
            <w:r>
              <w:rPr>
                <w:rFonts w:ascii="Arial" w:cs="Arial" w:eastAsia="Arial" w:hAnsi="Arial"/>
                <w:sz w:val="16"/>
                <w:szCs w:val="16"/>
                <w:color w:val="auto"/>
              </w:rPr>
              <w:t>6,442.2</w:t>
            </w:r>
          </w:p>
        </w:tc>
        <w:tc>
          <w:tcPr>
            <w:tcW w:w="120" w:type="dxa"/>
            <w:vAlign w:val="bottom"/>
            <w:tcBorders>
              <w:bottom w:val="single" w:sz="8" w:color="DCE2EF"/>
            </w:tcBorders>
            <w:shd w:val="clear" w:color="auto" w:fill="DCE2EF"/>
          </w:tcPr>
          <w:p>
            <w:pPr>
              <w:spacing w:after="0"/>
              <w:rPr>
                <w:sz w:val="21"/>
                <w:szCs w:val="21"/>
                <w:color w:val="auto"/>
              </w:rPr>
            </w:pPr>
          </w:p>
        </w:tc>
        <w:tc>
          <w:tcPr>
            <w:tcW w:w="380" w:type="dxa"/>
            <w:vAlign w:val="bottom"/>
            <w:tcBorders>
              <w:bottom w:val="single" w:sz="8" w:color="DCE2EF"/>
            </w:tcBorders>
            <w:shd w:val="clear" w:color="auto" w:fill="DCE2E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DCE2EF"/>
            </w:tcBorders>
            <w:shd w:val="clear" w:color="auto" w:fill="DCE2EF"/>
          </w:tcPr>
          <w:p>
            <w:pPr>
              <w:jc w:val="right"/>
              <w:ind w:right="79"/>
              <w:spacing w:after="0"/>
              <w:rPr>
                <w:sz w:val="20"/>
                <w:szCs w:val="20"/>
                <w:color w:val="auto"/>
              </w:rPr>
            </w:pPr>
            <w:r>
              <w:rPr>
                <w:rFonts w:ascii="Arial" w:cs="Arial" w:eastAsia="Arial" w:hAnsi="Arial"/>
                <w:sz w:val="16"/>
                <w:szCs w:val="16"/>
                <w:color w:val="auto"/>
              </w:rPr>
              <w:t>5,453.6</w:t>
            </w:r>
          </w:p>
        </w:tc>
        <w:tc>
          <w:tcPr>
            <w:tcW w:w="120" w:type="dxa"/>
            <w:vAlign w:val="bottom"/>
            <w:tcBorders>
              <w:bottom w:val="single" w:sz="8" w:color="DCE2EF"/>
            </w:tcBorders>
            <w:shd w:val="clear" w:color="auto" w:fill="DCE2EF"/>
          </w:tcPr>
          <w:p>
            <w:pPr>
              <w:spacing w:after="0"/>
              <w:rPr>
                <w:sz w:val="21"/>
                <w:szCs w:val="21"/>
                <w:color w:val="auto"/>
              </w:rPr>
            </w:pPr>
          </w:p>
        </w:tc>
        <w:tc>
          <w:tcPr>
            <w:tcW w:w="300" w:type="dxa"/>
            <w:vAlign w:val="bottom"/>
            <w:tcBorders>
              <w:bottom w:val="single" w:sz="8" w:color="DCE2EF"/>
            </w:tcBorders>
            <w:shd w:val="clear" w:color="auto" w:fill="DCE2E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DCE2EF"/>
            </w:tcBorders>
            <w:shd w:val="clear" w:color="auto" w:fill="DCE2EF"/>
          </w:tcPr>
          <w:p>
            <w:pPr>
              <w:jc w:val="right"/>
              <w:ind w:right="19"/>
              <w:spacing w:after="0"/>
              <w:rPr>
                <w:sz w:val="20"/>
                <w:szCs w:val="20"/>
                <w:color w:val="auto"/>
              </w:rPr>
            </w:pPr>
            <w:r>
              <w:rPr>
                <w:rFonts w:ascii="Arial" w:cs="Arial" w:eastAsia="Arial" w:hAnsi="Arial"/>
                <w:sz w:val="16"/>
                <w:szCs w:val="16"/>
                <w:color w:val="auto"/>
              </w:rPr>
              <w:t>988.6</w:t>
            </w:r>
          </w:p>
        </w:tc>
        <w:tc>
          <w:tcPr>
            <w:tcW w:w="1360" w:type="dxa"/>
            <w:vAlign w:val="bottom"/>
            <w:tcBorders>
              <w:bottom w:val="single" w:sz="8" w:color="DCE2EF"/>
            </w:tcBorders>
            <w:shd w:val="clear" w:color="auto" w:fill="DCE2EF"/>
          </w:tcPr>
          <w:p>
            <w:pPr>
              <w:jc w:val="center"/>
              <w:ind w:left="19"/>
              <w:spacing w:after="0"/>
              <w:rPr>
                <w:sz w:val="20"/>
                <w:szCs w:val="20"/>
                <w:color w:val="auto"/>
              </w:rPr>
            </w:pPr>
            <w:r>
              <w:rPr>
                <w:rFonts w:ascii="Arial" w:cs="Arial" w:eastAsia="Arial" w:hAnsi="Arial"/>
                <w:sz w:val="16"/>
                <w:szCs w:val="16"/>
                <w:color w:val="auto"/>
              </w:rPr>
              <w:t>18.1%</w:t>
            </w:r>
          </w:p>
        </w:tc>
      </w:tr>
      <w:tr>
        <w:trPr>
          <w:trHeight w:val="262"/>
        </w:trPr>
        <w:tc>
          <w:tcPr>
            <w:tcW w:w="5300" w:type="dxa"/>
            <w:vAlign w:val="bottom"/>
            <w:gridSpan w:val="4"/>
          </w:tcPr>
          <w:p>
            <w:pPr>
              <w:ind w:left="40"/>
              <w:spacing w:after="0"/>
              <w:rPr>
                <w:sz w:val="20"/>
                <w:szCs w:val="20"/>
                <w:color w:val="auto"/>
              </w:rPr>
            </w:pPr>
            <w:r>
              <w:rPr>
                <w:rFonts w:ascii="Arial" w:cs="Arial" w:eastAsia="Arial" w:hAnsi="Arial"/>
                <w:sz w:val="16"/>
                <w:szCs w:val="16"/>
                <w:color w:val="auto"/>
              </w:rPr>
              <w:t>Operating expenses</w:t>
            </w: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5,747.4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4,881.2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866.2</w:t>
            </w:r>
          </w:p>
        </w:tc>
        <w:tc>
          <w:tcPr>
            <w:tcW w:w="1360" w:type="dxa"/>
            <w:vAlign w:val="bottom"/>
          </w:tcPr>
          <w:p>
            <w:pPr>
              <w:jc w:val="center"/>
              <w:ind w:left="19"/>
              <w:spacing w:after="0"/>
              <w:rPr>
                <w:sz w:val="20"/>
                <w:szCs w:val="20"/>
                <w:color w:val="auto"/>
              </w:rPr>
            </w:pPr>
            <w:r>
              <w:rPr>
                <w:rFonts w:ascii="Arial" w:cs="Arial" w:eastAsia="Arial" w:hAnsi="Arial"/>
                <w:sz w:val="16"/>
                <w:szCs w:val="16"/>
                <w:color w:val="auto"/>
              </w:rPr>
              <w:t>17.7%</w:t>
            </w:r>
          </w:p>
        </w:tc>
      </w:tr>
      <w:tr>
        <w:trPr>
          <w:trHeight w:val="278"/>
        </w:trPr>
        <w:tc>
          <w:tcPr>
            <w:tcW w:w="40" w:type="dxa"/>
            <w:vAlign w:val="bottom"/>
            <w:shd w:val="clear" w:color="auto" w:fill="DCE2EF"/>
          </w:tcPr>
          <w:p>
            <w:pPr>
              <w:spacing w:after="0"/>
              <w:rPr>
                <w:sz w:val="24"/>
                <w:szCs w:val="24"/>
                <w:color w:val="auto"/>
              </w:rPr>
            </w:pPr>
          </w:p>
        </w:tc>
        <w:tc>
          <w:tcPr>
            <w:tcW w:w="5260" w:type="dxa"/>
            <w:vAlign w:val="bottom"/>
            <w:gridSpan w:val="3"/>
            <w:shd w:val="clear" w:color="auto" w:fill="DCE2EF"/>
          </w:tcPr>
          <w:p>
            <w:pPr>
              <w:ind w:left="140"/>
              <w:spacing w:after="0"/>
              <w:rPr>
                <w:sz w:val="20"/>
                <w:szCs w:val="20"/>
                <w:color w:val="auto"/>
              </w:rPr>
            </w:pPr>
            <w:r>
              <w:rPr>
                <w:rFonts w:ascii="Arial" w:cs="Arial" w:eastAsia="Arial" w:hAnsi="Arial"/>
                <w:sz w:val="14"/>
                <w:szCs w:val="14"/>
                <w:i w:val="1"/>
                <w:iCs w:val="1"/>
                <w:color w:val="auto"/>
              </w:rPr>
              <w:t>Gross margin</w:t>
            </w:r>
          </w:p>
        </w:tc>
        <w:tc>
          <w:tcPr>
            <w:tcW w:w="380" w:type="dxa"/>
            <w:vAlign w:val="bottom"/>
            <w:shd w:val="clear" w:color="auto" w:fill="DCE2EF"/>
          </w:tcPr>
          <w:p>
            <w:pPr>
              <w:spacing w:after="0"/>
              <w:rPr>
                <w:sz w:val="24"/>
                <w:szCs w:val="24"/>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10.8%</w:t>
            </w:r>
          </w:p>
        </w:tc>
        <w:tc>
          <w:tcPr>
            <w:tcW w:w="120" w:type="dxa"/>
            <w:vAlign w:val="bottom"/>
            <w:shd w:val="clear" w:color="auto" w:fill="DCE2EF"/>
          </w:tcPr>
          <w:p>
            <w:pPr>
              <w:spacing w:after="0"/>
              <w:rPr>
                <w:sz w:val="24"/>
                <w:szCs w:val="24"/>
                <w:color w:val="auto"/>
              </w:rPr>
            </w:pPr>
          </w:p>
        </w:tc>
        <w:tc>
          <w:tcPr>
            <w:tcW w:w="380" w:type="dxa"/>
            <w:vAlign w:val="bottom"/>
            <w:shd w:val="clear" w:color="auto" w:fill="DCE2EF"/>
          </w:tcPr>
          <w:p>
            <w:pPr>
              <w:spacing w:after="0"/>
              <w:rPr>
                <w:sz w:val="24"/>
                <w:szCs w:val="24"/>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10.5%</w:t>
            </w:r>
          </w:p>
        </w:tc>
        <w:tc>
          <w:tcPr>
            <w:tcW w:w="12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940" w:type="dxa"/>
            <w:vAlign w:val="bottom"/>
            <w:shd w:val="clear" w:color="auto" w:fill="DCE2EF"/>
          </w:tcPr>
          <w:p>
            <w:pPr>
              <w:jc w:val="right"/>
              <w:ind w:right="19"/>
              <w:spacing w:after="0"/>
              <w:rPr>
                <w:sz w:val="20"/>
                <w:szCs w:val="20"/>
                <w:color w:val="auto"/>
              </w:rPr>
            </w:pPr>
            <w:r>
              <w:rPr>
                <w:rFonts w:ascii="Arial" w:cs="Arial" w:eastAsia="Arial" w:hAnsi="Arial"/>
                <w:sz w:val="14"/>
                <w:szCs w:val="14"/>
                <w:i w:val="1"/>
                <w:iCs w:val="1"/>
                <w:color w:val="auto"/>
              </w:rPr>
              <w:t>29 bps</w:t>
            </w:r>
          </w:p>
        </w:tc>
        <w:tc>
          <w:tcPr>
            <w:tcW w:w="1360" w:type="dxa"/>
            <w:vAlign w:val="bottom"/>
            <w:shd w:val="clear" w:color="auto" w:fill="DCE2EF"/>
          </w:tcPr>
          <w:p>
            <w:pPr>
              <w:spacing w:after="0"/>
              <w:rPr>
                <w:sz w:val="24"/>
                <w:szCs w:val="24"/>
                <w:color w:val="auto"/>
              </w:rPr>
            </w:pPr>
          </w:p>
        </w:tc>
      </w:tr>
      <w:tr>
        <w:trPr>
          <w:trHeight w:val="262"/>
        </w:trPr>
        <w:tc>
          <w:tcPr>
            <w:tcW w:w="5300" w:type="dxa"/>
            <w:vAlign w:val="bottom"/>
            <w:gridSpan w:val="4"/>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438.0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436.6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98"/>
              </w:rPr>
              <w:t>0.3%</w:t>
            </w:r>
          </w:p>
        </w:tc>
      </w:tr>
      <w:tr>
        <w:trPr>
          <w:trHeight w:val="278"/>
        </w:trPr>
        <w:tc>
          <w:tcPr>
            <w:tcW w:w="5300" w:type="dxa"/>
            <w:vAlign w:val="bottom"/>
            <w:gridSpan w:val="4"/>
            <w:shd w:val="clear" w:color="auto" w:fill="DCE2EF"/>
          </w:tcPr>
          <w:p>
            <w:pPr>
              <w:ind w:left="40"/>
              <w:spacing w:after="0"/>
              <w:rPr>
                <w:sz w:val="20"/>
                <w:szCs w:val="20"/>
                <w:color w:val="auto"/>
              </w:rPr>
            </w:pPr>
            <w:r>
              <w:rPr>
                <w:rFonts w:ascii="Arial" w:cs="Arial" w:eastAsia="Arial" w:hAnsi="Arial"/>
                <w:sz w:val="16"/>
                <w:szCs w:val="16"/>
                <w:color w:val="auto"/>
              </w:rPr>
              <w:t>Restructuring and related expenses</w:t>
            </w:r>
          </w:p>
        </w:tc>
        <w:tc>
          <w:tcPr>
            <w:tcW w:w="380" w:type="dxa"/>
            <w:vAlign w:val="bottom"/>
            <w:shd w:val="clear" w:color="auto" w:fill="DCE2EF"/>
          </w:tcPr>
          <w:p>
            <w:pPr>
              <w:spacing w:after="0"/>
              <w:rPr>
                <w:sz w:val="24"/>
                <w:szCs w:val="24"/>
                <w:color w:val="auto"/>
              </w:rPr>
            </w:pPr>
          </w:p>
        </w:tc>
        <w:tc>
          <w:tcPr>
            <w:tcW w:w="126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25.7</w:t>
            </w:r>
          </w:p>
        </w:tc>
        <w:tc>
          <w:tcPr>
            <w:tcW w:w="120" w:type="dxa"/>
            <w:vAlign w:val="bottom"/>
            <w:shd w:val="clear" w:color="auto" w:fill="DCE2EF"/>
          </w:tcPr>
          <w:p>
            <w:pPr>
              <w:spacing w:after="0"/>
              <w:rPr>
                <w:sz w:val="24"/>
                <w:szCs w:val="24"/>
                <w:color w:val="auto"/>
              </w:rPr>
            </w:pPr>
          </w:p>
        </w:tc>
        <w:tc>
          <w:tcPr>
            <w:tcW w:w="380" w:type="dxa"/>
            <w:vAlign w:val="bottom"/>
            <w:shd w:val="clear" w:color="auto" w:fill="DCE2EF"/>
          </w:tcPr>
          <w:p>
            <w:pPr>
              <w:spacing w:after="0"/>
              <w:rPr>
                <w:sz w:val="24"/>
                <w:szCs w:val="24"/>
                <w:color w:val="auto"/>
              </w:rPr>
            </w:pPr>
          </w:p>
        </w:tc>
        <w:tc>
          <w:tcPr>
            <w:tcW w:w="126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20.9</w:t>
            </w:r>
          </w:p>
        </w:tc>
        <w:tc>
          <w:tcPr>
            <w:tcW w:w="12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94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4.8</w:t>
            </w:r>
          </w:p>
        </w:tc>
        <w:tc>
          <w:tcPr>
            <w:tcW w:w="136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23.1%</w:t>
            </w:r>
          </w:p>
        </w:tc>
      </w:tr>
      <w:tr>
        <w:trPr>
          <w:trHeight w:val="262"/>
        </w:trPr>
        <w:tc>
          <w:tcPr>
            <w:tcW w:w="5300" w:type="dxa"/>
            <w:vAlign w:val="bottom"/>
            <w:gridSpan w:val="4"/>
          </w:tcPr>
          <w:p>
            <w:pPr>
              <w:ind w:left="40"/>
              <w:spacing w:after="0"/>
              <w:rPr>
                <w:sz w:val="20"/>
                <w:szCs w:val="20"/>
                <w:color w:val="auto"/>
              </w:rPr>
            </w:pPr>
            <w:r>
              <w:rPr>
                <w:rFonts w:ascii="Arial" w:cs="Arial" w:eastAsia="Arial" w:hAnsi="Arial"/>
                <w:sz w:val="16"/>
                <w:szCs w:val="16"/>
                <w:color w:val="auto"/>
              </w:rPr>
              <w:t>Amortization of intangible assets</w:t>
            </w: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66.0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34.4</w:t>
            </w:r>
          </w:p>
        </w:tc>
        <w:tc>
          <w:tcPr>
            <w:tcW w:w="1360" w:type="dxa"/>
            <w:vAlign w:val="bottom"/>
          </w:tcPr>
          <w:p>
            <w:pPr>
              <w:ind w:left="580"/>
              <w:spacing w:after="0"/>
              <w:rPr>
                <w:sz w:val="20"/>
                <w:szCs w:val="20"/>
                <w:color w:val="auto"/>
              </w:rPr>
            </w:pPr>
            <w:r>
              <w:rPr>
                <w:rFonts w:ascii="Arial" w:cs="Arial" w:eastAsia="Arial" w:hAnsi="Arial"/>
                <w:sz w:val="16"/>
                <w:szCs w:val="16"/>
                <w:color w:val="auto"/>
              </w:rPr>
              <w:t>NM*</w:t>
            </w:r>
          </w:p>
        </w:tc>
      </w:tr>
      <w:tr>
        <w:trPr>
          <w:trHeight w:val="278"/>
        </w:trPr>
        <w:tc>
          <w:tcPr>
            <w:tcW w:w="5300" w:type="dxa"/>
            <w:vAlign w:val="bottom"/>
            <w:gridSpan w:val="4"/>
            <w:shd w:val="clear" w:color="auto" w:fill="DCE2EF"/>
          </w:tcPr>
          <w:p>
            <w:pPr>
              <w:ind w:left="40"/>
              <w:spacing w:after="0"/>
              <w:rPr>
                <w:sz w:val="20"/>
                <w:szCs w:val="20"/>
                <w:color w:val="auto"/>
              </w:rPr>
            </w:pPr>
            <w:r>
              <w:rPr>
                <w:rFonts w:ascii="Arial" w:cs="Arial" w:eastAsia="Arial" w:hAnsi="Arial"/>
                <w:sz w:val="16"/>
                <w:szCs w:val="16"/>
                <w:color w:val="auto"/>
              </w:rPr>
              <w:t>Impairment loss (recovery)</w:t>
            </w:r>
          </w:p>
        </w:tc>
        <w:tc>
          <w:tcPr>
            <w:tcW w:w="380" w:type="dxa"/>
            <w:vAlign w:val="bottom"/>
            <w:tcBorders>
              <w:bottom w:val="single" w:sz="8" w:color="auto"/>
            </w:tcBorders>
            <w:shd w:val="clear" w:color="auto" w:fill="DCE2EF"/>
          </w:tcPr>
          <w:p>
            <w:pPr>
              <w:spacing w:after="0"/>
              <w:rPr>
                <w:sz w:val="24"/>
                <w:szCs w:val="24"/>
                <w:color w:val="auto"/>
              </w:rPr>
            </w:pPr>
          </w:p>
        </w:tc>
        <w:tc>
          <w:tcPr>
            <w:tcW w:w="1260" w:type="dxa"/>
            <w:vAlign w:val="bottom"/>
            <w:tcBorders>
              <w:bottom w:val="single" w:sz="8" w:color="auto"/>
            </w:tcBorders>
            <w:shd w:val="clear" w:color="auto" w:fill="DCE2EF"/>
          </w:tcPr>
          <w:p>
            <w:pPr>
              <w:jc w:val="right"/>
              <w:ind w:right="79"/>
              <w:spacing w:after="0"/>
              <w:rPr>
                <w:sz w:val="20"/>
                <w:szCs w:val="20"/>
                <w:color w:val="auto"/>
              </w:rPr>
            </w:pPr>
            <w:r>
              <w:rPr>
                <w:rFonts w:ascii="Arial" w:cs="Arial" w:eastAsia="Arial" w:hAnsi="Arial"/>
                <w:sz w:val="16"/>
                <w:szCs w:val="16"/>
                <w:color w:val="auto"/>
              </w:rPr>
              <w:t>26.5</w:t>
            </w:r>
          </w:p>
        </w:tc>
        <w:tc>
          <w:tcPr>
            <w:tcW w:w="120" w:type="dxa"/>
            <w:vAlign w:val="bottom"/>
            <w:shd w:val="clear" w:color="auto" w:fill="DCE2EF"/>
          </w:tcPr>
          <w:p>
            <w:pPr>
              <w:spacing w:after="0"/>
              <w:rPr>
                <w:sz w:val="24"/>
                <w:szCs w:val="24"/>
                <w:color w:val="auto"/>
              </w:rPr>
            </w:pPr>
          </w:p>
        </w:tc>
        <w:tc>
          <w:tcPr>
            <w:tcW w:w="380" w:type="dxa"/>
            <w:vAlign w:val="bottom"/>
            <w:tcBorders>
              <w:bottom w:val="single" w:sz="8" w:color="auto"/>
            </w:tcBorders>
            <w:shd w:val="clear" w:color="auto" w:fill="DCE2EF"/>
          </w:tcPr>
          <w:p>
            <w:pPr>
              <w:spacing w:after="0"/>
              <w:rPr>
                <w:sz w:val="24"/>
                <w:szCs w:val="24"/>
                <w:color w:val="auto"/>
              </w:rPr>
            </w:pPr>
          </w:p>
        </w:tc>
        <w:tc>
          <w:tcPr>
            <w:tcW w:w="126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(18.5)</w:t>
            </w:r>
          </w:p>
        </w:tc>
        <w:tc>
          <w:tcPr>
            <w:tcW w:w="120" w:type="dxa"/>
            <w:vAlign w:val="bottom"/>
            <w:shd w:val="clear" w:color="auto" w:fill="DCE2EF"/>
          </w:tcPr>
          <w:p>
            <w:pPr>
              <w:spacing w:after="0"/>
              <w:rPr>
                <w:sz w:val="24"/>
                <w:szCs w:val="24"/>
                <w:color w:val="auto"/>
              </w:rPr>
            </w:pPr>
          </w:p>
        </w:tc>
        <w:tc>
          <w:tcPr>
            <w:tcW w:w="300" w:type="dxa"/>
            <w:vAlign w:val="bottom"/>
            <w:tcBorders>
              <w:bottom w:val="single" w:sz="8" w:color="auto"/>
            </w:tcBorders>
            <w:shd w:val="clear" w:color="auto" w:fill="DCE2EF"/>
          </w:tcPr>
          <w:p>
            <w:pPr>
              <w:spacing w:after="0"/>
              <w:rPr>
                <w:sz w:val="24"/>
                <w:szCs w:val="24"/>
                <w:color w:val="auto"/>
              </w:rPr>
            </w:pPr>
          </w:p>
        </w:tc>
        <w:tc>
          <w:tcPr>
            <w:tcW w:w="94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45.0</w:t>
            </w:r>
          </w:p>
        </w:tc>
        <w:tc>
          <w:tcPr>
            <w:tcW w:w="1360" w:type="dxa"/>
            <w:vAlign w:val="bottom"/>
            <w:shd w:val="clear" w:color="auto" w:fill="DCE2EF"/>
          </w:tcPr>
          <w:p>
            <w:pPr>
              <w:ind w:left="580"/>
              <w:spacing w:after="0"/>
              <w:rPr>
                <w:sz w:val="20"/>
                <w:szCs w:val="20"/>
                <w:color w:val="auto"/>
              </w:rPr>
            </w:pPr>
            <w:r>
              <w:rPr>
                <w:rFonts w:ascii="Arial" w:cs="Arial" w:eastAsia="Arial" w:hAnsi="Arial"/>
                <w:sz w:val="16"/>
                <w:szCs w:val="16"/>
                <w:color w:val="auto"/>
              </w:rPr>
              <w:t>NM*</w:t>
            </w:r>
          </w:p>
        </w:tc>
      </w:tr>
      <w:tr>
        <w:trPr>
          <w:trHeight w:val="246"/>
        </w:trPr>
        <w:tc>
          <w:tcPr>
            <w:tcW w:w="5300" w:type="dxa"/>
            <w:vAlign w:val="bottom"/>
            <w:gridSpan w:val="4"/>
          </w:tcPr>
          <w:p>
            <w:pPr>
              <w:ind w:left="40"/>
              <w:spacing w:after="0"/>
              <w:rPr>
                <w:sz w:val="20"/>
                <w:szCs w:val="20"/>
                <w:color w:val="auto"/>
              </w:rPr>
            </w:pPr>
            <w:r>
              <w:rPr>
                <w:rFonts w:ascii="Arial" w:cs="Arial" w:eastAsia="Arial" w:hAnsi="Arial"/>
                <w:sz w:val="16"/>
                <w:szCs w:val="16"/>
                <w:b w:val="1"/>
                <w:bCs w:val="1"/>
                <w:color w:val="auto"/>
              </w:rPr>
              <w:t>Operating profit</w:t>
            </w:r>
          </w:p>
        </w:tc>
        <w:tc>
          <w:tcPr>
            <w:tcW w:w="380" w:type="dxa"/>
            <w:vAlign w:val="bottom"/>
          </w:tcPr>
          <w:p>
            <w:pPr>
              <w:spacing w:after="0"/>
              <w:rPr>
                <w:sz w:val="21"/>
                <w:szCs w:val="21"/>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138.6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101.9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36.7</w:t>
            </w:r>
          </w:p>
        </w:tc>
        <w:tc>
          <w:tcPr>
            <w:tcW w:w="1360" w:type="dxa"/>
            <w:vAlign w:val="bottom"/>
          </w:tcPr>
          <w:p>
            <w:pPr>
              <w:jc w:val="center"/>
              <w:ind w:left="19"/>
              <w:spacing w:after="0"/>
              <w:rPr>
                <w:sz w:val="20"/>
                <w:szCs w:val="20"/>
                <w:color w:val="auto"/>
              </w:rPr>
            </w:pPr>
            <w:r>
              <w:rPr>
                <w:rFonts w:ascii="Arial" w:cs="Arial" w:eastAsia="Arial" w:hAnsi="Arial"/>
                <w:sz w:val="16"/>
                <w:szCs w:val="16"/>
                <w:color w:val="auto"/>
              </w:rPr>
              <w:t>36.1%</w:t>
            </w:r>
          </w:p>
        </w:tc>
      </w:tr>
      <w:tr>
        <w:trPr>
          <w:trHeight w:val="274"/>
        </w:trPr>
        <w:tc>
          <w:tcPr>
            <w:tcW w:w="5300" w:type="dxa"/>
            <w:vAlign w:val="bottom"/>
            <w:gridSpan w:val="4"/>
            <w:shd w:val="clear" w:color="auto" w:fill="DCE2EF"/>
          </w:tcPr>
          <w:p>
            <w:pPr>
              <w:ind w:left="40"/>
              <w:spacing w:after="0"/>
              <w:rPr>
                <w:sz w:val="20"/>
                <w:szCs w:val="20"/>
                <w:color w:val="auto"/>
              </w:rPr>
            </w:pPr>
            <w:r>
              <w:rPr>
                <w:rFonts w:ascii="Arial" w:cs="Arial" w:eastAsia="Arial" w:hAnsi="Arial"/>
                <w:sz w:val="16"/>
                <w:szCs w:val="16"/>
                <w:color w:val="auto"/>
              </w:rPr>
              <w:t>Income from unconsolidated affiliates</w:t>
            </w:r>
          </w:p>
        </w:tc>
        <w:tc>
          <w:tcPr>
            <w:tcW w:w="380" w:type="dxa"/>
            <w:vAlign w:val="bottom"/>
            <w:shd w:val="clear" w:color="auto" w:fill="DCE2EF"/>
          </w:tcPr>
          <w:p>
            <w:pPr>
              <w:spacing w:after="0"/>
              <w:rPr>
                <w:sz w:val="23"/>
                <w:szCs w:val="23"/>
                <w:color w:val="auto"/>
              </w:rPr>
            </w:pPr>
          </w:p>
        </w:tc>
        <w:tc>
          <w:tcPr>
            <w:tcW w:w="126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3.2</w:t>
            </w:r>
          </w:p>
        </w:tc>
        <w:tc>
          <w:tcPr>
            <w:tcW w:w="120" w:type="dxa"/>
            <w:vAlign w:val="bottom"/>
            <w:shd w:val="clear" w:color="auto" w:fill="DCE2EF"/>
          </w:tcPr>
          <w:p>
            <w:pPr>
              <w:spacing w:after="0"/>
              <w:rPr>
                <w:sz w:val="23"/>
                <w:szCs w:val="23"/>
                <w:color w:val="auto"/>
              </w:rPr>
            </w:pPr>
          </w:p>
        </w:tc>
        <w:tc>
          <w:tcPr>
            <w:tcW w:w="380" w:type="dxa"/>
            <w:vAlign w:val="bottom"/>
            <w:shd w:val="clear" w:color="auto" w:fill="DCE2EF"/>
          </w:tcPr>
          <w:p>
            <w:pPr>
              <w:spacing w:after="0"/>
              <w:rPr>
                <w:sz w:val="23"/>
                <w:szCs w:val="23"/>
                <w:color w:val="auto"/>
              </w:rPr>
            </w:pPr>
          </w:p>
        </w:tc>
        <w:tc>
          <w:tcPr>
            <w:tcW w:w="126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4.2</w:t>
            </w:r>
          </w:p>
        </w:tc>
        <w:tc>
          <w:tcPr>
            <w:tcW w:w="120" w:type="dxa"/>
            <w:vAlign w:val="bottom"/>
            <w:shd w:val="clear" w:color="auto" w:fill="DCE2EF"/>
          </w:tcPr>
          <w:p>
            <w:pPr>
              <w:spacing w:after="0"/>
              <w:rPr>
                <w:sz w:val="23"/>
                <w:szCs w:val="23"/>
                <w:color w:val="auto"/>
              </w:rPr>
            </w:pPr>
          </w:p>
        </w:tc>
        <w:tc>
          <w:tcPr>
            <w:tcW w:w="300" w:type="dxa"/>
            <w:vAlign w:val="bottom"/>
            <w:shd w:val="clear" w:color="auto" w:fill="DCE2EF"/>
          </w:tcPr>
          <w:p>
            <w:pPr>
              <w:spacing w:after="0"/>
              <w:rPr>
                <w:sz w:val="23"/>
                <w:szCs w:val="23"/>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(1.0)</w:t>
            </w:r>
          </w:p>
        </w:tc>
        <w:tc>
          <w:tcPr>
            <w:tcW w:w="136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w w:val="99"/>
              </w:rPr>
              <w:t>(23.9)%</w:t>
            </w:r>
          </w:p>
        </w:tc>
      </w:tr>
      <w:tr>
        <w:trPr>
          <w:trHeight w:val="264"/>
        </w:trPr>
        <w:tc>
          <w:tcPr>
            <w:tcW w:w="5300" w:type="dxa"/>
            <w:vAlign w:val="bottom"/>
            <w:tcBorders>
              <w:bottom w:val="single" w:sz="8" w:color="DCE2EF"/>
            </w:tcBorders>
            <w:gridSpan w:val="4"/>
          </w:tcPr>
          <w:p>
            <w:pPr>
              <w:ind w:left="40"/>
              <w:spacing w:after="0"/>
              <w:rPr>
                <w:sz w:val="20"/>
                <w:szCs w:val="20"/>
                <w:color w:val="auto"/>
              </w:rPr>
            </w:pPr>
            <w:r>
              <w:rPr>
                <w:rFonts w:ascii="Arial" w:cs="Arial" w:eastAsia="Arial" w:hAnsi="Arial"/>
                <w:sz w:val="16"/>
                <w:szCs w:val="16"/>
                <w:color w:val="auto"/>
              </w:rPr>
              <w:t>Interest expense</w:t>
            </w: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(54.1)</w:t>
            </w:r>
          </w:p>
        </w:tc>
        <w:tc>
          <w:tcPr>
            <w:tcW w:w="120" w:type="dxa"/>
            <w:vAlign w:val="bottom"/>
            <w:tcBorders>
              <w:bottom w:val="single" w:sz="8" w:color="DCE2E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(19.2)</w:t>
            </w:r>
          </w:p>
        </w:tc>
        <w:tc>
          <w:tcPr>
            <w:tcW w:w="120" w:type="dxa"/>
            <w:vAlign w:val="bottom"/>
            <w:tcBorders>
              <w:bottom w:val="single" w:sz="8" w:color="DCE2E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34.9</w:t>
            </w:r>
          </w:p>
        </w:tc>
        <w:tc>
          <w:tcPr>
            <w:tcW w:w="1360" w:type="dxa"/>
            <w:vAlign w:val="bottom"/>
            <w:tcBorders>
              <w:bottom w:val="single" w:sz="8" w:color="DCE2EF"/>
            </w:tcBorders>
          </w:tcPr>
          <w:p>
            <w:pPr>
              <w:ind w:left="580"/>
              <w:spacing w:after="0"/>
              <w:rPr>
                <w:sz w:val="20"/>
                <w:szCs w:val="20"/>
                <w:color w:val="auto"/>
              </w:rPr>
            </w:pPr>
            <w:r>
              <w:rPr>
                <w:rFonts w:ascii="Arial" w:cs="Arial" w:eastAsia="Arial" w:hAnsi="Arial"/>
                <w:sz w:val="16"/>
                <w:szCs w:val="16"/>
                <w:color w:val="auto"/>
              </w:rPr>
              <w:t>NM*</w:t>
            </w:r>
          </w:p>
        </w:tc>
      </w:tr>
      <w:tr>
        <w:trPr>
          <w:trHeight w:val="257"/>
        </w:trPr>
        <w:tc>
          <w:tcPr>
            <w:tcW w:w="5300" w:type="dxa"/>
            <w:vAlign w:val="bottom"/>
            <w:gridSpan w:val="4"/>
            <w:shd w:val="clear" w:color="auto" w:fill="DCE2EF"/>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380" w:type="dxa"/>
            <w:vAlign w:val="bottom"/>
            <w:shd w:val="clear" w:color="auto" w:fill="DCE2EF"/>
          </w:tcPr>
          <w:p>
            <w:pPr>
              <w:spacing w:after="0"/>
              <w:rPr>
                <w:sz w:val="22"/>
                <w:szCs w:val="22"/>
                <w:color w:val="auto"/>
              </w:rPr>
            </w:pPr>
          </w:p>
        </w:tc>
        <w:tc>
          <w:tcPr>
            <w:tcW w:w="126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87.7</w:t>
            </w:r>
          </w:p>
        </w:tc>
        <w:tc>
          <w:tcPr>
            <w:tcW w:w="120" w:type="dxa"/>
            <w:vAlign w:val="bottom"/>
            <w:shd w:val="clear" w:color="auto" w:fill="DCE2EF"/>
          </w:tcPr>
          <w:p>
            <w:pPr>
              <w:spacing w:after="0"/>
              <w:rPr>
                <w:sz w:val="22"/>
                <w:szCs w:val="22"/>
                <w:color w:val="auto"/>
              </w:rPr>
            </w:pPr>
          </w:p>
        </w:tc>
        <w:tc>
          <w:tcPr>
            <w:tcW w:w="380" w:type="dxa"/>
            <w:vAlign w:val="bottom"/>
            <w:shd w:val="clear" w:color="auto" w:fill="DCE2EF"/>
          </w:tcPr>
          <w:p>
            <w:pPr>
              <w:spacing w:after="0"/>
              <w:rPr>
                <w:sz w:val="22"/>
                <w:szCs w:val="22"/>
                <w:color w:val="auto"/>
              </w:rPr>
            </w:pPr>
          </w:p>
        </w:tc>
        <w:tc>
          <w:tcPr>
            <w:tcW w:w="126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86.9</w:t>
            </w:r>
          </w:p>
        </w:tc>
        <w:tc>
          <w:tcPr>
            <w:tcW w:w="120" w:type="dxa"/>
            <w:vAlign w:val="bottom"/>
            <w:shd w:val="clear" w:color="auto" w:fill="DCE2EF"/>
          </w:tcPr>
          <w:p>
            <w:pPr>
              <w:spacing w:after="0"/>
              <w:rPr>
                <w:sz w:val="22"/>
                <w:szCs w:val="22"/>
                <w:color w:val="auto"/>
              </w:rPr>
            </w:pPr>
          </w:p>
        </w:tc>
        <w:tc>
          <w:tcPr>
            <w:tcW w:w="300" w:type="dxa"/>
            <w:vAlign w:val="bottom"/>
            <w:shd w:val="clear" w:color="auto" w:fill="DCE2EF"/>
          </w:tcPr>
          <w:p>
            <w:pPr>
              <w:spacing w:after="0"/>
              <w:rPr>
                <w:sz w:val="22"/>
                <w:szCs w:val="22"/>
                <w:color w:val="auto"/>
              </w:rPr>
            </w:pPr>
          </w:p>
        </w:tc>
        <w:tc>
          <w:tcPr>
            <w:tcW w:w="94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0.8</w:t>
            </w:r>
          </w:p>
        </w:tc>
        <w:tc>
          <w:tcPr>
            <w:tcW w:w="136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w w:val="98"/>
              </w:rPr>
              <w:t>1.0%</w:t>
            </w:r>
          </w:p>
        </w:tc>
      </w:tr>
      <w:tr>
        <w:trPr>
          <w:trHeight w:val="264"/>
        </w:trPr>
        <w:tc>
          <w:tcPr>
            <w:tcW w:w="5300" w:type="dxa"/>
            <w:vAlign w:val="bottom"/>
            <w:tcBorders>
              <w:bottom w:val="single" w:sz="8" w:color="DCE2EF"/>
            </w:tcBorders>
            <w:gridSpan w:val="4"/>
          </w:tcPr>
          <w:p>
            <w:pPr>
              <w:ind w:left="40"/>
              <w:spacing w:after="0"/>
              <w:rPr>
                <w:sz w:val="20"/>
                <w:szCs w:val="20"/>
                <w:color w:val="auto"/>
              </w:rPr>
            </w:pPr>
            <w:r>
              <w:rPr>
                <w:rFonts w:ascii="Arial" w:cs="Arial" w:eastAsia="Arial" w:hAnsi="Arial"/>
                <w:sz w:val="16"/>
                <w:szCs w:val="16"/>
                <w:color w:val="auto"/>
              </w:rPr>
              <w:t>Income tax benefit (provision)</w:t>
            </w: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DCE2E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DCE2E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17.0</w:t>
            </w:r>
          </w:p>
        </w:tc>
        <w:tc>
          <w:tcPr>
            <w:tcW w:w="1360" w:type="dxa"/>
            <w:vAlign w:val="bottom"/>
            <w:tcBorders>
              <w:bottom w:val="single" w:sz="8" w:color="DCE2EF"/>
            </w:tcBorders>
          </w:tcPr>
          <w:p>
            <w:pPr>
              <w:ind w:left="580"/>
              <w:spacing w:after="0"/>
              <w:rPr>
                <w:sz w:val="20"/>
                <w:szCs w:val="20"/>
                <w:color w:val="auto"/>
              </w:rPr>
            </w:pPr>
            <w:r>
              <w:rPr>
                <w:rFonts w:ascii="Arial" w:cs="Arial" w:eastAsia="Arial" w:hAnsi="Arial"/>
                <w:sz w:val="16"/>
                <w:szCs w:val="16"/>
                <w:color w:val="auto"/>
              </w:rPr>
              <w:t>NM*</w:t>
            </w:r>
          </w:p>
        </w:tc>
      </w:tr>
      <w:tr>
        <w:trPr>
          <w:trHeight w:val="257"/>
        </w:trPr>
        <w:tc>
          <w:tcPr>
            <w:tcW w:w="5300" w:type="dxa"/>
            <w:vAlign w:val="bottom"/>
            <w:gridSpan w:val="4"/>
            <w:shd w:val="clear" w:color="auto" w:fill="DCE2EF"/>
          </w:tcPr>
          <w:p>
            <w:pPr>
              <w:ind w:left="40"/>
              <w:spacing w:after="0"/>
              <w:rPr>
                <w:sz w:val="20"/>
                <w:szCs w:val="20"/>
                <w:color w:val="auto"/>
              </w:rPr>
            </w:pPr>
            <w:r>
              <w:rPr>
                <w:rFonts w:ascii="Arial" w:cs="Arial" w:eastAsia="Arial" w:hAnsi="Arial"/>
                <w:sz w:val="16"/>
                <w:szCs w:val="16"/>
                <w:color w:val="auto"/>
              </w:rPr>
              <w:t>Income from continuing operations</w:t>
            </w:r>
          </w:p>
        </w:tc>
        <w:tc>
          <w:tcPr>
            <w:tcW w:w="380" w:type="dxa"/>
            <w:vAlign w:val="bottom"/>
            <w:shd w:val="clear" w:color="auto" w:fill="DCE2EF"/>
          </w:tcPr>
          <w:p>
            <w:pPr>
              <w:spacing w:after="0"/>
              <w:rPr>
                <w:sz w:val="22"/>
                <w:szCs w:val="22"/>
                <w:color w:val="auto"/>
              </w:rPr>
            </w:pPr>
          </w:p>
        </w:tc>
        <w:tc>
          <w:tcPr>
            <w:tcW w:w="126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95.9</w:t>
            </w:r>
          </w:p>
        </w:tc>
        <w:tc>
          <w:tcPr>
            <w:tcW w:w="120" w:type="dxa"/>
            <w:vAlign w:val="bottom"/>
            <w:shd w:val="clear" w:color="auto" w:fill="DCE2EF"/>
          </w:tcPr>
          <w:p>
            <w:pPr>
              <w:spacing w:after="0"/>
              <w:rPr>
                <w:sz w:val="22"/>
                <w:szCs w:val="22"/>
                <w:color w:val="auto"/>
              </w:rPr>
            </w:pPr>
          </w:p>
        </w:tc>
        <w:tc>
          <w:tcPr>
            <w:tcW w:w="380" w:type="dxa"/>
            <w:vAlign w:val="bottom"/>
            <w:shd w:val="clear" w:color="auto" w:fill="DCE2EF"/>
          </w:tcPr>
          <w:p>
            <w:pPr>
              <w:spacing w:after="0"/>
              <w:rPr>
                <w:sz w:val="22"/>
                <w:szCs w:val="22"/>
                <w:color w:val="auto"/>
              </w:rPr>
            </w:pPr>
          </w:p>
        </w:tc>
        <w:tc>
          <w:tcPr>
            <w:tcW w:w="126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78.1</w:t>
            </w:r>
          </w:p>
        </w:tc>
        <w:tc>
          <w:tcPr>
            <w:tcW w:w="120" w:type="dxa"/>
            <w:vAlign w:val="bottom"/>
            <w:shd w:val="clear" w:color="auto" w:fill="DCE2EF"/>
          </w:tcPr>
          <w:p>
            <w:pPr>
              <w:spacing w:after="0"/>
              <w:rPr>
                <w:sz w:val="22"/>
                <w:szCs w:val="22"/>
                <w:color w:val="auto"/>
              </w:rPr>
            </w:pPr>
          </w:p>
        </w:tc>
        <w:tc>
          <w:tcPr>
            <w:tcW w:w="300" w:type="dxa"/>
            <w:vAlign w:val="bottom"/>
            <w:shd w:val="clear" w:color="auto" w:fill="DCE2EF"/>
          </w:tcPr>
          <w:p>
            <w:pPr>
              <w:spacing w:after="0"/>
              <w:rPr>
                <w:sz w:val="22"/>
                <w:szCs w:val="22"/>
                <w:color w:val="auto"/>
              </w:rPr>
            </w:pPr>
          </w:p>
        </w:tc>
        <w:tc>
          <w:tcPr>
            <w:tcW w:w="94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17.8</w:t>
            </w:r>
          </w:p>
        </w:tc>
        <w:tc>
          <w:tcPr>
            <w:tcW w:w="136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22.9%</w:t>
            </w:r>
          </w:p>
        </w:tc>
      </w:tr>
      <w:tr>
        <w:trPr>
          <w:trHeight w:val="264"/>
        </w:trPr>
        <w:tc>
          <w:tcPr>
            <w:tcW w:w="5300" w:type="dxa"/>
            <w:vAlign w:val="bottom"/>
            <w:tcBorders>
              <w:bottom w:val="single" w:sz="8" w:color="DCE2EF"/>
            </w:tcBorders>
            <w:gridSpan w:val="4"/>
          </w:tcPr>
          <w:p>
            <w:pPr>
              <w:ind w:left="40"/>
              <w:spacing w:after="0"/>
              <w:rPr>
                <w:sz w:val="20"/>
                <w:szCs w:val="20"/>
                <w:color w:val="auto"/>
              </w:rPr>
            </w:pPr>
            <w:r>
              <w:rPr>
                <w:rFonts w:ascii="Arial" w:cs="Arial" w:eastAsia="Arial" w:hAnsi="Arial"/>
                <w:sz w:val="16"/>
                <w:szCs w:val="16"/>
                <w:color w:val="auto"/>
              </w:rPr>
              <w:t>Income (loss) from discontinued operations, net of taxes</w:t>
            </w: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DCE2E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(74.3)</w:t>
            </w:r>
          </w:p>
        </w:tc>
        <w:tc>
          <w:tcPr>
            <w:tcW w:w="120" w:type="dxa"/>
            <w:vAlign w:val="bottom"/>
            <w:tcBorders>
              <w:bottom w:val="single" w:sz="8" w:color="DCE2E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76.1</w:t>
            </w:r>
          </w:p>
        </w:tc>
        <w:tc>
          <w:tcPr>
            <w:tcW w:w="1360" w:type="dxa"/>
            <w:vAlign w:val="bottom"/>
            <w:tcBorders>
              <w:bottom w:val="single" w:sz="8" w:color="DCE2EF"/>
            </w:tcBorders>
          </w:tcPr>
          <w:p>
            <w:pPr>
              <w:ind w:left="580"/>
              <w:spacing w:after="0"/>
              <w:rPr>
                <w:sz w:val="20"/>
                <w:szCs w:val="20"/>
                <w:color w:val="auto"/>
              </w:rPr>
            </w:pPr>
            <w:r>
              <w:rPr>
                <w:rFonts w:ascii="Arial" w:cs="Arial" w:eastAsia="Arial" w:hAnsi="Arial"/>
                <w:sz w:val="16"/>
                <w:szCs w:val="16"/>
                <w:color w:val="auto"/>
              </w:rPr>
              <w:t>NM*</w:t>
            </w:r>
          </w:p>
        </w:tc>
      </w:tr>
      <w:tr>
        <w:trPr>
          <w:trHeight w:val="257"/>
        </w:trPr>
        <w:tc>
          <w:tcPr>
            <w:tcW w:w="5300" w:type="dxa"/>
            <w:vAlign w:val="bottom"/>
            <w:gridSpan w:val="4"/>
            <w:shd w:val="clear" w:color="auto" w:fill="DCE2EF"/>
          </w:tcPr>
          <w:p>
            <w:pPr>
              <w:ind w:left="40"/>
              <w:spacing w:after="0"/>
              <w:rPr>
                <w:sz w:val="20"/>
                <w:szCs w:val="20"/>
                <w:color w:val="auto"/>
              </w:rPr>
            </w:pPr>
            <w:r>
              <w:rPr>
                <w:rFonts w:ascii="Arial" w:cs="Arial" w:eastAsia="Arial" w:hAnsi="Arial"/>
                <w:sz w:val="16"/>
                <w:szCs w:val="16"/>
                <w:b w:val="1"/>
                <w:bCs w:val="1"/>
                <w:color w:val="auto"/>
              </w:rPr>
              <w:t>Net income</w:t>
            </w:r>
          </w:p>
        </w:tc>
        <w:tc>
          <w:tcPr>
            <w:tcW w:w="380" w:type="dxa"/>
            <w:vAlign w:val="bottom"/>
            <w:tcBorders>
              <w:bottom w:val="single" w:sz="8" w:color="auto"/>
            </w:tcBorders>
            <w:shd w:val="clear" w:color="auto" w:fill="DCE2EF"/>
          </w:tcPr>
          <w:p>
            <w:pPr>
              <w:spacing w:after="0"/>
              <w:rPr>
                <w:sz w:val="22"/>
                <w:szCs w:val="22"/>
                <w:color w:val="auto"/>
              </w:rPr>
            </w:pPr>
          </w:p>
        </w:tc>
        <w:tc>
          <w:tcPr>
            <w:tcW w:w="1260" w:type="dxa"/>
            <w:vAlign w:val="bottom"/>
            <w:tcBorders>
              <w:bottom w:val="single" w:sz="8" w:color="auto"/>
            </w:tcBorders>
            <w:shd w:val="clear" w:color="auto" w:fill="DCE2EF"/>
          </w:tcPr>
          <w:p>
            <w:pPr>
              <w:jc w:val="right"/>
              <w:ind w:right="79"/>
              <w:spacing w:after="0"/>
              <w:rPr>
                <w:sz w:val="20"/>
                <w:szCs w:val="20"/>
                <w:color w:val="auto"/>
              </w:rPr>
            </w:pPr>
            <w:r>
              <w:rPr>
                <w:rFonts w:ascii="Arial" w:cs="Arial" w:eastAsia="Arial" w:hAnsi="Arial"/>
                <w:sz w:val="16"/>
                <w:szCs w:val="16"/>
                <w:color w:val="auto"/>
              </w:rPr>
              <w:t>97.8</w:t>
            </w:r>
          </w:p>
        </w:tc>
        <w:tc>
          <w:tcPr>
            <w:tcW w:w="120" w:type="dxa"/>
            <w:vAlign w:val="bottom"/>
            <w:shd w:val="clear" w:color="auto" w:fill="DCE2EF"/>
          </w:tcPr>
          <w:p>
            <w:pPr>
              <w:spacing w:after="0"/>
              <w:rPr>
                <w:sz w:val="22"/>
                <w:szCs w:val="22"/>
                <w:color w:val="auto"/>
              </w:rPr>
            </w:pPr>
          </w:p>
        </w:tc>
        <w:tc>
          <w:tcPr>
            <w:tcW w:w="380" w:type="dxa"/>
            <w:vAlign w:val="bottom"/>
            <w:tcBorders>
              <w:bottom w:val="single" w:sz="8" w:color="auto"/>
            </w:tcBorders>
            <w:shd w:val="clear" w:color="auto" w:fill="DCE2EF"/>
          </w:tcPr>
          <w:p>
            <w:pPr>
              <w:spacing w:after="0"/>
              <w:rPr>
                <w:sz w:val="22"/>
                <w:szCs w:val="22"/>
                <w:color w:val="auto"/>
              </w:rPr>
            </w:pPr>
          </w:p>
        </w:tc>
        <w:tc>
          <w:tcPr>
            <w:tcW w:w="1260" w:type="dxa"/>
            <w:vAlign w:val="bottom"/>
            <w:tcBorders>
              <w:bottom w:val="single" w:sz="8" w:color="auto"/>
            </w:tcBorders>
            <w:shd w:val="clear" w:color="auto" w:fill="DCE2EF"/>
          </w:tcPr>
          <w:p>
            <w:pPr>
              <w:jc w:val="right"/>
              <w:ind w:right="79"/>
              <w:spacing w:after="0"/>
              <w:rPr>
                <w:sz w:val="20"/>
                <w:szCs w:val="20"/>
                <w:color w:val="auto"/>
              </w:rPr>
            </w:pPr>
            <w:r>
              <w:rPr>
                <w:rFonts w:ascii="Arial" w:cs="Arial" w:eastAsia="Arial" w:hAnsi="Arial"/>
                <w:sz w:val="16"/>
                <w:szCs w:val="16"/>
                <w:color w:val="auto"/>
              </w:rPr>
              <w:t>3.8</w:t>
            </w:r>
          </w:p>
        </w:tc>
        <w:tc>
          <w:tcPr>
            <w:tcW w:w="120" w:type="dxa"/>
            <w:vAlign w:val="bottom"/>
            <w:shd w:val="clear" w:color="auto" w:fill="DCE2EF"/>
          </w:tcPr>
          <w:p>
            <w:pPr>
              <w:spacing w:after="0"/>
              <w:rPr>
                <w:sz w:val="22"/>
                <w:szCs w:val="22"/>
                <w:color w:val="auto"/>
              </w:rPr>
            </w:pPr>
          </w:p>
        </w:tc>
        <w:tc>
          <w:tcPr>
            <w:tcW w:w="300" w:type="dxa"/>
            <w:vAlign w:val="bottom"/>
            <w:tcBorders>
              <w:bottom w:val="single" w:sz="8" w:color="auto"/>
            </w:tcBorders>
            <w:shd w:val="clear" w:color="auto" w:fill="DCE2EF"/>
          </w:tcPr>
          <w:p>
            <w:pPr>
              <w:spacing w:after="0"/>
              <w:rPr>
                <w:sz w:val="22"/>
                <w:szCs w:val="22"/>
                <w:color w:val="auto"/>
              </w:rPr>
            </w:pPr>
          </w:p>
        </w:tc>
        <w:tc>
          <w:tcPr>
            <w:tcW w:w="94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94.0</w:t>
            </w:r>
          </w:p>
        </w:tc>
        <w:tc>
          <w:tcPr>
            <w:tcW w:w="1360" w:type="dxa"/>
            <w:vAlign w:val="bottom"/>
            <w:shd w:val="clear" w:color="auto" w:fill="DCE2EF"/>
          </w:tcPr>
          <w:p>
            <w:pPr>
              <w:ind w:left="580"/>
              <w:spacing w:after="0"/>
              <w:rPr>
                <w:sz w:val="20"/>
                <w:szCs w:val="20"/>
                <w:color w:val="auto"/>
              </w:rPr>
            </w:pPr>
            <w:r>
              <w:rPr>
                <w:rFonts w:ascii="Arial" w:cs="Arial" w:eastAsia="Arial" w:hAnsi="Arial"/>
                <w:sz w:val="16"/>
                <w:szCs w:val="16"/>
                <w:color w:val="auto"/>
              </w:rPr>
              <w:t>NM*</w:t>
            </w:r>
          </w:p>
        </w:tc>
      </w:tr>
      <w:tr>
        <w:trPr>
          <w:trHeight w:val="256"/>
        </w:trPr>
        <w:tc>
          <w:tcPr>
            <w:tcW w:w="5300" w:type="dxa"/>
            <w:vAlign w:val="bottom"/>
            <w:gridSpan w:val="4"/>
          </w:tcPr>
          <w:p>
            <w:pPr>
              <w:ind w:left="40"/>
              <w:spacing w:after="0"/>
              <w:rPr>
                <w:sz w:val="20"/>
                <w:szCs w:val="20"/>
                <w:color w:val="auto"/>
              </w:rPr>
            </w:pPr>
            <w:r>
              <w:rPr>
                <w:rFonts w:ascii="Arial" w:cs="Arial" w:eastAsia="Arial" w:hAnsi="Arial"/>
                <w:sz w:val="16"/>
                <w:szCs w:val="16"/>
                <w:color w:val="auto"/>
              </w:rPr>
              <w:t>Other comprehensive income (loss)</w:t>
            </w: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8"/>
        </w:trPr>
        <w:tc>
          <w:tcPr>
            <w:tcW w:w="40" w:type="dxa"/>
            <w:vAlign w:val="bottom"/>
            <w:shd w:val="clear" w:color="auto" w:fill="DCE2EF"/>
          </w:tcPr>
          <w:p>
            <w:pPr>
              <w:spacing w:after="0"/>
              <w:rPr>
                <w:sz w:val="24"/>
                <w:szCs w:val="24"/>
                <w:color w:val="auto"/>
              </w:rPr>
            </w:pPr>
          </w:p>
        </w:tc>
        <w:tc>
          <w:tcPr>
            <w:tcW w:w="5260" w:type="dxa"/>
            <w:vAlign w:val="bottom"/>
            <w:gridSpan w:val="3"/>
            <w:shd w:val="clear" w:color="auto" w:fill="DCE2EF"/>
          </w:tcPr>
          <w:p>
            <w:pPr>
              <w:ind w:left="240"/>
              <w:spacing w:after="0"/>
              <w:rPr>
                <w:sz w:val="20"/>
                <w:szCs w:val="20"/>
                <w:color w:val="auto"/>
              </w:rPr>
            </w:pPr>
            <w:r>
              <w:rPr>
                <w:rFonts w:ascii="Arial" w:cs="Arial" w:eastAsia="Arial" w:hAnsi="Arial"/>
                <w:sz w:val="16"/>
                <w:szCs w:val="16"/>
                <w:color w:val="auto"/>
              </w:rPr>
              <w:t>Interest rate swaps and other</w:t>
            </w:r>
          </w:p>
        </w:tc>
        <w:tc>
          <w:tcPr>
            <w:tcW w:w="380" w:type="dxa"/>
            <w:vAlign w:val="bottom"/>
            <w:shd w:val="clear" w:color="auto" w:fill="DCE2EF"/>
          </w:tcPr>
          <w:p>
            <w:pPr>
              <w:spacing w:after="0"/>
              <w:rPr>
                <w:sz w:val="24"/>
                <w:szCs w:val="24"/>
                <w:color w:val="auto"/>
              </w:rPr>
            </w:pPr>
          </w:p>
        </w:tc>
        <w:tc>
          <w:tcPr>
            <w:tcW w:w="126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21.9</w:t>
            </w:r>
          </w:p>
        </w:tc>
        <w:tc>
          <w:tcPr>
            <w:tcW w:w="120" w:type="dxa"/>
            <w:vAlign w:val="bottom"/>
            <w:shd w:val="clear" w:color="auto" w:fill="DCE2EF"/>
          </w:tcPr>
          <w:p>
            <w:pPr>
              <w:spacing w:after="0"/>
              <w:rPr>
                <w:sz w:val="24"/>
                <w:szCs w:val="24"/>
                <w:color w:val="auto"/>
              </w:rPr>
            </w:pPr>
          </w:p>
        </w:tc>
        <w:tc>
          <w:tcPr>
            <w:tcW w:w="380" w:type="dxa"/>
            <w:vAlign w:val="bottom"/>
            <w:shd w:val="clear" w:color="auto" w:fill="DCE2EF"/>
          </w:tcPr>
          <w:p>
            <w:pPr>
              <w:spacing w:after="0"/>
              <w:rPr>
                <w:sz w:val="24"/>
                <w:szCs w:val="24"/>
                <w:color w:val="auto"/>
              </w:rPr>
            </w:pPr>
          </w:p>
        </w:tc>
        <w:tc>
          <w:tcPr>
            <w:tcW w:w="126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2.7</w:t>
            </w:r>
          </w:p>
        </w:tc>
        <w:tc>
          <w:tcPr>
            <w:tcW w:w="12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94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19.2</w:t>
            </w:r>
          </w:p>
        </w:tc>
        <w:tc>
          <w:tcPr>
            <w:tcW w:w="1360" w:type="dxa"/>
            <w:vAlign w:val="bottom"/>
            <w:shd w:val="clear" w:color="auto" w:fill="DCE2EF"/>
          </w:tcPr>
          <w:p>
            <w:pPr>
              <w:ind w:left="580"/>
              <w:spacing w:after="0"/>
              <w:rPr>
                <w:sz w:val="20"/>
                <w:szCs w:val="20"/>
                <w:color w:val="auto"/>
              </w:rPr>
            </w:pPr>
            <w:r>
              <w:rPr>
                <w:rFonts w:ascii="Arial" w:cs="Arial" w:eastAsia="Arial" w:hAnsi="Arial"/>
                <w:sz w:val="16"/>
                <w:szCs w:val="16"/>
                <w:color w:val="auto"/>
              </w:rPr>
              <w:t>NM*</w:t>
            </w:r>
          </w:p>
        </w:tc>
      </w:tr>
      <w:tr>
        <w:trPr>
          <w:trHeight w:val="262"/>
        </w:trPr>
        <w:tc>
          <w:tcPr>
            <w:tcW w:w="40" w:type="dxa"/>
            <w:vAlign w:val="bottom"/>
          </w:tcPr>
          <w:p>
            <w:pPr>
              <w:spacing w:after="0"/>
              <w:rPr>
                <w:sz w:val="22"/>
                <w:szCs w:val="22"/>
                <w:color w:val="auto"/>
              </w:rPr>
            </w:pPr>
          </w:p>
        </w:tc>
        <w:tc>
          <w:tcPr>
            <w:tcW w:w="5260" w:type="dxa"/>
            <w:vAlign w:val="bottom"/>
            <w:gridSpan w:val="3"/>
          </w:tcPr>
          <w:p>
            <w:pPr>
              <w:ind w:left="240"/>
              <w:spacing w:after="0"/>
              <w:rPr>
                <w:sz w:val="20"/>
                <w:szCs w:val="20"/>
                <w:color w:val="auto"/>
              </w:rPr>
            </w:pPr>
            <w:r>
              <w:rPr>
                <w:rFonts w:ascii="Arial" w:cs="Arial" w:eastAsia="Arial" w:hAnsi="Arial"/>
                <w:sz w:val="16"/>
                <w:szCs w:val="16"/>
                <w:color w:val="auto"/>
              </w:rPr>
              <w:t>Foreign currency translation</w:t>
            </w:r>
          </w:p>
        </w:tc>
        <w:tc>
          <w:tcPr>
            <w:tcW w:w="38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(14.4)</w:t>
            </w:r>
          </w:p>
        </w:tc>
        <w:tc>
          <w:tcPr>
            <w:tcW w:w="1360" w:type="dxa"/>
            <w:vAlign w:val="bottom"/>
          </w:tcPr>
          <w:p>
            <w:pPr>
              <w:ind w:left="580"/>
              <w:spacing w:after="0"/>
              <w:rPr>
                <w:sz w:val="20"/>
                <w:szCs w:val="20"/>
                <w:color w:val="auto"/>
              </w:rPr>
            </w:pPr>
            <w:r>
              <w:rPr>
                <w:rFonts w:ascii="Arial" w:cs="Arial" w:eastAsia="Arial" w:hAnsi="Arial"/>
                <w:sz w:val="16"/>
                <w:szCs w:val="16"/>
                <w:color w:val="auto"/>
              </w:rPr>
              <w:t>NM*</w:t>
            </w:r>
          </w:p>
        </w:tc>
      </w:tr>
      <w:tr>
        <w:trPr>
          <w:trHeight w:val="271"/>
        </w:trPr>
        <w:tc>
          <w:tcPr>
            <w:tcW w:w="40" w:type="dxa"/>
            <w:vAlign w:val="bottom"/>
            <w:shd w:val="clear" w:color="auto" w:fill="DCE2EF"/>
          </w:tcPr>
          <w:p>
            <w:pPr>
              <w:spacing w:after="0"/>
              <w:rPr>
                <w:sz w:val="23"/>
                <w:szCs w:val="23"/>
                <w:color w:val="auto"/>
              </w:rPr>
            </w:pPr>
          </w:p>
        </w:tc>
        <w:tc>
          <w:tcPr>
            <w:tcW w:w="5260" w:type="dxa"/>
            <w:vAlign w:val="bottom"/>
            <w:gridSpan w:val="3"/>
            <w:shd w:val="clear" w:color="auto" w:fill="DCE2EF"/>
          </w:tcPr>
          <w:p>
            <w:pPr>
              <w:ind w:left="240"/>
              <w:spacing w:after="0"/>
              <w:rPr>
                <w:sz w:val="20"/>
                <w:szCs w:val="20"/>
                <w:color w:val="auto"/>
              </w:rPr>
            </w:pPr>
            <w:r>
              <w:rPr>
                <w:rFonts w:ascii="Arial" w:cs="Arial" w:eastAsia="Arial" w:hAnsi="Arial"/>
                <w:sz w:val="16"/>
                <w:szCs w:val="16"/>
                <w:color w:val="auto"/>
              </w:rPr>
              <w:t>Income tax provision</w:t>
            </w:r>
          </w:p>
        </w:tc>
        <w:tc>
          <w:tcPr>
            <w:tcW w:w="380" w:type="dxa"/>
            <w:vAlign w:val="bottom"/>
            <w:tcBorders>
              <w:bottom w:val="single" w:sz="8" w:color="auto"/>
            </w:tcBorders>
            <w:shd w:val="clear" w:color="auto" w:fill="DCE2EF"/>
          </w:tcPr>
          <w:p>
            <w:pPr>
              <w:spacing w:after="0"/>
              <w:rPr>
                <w:sz w:val="23"/>
                <w:szCs w:val="23"/>
                <w:color w:val="auto"/>
              </w:rPr>
            </w:pPr>
          </w:p>
        </w:tc>
        <w:tc>
          <w:tcPr>
            <w:tcW w:w="126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(5.9)</w:t>
            </w:r>
          </w:p>
        </w:tc>
        <w:tc>
          <w:tcPr>
            <w:tcW w:w="120" w:type="dxa"/>
            <w:vAlign w:val="bottom"/>
            <w:shd w:val="clear" w:color="auto" w:fill="DCE2EF"/>
          </w:tcPr>
          <w:p>
            <w:pPr>
              <w:spacing w:after="0"/>
              <w:rPr>
                <w:sz w:val="23"/>
                <w:szCs w:val="23"/>
                <w:color w:val="auto"/>
              </w:rPr>
            </w:pPr>
          </w:p>
        </w:tc>
        <w:tc>
          <w:tcPr>
            <w:tcW w:w="380" w:type="dxa"/>
            <w:vAlign w:val="bottom"/>
            <w:tcBorders>
              <w:bottom w:val="single" w:sz="8" w:color="auto"/>
            </w:tcBorders>
            <w:shd w:val="clear" w:color="auto" w:fill="DCE2EF"/>
          </w:tcPr>
          <w:p>
            <w:pPr>
              <w:spacing w:after="0"/>
              <w:rPr>
                <w:sz w:val="23"/>
                <w:szCs w:val="23"/>
                <w:color w:val="auto"/>
              </w:rPr>
            </w:pPr>
          </w:p>
        </w:tc>
        <w:tc>
          <w:tcPr>
            <w:tcW w:w="126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shd w:val="clear" w:color="auto" w:fill="DCE2EF"/>
          </w:tcPr>
          <w:p>
            <w:pPr>
              <w:spacing w:after="0"/>
              <w:rPr>
                <w:sz w:val="23"/>
                <w:szCs w:val="23"/>
                <w:color w:val="auto"/>
              </w:rPr>
            </w:pPr>
          </w:p>
        </w:tc>
        <w:tc>
          <w:tcPr>
            <w:tcW w:w="300" w:type="dxa"/>
            <w:vAlign w:val="bottom"/>
            <w:tcBorders>
              <w:bottom w:val="single" w:sz="8" w:color="auto"/>
            </w:tcBorders>
            <w:shd w:val="clear" w:color="auto" w:fill="DCE2EF"/>
          </w:tcPr>
          <w:p>
            <w:pPr>
              <w:spacing w:after="0"/>
              <w:rPr>
                <w:sz w:val="23"/>
                <w:szCs w:val="23"/>
                <w:color w:val="auto"/>
              </w:rPr>
            </w:pPr>
          </w:p>
        </w:tc>
        <w:tc>
          <w:tcPr>
            <w:tcW w:w="9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(4.8)</w:t>
            </w:r>
          </w:p>
        </w:tc>
        <w:tc>
          <w:tcPr>
            <w:tcW w:w="1360" w:type="dxa"/>
            <w:vAlign w:val="bottom"/>
            <w:shd w:val="clear" w:color="auto" w:fill="DCE2EF"/>
          </w:tcPr>
          <w:p>
            <w:pPr>
              <w:ind w:left="580"/>
              <w:spacing w:after="0"/>
              <w:rPr>
                <w:sz w:val="20"/>
                <w:szCs w:val="20"/>
                <w:color w:val="auto"/>
              </w:rPr>
            </w:pPr>
            <w:r>
              <w:rPr>
                <w:rFonts w:ascii="Arial" w:cs="Arial" w:eastAsia="Arial" w:hAnsi="Arial"/>
                <w:sz w:val="16"/>
                <w:szCs w:val="16"/>
                <w:color w:val="auto"/>
              </w:rPr>
              <w:t>NM*</w:t>
            </w:r>
          </w:p>
        </w:tc>
      </w:tr>
      <w:tr>
        <w:trPr>
          <w:trHeight w:val="243"/>
        </w:trPr>
        <w:tc>
          <w:tcPr>
            <w:tcW w:w="5300" w:type="dxa"/>
            <w:vAlign w:val="bottom"/>
            <w:gridSpan w:val="4"/>
          </w:tcPr>
          <w:p>
            <w:pPr>
              <w:ind w:left="40"/>
              <w:spacing w:after="0"/>
              <w:rPr>
                <w:sz w:val="20"/>
                <w:szCs w:val="20"/>
                <w:color w:val="auto"/>
              </w:rPr>
            </w:pPr>
            <w:r>
              <w:rPr>
                <w:rFonts w:ascii="Arial" w:cs="Arial" w:eastAsia="Arial" w:hAnsi="Arial"/>
                <w:sz w:val="16"/>
                <w:szCs w:val="16"/>
                <w:b w:val="1"/>
                <w:bCs w:val="1"/>
                <w:color w:val="auto"/>
              </w:rPr>
              <w:t>Comprehensive income</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109.0</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93.8</w:t>
            </w:r>
          </w:p>
        </w:tc>
        <w:tc>
          <w:tcPr>
            <w:tcW w:w="1360" w:type="dxa"/>
            <w:vAlign w:val="bottom"/>
          </w:tcPr>
          <w:p>
            <w:pPr>
              <w:ind w:left="580"/>
              <w:spacing w:after="0"/>
              <w:rPr>
                <w:sz w:val="20"/>
                <w:szCs w:val="20"/>
                <w:color w:val="auto"/>
              </w:rPr>
            </w:pPr>
            <w:r>
              <w:rPr>
                <w:rFonts w:ascii="Arial" w:cs="Arial" w:eastAsia="Arial" w:hAnsi="Arial"/>
                <w:sz w:val="16"/>
                <w:szCs w:val="16"/>
                <w:color w:val="auto"/>
              </w:rPr>
              <w:t>NM*</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44"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 meaningful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Revenues</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Revenues increased by $988.6 million, or 18.1%, during 2018, as compared to 2017. The increase in revenues was primarily attributable to $858.1 million of incremental revenues from acquisitions, mainly GCA, as well as organic growth in B&amp;I, T&amp;M, Technical Solutions, and Aviation. This increase was partially offset by the sale of our Government Services business on May 31, 2017.</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Operating Expenses</w:t>
      </w:r>
    </w:p>
    <w:p>
      <w:pPr>
        <w:spacing w:after="0" w:line="17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Operating expenses increased by $866.2 million, or 17.7%, during 2018, as compared to 2017. The increase was primarily attributable to $763.1 million of incremental operating expenses from the GCA acquisition and an increase in wages and related personnel costs due to a tight labor market. Gross margin increased by 29 bps in 2018, as compared to 2017. The increase in gross margin was primarily associated with a lower self-insurance adjustment related to prior year claims as a result of actuarial studies, favorable margins in our U.S. Technical Solutions business, and the termination of an unprofitable Aviation contract in the third quarter of 2017, all partially offset by lower profit margins on certain B&amp;I accounts.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9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0046AD"/>
        </w:rPr>
        <w:t>Selling, General and Administrative Expenses</w:t>
      </w:r>
    </w:p>
    <w:p>
      <w:pPr>
        <w:spacing w:after="0" w:line="171" w:lineRule="exact"/>
        <w:rPr>
          <w:sz w:val="20"/>
          <w:szCs w:val="20"/>
          <w:color w:val="auto"/>
        </w:rPr>
      </w:pPr>
    </w:p>
    <w:p>
      <w:pPr>
        <w:ind w:right="20" w:firstLine="648"/>
        <w:spacing w:after="0" w:line="292" w:lineRule="auto"/>
        <w:rPr>
          <w:sz w:val="20"/>
          <w:szCs w:val="20"/>
          <w:color w:val="auto"/>
        </w:rPr>
      </w:pPr>
      <w:r>
        <w:rPr>
          <w:rFonts w:ascii="Arial" w:cs="Arial" w:eastAsia="Arial" w:hAnsi="Arial"/>
          <w:sz w:val="18"/>
          <w:szCs w:val="18"/>
          <w:color w:val="auto"/>
        </w:rPr>
        <w:t>Selling, general and administrative expenses increased by $1.4 million, or 0.3%, during 2018, as compared to 2017. The increase in selling, general and administrative expenses was primarily related to:</w:t>
      </w:r>
    </w:p>
    <w:p>
      <w:pPr>
        <w:spacing w:after="0" w:line="9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$32.9 million of incremental expenses related to the GCA acquisition;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$6.4 million increase in technology investments and related support;</w:t>
      </w:r>
    </w:p>
    <w:p>
      <w:pPr>
        <w:spacing w:after="0" w:line="171" w:lineRule="exact"/>
        <w:rPr>
          <w:rFonts w:ascii="Arial" w:cs="Arial" w:eastAsia="Arial" w:hAnsi="Arial"/>
          <w:sz w:val="18"/>
          <w:szCs w:val="18"/>
          <w:color w:val="auto"/>
        </w:rPr>
      </w:pPr>
    </w:p>
    <w:p>
      <w:pPr>
        <w:ind w:left="660" w:right="20" w:hanging="328"/>
        <w:spacing w:after="0" w:line="29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absence of a $3.2 million reimbursement of previously expensed fees associated with a concluded internal investigation into a foreign entity formerly affiliated with a joint venture during the prior year;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$3.2 million increase in expenses related to certain incentive plans due to the timing of awards.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partially offset by:</w:t>
      </w:r>
    </w:p>
    <w:p>
      <w:pPr>
        <w:spacing w:after="0" w:line="17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absence of $24.2 million of transaction expenses related to the GCA acquisition;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$3.4 million adjustment to decrease our medical and dental insurance reserves as a result of actuarial evaluations performed in 2018;</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$2.7 million decrease in rental expense due to office consolidations in the prior year;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$2.5 million decrease in travel and entertainment expenses;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$2.1 million decrease in legal settlement costs, net of a $7.0 million reimbursement of previously expensed legal settlement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$1.9 million of lower compensation and related expenses;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$1.5 million decrease in bad debt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Restructuring and Related Expenses</w:t>
      </w:r>
    </w:p>
    <w:p>
      <w:pPr>
        <w:spacing w:after="0" w:line="17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 xml:space="preserve">Restructuring and related expenses increased by $4.8 million, or 23.1%, during 2018, as compared to 2017, as a result of restructuring related to the GCA acquisition, partially offset by the completion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organizational realignment.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Amortization of Intangible Assets</w:t>
      </w:r>
    </w:p>
    <w:p>
      <w:pPr>
        <w:spacing w:after="0" w:line="171"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18"/>
          <w:szCs w:val="18"/>
          <w:color w:val="auto"/>
        </w:rPr>
        <w:t>Amortization of intangible assets increased by $34.4 million, during 2018, as compared to 2017, as a result of the amortization of acquired intangible assets associated with the GCA acquisition.</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Impairment Loss (Recovery)</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During 2018, we recorded impairment charges on goodwill and customer relationships related to our U.K. Technical Solutions business totaling $26.5 million, which primarily reflected the declining operating performance of this business due to adverse impacts of Brexit and the resulting effects on microeconomic conditions in the U.K. retail sector.</w:t>
      </w:r>
    </w:p>
    <w:p>
      <w:pPr>
        <w:spacing w:after="0" w:line="10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May 31, 2017, we sold our Government Services business for $ 35.5 million. Based on the initial offer of $35.0 million received during the second quarter of 2017, we recorded a $17.4 million impairment recovery to adjust the fair value of certain previously impaired assets. In connection with the sale, we recorded a pre-tax gain of approximately $1.2 million during the third quarter of 2017 due to a working capital settlement.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Interest Expense</w:t>
      </w:r>
    </w:p>
    <w:p>
      <w:pPr>
        <w:spacing w:after="0" w:line="171"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Interest expense increased by $34.9 million during 2018, as compared to 2017, primarily related to increased indebtedness incurred to fund the GCA acquisition and higher relative interest rates under our credit facility, partially offset by amortization of $2.5 million related to the interest rate swap gain.</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95"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0046AD"/>
        </w:rPr>
        <w:t>Income Taxes from Continuing Operations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effective tax rates on income from continuing operations during 2018 and 2017 were (9.4)% and 10.1%, respectively. Our effective rate for 2018 was impacted by the following discrete items: a $23.2 million benefit related to the Tax Act enactment; a $5.8 million benefit from expiring statutes of limitations; a $ 3.4 million benefit from the vesting of share-based compensation awards; a $2.8 million benefit for energy efficient government buildings; and a $1.0 million provision for certain tax credits, including WOTC. Our effective rate for 2017 was impacted by the following discrete items: a $17.8 million benefit from expiring statutes of limitations for uncertain tax positions; a $3.6 million benefit from the vesting of share-based compensation awards; a $1.9 million benefit for energy efficient government buildings; and the 2017 WOTC for new hires.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Discontinued Operations, Net of Taxes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2018, we had income from discontinued operations, net of taxes, of $1.8 million, compared with a loss from discontinued operations, net of taxes, of $74.3 million during 2017, a change of $76.1 million. This change was due to an insurance reimbursement on a legal settlement and collection of previously written off receivables, partially offset by union audit settlements during 2018, compared with a legal reserve established in the prior year in connection with certain legal settlement agreements.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Interest Rate Swaps and Other</w:t>
      </w:r>
    </w:p>
    <w:p>
      <w:pPr>
        <w:spacing w:after="0" w:line="17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During April 2018, we elected to terminate all of our interest rate swaps for cash proceeds of $25.9 million. The resulting gain is being amortized from AOCI to interest expense over the term of our Credit Facility.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Foreign Currency Translation</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2018, we recognized as a component of our comprehensive income a foreign currency translation loss of $4.7 million compared to a gain of $9.7 million during 2017. This change was related to the USD strengthening against the GBP during 2018. Future gains and losses on foreign currency translation will be dependent upon changes in the relative value of foreign currencies to the USD and the extent of our foreign assets and liabilities.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9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0046AD"/>
        </w:rPr>
        <w:t>Segment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Financial Information for Each Reportable Segment</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140" w:type="dxa"/>
            <w:vAlign w:val="bottom"/>
            <w:gridSpan w:val="5"/>
          </w:tcPr>
          <w:p>
            <w:pPr>
              <w:ind w:left="380"/>
              <w:spacing w:after="0"/>
              <w:rPr>
                <w:sz w:val="20"/>
                <w:szCs w:val="20"/>
                <w:color w:val="auto"/>
              </w:rPr>
            </w:pPr>
            <w:r>
              <w:rPr>
                <w:rFonts w:ascii="Arial" w:cs="Arial" w:eastAsia="Arial" w:hAnsi="Arial"/>
                <w:sz w:val="16"/>
                <w:szCs w:val="16"/>
                <w:b w:val="1"/>
                <w:bCs w:val="1"/>
                <w:color w:val="auto"/>
              </w:rPr>
              <w:t>Years Ended October 31,</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30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561"/>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56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gridSpan w:val="2"/>
          </w:tcPr>
          <w:p>
            <w:pPr>
              <w:ind w:left="200"/>
              <w:spacing w:after="0"/>
              <w:rPr>
                <w:sz w:val="20"/>
                <w:szCs w:val="20"/>
                <w:color w:val="auto"/>
              </w:rPr>
            </w:pPr>
            <w:r>
              <w:rPr>
                <w:rFonts w:ascii="Arial" w:cs="Arial" w:eastAsia="Arial" w:hAnsi="Arial"/>
                <w:sz w:val="16"/>
                <w:szCs w:val="16"/>
                <w:b w:val="1"/>
                <w:bCs w:val="1"/>
                <w:color w:val="auto"/>
              </w:rPr>
              <w:t>Increase / (Decrease)</w:t>
            </w:r>
          </w:p>
        </w:tc>
        <w:tc>
          <w:tcPr>
            <w:tcW w:w="0" w:type="dxa"/>
            <w:vAlign w:val="bottom"/>
          </w:tcPr>
          <w:p>
            <w:pPr>
              <w:spacing w:after="0"/>
              <w:rPr>
                <w:sz w:val="1"/>
                <w:szCs w:val="1"/>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444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300" w:type="dxa"/>
            <w:vAlign w:val="bottom"/>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Revenues</w:t>
            </w:r>
          </w:p>
        </w:tc>
        <w:tc>
          <w:tcPr>
            <w:tcW w:w="380" w:type="dxa"/>
            <w:vAlign w:val="bottom"/>
            <w:shd w:val="clear" w:color="auto" w:fill="DCE2EF"/>
          </w:tcPr>
          <w:p>
            <w:pPr>
              <w:spacing w:after="0"/>
              <w:rPr>
                <w:sz w:val="22"/>
                <w:szCs w:val="22"/>
                <w:color w:val="auto"/>
              </w:rPr>
            </w:pPr>
          </w:p>
        </w:tc>
        <w:tc>
          <w:tcPr>
            <w:tcW w:w="126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380" w:type="dxa"/>
            <w:vAlign w:val="bottom"/>
            <w:shd w:val="clear" w:color="auto" w:fill="DCE2EF"/>
          </w:tcPr>
          <w:p>
            <w:pPr>
              <w:spacing w:after="0"/>
              <w:rPr>
                <w:sz w:val="22"/>
                <w:szCs w:val="22"/>
                <w:color w:val="auto"/>
              </w:rPr>
            </w:pPr>
          </w:p>
        </w:tc>
        <w:tc>
          <w:tcPr>
            <w:tcW w:w="126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300" w:type="dxa"/>
            <w:vAlign w:val="bottom"/>
            <w:shd w:val="clear" w:color="auto" w:fill="DCE2EF"/>
          </w:tcPr>
          <w:p>
            <w:pPr>
              <w:spacing w:after="0"/>
              <w:rPr>
                <w:sz w:val="22"/>
                <w:szCs w:val="22"/>
                <w:color w:val="auto"/>
              </w:rPr>
            </w:pPr>
          </w:p>
        </w:tc>
        <w:tc>
          <w:tcPr>
            <w:tcW w:w="940" w:type="dxa"/>
            <w:vAlign w:val="bottom"/>
            <w:shd w:val="clear" w:color="auto" w:fill="DCE2EF"/>
          </w:tcPr>
          <w:p>
            <w:pPr>
              <w:spacing w:after="0"/>
              <w:rPr>
                <w:sz w:val="22"/>
                <w:szCs w:val="22"/>
                <w:color w:val="auto"/>
              </w:rPr>
            </w:pPr>
          </w:p>
        </w:tc>
        <w:tc>
          <w:tcPr>
            <w:tcW w:w="1360" w:type="dxa"/>
            <w:vAlign w:val="bottom"/>
            <w:shd w:val="clear" w:color="auto" w:fill="DCE2EF"/>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5300" w:type="dxa"/>
            <w:vAlign w:val="bottom"/>
            <w:gridSpan w:val="3"/>
          </w:tcPr>
          <w:p>
            <w:pPr>
              <w:ind w:left="40"/>
              <w:spacing w:after="0"/>
              <w:rPr>
                <w:sz w:val="20"/>
                <w:szCs w:val="20"/>
                <w:color w:val="auto"/>
              </w:rPr>
            </w:pPr>
            <w:r>
              <w:rPr>
                <w:rFonts w:ascii="Arial" w:cs="Arial" w:eastAsia="Arial" w:hAnsi="Arial"/>
                <w:sz w:val="16"/>
                <w:szCs w:val="16"/>
                <w:color w:val="auto"/>
              </w:rPr>
              <w:t>Business &amp; Industry</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81"/>
              <w:spacing w:after="0"/>
              <w:rPr>
                <w:sz w:val="20"/>
                <w:szCs w:val="20"/>
                <w:color w:val="auto"/>
              </w:rPr>
            </w:pPr>
            <w:r>
              <w:rPr>
                <w:rFonts w:ascii="Arial" w:cs="Arial" w:eastAsia="Arial" w:hAnsi="Arial"/>
                <w:sz w:val="16"/>
                <w:szCs w:val="16"/>
                <w:color w:val="auto"/>
              </w:rPr>
              <w:t>3,268.4</w:t>
            </w:r>
          </w:p>
        </w:tc>
        <w:tc>
          <w:tcPr>
            <w:tcW w:w="12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81"/>
              <w:spacing w:after="0"/>
              <w:rPr>
                <w:sz w:val="20"/>
                <w:szCs w:val="20"/>
                <w:color w:val="auto"/>
              </w:rPr>
            </w:pPr>
            <w:r>
              <w:rPr>
                <w:rFonts w:ascii="Arial" w:cs="Arial" w:eastAsia="Arial" w:hAnsi="Arial"/>
                <w:sz w:val="16"/>
                <w:szCs w:val="16"/>
                <w:color w:val="auto"/>
              </w:rPr>
              <w:t>2,939.4</w:t>
            </w:r>
          </w:p>
        </w:tc>
        <w:tc>
          <w:tcPr>
            <w:tcW w:w="12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329.0</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96"/>
              </w:rPr>
              <w:t>11.2%</w:t>
            </w:r>
          </w:p>
        </w:tc>
        <w:tc>
          <w:tcPr>
            <w:tcW w:w="0" w:type="dxa"/>
            <w:vAlign w:val="bottom"/>
          </w:tcPr>
          <w:p>
            <w:pPr>
              <w:spacing w:after="0"/>
              <w:rPr>
                <w:sz w:val="1"/>
                <w:szCs w:val="1"/>
                <w:color w:val="auto"/>
              </w:rPr>
            </w:pPr>
          </w:p>
        </w:tc>
      </w:tr>
      <w:tr>
        <w:trPr>
          <w:trHeight w:val="258"/>
        </w:trPr>
        <w:tc>
          <w:tcPr>
            <w:tcW w:w="40" w:type="dxa"/>
            <w:vAlign w:val="bottom"/>
            <w:tcBorders>
              <w:bottom w:val="single" w:sz="8" w:color="DCE2EF"/>
            </w:tcBorders>
            <w:shd w:val="clear" w:color="auto" w:fill="DCE2EF"/>
          </w:tcPr>
          <w:p>
            <w:pPr>
              <w:spacing w:after="0"/>
              <w:rPr>
                <w:sz w:val="22"/>
                <w:szCs w:val="22"/>
                <w:color w:val="auto"/>
              </w:rPr>
            </w:pPr>
          </w:p>
        </w:tc>
        <w:tc>
          <w:tcPr>
            <w:tcW w:w="82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6"/>
                <w:szCs w:val="16"/>
                <w:color w:val="auto"/>
                <w:shd w:val="clear" w:color="auto" w:fill="DCE2EF"/>
              </w:rPr>
              <w:t>Aviation</w:t>
            </w:r>
          </w:p>
        </w:tc>
        <w:tc>
          <w:tcPr>
            <w:tcW w:w="4440" w:type="dxa"/>
            <w:vAlign w:val="bottom"/>
            <w:tcBorders>
              <w:bottom w:val="single" w:sz="8" w:color="DCE2EF"/>
            </w:tcBorders>
            <w:shd w:val="clear" w:color="auto" w:fill="DCE2EF"/>
          </w:tcPr>
          <w:p>
            <w:pPr>
              <w:spacing w:after="0"/>
              <w:rPr>
                <w:sz w:val="22"/>
                <w:szCs w:val="22"/>
                <w:color w:val="auto"/>
              </w:rPr>
            </w:pPr>
          </w:p>
        </w:tc>
        <w:tc>
          <w:tcPr>
            <w:tcW w:w="380" w:type="dxa"/>
            <w:vAlign w:val="bottom"/>
            <w:tcBorders>
              <w:bottom w:val="single" w:sz="8" w:color="DCE2EF"/>
            </w:tcBorders>
            <w:shd w:val="clear" w:color="auto" w:fill="DCE2EF"/>
          </w:tcPr>
          <w:p>
            <w:pPr>
              <w:spacing w:after="0"/>
              <w:rPr>
                <w:sz w:val="22"/>
                <w:szCs w:val="22"/>
                <w:color w:val="auto"/>
              </w:rPr>
            </w:pPr>
          </w:p>
        </w:tc>
        <w:tc>
          <w:tcPr>
            <w:tcW w:w="1260" w:type="dxa"/>
            <w:vAlign w:val="bottom"/>
            <w:tcBorders>
              <w:bottom w:val="single" w:sz="8" w:color="DCE2EF"/>
            </w:tcBorders>
            <w:shd w:val="clear" w:color="auto" w:fill="DCE2EF"/>
          </w:tcPr>
          <w:p>
            <w:pPr>
              <w:jc w:val="right"/>
              <w:ind w:right="81"/>
              <w:spacing w:after="0"/>
              <w:rPr>
                <w:sz w:val="20"/>
                <w:szCs w:val="20"/>
                <w:color w:val="auto"/>
              </w:rPr>
            </w:pPr>
            <w:r>
              <w:rPr>
                <w:rFonts w:ascii="Arial" w:cs="Arial" w:eastAsia="Arial" w:hAnsi="Arial"/>
                <w:sz w:val="16"/>
                <w:szCs w:val="16"/>
                <w:color w:val="auto"/>
              </w:rPr>
              <w:t>1,038.7</w:t>
            </w:r>
          </w:p>
        </w:tc>
        <w:tc>
          <w:tcPr>
            <w:tcW w:w="120" w:type="dxa"/>
            <w:vAlign w:val="bottom"/>
            <w:tcBorders>
              <w:bottom w:val="single" w:sz="8" w:color="DCE2EF"/>
            </w:tcBorders>
            <w:shd w:val="clear" w:color="auto" w:fill="DCE2EF"/>
          </w:tcPr>
          <w:p>
            <w:pPr>
              <w:spacing w:after="0"/>
              <w:rPr>
                <w:sz w:val="22"/>
                <w:szCs w:val="22"/>
                <w:color w:val="auto"/>
              </w:rPr>
            </w:pPr>
          </w:p>
        </w:tc>
        <w:tc>
          <w:tcPr>
            <w:tcW w:w="380" w:type="dxa"/>
            <w:vAlign w:val="bottom"/>
            <w:tcBorders>
              <w:bottom w:val="single" w:sz="8" w:color="DCE2EF"/>
            </w:tcBorders>
            <w:shd w:val="clear" w:color="auto" w:fill="DCE2EF"/>
          </w:tcPr>
          <w:p>
            <w:pPr>
              <w:spacing w:after="0"/>
              <w:rPr>
                <w:sz w:val="22"/>
                <w:szCs w:val="22"/>
                <w:color w:val="auto"/>
              </w:rPr>
            </w:pPr>
          </w:p>
        </w:tc>
        <w:tc>
          <w:tcPr>
            <w:tcW w:w="1260" w:type="dxa"/>
            <w:vAlign w:val="bottom"/>
            <w:tcBorders>
              <w:bottom w:val="single" w:sz="8" w:color="DCE2EF"/>
            </w:tcBorders>
            <w:shd w:val="clear" w:color="auto" w:fill="DCE2EF"/>
          </w:tcPr>
          <w:p>
            <w:pPr>
              <w:jc w:val="right"/>
              <w:ind w:right="81"/>
              <w:spacing w:after="0"/>
              <w:rPr>
                <w:sz w:val="20"/>
                <w:szCs w:val="20"/>
                <w:color w:val="auto"/>
              </w:rPr>
            </w:pPr>
            <w:r>
              <w:rPr>
                <w:rFonts w:ascii="Arial" w:cs="Arial" w:eastAsia="Arial" w:hAnsi="Arial"/>
                <w:sz w:val="16"/>
                <w:szCs w:val="16"/>
                <w:color w:val="auto"/>
              </w:rPr>
              <w:t>1,003.0</w:t>
            </w:r>
          </w:p>
        </w:tc>
        <w:tc>
          <w:tcPr>
            <w:tcW w:w="120" w:type="dxa"/>
            <w:vAlign w:val="bottom"/>
            <w:tcBorders>
              <w:bottom w:val="single" w:sz="8" w:color="DCE2EF"/>
            </w:tcBorders>
            <w:shd w:val="clear" w:color="auto" w:fill="DCE2EF"/>
          </w:tcPr>
          <w:p>
            <w:pPr>
              <w:spacing w:after="0"/>
              <w:rPr>
                <w:sz w:val="22"/>
                <w:szCs w:val="22"/>
                <w:color w:val="auto"/>
              </w:rPr>
            </w:pPr>
          </w:p>
        </w:tc>
        <w:tc>
          <w:tcPr>
            <w:tcW w:w="300" w:type="dxa"/>
            <w:vAlign w:val="bottom"/>
            <w:tcBorders>
              <w:bottom w:val="single" w:sz="8" w:color="DCE2EF"/>
            </w:tcBorders>
            <w:shd w:val="clear" w:color="auto" w:fill="DCE2EF"/>
          </w:tcPr>
          <w:p>
            <w:pPr>
              <w:spacing w:after="0"/>
              <w:rPr>
                <w:sz w:val="22"/>
                <w:szCs w:val="22"/>
                <w:color w:val="auto"/>
              </w:rPr>
            </w:pPr>
          </w:p>
        </w:tc>
        <w:tc>
          <w:tcPr>
            <w:tcW w:w="940" w:type="dxa"/>
            <w:vAlign w:val="bottom"/>
            <w:tcBorders>
              <w:bottom w:val="single" w:sz="8" w:color="DCE2EF"/>
            </w:tcBorders>
            <w:shd w:val="clear" w:color="auto" w:fill="DCE2EF"/>
          </w:tcPr>
          <w:p>
            <w:pPr>
              <w:jc w:val="right"/>
              <w:ind w:right="21"/>
              <w:spacing w:after="0"/>
              <w:rPr>
                <w:sz w:val="20"/>
                <w:szCs w:val="20"/>
                <w:color w:val="auto"/>
              </w:rPr>
            </w:pPr>
            <w:r>
              <w:rPr>
                <w:rFonts w:ascii="Arial" w:cs="Arial" w:eastAsia="Arial" w:hAnsi="Arial"/>
                <w:sz w:val="16"/>
                <w:szCs w:val="16"/>
                <w:color w:val="auto"/>
              </w:rPr>
              <w:t>35.7</w:t>
            </w:r>
          </w:p>
        </w:tc>
        <w:tc>
          <w:tcPr>
            <w:tcW w:w="1360" w:type="dxa"/>
            <w:vAlign w:val="bottom"/>
            <w:tcBorders>
              <w:bottom w:val="single" w:sz="8" w:color="DCE2EF"/>
            </w:tcBorders>
            <w:shd w:val="clear" w:color="auto" w:fill="DCE2EF"/>
          </w:tcPr>
          <w:p>
            <w:pPr>
              <w:jc w:val="center"/>
              <w:ind w:left="39"/>
              <w:spacing w:after="0"/>
              <w:rPr>
                <w:sz w:val="20"/>
                <w:szCs w:val="20"/>
                <w:color w:val="auto"/>
              </w:rPr>
            </w:pPr>
            <w:r>
              <w:rPr>
                <w:rFonts w:ascii="Arial" w:cs="Arial" w:eastAsia="Arial" w:hAnsi="Arial"/>
                <w:sz w:val="16"/>
                <w:szCs w:val="16"/>
                <w:color w:val="auto"/>
                <w:w w:val="98"/>
              </w:rPr>
              <w:t>3.6%</w:t>
            </w:r>
          </w:p>
        </w:tc>
        <w:tc>
          <w:tcPr>
            <w:tcW w:w="0" w:type="dxa"/>
            <w:vAlign w:val="bottom"/>
          </w:tcPr>
          <w:p>
            <w:pPr>
              <w:spacing w:after="0"/>
              <w:rPr>
                <w:sz w:val="1"/>
                <w:szCs w:val="1"/>
                <w:color w:val="auto"/>
              </w:rPr>
            </w:pPr>
          </w:p>
        </w:tc>
      </w:tr>
      <w:tr>
        <w:trPr>
          <w:trHeight w:val="262"/>
        </w:trPr>
        <w:tc>
          <w:tcPr>
            <w:tcW w:w="5300" w:type="dxa"/>
            <w:vAlign w:val="bottom"/>
            <w:gridSpan w:val="3"/>
          </w:tcPr>
          <w:p>
            <w:pPr>
              <w:ind w:left="40"/>
              <w:spacing w:after="0"/>
              <w:rPr>
                <w:sz w:val="20"/>
                <w:szCs w:val="20"/>
                <w:color w:val="auto"/>
              </w:rPr>
            </w:pPr>
            <w:r>
              <w:rPr>
                <w:rFonts w:ascii="Arial" w:cs="Arial" w:eastAsia="Arial" w:hAnsi="Arial"/>
                <w:sz w:val="16"/>
                <w:szCs w:val="16"/>
                <w:color w:val="auto"/>
              </w:rPr>
              <w:t>Technology &amp; Manufacturing</w:t>
            </w:r>
          </w:p>
        </w:tc>
        <w:tc>
          <w:tcPr>
            <w:tcW w:w="380" w:type="dxa"/>
            <w:vAlign w:val="bottom"/>
          </w:tcPr>
          <w:p>
            <w:pPr>
              <w:spacing w:after="0"/>
              <w:rPr>
                <w:sz w:val="22"/>
                <w:szCs w:val="22"/>
                <w:color w:val="auto"/>
              </w:rPr>
            </w:pPr>
          </w:p>
        </w:tc>
        <w:tc>
          <w:tcPr>
            <w:tcW w:w="1260" w:type="dxa"/>
            <w:vAlign w:val="bottom"/>
          </w:tcPr>
          <w:p>
            <w:pPr>
              <w:jc w:val="right"/>
              <w:ind w:right="81"/>
              <w:spacing w:after="0"/>
              <w:rPr>
                <w:sz w:val="20"/>
                <w:szCs w:val="20"/>
                <w:color w:val="auto"/>
              </w:rPr>
            </w:pPr>
            <w:r>
              <w:rPr>
                <w:rFonts w:ascii="Arial" w:cs="Arial" w:eastAsia="Arial" w:hAnsi="Arial"/>
                <w:sz w:val="16"/>
                <w:szCs w:val="16"/>
                <w:color w:val="auto"/>
              </w:rPr>
              <w:t>925.4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81"/>
              <w:spacing w:after="0"/>
              <w:rPr>
                <w:sz w:val="20"/>
                <w:szCs w:val="20"/>
                <w:color w:val="auto"/>
              </w:rPr>
            </w:pPr>
            <w:r>
              <w:rPr>
                <w:rFonts w:ascii="Arial" w:cs="Arial" w:eastAsia="Arial" w:hAnsi="Arial"/>
                <w:sz w:val="16"/>
                <w:szCs w:val="16"/>
                <w:color w:val="auto"/>
              </w:rPr>
              <w:t>698.1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227.3</w:t>
            </w:r>
          </w:p>
        </w:tc>
        <w:tc>
          <w:tcPr>
            <w:tcW w:w="1360" w:type="dxa"/>
            <w:vAlign w:val="bottom"/>
          </w:tcPr>
          <w:p>
            <w:pPr>
              <w:jc w:val="center"/>
              <w:ind w:left="19"/>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58"/>
        </w:trPr>
        <w:tc>
          <w:tcPr>
            <w:tcW w:w="40" w:type="dxa"/>
            <w:vAlign w:val="bottom"/>
            <w:tcBorders>
              <w:bottom w:val="single" w:sz="8" w:color="DCE2EF"/>
            </w:tcBorders>
            <w:shd w:val="clear" w:color="auto" w:fill="DCE2EF"/>
          </w:tcPr>
          <w:p>
            <w:pPr>
              <w:spacing w:after="0"/>
              <w:rPr>
                <w:sz w:val="22"/>
                <w:szCs w:val="22"/>
                <w:color w:val="auto"/>
              </w:rPr>
            </w:pPr>
          </w:p>
        </w:tc>
        <w:tc>
          <w:tcPr>
            <w:tcW w:w="82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6"/>
                <w:szCs w:val="16"/>
                <w:color w:val="auto"/>
                <w:shd w:val="clear" w:color="auto" w:fill="DCE2EF"/>
              </w:rPr>
              <w:t>Education</w:t>
            </w:r>
          </w:p>
        </w:tc>
        <w:tc>
          <w:tcPr>
            <w:tcW w:w="4440" w:type="dxa"/>
            <w:vAlign w:val="bottom"/>
            <w:tcBorders>
              <w:bottom w:val="single" w:sz="8" w:color="DCE2EF"/>
            </w:tcBorders>
            <w:shd w:val="clear" w:color="auto" w:fill="DCE2EF"/>
          </w:tcPr>
          <w:p>
            <w:pPr>
              <w:spacing w:after="0"/>
              <w:rPr>
                <w:sz w:val="22"/>
                <w:szCs w:val="22"/>
                <w:color w:val="auto"/>
              </w:rPr>
            </w:pPr>
          </w:p>
        </w:tc>
        <w:tc>
          <w:tcPr>
            <w:tcW w:w="380" w:type="dxa"/>
            <w:vAlign w:val="bottom"/>
            <w:tcBorders>
              <w:bottom w:val="single" w:sz="8" w:color="DCE2EF"/>
            </w:tcBorders>
            <w:shd w:val="clear" w:color="auto" w:fill="DCE2EF"/>
          </w:tcPr>
          <w:p>
            <w:pPr>
              <w:spacing w:after="0"/>
              <w:rPr>
                <w:sz w:val="22"/>
                <w:szCs w:val="22"/>
                <w:color w:val="auto"/>
              </w:rPr>
            </w:pPr>
          </w:p>
        </w:tc>
        <w:tc>
          <w:tcPr>
            <w:tcW w:w="1260" w:type="dxa"/>
            <w:vAlign w:val="bottom"/>
            <w:tcBorders>
              <w:bottom w:val="single" w:sz="8" w:color="DCE2EF"/>
            </w:tcBorders>
            <w:shd w:val="clear" w:color="auto" w:fill="DCE2EF"/>
          </w:tcPr>
          <w:p>
            <w:pPr>
              <w:jc w:val="right"/>
              <w:ind w:right="81"/>
              <w:spacing w:after="0"/>
              <w:rPr>
                <w:sz w:val="20"/>
                <w:szCs w:val="20"/>
                <w:color w:val="auto"/>
              </w:rPr>
            </w:pPr>
            <w:r>
              <w:rPr>
                <w:rFonts w:ascii="Arial" w:cs="Arial" w:eastAsia="Arial" w:hAnsi="Arial"/>
                <w:sz w:val="16"/>
                <w:szCs w:val="16"/>
                <w:color w:val="auto"/>
              </w:rPr>
              <w:t>856.7</w:t>
            </w:r>
          </w:p>
        </w:tc>
        <w:tc>
          <w:tcPr>
            <w:tcW w:w="120" w:type="dxa"/>
            <w:vAlign w:val="bottom"/>
            <w:tcBorders>
              <w:bottom w:val="single" w:sz="8" w:color="DCE2EF"/>
            </w:tcBorders>
            <w:shd w:val="clear" w:color="auto" w:fill="DCE2EF"/>
          </w:tcPr>
          <w:p>
            <w:pPr>
              <w:spacing w:after="0"/>
              <w:rPr>
                <w:sz w:val="22"/>
                <w:szCs w:val="22"/>
                <w:color w:val="auto"/>
              </w:rPr>
            </w:pPr>
          </w:p>
        </w:tc>
        <w:tc>
          <w:tcPr>
            <w:tcW w:w="380" w:type="dxa"/>
            <w:vAlign w:val="bottom"/>
            <w:tcBorders>
              <w:bottom w:val="single" w:sz="8" w:color="DCE2EF"/>
            </w:tcBorders>
            <w:shd w:val="clear" w:color="auto" w:fill="DCE2EF"/>
          </w:tcPr>
          <w:p>
            <w:pPr>
              <w:spacing w:after="0"/>
              <w:rPr>
                <w:sz w:val="22"/>
                <w:szCs w:val="22"/>
                <w:color w:val="auto"/>
              </w:rPr>
            </w:pPr>
          </w:p>
        </w:tc>
        <w:tc>
          <w:tcPr>
            <w:tcW w:w="1260" w:type="dxa"/>
            <w:vAlign w:val="bottom"/>
            <w:tcBorders>
              <w:bottom w:val="single" w:sz="8" w:color="DCE2EF"/>
            </w:tcBorders>
            <w:shd w:val="clear" w:color="auto" w:fill="DCE2EF"/>
          </w:tcPr>
          <w:p>
            <w:pPr>
              <w:jc w:val="right"/>
              <w:ind w:right="81"/>
              <w:spacing w:after="0"/>
              <w:rPr>
                <w:sz w:val="20"/>
                <w:szCs w:val="20"/>
                <w:color w:val="auto"/>
              </w:rPr>
            </w:pPr>
            <w:r>
              <w:rPr>
                <w:rFonts w:ascii="Arial" w:cs="Arial" w:eastAsia="Arial" w:hAnsi="Arial"/>
                <w:sz w:val="16"/>
                <w:szCs w:val="16"/>
                <w:color w:val="auto"/>
              </w:rPr>
              <w:t>368.8</w:t>
            </w:r>
          </w:p>
        </w:tc>
        <w:tc>
          <w:tcPr>
            <w:tcW w:w="120" w:type="dxa"/>
            <w:vAlign w:val="bottom"/>
            <w:tcBorders>
              <w:bottom w:val="single" w:sz="8" w:color="DCE2EF"/>
            </w:tcBorders>
            <w:shd w:val="clear" w:color="auto" w:fill="DCE2EF"/>
          </w:tcPr>
          <w:p>
            <w:pPr>
              <w:spacing w:after="0"/>
              <w:rPr>
                <w:sz w:val="22"/>
                <w:szCs w:val="22"/>
                <w:color w:val="auto"/>
              </w:rPr>
            </w:pPr>
          </w:p>
        </w:tc>
        <w:tc>
          <w:tcPr>
            <w:tcW w:w="300" w:type="dxa"/>
            <w:vAlign w:val="bottom"/>
            <w:tcBorders>
              <w:bottom w:val="single" w:sz="8" w:color="DCE2EF"/>
            </w:tcBorders>
            <w:shd w:val="clear" w:color="auto" w:fill="DCE2EF"/>
          </w:tcPr>
          <w:p>
            <w:pPr>
              <w:spacing w:after="0"/>
              <w:rPr>
                <w:sz w:val="22"/>
                <w:szCs w:val="22"/>
                <w:color w:val="auto"/>
              </w:rPr>
            </w:pPr>
          </w:p>
        </w:tc>
        <w:tc>
          <w:tcPr>
            <w:tcW w:w="940" w:type="dxa"/>
            <w:vAlign w:val="bottom"/>
            <w:tcBorders>
              <w:bottom w:val="single" w:sz="8" w:color="DCE2EF"/>
            </w:tcBorders>
            <w:shd w:val="clear" w:color="auto" w:fill="DCE2EF"/>
          </w:tcPr>
          <w:p>
            <w:pPr>
              <w:jc w:val="right"/>
              <w:ind w:right="21"/>
              <w:spacing w:after="0"/>
              <w:rPr>
                <w:sz w:val="20"/>
                <w:szCs w:val="20"/>
                <w:color w:val="auto"/>
              </w:rPr>
            </w:pPr>
            <w:r>
              <w:rPr>
                <w:rFonts w:ascii="Arial" w:cs="Arial" w:eastAsia="Arial" w:hAnsi="Arial"/>
                <w:sz w:val="16"/>
                <w:szCs w:val="16"/>
                <w:color w:val="auto"/>
              </w:rPr>
              <w:t>487.9</w:t>
            </w:r>
          </w:p>
        </w:tc>
        <w:tc>
          <w:tcPr>
            <w:tcW w:w="1360" w:type="dxa"/>
            <w:vAlign w:val="bottom"/>
            <w:tcBorders>
              <w:bottom w:val="single" w:sz="8" w:color="DCE2EF"/>
            </w:tcBorders>
            <w:shd w:val="clear" w:color="auto" w:fill="DCE2EF"/>
          </w:tcPr>
          <w:p>
            <w:pPr>
              <w:ind w:left="58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62"/>
        </w:trPr>
        <w:tc>
          <w:tcPr>
            <w:tcW w:w="5300" w:type="dxa"/>
            <w:vAlign w:val="bottom"/>
            <w:gridSpan w:val="3"/>
          </w:tcPr>
          <w:p>
            <w:pPr>
              <w:ind w:left="40"/>
              <w:spacing w:after="0"/>
              <w:rPr>
                <w:sz w:val="20"/>
                <w:szCs w:val="20"/>
                <w:color w:val="auto"/>
              </w:rPr>
            </w:pPr>
            <w:r>
              <w:rPr>
                <w:rFonts w:ascii="Arial" w:cs="Arial" w:eastAsia="Arial" w:hAnsi="Arial"/>
                <w:sz w:val="16"/>
                <w:szCs w:val="16"/>
                <w:color w:val="auto"/>
              </w:rPr>
              <w:t>Technical Solutions</w:t>
            </w:r>
          </w:p>
        </w:tc>
        <w:tc>
          <w:tcPr>
            <w:tcW w:w="380" w:type="dxa"/>
            <w:vAlign w:val="bottom"/>
          </w:tcPr>
          <w:p>
            <w:pPr>
              <w:spacing w:after="0"/>
              <w:rPr>
                <w:sz w:val="22"/>
                <w:szCs w:val="22"/>
                <w:color w:val="auto"/>
              </w:rPr>
            </w:pPr>
          </w:p>
        </w:tc>
        <w:tc>
          <w:tcPr>
            <w:tcW w:w="1260" w:type="dxa"/>
            <w:vAlign w:val="bottom"/>
          </w:tcPr>
          <w:p>
            <w:pPr>
              <w:jc w:val="right"/>
              <w:ind w:right="81"/>
              <w:spacing w:after="0"/>
              <w:rPr>
                <w:sz w:val="20"/>
                <w:szCs w:val="20"/>
                <w:color w:val="auto"/>
              </w:rPr>
            </w:pPr>
            <w:r>
              <w:rPr>
                <w:rFonts w:ascii="Arial" w:cs="Arial" w:eastAsia="Arial" w:hAnsi="Arial"/>
                <w:sz w:val="16"/>
                <w:szCs w:val="16"/>
                <w:color w:val="auto"/>
              </w:rPr>
              <w:t>500.1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81"/>
              <w:spacing w:after="0"/>
              <w:rPr>
                <w:sz w:val="20"/>
                <w:szCs w:val="20"/>
                <w:color w:val="auto"/>
              </w:rPr>
            </w:pPr>
            <w:r>
              <w:rPr>
                <w:rFonts w:ascii="Arial" w:cs="Arial" w:eastAsia="Arial" w:hAnsi="Arial"/>
                <w:sz w:val="16"/>
                <w:szCs w:val="16"/>
                <w:color w:val="auto"/>
              </w:rPr>
              <w:t>473.4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26.7</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98"/>
              </w:rPr>
              <w:t>5.6%</w:t>
            </w:r>
          </w:p>
        </w:tc>
        <w:tc>
          <w:tcPr>
            <w:tcW w:w="0" w:type="dxa"/>
            <w:vAlign w:val="bottom"/>
          </w:tcPr>
          <w:p>
            <w:pPr>
              <w:spacing w:after="0"/>
              <w:rPr>
                <w:sz w:val="1"/>
                <w:szCs w:val="1"/>
                <w:color w:val="auto"/>
              </w:rPr>
            </w:pPr>
          </w:p>
        </w:tc>
      </w:tr>
      <w:tr>
        <w:trPr>
          <w:trHeight w:val="258"/>
        </w:trPr>
        <w:tc>
          <w:tcPr>
            <w:tcW w:w="40" w:type="dxa"/>
            <w:vAlign w:val="bottom"/>
            <w:tcBorders>
              <w:bottom w:val="single" w:sz="8" w:color="DCE2EF"/>
            </w:tcBorders>
            <w:shd w:val="clear" w:color="auto" w:fill="DCE2EF"/>
          </w:tcPr>
          <w:p>
            <w:pPr>
              <w:spacing w:after="0"/>
              <w:rPr>
                <w:sz w:val="22"/>
                <w:szCs w:val="22"/>
                <w:color w:val="auto"/>
              </w:rPr>
            </w:pPr>
          </w:p>
        </w:tc>
        <w:tc>
          <w:tcPr>
            <w:tcW w:w="526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6"/>
                <w:szCs w:val="16"/>
                <w:color w:val="auto"/>
                <w:shd w:val="clear" w:color="auto" w:fill="DCE2EF"/>
              </w:rPr>
              <w:t>Government Services</w:t>
            </w:r>
          </w:p>
        </w:tc>
        <w:tc>
          <w:tcPr>
            <w:tcW w:w="380" w:type="dxa"/>
            <w:vAlign w:val="bottom"/>
            <w:tcBorders>
              <w:bottom w:val="single" w:sz="8" w:color="DCE2EF"/>
            </w:tcBorders>
            <w:shd w:val="clear" w:color="auto" w:fill="DCE2EF"/>
          </w:tcPr>
          <w:p>
            <w:pPr>
              <w:spacing w:after="0"/>
              <w:rPr>
                <w:sz w:val="22"/>
                <w:szCs w:val="22"/>
                <w:color w:val="auto"/>
              </w:rPr>
            </w:pPr>
          </w:p>
        </w:tc>
        <w:tc>
          <w:tcPr>
            <w:tcW w:w="1380" w:type="dxa"/>
            <w:vAlign w:val="bottom"/>
            <w:tcBorders>
              <w:bottom w:val="single" w:sz="8" w:color="DCE2EF"/>
            </w:tcBorders>
            <w:gridSpan w:val="2"/>
            <w:shd w:val="clear" w:color="auto" w:fill="DCE2EF"/>
          </w:tcPr>
          <w:p>
            <w:pPr>
              <w:jc w:val="right"/>
              <w:ind w:right="28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DCE2EF"/>
            </w:tcBorders>
            <w:shd w:val="clear" w:color="auto" w:fill="DCE2EF"/>
          </w:tcPr>
          <w:p>
            <w:pPr>
              <w:spacing w:after="0"/>
              <w:rPr>
                <w:sz w:val="22"/>
                <w:szCs w:val="22"/>
                <w:color w:val="auto"/>
              </w:rPr>
            </w:pPr>
          </w:p>
        </w:tc>
        <w:tc>
          <w:tcPr>
            <w:tcW w:w="1260" w:type="dxa"/>
            <w:vAlign w:val="bottom"/>
            <w:tcBorders>
              <w:bottom w:val="single" w:sz="8" w:color="DCE2EF"/>
            </w:tcBorders>
            <w:shd w:val="clear" w:color="auto" w:fill="DCE2EF"/>
          </w:tcPr>
          <w:p>
            <w:pPr>
              <w:jc w:val="right"/>
              <w:ind w:right="81"/>
              <w:spacing w:after="0"/>
              <w:rPr>
                <w:sz w:val="20"/>
                <w:szCs w:val="20"/>
                <w:color w:val="auto"/>
              </w:rPr>
            </w:pPr>
            <w:r>
              <w:rPr>
                <w:rFonts w:ascii="Arial" w:cs="Arial" w:eastAsia="Arial" w:hAnsi="Arial"/>
                <w:sz w:val="16"/>
                <w:szCs w:val="16"/>
                <w:color w:val="auto"/>
              </w:rPr>
              <w:t>86.5</w:t>
            </w:r>
          </w:p>
        </w:tc>
        <w:tc>
          <w:tcPr>
            <w:tcW w:w="120" w:type="dxa"/>
            <w:vAlign w:val="bottom"/>
            <w:tcBorders>
              <w:bottom w:val="single" w:sz="8" w:color="DCE2EF"/>
            </w:tcBorders>
            <w:shd w:val="clear" w:color="auto" w:fill="DCE2EF"/>
          </w:tcPr>
          <w:p>
            <w:pPr>
              <w:spacing w:after="0"/>
              <w:rPr>
                <w:sz w:val="22"/>
                <w:szCs w:val="22"/>
                <w:color w:val="auto"/>
              </w:rPr>
            </w:pPr>
          </w:p>
        </w:tc>
        <w:tc>
          <w:tcPr>
            <w:tcW w:w="300" w:type="dxa"/>
            <w:vAlign w:val="bottom"/>
            <w:tcBorders>
              <w:bottom w:val="single" w:sz="8" w:color="DCE2EF"/>
            </w:tcBorders>
            <w:shd w:val="clear" w:color="auto" w:fill="DCE2EF"/>
          </w:tcPr>
          <w:p>
            <w:pPr>
              <w:spacing w:after="0"/>
              <w:rPr>
                <w:sz w:val="22"/>
                <w:szCs w:val="22"/>
                <w:color w:val="auto"/>
              </w:rPr>
            </w:pPr>
          </w:p>
        </w:tc>
        <w:tc>
          <w:tcPr>
            <w:tcW w:w="94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(86.5)</w:t>
            </w:r>
          </w:p>
        </w:tc>
        <w:tc>
          <w:tcPr>
            <w:tcW w:w="1360" w:type="dxa"/>
            <w:vAlign w:val="bottom"/>
            <w:tcBorders>
              <w:bottom w:val="single" w:sz="8" w:color="DCE2EF"/>
            </w:tcBorders>
            <w:shd w:val="clear" w:color="auto" w:fill="DCE2EF"/>
          </w:tcPr>
          <w:p>
            <w:pPr>
              <w:ind w:left="58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64"/>
        </w:trPr>
        <w:tc>
          <w:tcPr>
            <w:tcW w:w="5300" w:type="dxa"/>
            <w:vAlign w:val="bottom"/>
            <w:tcBorders>
              <w:bottom w:val="single" w:sz="8" w:color="DCE2EF"/>
            </w:tcBorders>
            <w:gridSpan w:val="3"/>
          </w:tcPr>
          <w:p>
            <w:pPr>
              <w:ind w:left="40"/>
              <w:spacing w:after="0"/>
              <w:rPr>
                <w:sz w:val="20"/>
                <w:szCs w:val="20"/>
                <w:color w:val="auto"/>
              </w:rPr>
            </w:pPr>
            <w:r>
              <w:rPr>
                <w:rFonts w:ascii="Arial" w:cs="Arial" w:eastAsia="Arial" w:hAnsi="Arial"/>
                <w:sz w:val="16"/>
                <w:szCs w:val="16"/>
                <w:color w:val="auto"/>
              </w:rPr>
              <w:t>Elimination of inter-segment revenue</w:t>
            </w: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(147.1)</w:t>
            </w:r>
          </w:p>
        </w:tc>
        <w:tc>
          <w:tcPr>
            <w:tcW w:w="120" w:type="dxa"/>
            <w:vAlign w:val="bottom"/>
            <w:tcBorders>
              <w:bottom w:val="single" w:sz="8" w:color="DCE2E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(115.7)</w:t>
            </w:r>
          </w:p>
        </w:tc>
        <w:tc>
          <w:tcPr>
            <w:tcW w:w="120" w:type="dxa"/>
            <w:vAlign w:val="bottom"/>
            <w:tcBorders>
              <w:bottom w:val="single" w:sz="8" w:color="DCE2E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w:t>
            </w:r>
          </w:p>
        </w:tc>
        <w:tc>
          <w:tcPr>
            <w:tcW w:w="1360" w:type="dxa"/>
            <w:vAlign w:val="bottom"/>
            <w:tcBorders>
              <w:bottom w:val="single" w:sz="8" w:color="DCE2EF"/>
            </w:tcBorders>
          </w:tcPr>
          <w:p>
            <w:pPr>
              <w:jc w:val="center"/>
              <w:ind w:left="39"/>
              <w:spacing w:after="0"/>
              <w:rPr>
                <w:sz w:val="20"/>
                <w:szCs w:val="20"/>
                <w:color w:val="auto"/>
              </w:rPr>
            </w:pPr>
            <w:r>
              <w:rPr>
                <w:rFonts w:ascii="Arial" w:cs="Arial" w:eastAsia="Arial" w:hAnsi="Arial"/>
                <w:sz w:val="16"/>
                <w:szCs w:val="16"/>
                <w:color w:val="auto"/>
                <w:w w:val="99"/>
              </w:rPr>
              <w:t>(27.1)%</w:t>
            </w:r>
          </w:p>
        </w:tc>
        <w:tc>
          <w:tcPr>
            <w:tcW w:w="0" w:type="dxa"/>
            <w:vAlign w:val="bottom"/>
          </w:tcPr>
          <w:p>
            <w:pPr>
              <w:spacing w:after="0"/>
              <w:rPr>
                <w:sz w:val="1"/>
                <w:szCs w:val="1"/>
                <w:color w:val="auto"/>
              </w:rPr>
            </w:pPr>
          </w:p>
        </w:tc>
      </w:tr>
      <w:tr>
        <w:trPr>
          <w:trHeight w:val="242"/>
        </w:trPr>
        <w:tc>
          <w:tcPr>
            <w:tcW w:w="40" w:type="dxa"/>
            <w:vAlign w:val="bottom"/>
            <w:tcBorders>
              <w:bottom w:val="single" w:sz="8" w:color="DCE2EF"/>
            </w:tcBorders>
            <w:shd w:val="clear" w:color="auto" w:fill="DCE2EF"/>
          </w:tcPr>
          <w:p>
            <w:pPr>
              <w:spacing w:after="0"/>
              <w:rPr>
                <w:sz w:val="21"/>
                <w:szCs w:val="21"/>
                <w:color w:val="auto"/>
              </w:rPr>
            </w:pPr>
          </w:p>
        </w:tc>
        <w:tc>
          <w:tcPr>
            <w:tcW w:w="820" w:type="dxa"/>
            <w:vAlign w:val="bottom"/>
            <w:tcBorders>
              <w:bottom w:val="single" w:sz="8" w:color="DCE2EF"/>
            </w:tcBorders>
            <w:shd w:val="clear" w:color="auto" w:fill="DCE2EF"/>
          </w:tcPr>
          <w:p>
            <w:pPr>
              <w:spacing w:after="0"/>
              <w:rPr>
                <w:sz w:val="21"/>
                <w:szCs w:val="21"/>
                <w:color w:val="auto"/>
              </w:rPr>
            </w:pPr>
          </w:p>
        </w:tc>
        <w:tc>
          <w:tcPr>
            <w:tcW w:w="4440" w:type="dxa"/>
            <w:vAlign w:val="bottom"/>
            <w:tcBorders>
              <w:bottom w:val="single" w:sz="8" w:color="DCE2EF"/>
            </w:tcBorders>
            <w:shd w:val="clear" w:color="auto" w:fill="DCE2EF"/>
          </w:tcPr>
          <w:p>
            <w:pPr>
              <w:spacing w:after="0"/>
              <w:rPr>
                <w:sz w:val="21"/>
                <w:szCs w:val="21"/>
                <w:color w:val="auto"/>
              </w:rPr>
            </w:pPr>
          </w:p>
        </w:tc>
        <w:tc>
          <w:tcPr>
            <w:tcW w:w="380" w:type="dxa"/>
            <w:vAlign w:val="bottom"/>
            <w:tcBorders>
              <w:bottom w:val="single" w:sz="8" w:color="auto"/>
            </w:tcBorders>
            <w:shd w:val="clear" w:color="auto" w:fill="DCE2E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DCE2EF"/>
          </w:tcPr>
          <w:p>
            <w:pPr>
              <w:jc w:val="right"/>
              <w:ind w:right="81"/>
              <w:spacing w:after="0"/>
              <w:rPr>
                <w:sz w:val="20"/>
                <w:szCs w:val="20"/>
                <w:color w:val="auto"/>
              </w:rPr>
            </w:pPr>
            <w:r>
              <w:rPr>
                <w:rFonts w:ascii="Arial" w:cs="Arial" w:eastAsia="Arial" w:hAnsi="Arial"/>
                <w:sz w:val="16"/>
                <w:szCs w:val="16"/>
                <w:color w:val="auto"/>
              </w:rPr>
              <w:t>6,442.2</w:t>
            </w:r>
          </w:p>
        </w:tc>
        <w:tc>
          <w:tcPr>
            <w:tcW w:w="120" w:type="dxa"/>
            <w:vAlign w:val="bottom"/>
            <w:tcBorders>
              <w:bottom w:val="single" w:sz="8" w:color="DCE2EF"/>
            </w:tcBorders>
            <w:shd w:val="clear" w:color="auto" w:fill="DCE2EF"/>
          </w:tcPr>
          <w:p>
            <w:pPr>
              <w:spacing w:after="0"/>
              <w:rPr>
                <w:sz w:val="21"/>
                <w:szCs w:val="21"/>
                <w:color w:val="auto"/>
              </w:rPr>
            </w:pPr>
          </w:p>
        </w:tc>
        <w:tc>
          <w:tcPr>
            <w:tcW w:w="380" w:type="dxa"/>
            <w:vAlign w:val="bottom"/>
            <w:tcBorders>
              <w:bottom w:val="single" w:sz="8" w:color="auto"/>
            </w:tcBorders>
            <w:shd w:val="clear" w:color="auto" w:fill="DCE2E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DCE2EF"/>
          </w:tcPr>
          <w:p>
            <w:pPr>
              <w:jc w:val="right"/>
              <w:ind w:right="81"/>
              <w:spacing w:after="0"/>
              <w:rPr>
                <w:sz w:val="20"/>
                <w:szCs w:val="20"/>
                <w:color w:val="auto"/>
              </w:rPr>
            </w:pPr>
            <w:r>
              <w:rPr>
                <w:rFonts w:ascii="Arial" w:cs="Arial" w:eastAsia="Arial" w:hAnsi="Arial"/>
                <w:sz w:val="16"/>
                <w:szCs w:val="16"/>
                <w:color w:val="auto"/>
              </w:rPr>
              <w:t>5,453.6</w:t>
            </w:r>
          </w:p>
        </w:tc>
        <w:tc>
          <w:tcPr>
            <w:tcW w:w="120" w:type="dxa"/>
            <w:vAlign w:val="bottom"/>
            <w:tcBorders>
              <w:bottom w:val="single" w:sz="8" w:color="DCE2EF"/>
            </w:tcBorders>
            <w:shd w:val="clear" w:color="auto" w:fill="DCE2EF"/>
          </w:tcPr>
          <w:p>
            <w:pPr>
              <w:spacing w:after="0"/>
              <w:rPr>
                <w:sz w:val="21"/>
                <w:szCs w:val="21"/>
                <w:color w:val="auto"/>
              </w:rPr>
            </w:pPr>
          </w:p>
        </w:tc>
        <w:tc>
          <w:tcPr>
            <w:tcW w:w="300" w:type="dxa"/>
            <w:vAlign w:val="bottom"/>
            <w:tcBorders>
              <w:bottom w:val="single" w:sz="8" w:color="auto"/>
            </w:tcBorders>
            <w:shd w:val="clear" w:color="auto" w:fill="DCE2E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DCE2EF"/>
          </w:tcPr>
          <w:p>
            <w:pPr>
              <w:jc w:val="right"/>
              <w:ind w:right="21"/>
              <w:spacing w:after="0"/>
              <w:rPr>
                <w:sz w:val="20"/>
                <w:szCs w:val="20"/>
                <w:color w:val="auto"/>
              </w:rPr>
            </w:pPr>
            <w:r>
              <w:rPr>
                <w:rFonts w:ascii="Arial" w:cs="Arial" w:eastAsia="Arial" w:hAnsi="Arial"/>
                <w:sz w:val="16"/>
                <w:szCs w:val="16"/>
                <w:color w:val="auto"/>
              </w:rPr>
              <w:t>988.6</w:t>
            </w:r>
          </w:p>
        </w:tc>
        <w:tc>
          <w:tcPr>
            <w:tcW w:w="1360" w:type="dxa"/>
            <w:vAlign w:val="bottom"/>
            <w:tcBorders>
              <w:bottom w:val="single" w:sz="8" w:color="DCE2EF"/>
            </w:tcBorders>
            <w:shd w:val="clear" w:color="auto" w:fill="DCE2EF"/>
          </w:tcPr>
          <w:p>
            <w:pPr>
              <w:jc w:val="center"/>
              <w:ind w:left="19"/>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0"/>
        </w:trPr>
        <w:tc>
          <w:tcPr>
            <w:tcW w:w="530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Operating profit (loss)</w:t>
            </w: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300" w:type="dxa"/>
            <w:vAlign w:val="bottom"/>
            <w:gridSpan w:val="3"/>
            <w:vMerge w:val="continue"/>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53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Business &amp; Industry</w:t>
            </w:r>
          </w:p>
        </w:tc>
        <w:tc>
          <w:tcPr>
            <w:tcW w:w="380" w:type="dxa"/>
            <w:vAlign w:val="bottom"/>
            <w:shd w:val="clear" w:color="auto" w:fill="DCE2E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157.9</w:t>
            </w:r>
          </w:p>
        </w:tc>
        <w:tc>
          <w:tcPr>
            <w:tcW w:w="120" w:type="dxa"/>
            <w:vAlign w:val="bottom"/>
            <w:shd w:val="clear" w:color="auto" w:fill="DCE2EF"/>
          </w:tcPr>
          <w:p>
            <w:pPr>
              <w:spacing w:after="0"/>
              <w:rPr>
                <w:sz w:val="23"/>
                <w:szCs w:val="23"/>
                <w:color w:val="auto"/>
              </w:rPr>
            </w:pPr>
          </w:p>
        </w:tc>
        <w:tc>
          <w:tcPr>
            <w:tcW w:w="380" w:type="dxa"/>
            <w:vAlign w:val="bottom"/>
            <w:shd w:val="clear" w:color="auto" w:fill="DCE2E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146.6</w:t>
            </w:r>
          </w:p>
        </w:tc>
        <w:tc>
          <w:tcPr>
            <w:tcW w:w="120" w:type="dxa"/>
            <w:vAlign w:val="bottom"/>
            <w:shd w:val="clear" w:color="auto" w:fill="DCE2EF"/>
          </w:tcPr>
          <w:p>
            <w:pPr>
              <w:spacing w:after="0"/>
              <w:rPr>
                <w:sz w:val="23"/>
                <w:szCs w:val="23"/>
                <w:color w:val="auto"/>
              </w:rPr>
            </w:pPr>
          </w:p>
        </w:tc>
        <w:tc>
          <w:tcPr>
            <w:tcW w:w="300" w:type="dxa"/>
            <w:vAlign w:val="bottom"/>
            <w:shd w:val="clear" w:color="auto" w:fill="DCE2E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11.3</w:t>
            </w:r>
          </w:p>
        </w:tc>
        <w:tc>
          <w:tcPr>
            <w:tcW w:w="136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w w:val="98"/>
              </w:rPr>
              <w:t>7.7%</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52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i w:val="1"/>
                <w:iCs w:val="1"/>
                <w:color w:val="auto"/>
              </w:rPr>
              <w:t>4.8%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i w:val="1"/>
                <w:iCs w:val="1"/>
                <w:color w:val="auto"/>
              </w:rPr>
              <w:t>5.0%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1"/>
              <w:spacing w:after="0"/>
              <w:rPr>
                <w:sz w:val="20"/>
                <w:szCs w:val="20"/>
                <w:color w:val="auto"/>
              </w:rPr>
            </w:pPr>
            <w:r>
              <w:rPr>
                <w:rFonts w:ascii="Arial" w:cs="Arial" w:eastAsia="Arial" w:hAnsi="Arial"/>
                <w:sz w:val="14"/>
                <w:szCs w:val="14"/>
                <w:i w:val="1"/>
                <w:iCs w:val="1"/>
                <w:color w:val="auto"/>
              </w:rPr>
              <w:t>(16) bps</w:t>
            </w: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3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Aviation</w:t>
            </w:r>
          </w:p>
        </w:tc>
        <w:tc>
          <w:tcPr>
            <w:tcW w:w="380" w:type="dxa"/>
            <w:vAlign w:val="bottom"/>
            <w:shd w:val="clear" w:color="auto" w:fill="DCE2EF"/>
          </w:tcPr>
          <w:p>
            <w:pPr>
              <w:spacing w:after="0"/>
              <w:rPr>
                <w:sz w:val="23"/>
                <w:szCs w:val="23"/>
                <w:color w:val="auto"/>
              </w:rPr>
            </w:pPr>
          </w:p>
        </w:tc>
        <w:tc>
          <w:tcPr>
            <w:tcW w:w="126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23.2</w:t>
            </w:r>
          </w:p>
        </w:tc>
        <w:tc>
          <w:tcPr>
            <w:tcW w:w="120" w:type="dxa"/>
            <w:vAlign w:val="bottom"/>
            <w:shd w:val="clear" w:color="auto" w:fill="DCE2EF"/>
          </w:tcPr>
          <w:p>
            <w:pPr>
              <w:spacing w:after="0"/>
              <w:rPr>
                <w:sz w:val="23"/>
                <w:szCs w:val="23"/>
                <w:color w:val="auto"/>
              </w:rPr>
            </w:pPr>
          </w:p>
        </w:tc>
        <w:tc>
          <w:tcPr>
            <w:tcW w:w="380" w:type="dxa"/>
            <w:vAlign w:val="bottom"/>
            <w:shd w:val="clear" w:color="auto" w:fill="DCE2EF"/>
          </w:tcPr>
          <w:p>
            <w:pPr>
              <w:spacing w:after="0"/>
              <w:rPr>
                <w:sz w:val="23"/>
                <w:szCs w:val="23"/>
                <w:color w:val="auto"/>
              </w:rPr>
            </w:pPr>
          </w:p>
        </w:tc>
        <w:tc>
          <w:tcPr>
            <w:tcW w:w="126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23.0</w:t>
            </w:r>
          </w:p>
        </w:tc>
        <w:tc>
          <w:tcPr>
            <w:tcW w:w="120" w:type="dxa"/>
            <w:vAlign w:val="bottom"/>
            <w:shd w:val="clear" w:color="auto" w:fill="DCE2EF"/>
          </w:tcPr>
          <w:p>
            <w:pPr>
              <w:spacing w:after="0"/>
              <w:rPr>
                <w:sz w:val="23"/>
                <w:szCs w:val="23"/>
                <w:color w:val="auto"/>
              </w:rPr>
            </w:pPr>
          </w:p>
        </w:tc>
        <w:tc>
          <w:tcPr>
            <w:tcW w:w="300" w:type="dxa"/>
            <w:vAlign w:val="bottom"/>
            <w:shd w:val="clear" w:color="auto" w:fill="DCE2EF"/>
          </w:tcPr>
          <w:p>
            <w:pPr>
              <w:spacing w:after="0"/>
              <w:rPr>
                <w:sz w:val="23"/>
                <w:szCs w:val="23"/>
                <w:color w:val="auto"/>
              </w:rPr>
            </w:pPr>
          </w:p>
        </w:tc>
        <w:tc>
          <w:tcPr>
            <w:tcW w:w="94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0.2</w:t>
            </w:r>
          </w:p>
        </w:tc>
        <w:tc>
          <w:tcPr>
            <w:tcW w:w="136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w w:val="98"/>
              </w:rPr>
              <w:t>0.5%</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52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i w:val="1"/>
                <w:iCs w:val="1"/>
                <w:color w:val="auto"/>
              </w:rPr>
              <w:t>2.2%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i w:val="1"/>
                <w:iCs w:val="1"/>
                <w:color w:val="auto"/>
              </w:rPr>
              <w:t>2.3%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1"/>
              <w:spacing w:after="0"/>
              <w:rPr>
                <w:sz w:val="20"/>
                <w:szCs w:val="20"/>
                <w:color w:val="auto"/>
              </w:rPr>
            </w:pPr>
            <w:r>
              <w:rPr>
                <w:rFonts w:ascii="Arial" w:cs="Arial" w:eastAsia="Arial" w:hAnsi="Arial"/>
                <w:sz w:val="14"/>
                <w:szCs w:val="14"/>
                <w:i w:val="1"/>
                <w:iCs w:val="1"/>
                <w:color w:val="auto"/>
              </w:rPr>
              <w:t>(7) bps</w:t>
            </w: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3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Technology &amp; Manufacturing</w:t>
            </w:r>
          </w:p>
        </w:tc>
        <w:tc>
          <w:tcPr>
            <w:tcW w:w="380" w:type="dxa"/>
            <w:vAlign w:val="bottom"/>
            <w:shd w:val="clear" w:color="auto" w:fill="DCE2EF"/>
          </w:tcPr>
          <w:p>
            <w:pPr>
              <w:spacing w:after="0"/>
              <w:rPr>
                <w:sz w:val="23"/>
                <w:szCs w:val="23"/>
                <w:color w:val="auto"/>
              </w:rPr>
            </w:pPr>
          </w:p>
        </w:tc>
        <w:tc>
          <w:tcPr>
            <w:tcW w:w="126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67.4</w:t>
            </w:r>
          </w:p>
        </w:tc>
        <w:tc>
          <w:tcPr>
            <w:tcW w:w="120" w:type="dxa"/>
            <w:vAlign w:val="bottom"/>
            <w:shd w:val="clear" w:color="auto" w:fill="DCE2EF"/>
          </w:tcPr>
          <w:p>
            <w:pPr>
              <w:spacing w:after="0"/>
              <w:rPr>
                <w:sz w:val="23"/>
                <w:szCs w:val="23"/>
                <w:color w:val="auto"/>
              </w:rPr>
            </w:pPr>
          </w:p>
        </w:tc>
        <w:tc>
          <w:tcPr>
            <w:tcW w:w="380" w:type="dxa"/>
            <w:vAlign w:val="bottom"/>
            <w:shd w:val="clear" w:color="auto" w:fill="DCE2EF"/>
          </w:tcPr>
          <w:p>
            <w:pPr>
              <w:spacing w:after="0"/>
              <w:rPr>
                <w:sz w:val="23"/>
                <w:szCs w:val="23"/>
                <w:color w:val="auto"/>
              </w:rPr>
            </w:pPr>
          </w:p>
        </w:tc>
        <w:tc>
          <w:tcPr>
            <w:tcW w:w="126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48.6</w:t>
            </w:r>
          </w:p>
        </w:tc>
        <w:tc>
          <w:tcPr>
            <w:tcW w:w="120" w:type="dxa"/>
            <w:vAlign w:val="bottom"/>
            <w:shd w:val="clear" w:color="auto" w:fill="DCE2EF"/>
          </w:tcPr>
          <w:p>
            <w:pPr>
              <w:spacing w:after="0"/>
              <w:rPr>
                <w:sz w:val="23"/>
                <w:szCs w:val="23"/>
                <w:color w:val="auto"/>
              </w:rPr>
            </w:pPr>
          </w:p>
        </w:tc>
        <w:tc>
          <w:tcPr>
            <w:tcW w:w="300" w:type="dxa"/>
            <w:vAlign w:val="bottom"/>
            <w:shd w:val="clear" w:color="auto" w:fill="DCE2EF"/>
          </w:tcPr>
          <w:p>
            <w:pPr>
              <w:spacing w:after="0"/>
              <w:rPr>
                <w:sz w:val="23"/>
                <w:szCs w:val="23"/>
                <w:color w:val="auto"/>
              </w:rPr>
            </w:pPr>
          </w:p>
        </w:tc>
        <w:tc>
          <w:tcPr>
            <w:tcW w:w="94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18.8</w:t>
            </w:r>
          </w:p>
        </w:tc>
        <w:tc>
          <w:tcPr>
            <w:tcW w:w="136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52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i w:val="1"/>
                <w:iCs w:val="1"/>
                <w:color w:val="auto"/>
              </w:rPr>
              <w:t>7.3%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i w:val="1"/>
                <w:iCs w:val="1"/>
                <w:color w:val="auto"/>
              </w:rPr>
              <w:t>7.0%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1"/>
              <w:spacing w:after="0"/>
              <w:rPr>
                <w:sz w:val="20"/>
                <w:szCs w:val="20"/>
                <w:color w:val="auto"/>
              </w:rPr>
            </w:pPr>
            <w:r>
              <w:rPr>
                <w:rFonts w:ascii="Arial" w:cs="Arial" w:eastAsia="Arial" w:hAnsi="Arial"/>
                <w:sz w:val="14"/>
                <w:szCs w:val="14"/>
                <w:i w:val="1"/>
                <w:iCs w:val="1"/>
                <w:color w:val="auto"/>
              </w:rPr>
              <w:t>32 bps</w:t>
            </w: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3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Education</w:t>
            </w:r>
          </w:p>
        </w:tc>
        <w:tc>
          <w:tcPr>
            <w:tcW w:w="380" w:type="dxa"/>
            <w:vAlign w:val="bottom"/>
            <w:shd w:val="clear" w:color="auto" w:fill="DCE2EF"/>
          </w:tcPr>
          <w:p>
            <w:pPr>
              <w:spacing w:after="0"/>
              <w:rPr>
                <w:sz w:val="23"/>
                <w:szCs w:val="23"/>
                <w:color w:val="auto"/>
              </w:rPr>
            </w:pPr>
          </w:p>
        </w:tc>
        <w:tc>
          <w:tcPr>
            <w:tcW w:w="126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44.1</w:t>
            </w:r>
          </w:p>
        </w:tc>
        <w:tc>
          <w:tcPr>
            <w:tcW w:w="120" w:type="dxa"/>
            <w:vAlign w:val="bottom"/>
            <w:shd w:val="clear" w:color="auto" w:fill="DCE2EF"/>
          </w:tcPr>
          <w:p>
            <w:pPr>
              <w:spacing w:after="0"/>
              <w:rPr>
                <w:sz w:val="23"/>
                <w:szCs w:val="23"/>
                <w:color w:val="auto"/>
              </w:rPr>
            </w:pPr>
          </w:p>
        </w:tc>
        <w:tc>
          <w:tcPr>
            <w:tcW w:w="380" w:type="dxa"/>
            <w:vAlign w:val="bottom"/>
            <w:shd w:val="clear" w:color="auto" w:fill="DCE2EF"/>
          </w:tcPr>
          <w:p>
            <w:pPr>
              <w:spacing w:after="0"/>
              <w:rPr>
                <w:sz w:val="23"/>
                <w:szCs w:val="23"/>
                <w:color w:val="auto"/>
              </w:rPr>
            </w:pPr>
          </w:p>
        </w:tc>
        <w:tc>
          <w:tcPr>
            <w:tcW w:w="126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17.4</w:t>
            </w:r>
          </w:p>
        </w:tc>
        <w:tc>
          <w:tcPr>
            <w:tcW w:w="120" w:type="dxa"/>
            <w:vAlign w:val="bottom"/>
            <w:shd w:val="clear" w:color="auto" w:fill="DCE2EF"/>
          </w:tcPr>
          <w:p>
            <w:pPr>
              <w:spacing w:after="0"/>
              <w:rPr>
                <w:sz w:val="23"/>
                <w:szCs w:val="23"/>
                <w:color w:val="auto"/>
              </w:rPr>
            </w:pPr>
          </w:p>
        </w:tc>
        <w:tc>
          <w:tcPr>
            <w:tcW w:w="300" w:type="dxa"/>
            <w:vAlign w:val="bottom"/>
            <w:shd w:val="clear" w:color="auto" w:fill="DCE2EF"/>
          </w:tcPr>
          <w:p>
            <w:pPr>
              <w:spacing w:after="0"/>
              <w:rPr>
                <w:sz w:val="23"/>
                <w:szCs w:val="23"/>
                <w:color w:val="auto"/>
              </w:rPr>
            </w:pPr>
          </w:p>
        </w:tc>
        <w:tc>
          <w:tcPr>
            <w:tcW w:w="94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26.7</w:t>
            </w:r>
          </w:p>
        </w:tc>
        <w:tc>
          <w:tcPr>
            <w:tcW w:w="1360" w:type="dxa"/>
            <w:vAlign w:val="bottom"/>
            <w:shd w:val="clear" w:color="auto" w:fill="DCE2EF"/>
          </w:tcPr>
          <w:p>
            <w:pPr>
              <w:ind w:left="58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52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i w:val="1"/>
                <w:iCs w:val="1"/>
                <w:color w:val="auto"/>
              </w:rPr>
              <w:t>5.1%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i w:val="1"/>
                <w:iCs w:val="1"/>
                <w:color w:val="auto"/>
              </w:rPr>
              <w:t>4.7%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1"/>
              <w:spacing w:after="0"/>
              <w:rPr>
                <w:sz w:val="20"/>
                <w:szCs w:val="20"/>
                <w:color w:val="auto"/>
              </w:rPr>
            </w:pPr>
            <w:r>
              <w:rPr>
                <w:rFonts w:ascii="Arial" w:cs="Arial" w:eastAsia="Arial" w:hAnsi="Arial"/>
                <w:sz w:val="14"/>
                <w:szCs w:val="14"/>
                <w:i w:val="1"/>
                <w:iCs w:val="1"/>
                <w:color w:val="auto"/>
              </w:rPr>
              <w:t>42 bps</w:t>
            </w: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3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Technical Solutions</w:t>
            </w:r>
          </w:p>
        </w:tc>
        <w:tc>
          <w:tcPr>
            <w:tcW w:w="380" w:type="dxa"/>
            <w:vAlign w:val="bottom"/>
            <w:shd w:val="clear" w:color="auto" w:fill="DCE2EF"/>
          </w:tcPr>
          <w:p>
            <w:pPr>
              <w:spacing w:after="0"/>
              <w:rPr>
                <w:sz w:val="23"/>
                <w:szCs w:val="23"/>
                <w:color w:val="auto"/>
              </w:rPr>
            </w:pPr>
          </w:p>
        </w:tc>
        <w:tc>
          <w:tcPr>
            <w:tcW w:w="126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21.8</w:t>
            </w:r>
          </w:p>
        </w:tc>
        <w:tc>
          <w:tcPr>
            <w:tcW w:w="120" w:type="dxa"/>
            <w:vAlign w:val="bottom"/>
            <w:shd w:val="clear" w:color="auto" w:fill="DCE2EF"/>
          </w:tcPr>
          <w:p>
            <w:pPr>
              <w:spacing w:after="0"/>
              <w:rPr>
                <w:sz w:val="23"/>
                <w:szCs w:val="23"/>
                <w:color w:val="auto"/>
              </w:rPr>
            </w:pPr>
          </w:p>
        </w:tc>
        <w:tc>
          <w:tcPr>
            <w:tcW w:w="380" w:type="dxa"/>
            <w:vAlign w:val="bottom"/>
            <w:shd w:val="clear" w:color="auto" w:fill="DCE2EF"/>
          </w:tcPr>
          <w:p>
            <w:pPr>
              <w:spacing w:after="0"/>
              <w:rPr>
                <w:sz w:val="23"/>
                <w:szCs w:val="23"/>
                <w:color w:val="auto"/>
              </w:rPr>
            </w:pPr>
          </w:p>
        </w:tc>
        <w:tc>
          <w:tcPr>
            <w:tcW w:w="126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39.4</w:t>
            </w:r>
          </w:p>
        </w:tc>
        <w:tc>
          <w:tcPr>
            <w:tcW w:w="120" w:type="dxa"/>
            <w:vAlign w:val="bottom"/>
            <w:shd w:val="clear" w:color="auto" w:fill="DCE2EF"/>
          </w:tcPr>
          <w:p>
            <w:pPr>
              <w:spacing w:after="0"/>
              <w:rPr>
                <w:sz w:val="23"/>
                <w:szCs w:val="23"/>
                <w:color w:val="auto"/>
              </w:rPr>
            </w:pPr>
          </w:p>
        </w:tc>
        <w:tc>
          <w:tcPr>
            <w:tcW w:w="300" w:type="dxa"/>
            <w:vAlign w:val="bottom"/>
            <w:shd w:val="clear" w:color="auto" w:fill="DCE2EF"/>
          </w:tcPr>
          <w:p>
            <w:pPr>
              <w:spacing w:after="0"/>
              <w:rPr>
                <w:sz w:val="23"/>
                <w:szCs w:val="23"/>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(17.6)</w:t>
            </w:r>
          </w:p>
        </w:tc>
        <w:tc>
          <w:tcPr>
            <w:tcW w:w="136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w w:val="99"/>
              </w:rPr>
              <w:t>(44.6)%</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52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i w:val="1"/>
                <w:iCs w:val="1"/>
                <w:color w:val="auto"/>
              </w:rPr>
              <w:t>4.4%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i w:val="1"/>
                <w:iCs w:val="1"/>
                <w:color w:val="auto"/>
              </w:rPr>
              <w:t>8.3%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1"/>
              <w:spacing w:after="0"/>
              <w:rPr>
                <w:sz w:val="20"/>
                <w:szCs w:val="20"/>
                <w:color w:val="auto"/>
              </w:rPr>
            </w:pPr>
            <w:r>
              <w:rPr>
                <w:rFonts w:ascii="Arial" w:cs="Arial" w:eastAsia="Arial" w:hAnsi="Arial"/>
                <w:sz w:val="14"/>
                <w:szCs w:val="14"/>
                <w:i w:val="1"/>
                <w:iCs w:val="1"/>
                <w:color w:val="auto"/>
              </w:rPr>
              <w:t>(396) bps</w:t>
            </w: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3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Government Services</w:t>
            </w:r>
          </w:p>
        </w:tc>
        <w:tc>
          <w:tcPr>
            <w:tcW w:w="380" w:type="dxa"/>
            <w:vAlign w:val="bottom"/>
            <w:shd w:val="clear" w:color="auto" w:fill="DCE2EF"/>
          </w:tcPr>
          <w:p>
            <w:pPr>
              <w:spacing w:after="0"/>
              <w:rPr>
                <w:sz w:val="23"/>
                <w:szCs w:val="23"/>
                <w:color w:val="auto"/>
              </w:rPr>
            </w:pPr>
          </w:p>
        </w:tc>
        <w:tc>
          <w:tcPr>
            <w:tcW w:w="126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(0.8)</w:t>
            </w:r>
          </w:p>
        </w:tc>
        <w:tc>
          <w:tcPr>
            <w:tcW w:w="120" w:type="dxa"/>
            <w:vAlign w:val="bottom"/>
            <w:shd w:val="clear" w:color="auto" w:fill="DCE2EF"/>
          </w:tcPr>
          <w:p>
            <w:pPr>
              <w:spacing w:after="0"/>
              <w:rPr>
                <w:sz w:val="23"/>
                <w:szCs w:val="23"/>
                <w:color w:val="auto"/>
              </w:rPr>
            </w:pPr>
          </w:p>
        </w:tc>
        <w:tc>
          <w:tcPr>
            <w:tcW w:w="380" w:type="dxa"/>
            <w:vAlign w:val="bottom"/>
            <w:shd w:val="clear" w:color="auto" w:fill="DCE2EF"/>
          </w:tcPr>
          <w:p>
            <w:pPr>
              <w:spacing w:after="0"/>
              <w:rPr>
                <w:sz w:val="23"/>
                <w:szCs w:val="23"/>
                <w:color w:val="auto"/>
              </w:rPr>
            </w:pPr>
          </w:p>
        </w:tc>
        <w:tc>
          <w:tcPr>
            <w:tcW w:w="126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21.8</w:t>
            </w:r>
          </w:p>
        </w:tc>
        <w:tc>
          <w:tcPr>
            <w:tcW w:w="120" w:type="dxa"/>
            <w:vAlign w:val="bottom"/>
            <w:shd w:val="clear" w:color="auto" w:fill="DCE2EF"/>
          </w:tcPr>
          <w:p>
            <w:pPr>
              <w:spacing w:after="0"/>
              <w:rPr>
                <w:sz w:val="23"/>
                <w:szCs w:val="23"/>
                <w:color w:val="auto"/>
              </w:rPr>
            </w:pPr>
          </w:p>
        </w:tc>
        <w:tc>
          <w:tcPr>
            <w:tcW w:w="300" w:type="dxa"/>
            <w:vAlign w:val="bottom"/>
            <w:shd w:val="clear" w:color="auto" w:fill="DCE2EF"/>
          </w:tcPr>
          <w:p>
            <w:pPr>
              <w:spacing w:after="0"/>
              <w:rPr>
                <w:sz w:val="23"/>
                <w:szCs w:val="23"/>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(22.6)</w:t>
            </w:r>
          </w:p>
        </w:tc>
        <w:tc>
          <w:tcPr>
            <w:tcW w:w="1360" w:type="dxa"/>
            <w:vAlign w:val="bottom"/>
            <w:shd w:val="clear" w:color="auto" w:fill="DCE2EF"/>
          </w:tcPr>
          <w:p>
            <w:pPr>
              <w:ind w:left="58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52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80" w:type="dxa"/>
            <w:vAlign w:val="bottom"/>
          </w:tcPr>
          <w:p>
            <w:pPr>
              <w:spacing w:after="0"/>
              <w:rPr>
                <w:sz w:val="23"/>
                <w:szCs w:val="23"/>
                <w:color w:val="auto"/>
              </w:rPr>
            </w:pPr>
          </w:p>
        </w:tc>
        <w:tc>
          <w:tcPr>
            <w:tcW w:w="1380" w:type="dxa"/>
            <w:vAlign w:val="bottom"/>
            <w:gridSpan w:val="2"/>
          </w:tcPr>
          <w:p>
            <w:pPr>
              <w:ind w:left="820"/>
              <w:spacing w:after="0"/>
              <w:rPr>
                <w:sz w:val="20"/>
                <w:szCs w:val="20"/>
                <w:color w:val="auto"/>
              </w:rPr>
            </w:pPr>
            <w:r>
              <w:rPr>
                <w:rFonts w:ascii="Arial" w:cs="Arial" w:eastAsia="Arial" w:hAnsi="Arial"/>
                <w:sz w:val="14"/>
                <w:szCs w:val="14"/>
                <w:i w:val="1"/>
                <w:iCs w:val="1"/>
                <w:color w:val="auto"/>
              </w:rPr>
              <w:t>NM*</w:t>
            </w:r>
          </w:p>
        </w:tc>
        <w:tc>
          <w:tcPr>
            <w:tcW w:w="3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i w:val="1"/>
                <w:iCs w:val="1"/>
                <w:color w:val="auto"/>
              </w:rPr>
              <w:t>25.2%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1"/>
              <w:spacing w:after="0"/>
              <w:rPr>
                <w:sz w:val="20"/>
                <w:szCs w:val="20"/>
                <w:color w:val="auto"/>
              </w:rPr>
            </w:pPr>
            <w:r>
              <w:rPr>
                <w:rFonts w:ascii="Arial" w:cs="Arial" w:eastAsia="Arial" w:hAnsi="Arial"/>
                <w:sz w:val="14"/>
                <w:szCs w:val="14"/>
                <w:i w:val="1"/>
                <w:iCs w:val="1"/>
                <w:color w:val="auto"/>
              </w:rPr>
              <w:t>NM*</w:t>
            </w: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3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Corporate</w:t>
            </w:r>
          </w:p>
        </w:tc>
        <w:tc>
          <w:tcPr>
            <w:tcW w:w="380" w:type="dxa"/>
            <w:vAlign w:val="bottom"/>
            <w:shd w:val="clear" w:color="auto" w:fill="DCE2EF"/>
          </w:tcPr>
          <w:p>
            <w:pPr>
              <w:spacing w:after="0"/>
              <w:rPr>
                <w:sz w:val="23"/>
                <w:szCs w:val="23"/>
                <w:color w:val="auto"/>
              </w:rPr>
            </w:pPr>
          </w:p>
        </w:tc>
        <w:tc>
          <w:tcPr>
            <w:tcW w:w="126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(168.8)</w:t>
            </w:r>
          </w:p>
        </w:tc>
        <w:tc>
          <w:tcPr>
            <w:tcW w:w="120" w:type="dxa"/>
            <w:vAlign w:val="bottom"/>
            <w:shd w:val="clear" w:color="auto" w:fill="DCE2EF"/>
          </w:tcPr>
          <w:p>
            <w:pPr>
              <w:spacing w:after="0"/>
              <w:rPr>
                <w:sz w:val="23"/>
                <w:szCs w:val="23"/>
                <w:color w:val="auto"/>
              </w:rPr>
            </w:pPr>
          </w:p>
        </w:tc>
        <w:tc>
          <w:tcPr>
            <w:tcW w:w="380" w:type="dxa"/>
            <w:vAlign w:val="bottom"/>
            <w:shd w:val="clear" w:color="auto" w:fill="DCE2EF"/>
          </w:tcPr>
          <w:p>
            <w:pPr>
              <w:spacing w:after="0"/>
              <w:rPr>
                <w:sz w:val="23"/>
                <w:szCs w:val="23"/>
                <w:color w:val="auto"/>
              </w:rPr>
            </w:pPr>
          </w:p>
        </w:tc>
        <w:tc>
          <w:tcPr>
            <w:tcW w:w="126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(189.0)</w:t>
            </w:r>
          </w:p>
        </w:tc>
        <w:tc>
          <w:tcPr>
            <w:tcW w:w="120" w:type="dxa"/>
            <w:vAlign w:val="bottom"/>
            <w:shd w:val="clear" w:color="auto" w:fill="DCE2EF"/>
          </w:tcPr>
          <w:p>
            <w:pPr>
              <w:spacing w:after="0"/>
              <w:rPr>
                <w:sz w:val="23"/>
                <w:szCs w:val="23"/>
                <w:color w:val="auto"/>
              </w:rPr>
            </w:pPr>
          </w:p>
        </w:tc>
        <w:tc>
          <w:tcPr>
            <w:tcW w:w="300" w:type="dxa"/>
            <w:vAlign w:val="bottom"/>
            <w:shd w:val="clear" w:color="auto" w:fill="DCE2EF"/>
          </w:tcPr>
          <w:p>
            <w:pPr>
              <w:spacing w:after="0"/>
              <w:rPr>
                <w:sz w:val="23"/>
                <w:szCs w:val="23"/>
                <w:color w:val="auto"/>
              </w:rPr>
            </w:pPr>
          </w:p>
        </w:tc>
        <w:tc>
          <w:tcPr>
            <w:tcW w:w="94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20.2</w:t>
            </w:r>
          </w:p>
        </w:tc>
        <w:tc>
          <w:tcPr>
            <w:tcW w:w="136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198"/>
        </w:trPr>
        <w:tc>
          <w:tcPr>
            <w:tcW w:w="5300" w:type="dxa"/>
            <w:vAlign w:val="bottom"/>
            <w:gridSpan w:val="3"/>
          </w:tcPr>
          <w:p>
            <w:pPr>
              <w:ind w:left="40"/>
              <w:spacing w:after="0"/>
              <w:rPr>
                <w:sz w:val="20"/>
                <w:szCs w:val="20"/>
                <w:color w:val="auto"/>
              </w:rPr>
            </w:pPr>
            <w:r>
              <w:rPr>
                <w:rFonts w:ascii="Arial" w:cs="Arial" w:eastAsia="Arial" w:hAnsi="Arial"/>
                <w:sz w:val="16"/>
                <w:szCs w:val="16"/>
                <w:color w:val="auto"/>
              </w:rPr>
              <w:t>Adjustment for income from unconsolidated affiliates, included in Aviation</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5260" w:type="dxa"/>
            <w:vAlign w:val="bottom"/>
            <w:gridSpan w:val="2"/>
          </w:tcPr>
          <w:p>
            <w:pPr>
              <w:ind w:left="160"/>
              <w:spacing w:after="0"/>
              <w:rPr>
                <w:sz w:val="20"/>
                <w:szCs w:val="20"/>
                <w:color w:val="auto"/>
              </w:rPr>
            </w:pPr>
            <w:r>
              <w:rPr>
                <w:rFonts w:ascii="Arial" w:cs="Arial" w:eastAsia="Arial" w:hAnsi="Arial"/>
                <w:sz w:val="16"/>
                <w:szCs w:val="16"/>
                <w:color w:val="auto"/>
              </w:rPr>
              <w:t>and Government Services</w:t>
            </w:r>
          </w:p>
        </w:tc>
        <w:tc>
          <w:tcPr>
            <w:tcW w:w="380" w:type="dxa"/>
            <w:vAlign w:val="bottom"/>
          </w:tcPr>
          <w:p>
            <w:pPr>
              <w:spacing w:after="0"/>
              <w:rPr>
                <w:sz w:val="19"/>
                <w:szCs w:val="19"/>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0.9</w:t>
            </w:r>
          </w:p>
        </w:tc>
        <w:tc>
          <w:tcPr>
            <w:tcW w:w="1360" w:type="dxa"/>
            <w:vAlign w:val="bottom"/>
          </w:tcPr>
          <w:p>
            <w:pPr>
              <w:jc w:val="center"/>
              <w:ind w:left="19"/>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06"/>
        </w:trPr>
        <w:tc>
          <w:tcPr>
            <w:tcW w:w="53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Adjustment for tax deductions for energy efficient government buildings,</w:t>
            </w:r>
          </w:p>
        </w:tc>
        <w:tc>
          <w:tcPr>
            <w:tcW w:w="380" w:type="dxa"/>
            <w:vAlign w:val="bottom"/>
            <w:shd w:val="clear" w:color="auto" w:fill="DCE2EF"/>
          </w:tcPr>
          <w:p>
            <w:pPr>
              <w:spacing w:after="0"/>
              <w:rPr>
                <w:sz w:val="17"/>
                <w:szCs w:val="17"/>
                <w:color w:val="auto"/>
              </w:rPr>
            </w:pPr>
          </w:p>
        </w:tc>
        <w:tc>
          <w:tcPr>
            <w:tcW w:w="126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380" w:type="dxa"/>
            <w:vAlign w:val="bottom"/>
            <w:shd w:val="clear" w:color="auto" w:fill="DCE2EF"/>
          </w:tcPr>
          <w:p>
            <w:pPr>
              <w:spacing w:after="0"/>
              <w:rPr>
                <w:sz w:val="17"/>
                <w:szCs w:val="17"/>
                <w:color w:val="auto"/>
              </w:rPr>
            </w:pPr>
          </w:p>
        </w:tc>
        <w:tc>
          <w:tcPr>
            <w:tcW w:w="126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940" w:type="dxa"/>
            <w:vAlign w:val="bottom"/>
            <w:shd w:val="clear" w:color="auto" w:fill="DCE2EF"/>
          </w:tcPr>
          <w:p>
            <w:pPr>
              <w:spacing w:after="0"/>
              <w:rPr>
                <w:sz w:val="17"/>
                <w:szCs w:val="17"/>
                <w:color w:val="auto"/>
              </w:rPr>
            </w:pPr>
          </w:p>
        </w:tc>
        <w:tc>
          <w:tcPr>
            <w:tcW w:w="136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0" w:type="dxa"/>
            <w:vAlign w:val="bottom"/>
            <w:shd w:val="clear" w:color="auto" w:fill="DCE2EF"/>
          </w:tcPr>
          <w:p>
            <w:pPr>
              <w:spacing w:after="0"/>
              <w:rPr>
                <w:sz w:val="19"/>
                <w:szCs w:val="19"/>
                <w:color w:val="auto"/>
              </w:rPr>
            </w:pPr>
          </w:p>
        </w:tc>
        <w:tc>
          <w:tcPr>
            <w:tcW w:w="5260" w:type="dxa"/>
            <w:vAlign w:val="bottom"/>
            <w:gridSpan w:val="2"/>
            <w:shd w:val="clear" w:color="auto" w:fill="DCE2EF"/>
          </w:tcPr>
          <w:p>
            <w:pPr>
              <w:ind w:left="160"/>
              <w:spacing w:after="0"/>
              <w:rPr>
                <w:sz w:val="20"/>
                <w:szCs w:val="20"/>
                <w:color w:val="auto"/>
              </w:rPr>
            </w:pPr>
            <w:r>
              <w:rPr>
                <w:rFonts w:ascii="Arial" w:cs="Arial" w:eastAsia="Arial" w:hAnsi="Arial"/>
                <w:sz w:val="16"/>
                <w:szCs w:val="16"/>
                <w:color w:val="auto"/>
              </w:rPr>
              <w:t>included in Technical Solutions</w:t>
            </w:r>
          </w:p>
        </w:tc>
        <w:tc>
          <w:tcPr>
            <w:tcW w:w="380" w:type="dxa"/>
            <w:vAlign w:val="bottom"/>
            <w:tcBorders>
              <w:bottom w:val="single" w:sz="8" w:color="auto"/>
            </w:tcBorders>
            <w:shd w:val="clear" w:color="auto" w:fill="DCE2EF"/>
          </w:tcPr>
          <w:p>
            <w:pPr>
              <w:spacing w:after="0"/>
              <w:rPr>
                <w:sz w:val="19"/>
                <w:szCs w:val="19"/>
                <w:color w:val="auto"/>
              </w:rPr>
            </w:pPr>
          </w:p>
        </w:tc>
        <w:tc>
          <w:tcPr>
            <w:tcW w:w="1260" w:type="dxa"/>
            <w:vAlign w:val="bottom"/>
            <w:tcBorders>
              <w:bottom w:val="single" w:sz="8" w:color="auto"/>
            </w:tcBorders>
            <w:shd w:val="clear" w:color="auto" w:fill="DCE2EF"/>
          </w:tcPr>
          <w:p>
            <w:pPr>
              <w:jc w:val="right"/>
              <w:ind w:right="21"/>
              <w:spacing w:after="0"/>
              <w:rPr>
                <w:sz w:val="20"/>
                <w:szCs w:val="20"/>
                <w:color w:val="auto"/>
              </w:rPr>
            </w:pPr>
            <w:r>
              <w:rPr>
                <w:rFonts w:ascii="Arial" w:cs="Arial" w:eastAsia="Arial" w:hAnsi="Arial"/>
                <w:sz w:val="16"/>
                <w:szCs w:val="16"/>
                <w:color w:val="auto"/>
              </w:rPr>
              <w:t>(2.8)</w:t>
            </w:r>
          </w:p>
        </w:tc>
        <w:tc>
          <w:tcPr>
            <w:tcW w:w="120" w:type="dxa"/>
            <w:vAlign w:val="bottom"/>
            <w:shd w:val="clear" w:color="auto" w:fill="DCE2EF"/>
          </w:tcPr>
          <w:p>
            <w:pPr>
              <w:spacing w:after="0"/>
              <w:rPr>
                <w:sz w:val="19"/>
                <w:szCs w:val="19"/>
                <w:color w:val="auto"/>
              </w:rPr>
            </w:pPr>
          </w:p>
        </w:tc>
        <w:tc>
          <w:tcPr>
            <w:tcW w:w="380" w:type="dxa"/>
            <w:vAlign w:val="bottom"/>
            <w:tcBorders>
              <w:bottom w:val="single" w:sz="8" w:color="auto"/>
            </w:tcBorders>
            <w:shd w:val="clear" w:color="auto" w:fill="DCE2EF"/>
          </w:tcPr>
          <w:p>
            <w:pPr>
              <w:spacing w:after="0"/>
              <w:rPr>
                <w:sz w:val="19"/>
                <w:szCs w:val="19"/>
                <w:color w:val="auto"/>
              </w:rPr>
            </w:pPr>
          </w:p>
        </w:tc>
        <w:tc>
          <w:tcPr>
            <w:tcW w:w="1260" w:type="dxa"/>
            <w:vAlign w:val="bottom"/>
            <w:tcBorders>
              <w:bottom w:val="single" w:sz="8" w:color="auto"/>
            </w:tcBorders>
            <w:shd w:val="clear" w:color="auto" w:fill="DCE2EF"/>
          </w:tcPr>
          <w:p>
            <w:pPr>
              <w:jc w:val="right"/>
              <w:ind w:right="21"/>
              <w:spacing w:after="0"/>
              <w:rPr>
                <w:sz w:val="20"/>
                <w:szCs w:val="20"/>
                <w:color w:val="auto"/>
              </w:rPr>
            </w:pPr>
            <w:r>
              <w:rPr>
                <w:rFonts w:ascii="Arial" w:cs="Arial" w:eastAsia="Arial" w:hAnsi="Arial"/>
                <w:sz w:val="16"/>
                <w:szCs w:val="16"/>
                <w:color w:val="auto"/>
              </w:rPr>
              <w:t>(1.9)</w:t>
            </w:r>
          </w:p>
        </w:tc>
        <w:tc>
          <w:tcPr>
            <w:tcW w:w="120" w:type="dxa"/>
            <w:vAlign w:val="bottom"/>
            <w:shd w:val="clear" w:color="auto" w:fill="DCE2EF"/>
          </w:tcPr>
          <w:p>
            <w:pPr>
              <w:spacing w:after="0"/>
              <w:rPr>
                <w:sz w:val="19"/>
                <w:szCs w:val="19"/>
                <w:color w:val="auto"/>
              </w:rPr>
            </w:pPr>
          </w:p>
        </w:tc>
        <w:tc>
          <w:tcPr>
            <w:tcW w:w="300" w:type="dxa"/>
            <w:vAlign w:val="bottom"/>
            <w:tcBorders>
              <w:bottom w:val="single" w:sz="8" w:color="auto"/>
            </w:tcBorders>
            <w:shd w:val="clear" w:color="auto" w:fill="DCE2EF"/>
          </w:tcPr>
          <w:p>
            <w:pPr>
              <w:spacing w:after="0"/>
              <w:rPr>
                <w:sz w:val="19"/>
                <w:szCs w:val="19"/>
                <w:color w:val="auto"/>
              </w:rPr>
            </w:pPr>
          </w:p>
        </w:tc>
        <w:tc>
          <w:tcPr>
            <w:tcW w:w="9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(0.9)</w:t>
            </w:r>
          </w:p>
        </w:tc>
        <w:tc>
          <w:tcPr>
            <w:tcW w:w="136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w w:val="99"/>
              </w:rPr>
              <w:t>(48.1)%</w:t>
            </w: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138.6</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101.9</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36.7</w:t>
            </w:r>
          </w:p>
        </w:tc>
        <w:tc>
          <w:tcPr>
            <w:tcW w:w="1360" w:type="dxa"/>
            <w:vAlign w:val="bottom"/>
          </w:tcPr>
          <w:p>
            <w:pPr>
              <w:jc w:val="center"/>
              <w:ind w:left="19"/>
              <w:spacing w:after="0"/>
              <w:rPr>
                <w:sz w:val="20"/>
                <w:szCs w:val="20"/>
                <w:color w:val="auto"/>
              </w:rPr>
            </w:pPr>
            <w:r>
              <w:rPr>
                <w:rFonts w:ascii="Arial" w:cs="Arial" w:eastAsia="Arial" w:hAnsi="Arial"/>
                <w:sz w:val="16"/>
                <w:szCs w:val="16"/>
                <w:color w:val="auto"/>
              </w:rPr>
              <w:t>36.1%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160" w:type="dxa"/>
            <w:vAlign w:val="bottom"/>
            <w:gridSpan w:val="3"/>
          </w:tcPr>
          <w:p>
            <w:pPr>
              <w:ind w:left="40"/>
              <w:spacing w:after="0"/>
              <w:rPr>
                <w:sz w:val="20"/>
                <w:szCs w:val="20"/>
                <w:color w:val="auto"/>
              </w:rPr>
            </w:pPr>
            <w:r>
              <w:rPr>
                <w:rFonts w:ascii="Arial" w:cs="Arial" w:eastAsia="Arial" w:hAnsi="Arial"/>
                <w:sz w:val="16"/>
                <w:szCs w:val="16"/>
                <w:color w:val="auto"/>
              </w:rPr>
              <w:t>*Not meaningful</w:t>
            </w: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581"/>
        </w:trPr>
        <w:tc>
          <w:tcPr>
            <w:tcW w:w="41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0046AD"/>
              </w:rPr>
              <w:t>Business &amp; Industry</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71"/>
        </w:trPr>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5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24"/>
        </w:trPr>
        <w:tc>
          <w:tcPr>
            <w:tcW w:w="416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20" w:type="dxa"/>
            <w:vAlign w:val="bottom"/>
            <w:gridSpan w:val="2"/>
          </w:tcPr>
          <w:p>
            <w:pPr>
              <w:ind w:left="38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330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DCE2EF"/>
            </w:tcBorders>
            <w:shd w:val="clear" w:color="auto" w:fill="DCE2EF"/>
          </w:tcPr>
          <w:p>
            <w:pPr>
              <w:spacing w:after="0"/>
              <w:rPr>
                <w:sz w:val="21"/>
                <w:szCs w:val="21"/>
                <w:color w:val="auto"/>
              </w:rPr>
            </w:pPr>
          </w:p>
        </w:tc>
        <w:tc>
          <w:tcPr>
            <w:tcW w:w="82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8"/>
                <w:szCs w:val="18"/>
                <w:color w:val="auto"/>
                <w:w w:val="98"/>
                <w:shd w:val="clear" w:color="auto" w:fill="DCE2EF"/>
              </w:rPr>
              <w:t>Revenues</w:t>
            </w:r>
          </w:p>
        </w:tc>
        <w:tc>
          <w:tcPr>
            <w:tcW w:w="3300" w:type="dxa"/>
            <w:vAlign w:val="bottom"/>
            <w:tcBorders>
              <w:bottom w:val="single" w:sz="8" w:color="DCE2EF"/>
            </w:tcBorders>
            <w:shd w:val="clear" w:color="auto" w:fill="DCE2EF"/>
          </w:tcPr>
          <w:p>
            <w:pPr>
              <w:spacing w:after="0"/>
              <w:rPr>
                <w:sz w:val="21"/>
                <w:szCs w:val="21"/>
                <w:color w:val="auto"/>
              </w:rPr>
            </w:pPr>
          </w:p>
        </w:tc>
        <w:tc>
          <w:tcPr>
            <w:tcW w:w="420" w:type="dxa"/>
            <w:vAlign w:val="bottom"/>
            <w:tcBorders>
              <w:bottom w:val="single" w:sz="8" w:color="DCE2EF"/>
            </w:tcBorders>
            <w:shd w:val="clear" w:color="auto" w:fill="DCE2EF"/>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DCE2EF"/>
            </w:tcBorders>
            <w:shd w:val="clear" w:color="auto" w:fill="DCE2EF"/>
          </w:tcPr>
          <w:p>
            <w:pPr>
              <w:jc w:val="right"/>
              <w:ind w:right="74"/>
              <w:spacing w:after="0"/>
              <w:rPr>
                <w:sz w:val="20"/>
                <w:szCs w:val="20"/>
                <w:color w:val="auto"/>
              </w:rPr>
            </w:pPr>
            <w:r>
              <w:rPr>
                <w:rFonts w:ascii="Arial" w:cs="Arial" w:eastAsia="Arial" w:hAnsi="Arial"/>
                <w:sz w:val="18"/>
                <w:szCs w:val="18"/>
                <w:color w:val="auto"/>
              </w:rPr>
              <w:t>3,268.4</w:t>
            </w:r>
          </w:p>
        </w:tc>
        <w:tc>
          <w:tcPr>
            <w:tcW w:w="120" w:type="dxa"/>
            <w:vAlign w:val="bottom"/>
            <w:tcBorders>
              <w:bottom w:val="single" w:sz="8" w:color="DCE2EF"/>
            </w:tcBorders>
            <w:shd w:val="clear" w:color="auto" w:fill="DCE2EF"/>
          </w:tcPr>
          <w:p>
            <w:pPr>
              <w:spacing w:after="0"/>
              <w:rPr>
                <w:sz w:val="21"/>
                <w:szCs w:val="21"/>
                <w:color w:val="auto"/>
              </w:rPr>
            </w:pPr>
          </w:p>
        </w:tc>
        <w:tc>
          <w:tcPr>
            <w:tcW w:w="400" w:type="dxa"/>
            <w:vAlign w:val="bottom"/>
            <w:tcBorders>
              <w:bottom w:val="single" w:sz="8" w:color="DCE2EF"/>
            </w:tcBorders>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DCE2EF"/>
            </w:tcBorders>
            <w:shd w:val="clear" w:color="auto" w:fill="DCE2EF"/>
          </w:tcPr>
          <w:p>
            <w:pPr>
              <w:jc w:val="right"/>
              <w:ind w:right="74"/>
              <w:spacing w:after="0"/>
              <w:rPr>
                <w:sz w:val="20"/>
                <w:szCs w:val="20"/>
                <w:color w:val="auto"/>
              </w:rPr>
            </w:pPr>
            <w:r>
              <w:rPr>
                <w:rFonts w:ascii="Arial" w:cs="Arial" w:eastAsia="Arial" w:hAnsi="Arial"/>
                <w:sz w:val="18"/>
                <w:szCs w:val="18"/>
                <w:color w:val="auto"/>
              </w:rPr>
              <w:t>2,939.4</w:t>
            </w:r>
          </w:p>
        </w:tc>
        <w:tc>
          <w:tcPr>
            <w:tcW w:w="100" w:type="dxa"/>
            <w:vAlign w:val="bottom"/>
            <w:tcBorders>
              <w:bottom w:val="single" w:sz="8" w:color="DCE2EF"/>
            </w:tcBorders>
            <w:shd w:val="clear" w:color="auto" w:fill="DCE2EF"/>
          </w:tcPr>
          <w:p>
            <w:pPr>
              <w:spacing w:after="0"/>
              <w:rPr>
                <w:sz w:val="21"/>
                <w:szCs w:val="21"/>
                <w:color w:val="auto"/>
              </w:rPr>
            </w:pPr>
          </w:p>
        </w:tc>
        <w:tc>
          <w:tcPr>
            <w:tcW w:w="500" w:type="dxa"/>
            <w:vAlign w:val="bottom"/>
            <w:tcBorders>
              <w:bottom w:val="single" w:sz="8" w:color="DCE2EF"/>
            </w:tcBorders>
            <w:shd w:val="clear" w:color="auto" w:fill="DCE2EF"/>
          </w:tcPr>
          <w:p>
            <w:pPr>
              <w:jc w:val="right"/>
              <w:ind w:right="2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DCE2EF"/>
            </w:tcBorders>
            <w:shd w:val="clear" w:color="auto" w:fill="DCE2EF"/>
          </w:tcPr>
          <w:p>
            <w:pPr>
              <w:jc w:val="right"/>
              <w:ind w:right="334"/>
              <w:spacing w:after="0"/>
              <w:rPr>
                <w:sz w:val="20"/>
                <w:szCs w:val="20"/>
                <w:color w:val="auto"/>
              </w:rPr>
            </w:pPr>
            <w:r>
              <w:rPr>
                <w:rFonts w:ascii="Arial" w:cs="Arial" w:eastAsia="Arial" w:hAnsi="Arial"/>
                <w:sz w:val="18"/>
                <w:szCs w:val="18"/>
                <w:color w:val="auto"/>
              </w:rPr>
              <w:t>329.0</w:t>
            </w:r>
          </w:p>
        </w:tc>
        <w:tc>
          <w:tcPr>
            <w:tcW w:w="1500" w:type="dxa"/>
            <w:vAlign w:val="bottom"/>
            <w:tcBorders>
              <w:bottom w:val="single" w:sz="8" w:color="DCE2EF"/>
            </w:tcBorders>
            <w:shd w:val="clear" w:color="auto" w:fill="DCE2EF"/>
          </w:tcPr>
          <w:p>
            <w:pPr>
              <w:jc w:val="right"/>
              <w:ind w:right="510"/>
              <w:spacing w:after="0"/>
              <w:rPr>
                <w:sz w:val="20"/>
                <w:szCs w:val="20"/>
                <w:color w:val="auto"/>
              </w:rPr>
            </w:pPr>
            <w:r>
              <w:rPr>
                <w:rFonts w:ascii="Arial" w:cs="Arial" w:eastAsia="Arial" w:hAnsi="Arial"/>
                <w:sz w:val="18"/>
                <w:szCs w:val="18"/>
                <w:color w:val="auto"/>
              </w:rPr>
              <w:t>11.2%</w:t>
            </w:r>
          </w:p>
        </w:tc>
      </w:tr>
      <w:tr>
        <w:trPr>
          <w:trHeight w:val="270"/>
        </w:trPr>
        <w:tc>
          <w:tcPr>
            <w:tcW w:w="4160" w:type="dxa"/>
            <w:vAlign w:val="bottom"/>
            <w:gridSpan w:val="3"/>
          </w:tcPr>
          <w:p>
            <w:pPr>
              <w:ind w:left="40"/>
              <w:spacing w:after="0"/>
              <w:rPr>
                <w:sz w:val="20"/>
                <w:szCs w:val="20"/>
                <w:color w:val="auto"/>
              </w:rPr>
            </w:pPr>
            <w:r>
              <w:rPr>
                <w:rFonts w:ascii="Arial" w:cs="Arial" w:eastAsia="Arial" w:hAnsi="Arial"/>
                <w:sz w:val="18"/>
                <w:szCs w:val="18"/>
                <w:color w:val="auto"/>
              </w:rPr>
              <w:t>Operating profit</w:t>
            </w:r>
            <w:r>
              <w:rPr>
                <w:rFonts w:ascii="Arial" w:cs="Arial" w:eastAsia="Arial" w:hAnsi="Arial"/>
                <w:sz w:val="21"/>
                <w:szCs w:val="21"/>
                <w:color w:val="auto"/>
                <w:vertAlign w:val="superscript"/>
              </w:rPr>
              <w:t>(1)</w:t>
            </w:r>
          </w:p>
        </w:tc>
        <w:tc>
          <w:tcPr>
            <w:tcW w:w="420" w:type="dxa"/>
            <w:vAlign w:val="bottom"/>
          </w:tcPr>
          <w:p>
            <w:pPr>
              <w:spacing w:after="0"/>
              <w:rPr>
                <w:sz w:val="23"/>
                <w:szCs w:val="23"/>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157.9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146.6</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20" w:type="dxa"/>
            <w:vAlign w:val="bottom"/>
          </w:tcPr>
          <w:p>
            <w:pPr>
              <w:jc w:val="right"/>
              <w:ind w:right="334"/>
              <w:spacing w:after="0"/>
              <w:rPr>
                <w:sz w:val="20"/>
                <w:szCs w:val="20"/>
                <w:color w:val="auto"/>
              </w:rPr>
            </w:pPr>
            <w:r>
              <w:rPr>
                <w:rFonts w:ascii="Arial" w:cs="Arial" w:eastAsia="Arial" w:hAnsi="Arial"/>
                <w:sz w:val="18"/>
                <w:szCs w:val="18"/>
                <w:color w:val="auto"/>
              </w:rPr>
              <w:t>11.3</w:t>
            </w:r>
          </w:p>
        </w:tc>
        <w:tc>
          <w:tcPr>
            <w:tcW w:w="1500" w:type="dxa"/>
            <w:vAlign w:val="bottom"/>
          </w:tcPr>
          <w:p>
            <w:pPr>
              <w:jc w:val="right"/>
              <w:ind w:right="550"/>
              <w:spacing w:after="0"/>
              <w:rPr>
                <w:sz w:val="20"/>
                <w:szCs w:val="20"/>
                <w:color w:val="auto"/>
              </w:rPr>
            </w:pPr>
            <w:r>
              <w:rPr>
                <w:rFonts w:ascii="Arial" w:cs="Arial" w:eastAsia="Arial" w:hAnsi="Arial"/>
                <w:sz w:val="18"/>
                <w:szCs w:val="18"/>
                <w:color w:val="auto"/>
              </w:rPr>
              <w:t>7.7%</w:t>
            </w:r>
          </w:p>
        </w:tc>
      </w:tr>
      <w:tr>
        <w:trPr>
          <w:trHeight w:val="243"/>
        </w:trPr>
        <w:tc>
          <w:tcPr>
            <w:tcW w:w="40" w:type="dxa"/>
            <w:vAlign w:val="bottom"/>
            <w:shd w:val="clear" w:color="auto" w:fill="DCE2EF"/>
          </w:tcPr>
          <w:p>
            <w:pPr>
              <w:spacing w:after="0"/>
              <w:rPr>
                <w:sz w:val="21"/>
                <w:szCs w:val="21"/>
                <w:color w:val="auto"/>
              </w:rPr>
            </w:pPr>
          </w:p>
        </w:tc>
        <w:tc>
          <w:tcPr>
            <w:tcW w:w="412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shd w:val="clear" w:color="auto" w:fill="DCE2EF"/>
              </w:rPr>
              <w:t>Operating profit margin</w:t>
            </w:r>
          </w:p>
        </w:tc>
        <w:tc>
          <w:tcPr>
            <w:tcW w:w="420" w:type="dxa"/>
            <w:vAlign w:val="bottom"/>
            <w:shd w:val="clear" w:color="auto" w:fill="DCE2EF"/>
          </w:tcPr>
          <w:p>
            <w:pPr>
              <w:spacing w:after="0"/>
              <w:rPr>
                <w:sz w:val="21"/>
                <w:szCs w:val="21"/>
                <w:color w:val="auto"/>
              </w:rPr>
            </w:pPr>
          </w:p>
        </w:tc>
        <w:tc>
          <w:tcPr>
            <w:tcW w:w="13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4.8%</w:t>
            </w:r>
          </w:p>
        </w:tc>
        <w:tc>
          <w:tcPr>
            <w:tcW w:w="120" w:type="dxa"/>
            <w:vAlign w:val="bottom"/>
            <w:shd w:val="clear" w:color="auto" w:fill="DCE2EF"/>
          </w:tcPr>
          <w:p>
            <w:pPr>
              <w:spacing w:after="0"/>
              <w:rPr>
                <w:sz w:val="21"/>
                <w:szCs w:val="21"/>
                <w:color w:val="auto"/>
              </w:rPr>
            </w:pPr>
          </w:p>
        </w:tc>
        <w:tc>
          <w:tcPr>
            <w:tcW w:w="400" w:type="dxa"/>
            <w:vAlign w:val="bottom"/>
            <w:shd w:val="clear" w:color="auto" w:fill="DCE2EF"/>
          </w:tcPr>
          <w:p>
            <w:pPr>
              <w:spacing w:after="0"/>
              <w:rPr>
                <w:sz w:val="21"/>
                <w:szCs w:val="21"/>
                <w:color w:val="auto"/>
              </w:rPr>
            </w:pPr>
          </w:p>
        </w:tc>
        <w:tc>
          <w:tcPr>
            <w:tcW w:w="13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5.0%</w:t>
            </w:r>
          </w:p>
        </w:tc>
        <w:tc>
          <w:tcPr>
            <w:tcW w:w="100" w:type="dxa"/>
            <w:vAlign w:val="bottom"/>
            <w:shd w:val="clear" w:color="auto" w:fill="DCE2EF"/>
          </w:tcPr>
          <w:p>
            <w:pPr>
              <w:spacing w:after="0"/>
              <w:rPr>
                <w:sz w:val="21"/>
                <w:szCs w:val="21"/>
                <w:color w:val="auto"/>
              </w:rPr>
            </w:pPr>
          </w:p>
        </w:tc>
        <w:tc>
          <w:tcPr>
            <w:tcW w:w="500" w:type="dxa"/>
            <w:vAlign w:val="bottom"/>
            <w:shd w:val="clear" w:color="auto" w:fill="DCE2EF"/>
          </w:tcPr>
          <w:p>
            <w:pPr>
              <w:spacing w:after="0"/>
              <w:rPr>
                <w:sz w:val="21"/>
                <w:szCs w:val="21"/>
                <w:color w:val="auto"/>
              </w:rPr>
            </w:pPr>
          </w:p>
        </w:tc>
        <w:tc>
          <w:tcPr>
            <w:tcW w:w="1520" w:type="dxa"/>
            <w:vAlign w:val="bottom"/>
            <w:shd w:val="clear" w:color="auto" w:fill="DCE2EF"/>
          </w:tcPr>
          <w:p>
            <w:pPr>
              <w:jc w:val="right"/>
              <w:ind w:right="334"/>
              <w:spacing w:after="0"/>
              <w:rPr>
                <w:sz w:val="20"/>
                <w:szCs w:val="20"/>
                <w:color w:val="auto"/>
              </w:rPr>
            </w:pPr>
            <w:r>
              <w:rPr>
                <w:rFonts w:ascii="Arial" w:cs="Arial" w:eastAsia="Arial" w:hAnsi="Arial"/>
                <w:sz w:val="14"/>
                <w:szCs w:val="14"/>
                <w:i w:val="1"/>
                <w:iCs w:val="1"/>
                <w:color w:val="auto"/>
              </w:rPr>
              <w:t>(16) bps</w:t>
            </w:r>
          </w:p>
        </w:tc>
        <w:tc>
          <w:tcPr>
            <w:tcW w:w="1500" w:type="dxa"/>
            <w:vAlign w:val="bottom"/>
            <w:shd w:val="clear" w:color="auto" w:fill="DCE2EF"/>
          </w:tcPr>
          <w:p>
            <w:pPr>
              <w:spacing w:after="0"/>
              <w:rPr>
                <w:sz w:val="21"/>
                <w:szCs w:val="21"/>
                <w:color w:val="auto"/>
              </w:rPr>
            </w:pPr>
          </w:p>
        </w:tc>
      </w:tr>
      <w:tr>
        <w:trPr>
          <w:trHeight w:val="27"/>
        </w:trPr>
        <w:tc>
          <w:tcPr>
            <w:tcW w:w="40" w:type="dxa"/>
            <w:vAlign w:val="bottom"/>
            <w:shd w:val="clear" w:color="auto" w:fill="DCE2EF"/>
          </w:tcPr>
          <w:p>
            <w:pPr>
              <w:spacing w:after="0"/>
              <w:rPr>
                <w:sz w:val="2"/>
                <w:szCs w:val="2"/>
                <w:color w:val="auto"/>
              </w:rPr>
            </w:pPr>
          </w:p>
        </w:tc>
        <w:tc>
          <w:tcPr>
            <w:tcW w:w="820" w:type="dxa"/>
            <w:vAlign w:val="bottom"/>
            <w:shd w:val="clear" w:color="auto" w:fill="DCE2EF"/>
          </w:tcPr>
          <w:p>
            <w:pPr>
              <w:spacing w:after="0"/>
              <w:rPr>
                <w:sz w:val="2"/>
                <w:szCs w:val="2"/>
                <w:color w:val="auto"/>
              </w:rPr>
            </w:pPr>
          </w:p>
        </w:tc>
        <w:tc>
          <w:tcPr>
            <w:tcW w:w="3300" w:type="dxa"/>
            <w:vAlign w:val="bottom"/>
            <w:shd w:val="clear" w:color="auto" w:fill="DCE2EF"/>
          </w:tcPr>
          <w:p>
            <w:pPr>
              <w:spacing w:after="0"/>
              <w:rPr>
                <w:sz w:val="2"/>
                <w:szCs w:val="2"/>
                <w:color w:val="auto"/>
              </w:rPr>
            </w:pPr>
          </w:p>
        </w:tc>
        <w:tc>
          <w:tcPr>
            <w:tcW w:w="420" w:type="dxa"/>
            <w:vAlign w:val="bottom"/>
            <w:shd w:val="clear" w:color="auto" w:fill="DCE2EF"/>
          </w:tcPr>
          <w:p>
            <w:pPr>
              <w:spacing w:after="0"/>
              <w:rPr>
                <w:sz w:val="2"/>
                <w:szCs w:val="2"/>
                <w:color w:val="auto"/>
              </w:rPr>
            </w:pPr>
          </w:p>
        </w:tc>
        <w:tc>
          <w:tcPr>
            <w:tcW w:w="1340" w:type="dxa"/>
            <w:vAlign w:val="bottom"/>
            <w:shd w:val="clear" w:color="auto" w:fill="DCE2EF"/>
          </w:tcPr>
          <w:p>
            <w:pPr>
              <w:spacing w:after="0"/>
              <w:rPr>
                <w:sz w:val="2"/>
                <w:szCs w:val="2"/>
                <w:color w:val="auto"/>
              </w:rPr>
            </w:pPr>
          </w:p>
        </w:tc>
        <w:tc>
          <w:tcPr>
            <w:tcW w:w="120" w:type="dxa"/>
            <w:vAlign w:val="bottom"/>
            <w:shd w:val="clear" w:color="auto" w:fill="DCE2EF"/>
          </w:tcPr>
          <w:p>
            <w:pPr>
              <w:spacing w:after="0"/>
              <w:rPr>
                <w:sz w:val="2"/>
                <w:szCs w:val="2"/>
                <w:color w:val="auto"/>
              </w:rPr>
            </w:pPr>
          </w:p>
        </w:tc>
        <w:tc>
          <w:tcPr>
            <w:tcW w:w="400" w:type="dxa"/>
            <w:vAlign w:val="bottom"/>
            <w:shd w:val="clear" w:color="auto" w:fill="DCE2EF"/>
          </w:tcPr>
          <w:p>
            <w:pPr>
              <w:spacing w:after="0"/>
              <w:rPr>
                <w:sz w:val="2"/>
                <w:szCs w:val="2"/>
                <w:color w:val="auto"/>
              </w:rPr>
            </w:pPr>
          </w:p>
        </w:tc>
        <w:tc>
          <w:tcPr>
            <w:tcW w:w="1360" w:type="dxa"/>
            <w:vAlign w:val="bottom"/>
            <w:shd w:val="clear" w:color="auto" w:fill="DCE2EF"/>
          </w:tcPr>
          <w:p>
            <w:pPr>
              <w:spacing w:after="0"/>
              <w:rPr>
                <w:sz w:val="2"/>
                <w:szCs w:val="2"/>
                <w:color w:val="auto"/>
              </w:rPr>
            </w:pPr>
          </w:p>
        </w:tc>
        <w:tc>
          <w:tcPr>
            <w:tcW w:w="100" w:type="dxa"/>
            <w:vAlign w:val="bottom"/>
            <w:shd w:val="clear" w:color="auto" w:fill="DCE2EF"/>
          </w:tcPr>
          <w:p>
            <w:pPr>
              <w:spacing w:after="0"/>
              <w:rPr>
                <w:sz w:val="2"/>
                <w:szCs w:val="2"/>
                <w:color w:val="auto"/>
              </w:rPr>
            </w:pPr>
          </w:p>
        </w:tc>
        <w:tc>
          <w:tcPr>
            <w:tcW w:w="500" w:type="dxa"/>
            <w:vAlign w:val="bottom"/>
            <w:shd w:val="clear" w:color="auto" w:fill="DCE2EF"/>
          </w:tcPr>
          <w:p>
            <w:pPr>
              <w:spacing w:after="0"/>
              <w:rPr>
                <w:sz w:val="2"/>
                <w:szCs w:val="2"/>
                <w:color w:val="auto"/>
              </w:rPr>
            </w:pPr>
          </w:p>
        </w:tc>
        <w:tc>
          <w:tcPr>
            <w:tcW w:w="1520" w:type="dxa"/>
            <w:vAlign w:val="bottom"/>
            <w:shd w:val="clear" w:color="auto" w:fill="DCE2EF"/>
          </w:tcPr>
          <w:p>
            <w:pPr>
              <w:spacing w:after="0"/>
              <w:rPr>
                <w:sz w:val="2"/>
                <w:szCs w:val="2"/>
                <w:color w:val="auto"/>
              </w:rPr>
            </w:pPr>
          </w:p>
        </w:tc>
        <w:tc>
          <w:tcPr>
            <w:tcW w:w="1500" w:type="dxa"/>
            <w:vAlign w:val="bottom"/>
            <w:shd w:val="clear" w:color="auto" w:fill="DCE2EF"/>
          </w:tcPr>
          <w:p>
            <w:pPr>
              <w:spacing w:after="0"/>
              <w:rPr>
                <w:sz w:val="2"/>
                <w:szCs w:val="2"/>
                <w:color w:val="auto"/>
              </w:rPr>
            </w:pPr>
          </w:p>
        </w:tc>
      </w:tr>
    </w:tbl>
    <w:p>
      <w:pPr>
        <w:spacing w:after="0" w:line="13"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21"/>
          <w:szCs w:val="21"/>
          <w:color w:val="auto"/>
          <w:vertAlign w:val="superscript"/>
        </w:rPr>
      </w:pPr>
      <w:r>
        <w:rPr>
          <w:rFonts w:ascii="Arial" w:cs="Arial" w:eastAsia="Arial" w:hAnsi="Arial"/>
          <w:sz w:val="15"/>
          <w:szCs w:val="15"/>
          <w:color w:val="auto"/>
        </w:rPr>
        <w:t>2018 and 2017 include $7.9 million and $1.5 million, respectively, of amortization expense related to the GCA acquisition.</w:t>
      </w:r>
    </w:p>
    <w:p>
      <w:pPr>
        <w:spacing w:after="0" w:line="12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B&amp;I revenues increased by $329.0 million, or 11.2%, during 2018, as compared to 2017. The increase was primarily attributable to incremental revenues of $155.1 million from the GCA acquisition and to organic net new business, primarily new contract wins in the United Kingdom, as well as targeted expansion of key clients within the United States. Management reimbursement revenues for this segment totaled $276.6 million and $252.9 million during 2018 and 2017, respectively.</w:t>
      </w:r>
    </w:p>
    <w:p>
      <w:pPr>
        <w:sectPr>
          <w:pgSz w:w="11900" w:h="16838" w:orient="portrait"/>
          <w:cols w:equalWidth="0" w:num="1">
            <w:col w:w="11420"/>
          </w:cols>
          <w:pgMar w:left="240" w:top="495" w:right="239" w:bottom="1440" w:gutter="0" w:footer="0" w:header="0"/>
        </w:sect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495" w:right="239" w:bottom="1440" w:gutter="0" w:footer="0" w:header="0"/>
          <w:type w:val="continuous"/>
        </w:sectPr>
      </w:pPr>
    </w:p>
    <w:bookmarkStart w:id="35" w:name="page36"/>
    <w:bookmarkEnd w:id="35"/>
    <w:p>
      <w:pPr>
        <w:jc w:val="both"/>
        <w:ind w:firstLine="648"/>
        <w:spacing w:after="0" w:line="260" w:lineRule="auto"/>
        <w:rPr>
          <w:sz w:val="20"/>
          <w:szCs w:val="20"/>
          <w:color w:val="auto"/>
        </w:rPr>
      </w:pPr>
      <w:r>
        <w:rPr>
          <w:rFonts w:ascii="Arial" w:cs="Arial" w:eastAsia="Arial" w:hAnsi="Arial"/>
          <w:sz w:val="18"/>
          <w:szCs w:val="18"/>
          <w:color w:val="auto"/>
        </w:rPr>
        <w:t>Operating profit increased by $11.3 million, or 7.7%, during 2018, as compared to 2017. Operating profit margin decreased by 16 bps to 4.8% in 2018 from 5.0% in 2017. Operating profit margin was negatively impacted by lower margins on certain accounts and an increase in amortization expense related to the GCA acquisition, partially offset by the management of selling, general and administrative expenses and higher margins on certain accounts. While labor challenges are present in certain areas of our B&amp;I business, it is our most mature business and has the highest proportion of unionized labor.</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1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0046AD"/>
              </w:rPr>
              <w:t>Aviation</w:t>
            </w: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1"/>
        </w:trPr>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5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24"/>
        </w:trPr>
        <w:tc>
          <w:tcPr>
            <w:tcW w:w="416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20" w:type="dxa"/>
            <w:vAlign w:val="bottom"/>
            <w:gridSpan w:val="2"/>
          </w:tcPr>
          <w:p>
            <w:pPr>
              <w:jc w:val="right"/>
              <w:ind w:right="75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330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DCE2EF"/>
            </w:tcBorders>
            <w:shd w:val="clear" w:color="auto" w:fill="DCE2EF"/>
          </w:tcPr>
          <w:p>
            <w:pPr>
              <w:spacing w:after="0"/>
              <w:rPr>
                <w:sz w:val="21"/>
                <w:szCs w:val="21"/>
                <w:color w:val="auto"/>
              </w:rPr>
            </w:pPr>
          </w:p>
        </w:tc>
        <w:tc>
          <w:tcPr>
            <w:tcW w:w="82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8"/>
                <w:szCs w:val="18"/>
                <w:color w:val="auto"/>
                <w:w w:val="98"/>
                <w:shd w:val="clear" w:color="auto" w:fill="DCE2EF"/>
              </w:rPr>
              <w:t>Revenues</w:t>
            </w:r>
          </w:p>
        </w:tc>
        <w:tc>
          <w:tcPr>
            <w:tcW w:w="3300" w:type="dxa"/>
            <w:vAlign w:val="bottom"/>
            <w:tcBorders>
              <w:bottom w:val="single" w:sz="8" w:color="DCE2EF"/>
            </w:tcBorders>
            <w:shd w:val="clear" w:color="auto" w:fill="DCE2EF"/>
          </w:tcPr>
          <w:p>
            <w:pPr>
              <w:spacing w:after="0"/>
              <w:rPr>
                <w:sz w:val="21"/>
                <w:szCs w:val="21"/>
                <w:color w:val="auto"/>
              </w:rPr>
            </w:pPr>
          </w:p>
        </w:tc>
        <w:tc>
          <w:tcPr>
            <w:tcW w:w="420" w:type="dxa"/>
            <w:vAlign w:val="bottom"/>
            <w:tcBorders>
              <w:bottom w:val="single" w:sz="8" w:color="DCE2EF"/>
            </w:tcBorders>
            <w:shd w:val="clear" w:color="auto" w:fill="DCE2EF"/>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DCE2EF"/>
            </w:tcBorders>
            <w:shd w:val="clear" w:color="auto" w:fill="DCE2EF"/>
          </w:tcPr>
          <w:p>
            <w:pPr>
              <w:jc w:val="right"/>
              <w:ind w:right="74"/>
              <w:spacing w:after="0"/>
              <w:rPr>
                <w:sz w:val="20"/>
                <w:szCs w:val="20"/>
                <w:color w:val="auto"/>
              </w:rPr>
            </w:pPr>
            <w:r>
              <w:rPr>
                <w:rFonts w:ascii="Arial" w:cs="Arial" w:eastAsia="Arial" w:hAnsi="Arial"/>
                <w:sz w:val="18"/>
                <w:szCs w:val="18"/>
                <w:color w:val="auto"/>
              </w:rPr>
              <w:t>1,038.7</w:t>
            </w:r>
          </w:p>
        </w:tc>
        <w:tc>
          <w:tcPr>
            <w:tcW w:w="120" w:type="dxa"/>
            <w:vAlign w:val="bottom"/>
            <w:tcBorders>
              <w:bottom w:val="single" w:sz="8" w:color="DCE2EF"/>
            </w:tcBorders>
            <w:shd w:val="clear" w:color="auto" w:fill="DCE2EF"/>
          </w:tcPr>
          <w:p>
            <w:pPr>
              <w:spacing w:after="0"/>
              <w:rPr>
                <w:sz w:val="21"/>
                <w:szCs w:val="21"/>
                <w:color w:val="auto"/>
              </w:rPr>
            </w:pPr>
          </w:p>
        </w:tc>
        <w:tc>
          <w:tcPr>
            <w:tcW w:w="400" w:type="dxa"/>
            <w:vAlign w:val="bottom"/>
            <w:tcBorders>
              <w:bottom w:val="single" w:sz="8" w:color="DCE2EF"/>
            </w:tcBorders>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DCE2EF"/>
            </w:tcBorders>
            <w:shd w:val="clear" w:color="auto" w:fill="DCE2EF"/>
          </w:tcPr>
          <w:p>
            <w:pPr>
              <w:jc w:val="right"/>
              <w:ind w:right="74"/>
              <w:spacing w:after="0"/>
              <w:rPr>
                <w:sz w:val="20"/>
                <w:szCs w:val="20"/>
                <w:color w:val="auto"/>
              </w:rPr>
            </w:pPr>
            <w:r>
              <w:rPr>
                <w:rFonts w:ascii="Arial" w:cs="Arial" w:eastAsia="Arial" w:hAnsi="Arial"/>
                <w:sz w:val="18"/>
                <w:szCs w:val="18"/>
                <w:color w:val="auto"/>
              </w:rPr>
              <w:t>1,003.0</w:t>
            </w:r>
          </w:p>
        </w:tc>
        <w:tc>
          <w:tcPr>
            <w:tcW w:w="100" w:type="dxa"/>
            <w:vAlign w:val="bottom"/>
            <w:tcBorders>
              <w:bottom w:val="single" w:sz="8" w:color="DCE2EF"/>
            </w:tcBorders>
            <w:shd w:val="clear" w:color="auto" w:fill="DCE2EF"/>
          </w:tcPr>
          <w:p>
            <w:pPr>
              <w:spacing w:after="0"/>
              <w:rPr>
                <w:sz w:val="21"/>
                <w:szCs w:val="21"/>
                <w:color w:val="auto"/>
              </w:rPr>
            </w:pPr>
          </w:p>
        </w:tc>
        <w:tc>
          <w:tcPr>
            <w:tcW w:w="500" w:type="dxa"/>
            <w:vAlign w:val="bottom"/>
            <w:tcBorders>
              <w:bottom w:val="single" w:sz="8" w:color="DCE2EF"/>
            </w:tcBorders>
            <w:shd w:val="clear" w:color="auto" w:fill="DCE2EF"/>
          </w:tcPr>
          <w:p>
            <w:pPr>
              <w:jc w:val="right"/>
              <w:ind w:right="27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DCE2EF"/>
            </w:tcBorders>
            <w:shd w:val="clear" w:color="auto" w:fill="DCE2EF"/>
          </w:tcPr>
          <w:p>
            <w:pPr>
              <w:jc w:val="right"/>
              <w:ind w:right="354"/>
              <w:spacing w:after="0"/>
              <w:rPr>
                <w:sz w:val="20"/>
                <w:szCs w:val="20"/>
                <w:color w:val="auto"/>
              </w:rPr>
            </w:pPr>
            <w:r>
              <w:rPr>
                <w:rFonts w:ascii="Arial" w:cs="Arial" w:eastAsia="Arial" w:hAnsi="Arial"/>
                <w:sz w:val="18"/>
                <w:szCs w:val="18"/>
                <w:color w:val="auto"/>
              </w:rPr>
              <w:t>35.7</w:t>
            </w:r>
          </w:p>
        </w:tc>
        <w:tc>
          <w:tcPr>
            <w:tcW w:w="1480" w:type="dxa"/>
            <w:vAlign w:val="bottom"/>
            <w:tcBorders>
              <w:bottom w:val="single" w:sz="8" w:color="DCE2EF"/>
            </w:tcBorders>
            <w:shd w:val="clear" w:color="auto" w:fill="DCE2EF"/>
          </w:tcPr>
          <w:p>
            <w:pPr>
              <w:jc w:val="right"/>
              <w:ind w:right="550"/>
              <w:spacing w:after="0"/>
              <w:rPr>
                <w:sz w:val="20"/>
                <w:szCs w:val="20"/>
                <w:color w:val="auto"/>
              </w:rPr>
            </w:pPr>
            <w:r>
              <w:rPr>
                <w:rFonts w:ascii="Arial" w:cs="Arial" w:eastAsia="Arial" w:hAnsi="Arial"/>
                <w:sz w:val="18"/>
                <w:szCs w:val="18"/>
                <w:color w:val="auto"/>
              </w:rPr>
              <w:t>3.6%</w:t>
            </w:r>
          </w:p>
        </w:tc>
      </w:tr>
      <w:tr>
        <w:trPr>
          <w:trHeight w:val="265"/>
        </w:trPr>
        <w:tc>
          <w:tcPr>
            <w:tcW w:w="416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3"/>
                <w:szCs w:val="23"/>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40" w:type="dxa"/>
            <w:vAlign w:val="bottom"/>
          </w:tcPr>
          <w:p>
            <w:pPr>
              <w:jc w:val="right"/>
              <w:ind w:right="354"/>
              <w:spacing w:after="0"/>
              <w:rPr>
                <w:sz w:val="20"/>
                <w:szCs w:val="20"/>
                <w:color w:val="auto"/>
              </w:rPr>
            </w:pPr>
            <w:r>
              <w:rPr>
                <w:rFonts w:ascii="Arial" w:cs="Arial" w:eastAsia="Arial" w:hAnsi="Arial"/>
                <w:sz w:val="18"/>
                <w:szCs w:val="18"/>
                <w:color w:val="auto"/>
              </w:rPr>
              <w:t>0.2</w:t>
            </w:r>
          </w:p>
        </w:tc>
        <w:tc>
          <w:tcPr>
            <w:tcW w:w="1480" w:type="dxa"/>
            <w:vAlign w:val="bottom"/>
          </w:tcPr>
          <w:p>
            <w:pPr>
              <w:jc w:val="right"/>
              <w:ind w:right="550"/>
              <w:spacing w:after="0"/>
              <w:rPr>
                <w:sz w:val="20"/>
                <w:szCs w:val="20"/>
                <w:color w:val="auto"/>
              </w:rPr>
            </w:pPr>
            <w:r>
              <w:rPr>
                <w:rFonts w:ascii="Arial" w:cs="Arial" w:eastAsia="Arial" w:hAnsi="Arial"/>
                <w:sz w:val="18"/>
                <w:szCs w:val="18"/>
                <w:color w:val="auto"/>
              </w:rPr>
              <w:t>0.5%</w:t>
            </w:r>
          </w:p>
        </w:tc>
      </w:tr>
      <w:tr>
        <w:trPr>
          <w:trHeight w:val="248"/>
        </w:trPr>
        <w:tc>
          <w:tcPr>
            <w:tcW w:w="40" w:type="dxa"/>
            <w:vAlign w:val="bottom"/>
            <w:shd w:val="clear" w:color="auto" w:fill="DCE2EF"/>
          </w:tcPr>
          <w:p>
            <w:pPr>
              <w:spacing w:after="0"/>
              <w:rPr>
                <w:sz w:val="21"/>
                <w:szCs w:val="21"/>
                <w:color w:val="auto"/>
              </w:rPr>
            </w:pPr>
          </w:p>
        </w:tc>
        <w:tc>
          <w:tcPr>
            <w:tcW w:w="412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shd w:val="clear" w:color="auto" w:fill="DCE2EF"/>
              </w:rPr>
              <w:t>Operating profit margin</w:t>
            </w:r>
          </w:p>
        </w:tc>
        <w:tc>
          <w:tcPr>
            <w:tcW w:w="420" w:type="dxa"/>
            <w:vAlign w:val="bottom"/>
            <w:shd w:val="clear" w:color="auto" w:fill="DCE2EF"/>
          </w:tcPr>
          <w:p>
            <w:pPr>
              <w:spacing w:after="0"/>
              <w:rPr>
                <w:sz w:val="21"/>
                <w:szCs w:val="21"/>
                <w:color w:val="auto"/>
              </w:rPr>
            </w:pPr>
          </w:p>
        </w:tc>
        <w:tc>
          <w:tcPr>
            <w:tcW w:w="13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2.2%</w:t>
            </w:r>
          </w:p>
        </w:tc>
        <w:tc>
          <w:tcPr>
            <w:tcW w:w="120" w:type="dxa"/>
            <w:vAlign w:val="bottom"/>
            <w:shd w:val="clear" w:color="auto" w:fill="DCE2EF"/>
          </w:tcPr>
          <w:p>
            <w:pPr>
              <w:spacing w:after="0"/>
              <w:rPr>
                <w:sz w:val="21"/>
                <w:szCs w:val="21"/>
                <w:color w:val="auto"/>
              </w:rPr>
            </w:pPr>
          </w:p>
        </w:tc>
        <w:tc>
          <w:tcPr>
            <w:tcW w:w="400" w:type="dxa"/>
            <w:vAlign w:val="bottom"/>
            <w:shd w:val="clear" w:color="auto" w:fill="DCE2EF"/>
          </w:tcPr>
          <w:p>
            <w:pPr>
              <w:spacing w:after="0"/>
              <w:rPr>
                <w:sz w:val="21"/>
                <w:szCs w:val="21"/>
                <w:color w:val="auto"/>
              </w:rPr>
            </w:pPr>
          </w:p>
        </w:tc>
        <w:tc>
          <w:tcPr>
            <w:tcW w:w="13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2.3%</w:t>
            </w:r>
          </w:p>
        </w:tc>
        <w:tc>
          <w:tcPr>
            <w:tcW w:w="100" w:type="dxa"/>
            <w:vAlign w:val="bottom"/>
            <w:shd w:val="clear" w:color="auto" w:fill="DCE2EF"/>
          </w:tcPr>
          <w:p>
            <w:pPr>
              <w:spacing w:after="0"/>
              <w:rPr>
                <w:sz w:val="21"/>
                <w:szCs w:val="21"/>
                <w:color w:val="auto"/>
              </w:rPr>
            </w:pPr>
          </w:p>
        </w:tc>
        <w:tc>
          <w:tcPr>
            <w:tcW w:w="500" w:type="dxa"/>
            <w:vAlign w:val="bottom"/>
            <w:shd w:val="clear" w:color="auto" w:fill="DCE2EF"/>
          </w:tcPr>
          <w:p>
            <w:pPr>
              <w:spacing w:after="0"/>
              <w:rPr>
                <w:sz w:val="21"/>
                <w:szCs w:val="21"/>
                <w:color w:val="auto"/>
              </w:rPr>
            </w:pPr>
          </w:p>
        </w:tc>
        <w:tc>
          <w:tcPr>
            <w:tcW w:w="1540" w:type="dxa"/>
            <w:vAlign w:val="bottom"/>
            <w:shd w:val="clear" w:color="auto" w:fill="DCE2EF"/>
          </w:tcPr>
          <w:p>
            <w:pPr>
              <w:jc w:val="right"/>
              <w:ind w:right="354"/>
              <w:spacing w:after="0"/>
              <w:rPr>
                <w:sz w:val="20"/>
                <w:szCs w:val="20"/>
                <w:color w:val="auto"/>
              </w:rPr>
            </w:pPr>
            <w:r>
              <w:rPr>
                <w:rFonts w:ascii="Arial" w:cs="Arial" w:eastAsia="Arial" w:hAnsi="Arial"/>
                <w:sz w:val="14"/>
                <w:szCs w:val="14"/>
                <w:i w:val="1"/>
                <w:iCs w:val="1"/>
                <w:color w:val="auto"/>
              </w:rPr>
              <w:t>(7) bps</w:t>
            </w:r>
          </w:p>
        </w:tc>
        <w:tc>
          <w:tcPr>
            <w:tcW w:w="1480" w:type="dxa"/>
            <w:vAlign w:val="bottom"/>
            <w:shd w:val="clear" w:color="auto" w:fill="DCE2EF"/>
          </w:tcPr>
          <w:p>
            <w:pPr>
              <w:spacing w:after="0"/>
              <w:rPr>
                <w:sz w:val="21"/>
                <w:szCs w:val="21"/>
                <w:color w:val="auto"/>
              </w:rPr>
            </w:pPr>
          </w:p>
        </w:tc>
      </w:tr>
      <w:tr>
        <w:trPr>
          <w:trHeight w:val="27"/>
        </w:trPr>
        <w:tc>
          <w:tcPr>
            <w:tcW w:w="40" w:type="dxa"/>
            <w:vAlign w:val="bottom"/>
            <w:shd w:val="clear" w:color="auto" w:fill="DCE2EF"/>
          </w:tcPr>
          <w:p>
            <w:pPr>
              <w:spacing w:after="0"/>
              <w:rPr>
                <w:sz w:val="2"/>
                <w:szCs w:val="2"/>
                <w:color w:val="auto"/>
              </w:rPr>
            </w:pPr>
          </w:p>
        </w:tc>
        <w:tc>
          <w:tcPr>
            <w:tcW w:w="820" w:type="dxa"/>
            <w:vAlign w:val="bottom"/>
            <w:shd w:val="clear" w:color="auto" w:fill="DCE2EF"/>
          </w:tcPr>
          <w:p>
            <w:pPr>
              <w:spacing w:after="0"/>
              <w:rPr>
                <w:sz w:val="2"/>
                <w:szCs w:val="2"/>
                <w:color w:val="auto"/>
              </w:rPr>
            </w:pPr>
          </w:p>
        </w:tc>
        <w:tc>
          <w:tcPr>
            <w:tcW w:w="3300" w:type="dxa"/>
            <w:vAlign w:val="bottom"/>
            <w:shd w:val="clear" w:color="auto" w:fill="DCE2EF"/>
          </w:tcPr>
          <w:p>
            <w:pPr>
              <w:spacing w:after="0"/>
              <w:rPr>
                <w:sz w:val="2"/>
                <w:szCs w:val="2"/>
                <w:color w:val="auto"/>
              </w:rPr>
            </w:pPr>
          </w:p>
        </w:tc>
        <w:tc>
          <w:tcPr>
            <w:tcW w:w="420" w:type="dxa"/>
            <w:vAlign w:val="bottom"/>
            <w:shd w:val="clear" w:color="auto" w:fill="DCE2EF"/>
          </w:tcPr>
          <w:p>
            <w:pPr>
              <w:spacing w:after="0"/>
              <w:rPr>
                <w:sz w:val="2"/>
                <w:szCs w:val="2"/>
                <w:color w:val="auto"/>
              </w:rPr>
            </w:pPr>
          </w:p>
        </w:tc>
        <w:tc>
          <w:tcPr>
            <w:tcW w:w="1340" w:type="dxa"/>
            <w:vAlign w:val="bottom"/>
            <w:shd w:val="clear" w:color="auto" w:fill="DCE2EF"/>
          </w:tcPr>
          <w:p>
            <w:pPr>
              <w:spacing w:after="0"/>
              <w:rPr>
                <w:sz w:val="2"/>
                <w:szCs w:val="2"/>
                <w:color w:val="auto"/>
              </w:rPr>
            </w:pPr>
          </w:p>
        </w:tc>
        <w:tc>
          <w:tcPr>
            <w:tcW w:w="120" w:type="dxa"/>
            <w:vAlign w:val="bottom"/>
            <w:shd w:val="clear" w:color="auto" w:fill="DCE2EF"/>
          </w:tcPr>
          <w:p>
            <w:pPr>
              <w:spacing w:after="0"/>
              <w:rPr>
                <w:sz w:val="2"/>
                <w:szCs w:val="2"/>
                <w:color w:val="auto"/>
              </w:rPr>
            </w:pPr>
          </w:p>
        </w:tc>
        <w:tc>
          <w:tcPr>
            <w:tcW w:w="400" w:type="dxa"/>
            <w:vAlign w:val="bottom"/>
            <w:shd w:val="clear" w:color="auto" w:fill="DCE2EF"/>
          </w:tcPr>
          <w:p>
            <w:pPr>
              <w:spacing w:after="0"/>
              <w:rPr>
                <w:sz w:val="2"/>
                <w:szCs w:val="2"/>
                <w:color w:val="auto"/>
              </w:rPr>
            </w:pPr>
          </w:p>
        </w:tc>
        <w:tc>
          <w:tcPr>
            <w:tcW w:w="1360" w:type="dxa"/>
            <w:vAlign w:val="bottom"/>
            <w:shd w:val="clear" w:color="auto" w:fill="DCE2EF"/>
          </w:tcPr>
          <w:p>
            <w:pPr>
              <w:spacing w:after="0"/>
              <w:rPr>
                <w:sz w:val="2"/>
                <w:szCs w:val="2"/>
                <w:color w:val="auto"/>
              </w:rPr>
            </w:pPr>
          </w:p>
        </w:tc>
        <w:tc>
          <w:tcPr>
            <w:tcW w:w="100" w:type="dxa"/>
            <w:vAlign w:val="bottom"/>
            <w:shd w:val="clear" w:color="auto" w:fill="DCE2EF"/>
          </w:tcPr>
          <w:p>
            <w:pPr>
              <w:spacing w:after="0"/>
              <w:rPr>
                <w:sz w:val="2"/>
                <w:szCs w:val="2"/>
                <w:color w:val="auto"/>
              </w:rPr>
            </w:pPr>
          </w:p>
        </w:tc>
        <w:tc>
          <w:tcPr>
            <w:tcW w:w="500" w:type="dxa"/>
            <w:vAlign w:val="bottom"/>
            <w:shd w:val="clear" w:color="auto" w:fill="DCE2EF"/>
          </w:tcPr>
          <w:p>
            <w:pPr>
              <w:spacing w:after="0"/>
              <w:rPr>
                <w:sz w:val="2"/>
                <w:szCs w:val="2"/>
                <w:color w:val="auto"/>
              </w:rPr>
            </w:pPr>
          </w:p>
        </w:tc>
        <w:tc>
          <w:tcPr>
            <w:tcW w:w="1540" w:type="dxa"/>
            <w:vAlign w:val="bottom"/>
            <w:shd w:val="clear" w:color="auto" w:fill="DCE2EF"/>
          </w:tcPr>
          <w:p>
            <w:pPr>
              <w:spacing w:after="0"/>
              <w:rPr>
                <w:sz w:val="2"/>
                <w:szCs w:val="2"/>
                <w:color w:val="auto"/>
              </w:rPr>
            </w:pPr>
          </w:p>
        </w:tc>
        <w:tc>
          <w:tcPr>
            <w:tcW w:w="1480" w:type="dxa"/>
            <w:vAlign w:val="bottom"/>
            <w:shd w:val="clear" w:color="auto" w:fill="DCE2EF"/>
          </w:tcPr>
          <w:p>
            <w:pPr>
              <w:spacing w:after="0"/>
              <w:rPr>
                <w:sz w:val="2"/>
                <w:szCs w:val="2"/>
                <w:color w:val="auto"/>
              </w:rPr>
            </w:pPr>
          </w:p>
        </w:tc>
      </w:tr>
    </w:tbl>
    <w:p>
      <w:pPr>
        <w:spacing w:after="0" w:line="1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Aviation revenues increased by $35.7 million, or 3.6%, during 2018, as compared to 2017. The increase was primarily attributable to higher management reimbursement revenue and organic growth in catering logistics, cabin cleaning, and transportation services, as well as incremental revenues of $14.5 million from the GCA acquisition. This increase was partially offset by the loss of certain passenger services, facility services, and janitorial accounts. Management reimbursement revenues for this segment totaled $99.9 million and $80.4 million during 2018 and 2017, respectively.</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Operating profit increased by $0.2 million, or 0.5%, during 2018, as compared to 2017. Operating profit margin decreased by 7 bps to 2.2% in 2018 from 2.3% in 2017. This decrease in operating profit margin was primarily attributable to lower margins and operational pressures on certain accounts and a provision for the settlement of a union wage and benefits audit. The decrease was mostly offset by the termination of an unprofitable contract in the third quarter of 2017.</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18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0046AD"/>
              </w:rPr>
              <w:t>Technology &amp; Manufacturing</w:t>
            </w: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1"/>
        </w:trPr>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6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10"/>
        </w:trPr>
        <w:tc>
          <w:tcPr>
            <w:tcW w:w="418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40" w:type="dxa"/>
            <w:vAlign w:val="bottom"/>
          </w:tcPr>
          <w:p>
            <w:pPr>
              <w:jc w:val="right"/>
              <w:ind w:right="54"/>
              <w:spacing w:after="0"/>
              <w:rPr>
                <w:sz w:val="20"/>
                <w:szCs w:val="20"/>
                <w:color w:val="auto"/>
              </w:rPr>
            </w:pPr>
            <w:r>
              <w:rPr>
                <w:rFonts w:ascii="Arial" w:cs="Arial" w:eastAsia="Arial" w:hAnsi="Arial"/>
                <w:sz w:val="18"/>
                <w:szCs w:val="18"/>
                <w:b w:val="1"/>
                <w:bCs w:val="1"/>
                <w:color w:val="auto"/>
              </w:rPr>
              <w:t>Increase</w:t>
            </w:r>
          </w:p>
        </w:tc>
        <w:tc>
          <w:tcPr>
            <w:tcW w:w="1240" w:type="dxa"/>
            <w:vAlign w:val="bottom"/>
          </w:tcPr>
          <w:p>
            <w:pPr>
              <w:spacing w:after="0"/>
              <w:rPr>
                <w:sz w:val="18"/>
                <w:szCs w:val="18"/>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332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DCE2EF"/>
            </w:tcBorders>
            <w:shd w:val="clear" w:color="auto" w:fill="DCE2EF"/>
          </w:tcPr>
          <w:p>
            <w:pPr>
              <w:spacing w:after="0"/>
              <w:rPr>
                <w:sz w:val="21"/>
                <w:szCs w:val="21"/>
                <w:color w:val="auto"/>
              </w:rPr>
            </w:pPr>
          </w:p>
        </w:tc>
        <w:tc>
          <w:tcPr>
            <w:tcW w:w="82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8"/>
                <w:szCs w:val="18"/>
                <w:color w:val="auto"/>
                <w:w w:val="98"/>
                <w:shd w:val="clear" w:color="auto" w:fill="DCE2EF"/>
              </w:rPr>
              <w:t>Revenues</w:t>
            </w:r>
          </w:p>
        </w:tc>
        <w:tc>
          <w:tcPr>
            <w:tcW w:w="3320" w:type="dxa"/>
            <w:vAlign w:val="bottom"/>
            <w:tcBorders>
              <w:bottom w:val="single" w:sz="8" w:color="DCE2EF"/>
            </w:tcBorders>
            <w:shd w:val="clear" w:color="auto" w:fill="DCE2EF"/>
          </w:tcPr>
          <w:p>
            <w:pPr>
              <w:spacing w:after="0"/>
              <w:rPr>
                <w:sz w:val="21"/>
                <w:szCs w:val="21"/>
                <w:color w:val="auto"/>
              </w:rPr>
            </w:pPr>
          </w:p>
        </w:tc>
        <w:tc>
          <w:tcPr>
            <w:tcW w:w="400" w:type="dxa"/>
            <w:vAlign w:val="bottom"/>
            <w:tcBorders>
              <w:bottom w:val="single" w:sz="8" w:color="DCE2EF"/>
            </w:tcBorders>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DCE2EF"/>
            </w:tcBorders>
            <w:shd w:val="clear" w:color="auto" w:fill="DCE2EF"/>
          </w:tcPr>
          <w:p>
            <w:pPr>
              <w:jc w:val="right"/>
              <w:ind w:right="74"/>
              <w:spacing w:after="0"/>
              <w:rPr>
                <w:sz w:val="20"/>
                <w:szCs w:val="20"/>
                <w:color w:val="auto"/>
              </w:rPr>
            </w:pPr>
            <w:r>
              <w:rPr>
                <w:rFonts w:ascii="Arial" w:cs="Arial" w:eastAsia="Arial" w:hAnsi="Arial"/>
                <w:sz w:val="18"/>
                <w:szCs w:val="18"/>
                <w:color w:val="auto"/>
              </w:rPr>
              <w:t>925.4</w:t>
            </w:r>
          </w:p>
        </w:tc>
        <w:tc>
          <w:tcPr>
            <w:tcW w:w="100" w:type="dxa"/>
            <w:vAlign w:val="bottom"/>
            <w:tcBorders>
              <w:bottom w:val="single" w:sz="8" w:color="DCE2EF"/>
            </w:tcBorders>
            <w:shd w:val="clear" w:color="auto" w:fill="DCE2EF"/>
          </w:tcPr>
          <w:p>
            <w:pPr>
              <w:spacing w:after="0"/>
              <w:rPr>
                <w:sz w:val="21"/>
                <w:szCs w:val="21"/>
                <w:color w:val="auto"/>
              </w:rPr>
            </w:pPr>
          </w:p>
        </w:tc>
        <w:tc>
          <w:tcPr>
            <w:tcW w:w="400" w:type="dxa"/>
            <w:vAlign w:val="bottom"/>
            <w:tcBorders>
              <w:bottom w:val="single" w:sz="8" w:color="DCE2EF"/>
            </w:tcBorders>
            <w:shd w:val="clear" w:color="auto" w:fill="DCE2EF"/>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DCE2EF"/>
            </w:tcBorders>
            <w:shd w:val="clear" w:color="auto" w:fill="DCE2EF"/>
          </w:tcPr>
          <w:p>
            <w:pPr>
              <w:jc w:val="right"/>
              <w:ind w:right="74"/>
              <w:spacing w:after="0"/>
              <w:rPr>
                <w:sz w:val="20"/>
                <w:szCs w:val="20"/>
                <w:color w:val="auto"/>
              </w:rPr>
            </w:pPr>
            <w:r>
              <w:rPr>
                <w:rFonts w:ascii="Arial" w:cs="Arial" w:eastAsia="Arial" w:hAnsi="Arial"/>
                <w:sz w:val="18"/>
                <w:szCs w:val="18"/>
                <w:color w:val="auto"/>
              </w:rPr>
              <w:t>698.1</w:t>
            </w:r>
          </w:p>
        </w:tc>
        <w:tc>
          <w:tcPr>
            <w:tcW w:w="100" w:type="dxa"/>
            <w:vAlign w:val="bottom"/>
            <w:tcBorders>
              <w:bottom w:val="single" w:sz="8" w:color="DCE2EF"/>
            </w:tcBorders>
            <w:shd w:val="clear" w:color="auto" w:fill="DCE2EF"/>
          </w:tcPr>
          <w:p>
            <w:pPr>
              <w:spacing w:after="0"/>
              <w:rPr>
                <w:sz w:val="21"/>
                <w:szCs w:val="21"/>
                <w:color w:val="auto"/>
              </w:rPr>
            </w:pPr>
          </w:p>
        </w:tc>
        <w:tc>
          <w:tcPr>
            <w:tcW w:w="640" w:type="dxa"/>
            <w:vAlign w:val="bottom"/>
            <w:tcBorders>
              <w:bottom w:val="single" w:sz="8" w:color="DCE2EF"/>
            </w:tcBorders>
            <w:shd w:val="clear" w:color="auto" w:fill="DCE2EF"/>
          </w:tcPr>
          <w:p>
            <w:pPr>
              <w:jc w:val="right"/>
              <w:ind w:right="4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DCE2EF"/>
            </w:tcBorders>
            <w:shd w:val="clear" w:color="auto" w:fill="DCE2EF"/>
          </w:tcPr>
          <w:p>
            <w:pPr>
              <w:jc w:val="right"/>
              <w:ind w:right="594"/>
              <w:spacing w:after="0"/>
              <w:rPr>
                <w:sz w:val="20"/>
                <w:szCs w:val="20"/>
                <w:color w:val="auto"/>
              </w:rPr>
            </w:pPr>
            <w:r>
              <w:rPr>
                <w:rFonts w:ascii="Arial" w:cs="Arial" w:eastAsia="Arial" w:hAnsi="Arial"/>
                <w:sz w:val="18"/>
                <w:szCs w:val="18"/>
                <w:color w:val="auto"/>
              </w:rPr>
              <w:t>227.3</w:t>
            </w:r>
          </w:p>
        </w:tc>
        <w:tc>
          <w:tcPr>
            <w:tcW w:w="1240" w:type="dxa"/>
            <w:vAlign w:val="bottom"/>
            <w:tcBorders>
              <w:bottom w:val="single" w:sz="8" w:color="DCE2EF"/>
            </w:tcBorders>
            <w:shd w:val="clear" w:color="auto" w:fill="DCE2EF"/>
          </w:tcPr>
          <w:p>
            <w:pPr>
              <w:jc w:val="right"/>
              <w:ind w:right="510"/>
              <w:spacing w:after="0"/>
              <w:rPr>
                <w:sz w:val="20"/>
                <w:szCs w:val="20"/>
                <w:color w:val="auto"/>
              </w:rPr>
            </w:pPr>
            <w:r>
              <w:rPr>
                <w:rFonts w:ascii="Arial" w:cs="Arial" w:eastAsia="Arial" w:hAnsi="Arial"/>
                <w:sz w:val="18"/>
                <w:szCs w:val="18"/>
                <w:color w:val="auto"/>
              </w:rPr>
              <w:t>32.6%</w:t>
            </w:r>
          </w:p>
        </w:tc>
      </w:tr>
      <w:tr>
        <w:trPr>
          <w:trHeight w:val="270"/>
        </w:trPr>
        <w:tc>
          <w:tcPr>
            <w:tcW w:w="4180" w:type="dxa"/>
            <w:vAlign w:val="bottom"/>
            <w:gridSpan w:val="3"/>
          </w:tcPr>
          <w:p>
            <w:pPr>
              <w:ind w:left="40"/>
              <w:spacing w:after="0"/>
              <w:rPr>
                <w:sz w:val="20"/>
                <w:szCs w:val="20"/>
                <w:color w:val="auto"/>
              </w:rPr>
            </w:pPr>
            <w:r>
              <w:rPr>
                <w:rFonts w:ascii="Arial" w:cs="Arial" w:eastAsia="Arial" w:hAnsi="Arial"/>
                <w:sz w:val="18"/>
                <w:szCs w:val="18"/>
                <w:color w:val="auto"/>
              </w:rPr>
              <w:t>Operating profit</w:t>
            </w:r>
            <w:r>
              <w:rPr>
                <w:rFonts w:ascii="Arial" w:cs="Arial" w:eastAsia="Arial" w:hAnsi="Arial"/>
                <w:sz w:val="21"/>
                <w:szCs w:val="21"/>
                <w:color w:val="auto"/>
                <w:vertAlign w:val="superscript"/>
              </w:rPr>
              <w:t>(1)</w:t>
            </w:r>
          </w:p>
        </w:tc>
        <w:tc>
          <w:tcPr>
            <w:tcW w:w="400" w:type="dxa"/>
            <w:vAlign w:val="bottom"/>
          </w:tcPr>
          <w:p>
            <w:pPr>
              <w:spacing w:after="0"/>
              <w:rPr>
                <w:sz w:val="23"/>
                <w:szCs w:val="23"/>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18.8</w:t>
            </w:r>
          </w:p>
        </w:tc>
        <w:tc>
          <w:tcPr>
            <w:tcW w:w="1240" w:type="dxa"/>
            <w:vAlign w:val="bottom"/>
          </w:tcPr>
          <w:p>
            <w:pPr>
              <w:jc w:val="right"/>
              <w:ind w:right="510"/>
              <w:spacing w:after="0"/>
              <w:rPr>
                <w:sz w:val="20"/>
                <w:szCs w:val="20"/>
                <w:color w:val="auto"/>
              </w:rPr>
            </w:pPr>
            <w:r>
              <w:rPr>
                <w:rFonts w:ascii="Arial" w:cs="Arial" w:eastAsia="Arial" w:hAnsi="Arial"/>
                <w:sz w:val="18"/>
                <w:szCs w:val="18"/>
                <w:color w:val="auto"/>
              </w:rPr>
              <w:t>38.7%</w:t>
            </w:r>
          </w:p>
        </w:tc>
      </w:tr>
      <w:tr>
        <w:trPr>
          <w:trHeight w:val="243"/>
        </w:trPr>
        <w:tc>
          <w:tcPr>
            <w:tcW w:w="40" w:type="dxa"/>
            <w:vAlign w:val="bottom"/>
            <w:shd w:val="clear" w:color="auto" w:fill="DCE2EF"/>
          </w:tcPr>
          <w:p>
            <w:pPr>
              <w:spacing w:after="0"/>
              <w:rPr>
                <w:sz w:val="21"/>
                <w:szCs w:val="21"/>
                <w:color w:val="auto"/>
              </w:rPr>
            </w:pPr>
          </w:p>
        </w:tc>
        <w:tc>
          <w:tcPr>
            <w:tcW w:w="414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shd w:val="clear" w:color="auto" w:fill="DCE2EF"/>
              </w:rPr>
              <w:t>Operating profit margin</w:t>
            </w:r>
          </w:p>
        </w:tc>
        <w:tc>
          <w:tcPr>
            <w:tcW w:w="400" w:type="dxa"/>
            <w:vAlign w:val="bottom"/>
            <w:shd w:val="clear" w:color="auto" w:fill="DCE2EF"/>
          </w:tcPr>
          <w:p>
            <w:pPr>
              <w:spacing w:after="0"/>
              <w:rPr>
                <w:sz w:val="21"/>
                <w:szCs w:val="21"/>
                <w:color w:val="auto"/>
              </w:rPr>
            </w:pPr>
          </w:p>
        </w:tc>
        <w:tc>
          <w:tcPr>
            <w:tcW w:w="13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7.3%</w:t>
            </w:r>
          </w:p>
        </w:tc>
        <w:tc>
          <w:tcPr>
            <w:tcW w:w="100" w:type="dxa"/>
            <w:vAlign w:val="bottom"/>
            <w:shd w:val="clear" w:color="auto" w:fill="DCE2EF"/>
          </w:tcPr>
          <w:p>
            <w:pPr>
              <w:spacing w:after="0"/>
              <w:rPr>
                <w:sz w:val="21"/>
                <w:szCs w:val="21"/>
                <w:color w:val="auto"/>
              </w:rPr>
            </w:pPr>
          </w:p>
        </w:tc>
        <w:tc>
          <w:tcPr>
            <w:tcW w:w="400" w:type="dxa"/>
            <w:vAlign w:val="bottom"/>
            <w:shd w:val="clear" w:color="auto" w:fill="DCE2EF"/>
          </w:tcPr>
          <w:p>
            <w:pPr>
              <w:spacing w:after="0"/>
              <w:rPr>
                <w:sz w:val="21"/>
                <w:szCs w:val="21"/>
                <w:color w:val="auto"/>
              </w:rPr>
            </w:pPr>
          </w:p>
        </w:tc>
        <w:tc>
          <w:tcPr>
            <w:tcW w:w="13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7.0%</w:t>
            </w:r>
          </w:p>
        </w:tc>
        <w:tc>
          <w:tcPr>
            <w:tcW w:w="100" w:type="dxa"/>
            <w:vAlign w:val="bottom"/>
            <w:shd w:val="clear" w:color="auto" w:fill="DCE2EF"/>
          </w:tcPr>
          <w:p>
            <w:pPr>
              <w:spacing w:after="0"/>
              <w:rPr>
                <w:sz w:val="21"/>
                <w:szCs w:val="21"/>
                <w:color w:val="auto"/>
              </w:rPr>
            </w:pPr>
          </w:p>
        </w:tc>
        <w:tc>
          <w:tcPr>
            <w:tcW w:w="640" w:type="dxa"/>
            <w:vAlign w:val="bottom"/>
            <w:shd w:val="clear" w:color="auto" w:fill="DCE2EF"/>
          </w:tcPr>
          <w:p>
            <w:pPr>
              <w:spacing w:after="0"/>
              <w:rPr>
                <w:sz w:val="21"/>
                <w:szCs w:val="21"/>
                <w:color w:val="auto"/>
              </w:rPr>
            </w:pPr>
          </w:p>
        </w:tc>
        <w:tc>
          <w:tcPr>
            <w:tcW w:w="1640" w:type="dxa"/>
            <w:vAlign w:val="bottom"/>
            <w:shd w:val="clear" w:color="auto" w:fill="DCE2EF"/>
          </w:tcPr>
          <w:p>
            <w:pPr>
              <w:jc w:val="right"/>
              <w:ind w:right="594"/>
              <w:spacing w:after="0"/>
              <w:rPr>
                <w:sz w:val="20"/>
                <w:szCs w:val="20"/>
                <w:color w:val="auto"/>
              </w:rPr>
            </w:pPr>
            <w:r>
              <w:rPr>
                <w:rFonts w:ascii="Arial" w:cs="Arial" w:eastAsia="Arial" w:hAnsi="Arial"/>
                <w:sz w:val="14"/>
                <w:szCs w:val="14"/>
                <w:i w:val="1"/>
                <w:iCs w:val="1"/>
                <w:color w:val="auto"/>
              </w:rPr>
              <w:t>32 bps</w:t>
            </w:r>
          </w:p>
        </w:tc>
        <w:tc>
          <w:tcPr>
            <w:tcW w:w="1240" w:type="dxa"/>
            <w:vAlign w:val="bottom"/>
            <w:shd w:val="clear" w:color="auto" w:fill="DCE2EF"/>
          </w:tcPr>
          <w:p>
            <w:pPr>
              <w:spacing w:after="0"/>
              <w:rPr>
                <w:sz w:val="21"/>
                <w:szCs w:val="21"/>
                <w:color w:val="auto"/>
              </w:rPr>
            </w:pPr>
          </w:p>
        </w:tc>
      </w:tr>
      <w:tr>
        <w:trPr>
          <w:trHeight w:val="27"/>
        </w:trPr>
        <w:tc>
          <w:tcPr>
            <w:tcW w:w="40" w:type="dxa"/>
            <w:vAlign w:val="bottom"/>
            <w:shd w:val="clear" w:color="auto" w:fill="DCE2EF"/>
          </w:tcPr>
          <w:p>
            <w:pPr>
              <w:spacing w:after="0"/>
              <w:rPr>
                <w:sz w:val="2"/>
                <w:szCs w:val="2"/>
                <w:color w:val="auto"/>
              </w:rPr>
            </w:pPr>
          </w:p>
        </w:tc>
        <w:tc>
          <w:tcPr>
            <w:tcW w:w="820" w:type="dxa"/>
            <w:vAlign w:val="bottom"/>
            <w:shd w:val="clear" w:color="auto" w:fill="DCE2EF"/>
          </w:tcPr>
          <w:p>
            <w:pPr>
              <w:spacing w:after="0"/>
              <w:rPr>
                <w:sz w:val="2"/>
                <w:szCs w:val="2"/>
                <w:color w:val="auto"/>
              </w:rPr>
            </w:pPr>
          </w:p>
        </w:tc>
        <w:tc>
          <w:tcPr>
            <w:tcW w:w="3320" w:type="dxa"/>
            <w:vAlign w:val="bottom"/>
            <w:shd w:val="clear" w:color="auto" w:fill="DCE2EF"/>
          </w:tcPr>
          <w:p>
            <w:pPr>
              <w:spacing w:after="0"/>
              <w:rPr>
                <w:sz w:val="2"/>
                <w:szCs w:val="2"/>
                <w:color w:val="auto"/>
              </w:rPr>
            </w:pPr>
          </w:p>
        </w:tc>
        <w:tc>
          <w:tcPr>
            <w:tcW w:w="400" w:type="dxa"/>
            <w:vAlign w:val="bottom"/>
            <w:shd w:val="clear" w:color="auto" w:fill="DCE2EF"/>
          </w:tcPr>
          <w:p>
            <w:pPr>
              <w:spacing w:after="0"/>
              <w:rPr>
                <w:sz w:val="2"/>
                <w:szCs w:val="2"/>
                <w:color w:val="auto"/>
              </w:rPr>
            </w:pPr>
          </w:p>
        </w:tc>
        <w:tc>
          <w:tcPr>
            <w:tcW w:w="1360" w:type="dxa"/>
            <w:vAlign w:val="bottom"/>
            <w:shd w:val="clear" w:color="auto" w:fill="DCE2EF"/>
          </w:tcPr>
          <w:p>
            <w:pPr>
              <w:spacing w:after="0"/>
              <w:rPr>
                <w:sz w:val="2"/>
                <w:szCs w:val="2"/>
                <w:color w:val="auto"/>
              </w:rPr>
            </w:pPr>
          </w:p>
        </w:tc>
        <w:tc>
          <w:tcPr>
            <w:tcW w:w="100" w:type="dxa"/>
            <w:vAlign w:val="bottom"/>
            <w:shd w:val="clear" w:color="auto" w:fill="DCE2EF"/>
          </w:tcPr>
          <w:p>
            <w:pPr>
              <w:spacing w:after="0"/>
              <w:rPr>
                <w:sz w:val="2"/>
                <w:szCs w:val="2"/>
                <w:color w:val="auto"/>
              </w:rPr>
            </w:pPr>
          </w:p>
        </w:tc>
        <w:tc>
          <w:tcPr>
            <w:tcW w:w="400" w:type="dxa"/>
            <w:vAlign w:val="bottom"/>
            <w:shd w:val="clear" w:color="auto" w:fill="DCE2EF"/>
          </w:tcPr>
          <w:p>
            <w:pPr>
              <w:spacing w:after="0"/>
              <w:rPr>
                <w:sz w:val="2"/>
                <w:szCs w:val="2"/>
                <w:color w:val="auto"/>
              </w:rPr>
            </w:pPr>
          </w:p>
        </w:tc>
        <w:tc>
          <w:tcPr>
            <w:tcW w:w="1360" w:type="dxa"/>
            <w:vAlign w:val="bottom"/>
            <w:shd w:val="clear" w:color="auto" w:fill="DCE2EF"/>
          </w:tcPr>
          <w:p>
            <w:pPr>
              <w:spacing w:after="0"/>
              <w:rPr>
                <w:sz w:val="2"/>
                <w:szCs w:val="2"/>
                <w:color w:val="auto"/>
              </w:rPr>
            </w:pPr>
          </w:p>
        </w:tc>
        <w:tc>
          <w:tcPr>
            <w:tcW w:w="100" w:type="dxa"/>
            <w:vAlign w:val="bottom"/>
            <w:shd w:val="clear" w:color="auto" w:fill="DCE2EF"/>
          </w:tcPr>
          <w:p>
            <w:pPr>
              <w:spacing w:after="0"/>
              <w:rPr>
                <w:sz w:val="2"/>
                <w:szCs w:val="2"/>
                <w:color w:val="auto"/>
              </w:rPr>
            </w:pPr>
          </w:p>
        </w:tc>
        <w:tc>
          <w:tcPr>
            <w:tcW w:w="640" w:type="dxa"/>
            <w:vAlign w:val="bottom"/>
            <w:shd w:val="clear" w:color="auto" w:fill="DCE2EF"/>
          </w:tcPr>
          <w:p>
            <w:pPr>
              <w:spacing w:after="0"/>
              <w:rPr>
                <w:sz w:val="2"/>
                <w:szCs w:val="2"/>
                <w:color w:val="auto"/>
              </w:rPr>
            </w:pPr>
          </w:p>
        </w:tc>
        <w:tc>
          <w:tcPr>
            <w:tcW w:w="1640" w:type="dxa"/>
            <w:vAlign w:val="bottom"/>
            <w:shd w:val="clear" w:color="auto" w:fill="DCE2EF"/>
          </w:tcPr>
          <w:p>
            <w:pPr>
              <w:spacing w:after="0"/>
              <w:rPr>
                <w:sz w:val="2"/>
                <w:szCs w:val="2"/>
                <w:color w:val="auto"/>
              </w:rPr>
            </w:pPr>
          </w:p>
        </w:tc>
        <w:tc>
          <w:tcPr>
            <w:tcW w:w="1240" w:type="dxa"/>
            <w:vAlign w:val="bottom"/>
            <w:shd w:val="clear" w:color="auto" w:fill="DCE2EF"/>
          </w:tcPr>
          <w:p>
            <w:pPr>
              <w:spacing w:after="0"/>
              <w:rPr>
                <w:sz w:val="2"/>
                <w:szCs w:val="2"/>
                <w:color w:val="auto"/>
              </w:rPr>
            </w:pPr>
          </w:p>
        </w:tc>
      </w:tr>
    </w:tbl>
    <w:p>
      <w:pPr>
        <w:spacing w:after="0" w:line="13"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21"/>
          <w:szCs w:val="21"/>
          <w:color w:val="auto"/>
          <w:vertAlign w:val="superscript"/>
        </w:rPr>
      </w:pPr>
      <w:r>
        <w:rPr>
          <w:rFonts w:ascii="Arial" w:cs="Arial" w:eastAsia="Arial" w:hAnsi="Arial"/>
          <w:sz w:val="15"/>
          <w:szCs w:val="15"/>
          <w:color w:val="auto"/>
        </w:rPr>
        <w:t>2018 and 2017 include $10.6 million and $1.9 million, respectively, of amortization expense related to the GCA acquisition.</w:t>
      </w:r>
    </w:p>
    <w:p>
      <w:pPr>
        <w:spacing w:after="0" w:line="128"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T&amp;M revenues increased by $227.3 million, or 32.6%, during 2018, as compared to 2017. The increase was primarily attributable to incremental revenues from the GCA acquisition of $198.1 million, expansion of existing accounts, and net new business.</w:t>
      </w:r>
    </w:p>
    <w:p>
      <w:pPr>
        <w:spacing w:after="0" w:line="9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Operating profit increased by $18.8 million, or 38.7%, during 2018, as compared to 2017. Operating profit margin increased by 32 bps to 7.3% in 2018 from 7.0% in 2017. Operating profit margin was positively impacted by certain higher margin acquired contracts, partially offset by higher amortization expense related to the GCA acquisition and an increase in wages and related personnel costs in certain markets.</w:t>
      </w: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51"/>
        </w:trPr>
        <w:tc>
          <w:tcPr>
            <w:tcW w:w="412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0046AD"/>
              </w:rPr>
              <w:t>Education</w:t>
            </w: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1"/>
        </w:trPr>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6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24"/>
        </w:trPr>
        <w:tc>
          <w:tcPr>
            <w:tcW w:w="412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60" w:type="dxa"/>
            <w:vAlign w:val="bottom"/>
          </w:tcPr>
          <w:p>
            <w:pPr>
              <w:jc w:val="right"/>
              <w:ind w:right="94"/>
              <w:spacing w:after="0"/>
              <w:rPr>
                <w:sz w:val="20"/>
                <w:szCs w:val="20"/>
                <w:color w:val="auto"/>
              </w:rPr>
            </w:pPr>
            <w:r>
              <w:rPr>
                <w:rFonts w:ascii="Arial" w:cs="Arial" w:eastAsia="Arial" w:hAnsi="Arial"/>
                <w:sz w:val="18"/>
                <w:szCs w:val="18"/>
                <w:b w:val="1"/>
                <w:bCs w:val="1"/>
                <w:color w:val="auto"/>
              </w:rPr>
              <w:t>Increase</w:t>
            </w:r>
          </w:p>
        </w:tc>
        <w:tc>
          <w:tcPr>
            <w:tcW w:w="1200" w:type="dxa"/>
            <w:vAlign w:val="bottom"/>
          </w:tcPr>
          <w:p>
            <w:pPr>
              <w:spacing w:after="0"/>
              <w:rPr>
                <w:sz w:val="19"/>
                <w:szCs w:val="19"/>
                <w:color w:val="auto"/>
              </w:rPr>
            </w:pP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328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4"/>
        </w:trPr>
        <w:tc>
          <w:tcPr>
            <w:tcW w:w="20" w:type="dxa"/>
            <w:vAlign w:val="bottom"/>
            <w:tcBorders>
              <w:bottom w:val="single" w:sz="8" w:color="DCE2EF"/>
            </w:tcBorders>
            <w:shd w:val="clear" w:color="auto" w:fill="DCE2EF"/>
          </w:tcPr>
          <w:p>
            <w:pPr>
              <w:spacing w:after="0"/>
              <w:rPr>
                <w:sz w:val="21"/>
                <w:szCs w:val="21"/>
                <w:color w:val="auto"/>
              </w:rPr>
            </w:pPr>
          </w:p>
        </w:tc>
        <w:tc>
          <w:tcPr>
            <w:tcW w:w="82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8"/>
                <w:szCs w:val="18"/>
                <w:color w:val="auto"/>
                <w:w w:val="98"/>
                <w:shd w:val="clear" w:color="auto" w:fill="DCE2EF"/>
              </w:rPr>
              <w:t>Revenues</w:t>
            </w:r>
          </w:p>
        </w:tc>
        <w:tc>
          <w:tcPr>
            <w:tcW w:w="3280" w:type="dxa"/>
            <w:vAlign w:val="bottom"/>
            <w:tcBorders>
              <w:bottom w:val="single" w:sz="8" w:color="DCE2EF"/>
            </w:tcBorders>
            <w:shd w:val="clear" w:color="auto" w:fill="DCE2EF"/>
          </w:tcPr>
          <w:p>
            <w:pPr>
              <w:spacing w:after="0"/>
              <w:rPr>
                <w:sz w:val="21"/>
                <w:szCs w:val="21"/>
                <w:color w:val="auto"/>
              </w:rPr>
            </w:pPr>
          </w:p>
        </w:tc>
        <w:tc>
          <w:tcPr>
            <w:tcW w:w="420" w:type="dxa"/>
            <w:vAlign w:val="bottom"/>
            <w:tcBorders>
              <w:bottom w:val="single" w:sz="8" w:color="DCE2EF"/>
            </w:tcBorders>
            <w:shd w:val="clear" w:color="auto" w:fill="DCE2EF"/>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DCE2EF"/>
            </w:tcBorders>
            <w:shd w:val="clear" w:color="auto" w:fill="DCE2EF"/>
          </w:tcPr>
          <w:p>
            <w:pPr>
              <w:jc w:val="right"/>
              <w:ind w:right="74"/>
              <w:spacing w:after="0"/>
              <w:rPr>
                <w:sz w:val="20"/>
                <w:szCs w:val="20"/>
                <w:color w:val="auto"/>
              </w:rPr>
            </w:pPr>
            <w:r>
              <w:rPr>
                <w:rFonts w:ascii="Arial" w:cs="Arial" w:eastAsia="Arial" w:hAnsi="Arial"/>
                <w:sz w:val="18"/>
                <w:szCs w:val="18"/>
                <w:color w:val="auto"/>
              </w:rPr>
              <w:t>856.7</w:t>
            </w:r>
          </w:p>
        </w:tc>
        <w:tc>
          <w:tcPr>
            <w:tcW w:w="120" w:type="dxa"/>
            <w:vAlign w:val="bottom"/>
            <w:tcBorders>
              <w:bottom w:val="single" w:sz="8" w:color="DCE2EF"/>
            </w:tcBorders>
            <w:shd w:val="clear" w:color="auto" w:fill="DCE2EF"/>
          </w:tcPr>
          <w:p>
            <w:pPr>
              <w:spacing w:after="0"/>
              <w:rPr>
                <w:sz w:val="21"/>
                <w:szCs w:val="21"/>
                <w:color w:val="auto"/>
              </w:rPr>
            </w:pPr>
          </w:p>
        </w:tc>
        <w:tc>
          <w:tcPr>
            <w:tcW w:w="400" w:type="dxa"/>
            <w:vAlign w:val="bottom"/>
            <w:tcBorders>
              <w:bottom w:val="single" w:sz="8" w:color="DCE2EF"/>
            </w:tcBorders>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DCE2EF"/>
            </w:tcBorders>
            <w:shd w:val="clear" w:color="auto" w:fill="DCE2EF"/>
          </w:tcPr>
          <w:p>
            <w:pPr>
              <w:jc w:val="right"/>
              <w:ind w:right="74"/>
              <w:spacing w:after="0"/>
              <w:rPr>
                <w:sz w:val="20"/>
                <w:szCs w:val="20"/>
                <w:color w:val="auto"/>
              </w:rPr>
            </w:pPr>
            <w:r>
              <w:rPr>
                <w:rFonts w:ascii="Arial" w:cs="Arial" w:eastAsia="Arial" w:hAnsi="Arial"/>
                <w:sz w:val="18"/>
                <w:szCs w:val="18"/>
                <w:color w:val="auto"/>
              </w:rPr>
              <w:t>368.8</w:t>
            </w:r>
          </w:p>
        </w:tc>
        <w:tc>
          <w:tcPr>
            <w:tcW w:w="120" w:type="dxa"/>
            <w:vAlign w:val="bottom"/>
            <w:tcBorders>
              <w:bottom w:val="single" w:sz="8" w:color="DCE2EF"/>
            </w:tcBorders>
            <w:shd w:val="clear" w:color="auto" w:fill="DCE2EF"/>
          </w:tcPr>
          <w:p>
            <w:pPr>
              <w:spacing w:after="0"/>
              <w:rPr>
                <w:sz w:val="21"/>
                <w:szCs w:val="21"/>
                <w:color w:val="auto"/>
              </w:rPr>
            </w:pPr>
          </w:p>
        </w:tc>
        <w:tc>
          <w:tcPr>
            <w:tcW w:w="640" w:type="dxa"/>
            <w:vAlign w:val="bottom"/>
            <w:tcBorders>
              <w:bottom w:val="single" w:sz="8" w:color="DCE2EF"/>
            </w:tcBorders>
            <w:shd w:val="clear" w:color="auto" w:fill="DCE2EF"/>
          </w:tcPr>
          <w:p>
            <w:pPr>
              <w:jc w:val="right"/>
              <w:ind w:right="4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DCE2EF"/>
            </w:tcBorders>
            <w:shd w:val="clear" w:color="auto" w:fill="DCE2EF"/>
          </w:tcPr>
          <w:p>
            <w:pPr>
              <w:jc w:val="right"/>
              <w:ind w:right="634"/>
              <w:spacing w:after="0"/>
              <w:rPr>
                <w:sz w:val="20"/>
                <w:szCs w:val="20"/>
                <w:color w:val="auto"/>
              </w:rPr>
            </w:pPr>
            <w:r>
              <w:rPr>
                <w:rFonts w:ascii="Arial" w:cs="Arial" w:eastAsia="Arial" w:hAnsi="Arial"/>
                <w:sz w:val="18"/>
                <w:szCs w:val="18"/>
                <w:color w:val="auto"/>
              </w:rPr>
              <w:t>487.9</w:t>
            </w:r>
          </w:p>
        </w:tc>
        <w:tc>
          <w:tcPr>
            <w:tcW w:w="1200" w:type="dxa"/>
            <w:vAlign w:val="bottom"/>
            <w:tcBorders>
              <w:bottom w:val="single" w:sz="8" w:color="DCE2EF"/>
            </w:tcBorders>
            <w:shd w:val="clear" w:color="auto" w:fill="DCE2EF"/>
          </w:tcPr>
          <w:p>
            <w:pPr>
              <w:ind w:left="180"/>
              <w:spacing w:after="0"/>
              <w:rPr>
                <w:sz w:val="20"/>
                <w:szCs w:val="20"/>
                <w:color w:val="auto"/>
              </w:rPr>
            </w:pPr>
            <w:r>
              <w:rPr>
                <w:rFonts w:ascii="Arial" w:cs="Arial" w:eastAsia="Arial" w:hAnsi="Arial"/>
                <w:sz w:val="18"/>
                <w:szCs w:val="18"/>
                <w:color w:val="auto"/>
              </w:rPr>
              <w:t>NM*</w:t>
            </w:r>
          </w:p>
        </w:tc>
      </w:tr>
      <w:tr>
        <w:trPr>
          <w:trHeight w:val="270"/>
        </w:trPr>
        <w:tc>
          <w:tcPr>
            <w:tcW w:w="4120" w:type="dxa"/>
            <w:vAlign w:val="bottom"/>
            <w:gridSpan w:val="3"/>
          </w:tcPr>
          <w:p>
            <w:pPr>
              <w:ind w:left="20"/>
              <w:spacing w:after="0"/>
              <w:rPr>
                <w:sz w:val="20"/>
                <w:szCs w:val="20"/>
                <w:color w:val="auto"/>
              </w:rPr>
            </w:pPr>
            <w:r>
              <w:rPr>
                <w:rFonts w:ascii="Arial" w:cs="Arial" w:eastAsia="Arial" w:hAnsi="Arial"/>
                <w:sz w:val="18"/>
                <w:szCs w:val="18"/>
                <w:color w:val="auto"/>
              </w:rPr>
              <w:t>Operating profit</w:t>
            </w:r>
            <w:r>
              <w:rPr>
                <w:rFonts w:ascii="Arial" w:cs="Arial" w:eastAsia="Arial" w:hAnsi="Arial"/>
                <w:sz w:val="21"/>
                <w:szCs w:val="21"/>
                <w:color w:val="auto"/>
                <w:vertAlign w:val="superscript"/>
              </w:rPr>
              <w:t>(1)</w:t>
            </w:r>
          </w:p>
        </w:tc>
        <w:tc>
          <w:tcPr>
            <w:tcW w:w="420" w:type="dxa"/>
            <w:vAlign w:val="bottom"/>
          </w:tcPr>
          <w:p>
            <w:pPr>
              <w:spacing w:after="0"/>
              <w:rPr>
                <w:sz w:val="23"/>
                <w:szCs w:val="23"/>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60" w:type="dxa"/>
            <w:vAlign w:val="bottom"/>
          </w:tcPr>
          <w:p>
            <w:pPr>
              <w:jc w:val="right"/>
              <w:ind w:right="634"/>
              <w:spacing w:after="0"/>
              <w:rPr>
                <w:sz w:val="20"/>
                <w:szCs w:val="20"/>
                <w:color w:val="auto"/>
              </w:rPr>
            </w:pPr>
            <w:r>
              <w:rPr>
                <w:rFonts w:ascii="Arial" w:cs="Arial" w:eastAsia="Arial" w:hAnsi="Arial"/>
                <w:sz w:val="18"/>
                <w:szCs w:val="18"/>
                <w:color w:val="auto"/>
              </w:rPr>
              <w:t>26.7</w:t>
            </w:r>
          </w:p>
        </w:tc>
        <w:tc>
          <w:tcPr>
            <w:tcW w:w="1200" w:type="dxa"/>
            <w:vAlign w:val="bottom"/>
          </w:tcPr>
          <w:p>
            <w:pPr>
              <w:ind w:left="180"/>
              <w:spacing w:after="0"/>
              <w:rPr>
                <w:sz w:val="20"/>
                <w:szCs w:val="20"/>
                <w:color w:val="auto"/>
              </w:rPr>
            </w:pPr>
            <w:r>
              <w:rPr>
                <w:rFonts w:ascii="Arial" w:cs="Arial" w:eastAsia="Arial" w:hAnsi="Arial"/>
                <w:sz w:val="18"/>
                <w:szCs w:val="18"/>
                <w:color w:val="auto"/>
              </w:rPr>
              <w:t>NM*</w:t>
            </w:r>
          </w:p>
        </w:tc>
      </w:tr>
      <w:tr>
        <w:trPr>
          <w:trHeight w:val="243"/>
        </w:trPr>
        <w:tc>
          <w:tcPr>
            <w:tcW w:w="20" w:type="dxa"/>
            <w:vAlign w:val="bottom"/>
            <w:shd w:val="clear" w:color="auto" w:fill="DCE2EF"/>
          </w:tcPr>
          <w:p>
            <w:pPr>
              <w:spacing w:after="0"/>
              <w:rPr>
                <w:sz w:val="21"/>
                <w:szCs w:val="21"/>
                <w:color w:val="auto"/>
              </w:rPr>
            </w:pPr>
          </w:p>
        </w:tc>
        <w:tc>
          <w:tcPr>
            <w:tcW w:w="410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shd w:val="clear" w:color="auto" w:fill="DCE2EF"/>
              </w:rPr>
              <w:t>Operating profit margin</w:t>
            </w:r>
          </w:p>
        </w:tc>
        <w:tc>
          <w:tcPr>
            <w:tcW w:w="420" w:type="dxa"/>
            <w:vAlign w:val="bottom"/>
            <w:shd w:val="clear" w:color="auto" w:fill="DCE2EF"/>
          </w:tcPr>
          <w:p>
            <w:pPr>
              <w:spacing w:after="0"/>
              <w:rPr>
                <w:sz w:val="21"/>
                <w:szCs w:val="21"/>
                <w:color w:val="auto"/>
              </w:rPr>
            </w:pPr>
          </w:p>
        </w:tc>
        <w:tc>
          <w:tcPr>
            <w:tcW w:w="13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5.1%</w:t>
            </w:r>
          </w:p>
        </w:tc>
        <w:tc>
          <w:tcPr>
            <w:tcW w:w="120" w:type="dxa"/>
            <w:vAlign w:val="bottom"/>
            <w:shd w:val="clear" w:color="auto" w:fill="DCE2EF"/>
          </w:tcPr>
          <w:p>
            <w:pPr>
              <w:spacing w:after="0"/>
              <w:rPr>
                <w:sz w:val="21"/>
                <w:szCs w:val="21"/>
                <w:color w:val="auto"/>
              </w:rPr>
            </w:pPr>
          </w:p>
        </w:tc>
        <w:tc>
          <w:tcPr>
            <w:tcW w:w="400" w:type="dxa"/>
            <w:vAlign w:val="bottom"/>
            <w:shd w:val="clear" w:color="auto" w:fill="DCE2EF"/>
          </w:tcPr>
          <w:p>
            <w:pPr>
              <w:spacing w:after="0"/>
              <w:rPr>
                <w:sz w:val="21"/>
                <w:szCs w:val="21"/>
                <w:color w:val="auto"/>
              </w:rPr>
            </w:pPr>
          </w:p>
        </w:tc>
        <w:tc>
          <w:tcPr>
            <w:tcW w:w="13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4.7%</w:t>
            </w:r>
          </w:p>
        </w:tc>
        <w:tc>
          <w:tcPr>
            <w:tcW w:w="120" w:type="dxa"/>
            <w:vAlign w:val="bottom"/>
            <w:shd w:val="clear" w:color="auto" w:fill="DCE2EF"/>
          </w:tcPr>
          <w:p>
            <w:pPr>
              <w:spacing w:after="0"/>
              <w:rPr>
                <w:sz w:val="21"/>
                <w:szCs w:val="21"/>
                <w:color w:val="auto"/>
              </w:rPr>
            </w:pPr>
          </w:p>
        </w:tc>
        <w:tc>
          <w:tcPr>
            <w:tcW w:w="640" w:type="dxa"/>
            <w:vAlign w:val="bottom"/>
            <w:shd w:val="clear" w:color="auto" w:fill="DCE2EF"/>
          </w:tcPr>
          <w:p>
            <w:pPr>
              <w:spacing w:after="0"/>
              <w:rPr>
                <w:sz w:val="21"/>
                <w:szCs w:val="21"/>
                <w:color w:val="auto"/>
              </w:rPr>
            </w:pPr>
          </w:p>
        </w:tc>
        <w:tc>
          <w:tcPr>
            <w:tcW w:w="1660" w:type="dxa"/>
            <w:vAlign w:val="bottom"/>
            <w:shd w:val="clear" w:color="auto" w:fill="DCE2EF"/>
          </w:tcPr>
          <w:p>
            <w:pPr>
              <w:jc w:val="right"/>
              <w:ind w:right="634"/>
              <w:spacing w:after="0"/>
              <w:rPr>
                <w:sz w:val="20"/>
                <w:szCs w:val="20"/>
                <w:color w:val="auto"/>
              </w:rPr>
            </w:pPr>
            <w:r>
              <w:rPr>
                <w:rFonts w:ascii="Arial" w:cs="Arial" w:eastAsia="Arial" w:hAnsi="Arial"/>
                <w:sz w:val="14"/>
                <w:szCs w:val="14"/>
                <w:i w:val="1"/>
                <w:iCs w:val="1"/>
                <w:color w:val="auto"/>
              </w:rPr>
              <w:t>42 bps</w:t>
            </w:r>
          </w:p>
        </w:tc>
        <w:tc>
          <w:tcPr>
            <w:tcW w:w="1200" w:type="dxa"/>
            <w:vAlign w:val="bottom"/>
            <w:shd w:val="clear" w:color="auto" w:fill="DCE2EF"/>
          </w:tcPr>
          <w:p>
            <w:pPr>
              <w:spacing w:after="0"/>
              <w:rPr>
                <w:sz w:val="21"/>
                <w:szCs w:val="21"/>
                <w:color w:val="auto"/>
              </w:rPr>
            </w:pPr>
          </w:p>
        </w:tc>
      </w:tr>
      <w:tr>
        <w:trPr>
          <w:trHeight w:val="27"/>
        </w:trPr>
        <w:tc>
          <w:tcPr>
            <w:tcW w:w="20" w:type="dxa"/>
            <w:vAlign w:val="bottom"/>
            <w:shd w:val="clear" w:color="auto" w:fill="DCE2EF"/>
          </w:tcPr>
          <w:p>
            <w:pPr>
              <w:spacing w:after="0"/>
              <w:rPr>
                <w:sz w:val="2"/>
                <w:szCs w:val="2"/>
                <w:color w:val="auto"/>
              </w:rPr>
            </w:pPr>
          </w:p>
        </w:tc>
        <w:tc>
          <w:tcPr>
            <w:tcW w:w="820" w:type="dxa"/>
            <w:vAlign w:val="bottom"/>
            <w:shd w:val="clear" w:color="auto" w:fill="DCE2EF"/>
          </w:tcPr>
          <w:p>
            <w:pPr>
              <w:spacing w:after="0"/>
              <w:rPr>
                <w:sz w:val="2"/>
                <w:szCs w:val="2"/>
                <w:color w:val="auto"/>
              </w:rPr>
            </w:pPr>
          </w:p>
        </w:tc>
        <w:tc>
          <w:tcPr>
            <w:tcW w:w="3280" w:type="dxa"/>
            <w:vAlign w:val="bottom"/>
            <w:shd w:val="clear" w:color="auto" w:fill="DCE2EF"/>
          </w:tcPr>
          <w:p>
            <w:pPr>
              <w:spacing w:after="0"/>
              <w:rPr>
                <w:sz w:val="2"/>
                <w:szCs w:val="2"/>
                <w:color w:val="auto"/>
              </w:rPr>
            </w:pPr>
          </w:p>
        </w:tc>
        <w:tc>
          <w:tcPr>
            <w:tcW w:w="420" w:type="dxa"/>
            <w:vAlign w:val="bottom"/>
            <w:shd w:val="clear" w:color="auto" w:fill="DCE2EF"/>
          </w:tcPr>
          <w:p>
            <w:pPr>
              <w:spacing w:after="0"/>
              <w:rPr>
                <w:sz w:val="2"/>
                <w:szCs w:val="2"/>
                <w:color w:val="auto"/>
              </w:rPr>
            </w:pPr>
          </w:p>
        </w:tc>
        <w:tc>
          <w:tcPr>
            <w:tcW w:w="1340" w:type="dxa"/>
            <w:vAlign w:val="bottom"/>
            <w:shd w:val="clear" w:color="auto" w:fill="DCE2EF"/>
          </w:tcPr>
          <w:p>
            <w:pPr>
              <w:spacing w:after="0"/>
              <w:rPr>
                <w:sz w:val="2"/>
                <w:szCs w:val="2"/>
                <w:color w:val="auto"/>
              </w:rPr>
            </w:pPr>
          </w:p>
        </w:tc>
        <w:tc>
          <w:tcPr>
            <w:tcW w:w="120" w:type="dxa"/>
            <w:vAlign w:val="bottom"/>
            <w:shd w:val="clear" w:color="auto" w:fill="DCE2EF"/>
          </w:tcPr>
          <w:p>
            <w:pPr>
              <w:spacing w:after="0"/>
              <w:rPr>
                <w:sz w:val="2"/>
                <w:szCs w:val="2"/>
                <w:color w:val="auto"/>
              </w:rPr>
            </w:pPr>
          </w:p>
        </w:tc>
        <w:tc>
          <w:tcPr>
            <w:tcW w:w="400" w:type="dxa"/>
            <w:vAlign w:val="bottom"/>
            <w:shd w:val="clear" w:color="auto" w:fill="DCE2EF"/>
          </w:tcPr>
          <w:p>
            <w:pPr>
              <w:spacing w:after="0"/>
              <w:rPr>
                <w:sz w:val="2"/>
                <w:szCs w:val="2"/>
                <w:color w:val="auto"/>
              </w:rPr>
            </w:pPr>
          </w:p>
        </w:tc>
        <w:tc>
          <w:tcPr>
            <w:tcW w:w="1340" w:type="dxa"/>
            <w:vAlign w:val="bottom"/>
            <w:shd w:val="clear" w:color="auto" w:fill="DCE2EF"/>
          </w:tcPr>
          <w:p>
            <w:pPr>
              <w:spacing w:after="0"/>
              <w:rPr>
                <w:sz w:val="2"/>
                <w:szCs w:val="2"/>
                <w:color w:val="auto"/>
              </w:rPr>
            </w:pPr>
          </w:p>
        </w:tc>
        <w:tc>
          <w:tcPr>
            <w:tcW w:w="120" w:type="dxa"/>
            <w:vAlign w:val="bottom"/>
            <w:shd w:val="clear" w:color="auto" w:fill="DCE2EF"/>
          </w:tcPr>
          <w:p>
            <w:pPr>
              <w:spacing w:after="0"/>
              <w:rPr>
                <w:sz w:val="2"/>
                <w:szCs w:val="2"/>
                <w:color w:val="auto"/>
              </w:rPr>
            </w:pPr>
          </w:p>
        </w:tc>
        <w:tc>
          <w:tcPr>
            <w:tcW w:w="640" w:type="dxa"/>
            <w:vAlign w:val="bottom"/>
            <w:shd w:val="clear" w:color="auto" w:fill="DCE2EF"/>
          </w:tcPr>
          <w:p>
            <w:pPr>
              <w:spacing w:after="0"/>
              <w:rPr>
                <w:sz w:val="2"/>
                <w:szCs w:val="2"/>
                <w:color w:val="auto"/>
              </w:rPr>
            </w:pPr>
          </w:p>
        </w:tc>
        <w:tc>
          <w:tcPr>
            <w:tcW w:w="1660" w:type="dxa"/>
            <w:vAlign w:val="bottom"/>
            <w:shd w:val="clear" w:color="auto" w:fill="DCE2EF"/>
          </w:tcPr>
          <w:p>
            <w:pPr>
              <w:spacing w:after="0"/>
              <w:rPr>
                <w:sz w:val="2"/>
                <w:szCs w:val="2"/>
                <w:color w:val="auto"/>
              </w:rPr>
            </w:pPr>
          </w:p>
        </w:tc>
        <w:tc>
          <w:tcPr>
            <w:tcW w:w="1200" w:type="dxa"/>
            <w:vAlign w:val="bottom"/>
            <w:shd w:val="clear" w:color="auto" w:fill="DCE2EF"/>
          </w:tcPr>
          <w:p>
            <w:pPr>
              <w:spacing w:after="0"/>
              <w:rPr>
                <w:sz w:val="2"/>
                <w:szCs w:val="2"/>
                <w:color w:val="auto"/>
              </w:rPr>
            </w:pPr>
          </w:p>
        </w:tc>
      </w:tr>
    </w:tbl>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*Not meaningful</w:t>
      </w:r>
    </w:p>
    <w:p>
      <w:pPr>
        <w:spacing w:after="0" w:line="36"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21"/>
          <w:szCs w:val="21"/>
          <w:color w:val="auto"/>
          <w:vertAlign w:val="superscript"/>
        </w:rPr>
      </w:pPr>
      <w:r>
        <w:rPr>
          <w:rFonts w:ascii="Arial" w:cs="Arial" w:eastAsia="Arial" w:hAnsi="Arial"/>
          <w:sz w:val="15"/>
          <w:szCs w:val="15"/>
          <w:color w:val="auto"/>
        </w:rPr>
        <w:t>2018 and 2017 include $26.4 million and $4.6 million, respectively, of amortization expense related to the GCA acquisition.</w:t>
      </w:r>
    </w:p>
    <w:p>
      <w:pPr>
        <w:spacing w:after="0" w:line="128" w:lineRule="exact"/>
        <w:rPr>
          <w:sz w:val="20"/>
          <w:szCs w:val="20"/>
          <w:color w:val="auto"/>
        </w:rPr>
      </w:pPr>
    </w:p>
    <w:p>
      <w:pPr>
        <w:ind w:right="20" w:firstLine="648"/>
        <w:spacing w:after="0" w:line="292" w:lineRule="auto"/>
        <w:rPr>
          <w:sz w:val="20"/>
          <w:szCs w:val="20"/>
          <w:color w:val="auto"/>
        </w:rPr>
      </w:pPr>
      <w:r>
        <w:rPr>
          <w:rFonts w:ascii="Arial" w:cs="Arial" w:eastAsia="Arial" w:hAnsi="Arial"/>
          <w:sz w:val="18"/>
          <w:szCs w:val="18"/>
          <w:color w:val="auto"/>
        </w:rPr>
        <w:t>Education revenues increased by $487.9 million during 2018, as compared to 2017. The increase was primarily attributable to incremental revenues from the GCA acquisition of $488.0 million.</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95" w:right="239" w:bottom="1440" w:gutter="0" w:footer="0" w:header="0"/>
        </w:sectPr>
      </w:pPr>
    </w:p>
    <w:bookmarkStart w:id="36" w:name="page37"/>
    <w:bookmarkEnd w:id="36"/>
    <w:p>
      <w:pPr>
        <w:jc w:val="both"/>
        <w:ind w:firstLine="648"/>
        <w:spacing w:after="0" w:line="264" w:lineRule="auto"/>
        <w:rPr>
          <w:sz w:val="20"/>
          <w:szCs w:val="20"/>
          <w:color w:val="auto"/>
        </w:rPr>
      </w:pPr>
      <w:r>
        <w:rPr>
          <w:rFonts w:ascii="Arial" w:cs="Arial" w:eastAsia="Arial" w:hAnsi="Arial"/>
          <w:sz w:val="18"/>
          <w:szCs w:val="18"/>
          <w:color w:val="auto"/>
        </w:rPr>
        <w:t>Operating profit increased by $26.7 million during 2018, as compared to 2017. Operating profit margin increased by 42 bps to 5.1% in 2018 from 4.7% in 2017. The increase in operating profit margin was primarily due to certain higher margin contracts and the reversal of certain reserves, partially offset by higher amortization expense related to the GCA acquisition and an increase in wages and related personnel costs in certain markets.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1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0046AD"/>
              </w:rPr>
              <w:t>Technical Solutions</w:t>
            </w: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57"/>
        </w:trPr>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10"/>
        </w:trPr>
        <w:tc>
          <w:tcPr>
            <w:tcW w:w="416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20" w:type="dxa"/>
            <w:vAlign w:val="bottom"/>
            <w:gridSpan w:val="2"/>
          </w:tcPr>
          <w:p>
            <w:pPr>
              <w:ind w:left="38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330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30"/>
        </w:trPr>
        <w:tc>
          <w:tcPr>
            <w:tcW w:w="40" w:type="dxa"/>
            <w:vAlign w:val="bottom"/>
            <w:tcBorders>
              <w:bottom w:val="single" w:sz="8" w:color="DCE2EF"/>
            </w:tcBorders>
            <w:shd w:val="clear" w:color="auto" w:fill="DCE2EF"/>
          </w:tcPr>
          <w:p>
            <w:pPr>
              <w:spacing w:after="0"/>
              <w:rPr>
                <w:sz w:val="20"/>
                <w:szCs w:val="20"/>
                <w:color w:val="auto"/>
              </w:rPr>
            </w:pPr>
          </w:p>
        </w:tc>
        <w:tc>
          <w:tcPr>
            <w:tcW w:w="82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8"/>
                <w:szCs w:val="18"/>
                <w:color w:val="auto"/>
                <w:w w:val="98"/>
                <w:shd w:val="clear" w:color="auto" w:fill="DCE2EF"/>
              </w:rPr>
              <w:t>Revenues</w:t>
            </w:r>
          </w:p>
        </w:tc>
        <w:tc>
          <w:tcPr>
            <w:tcW w:w="3300" w:type="dxa"/>
            <w:vAlign w:val="bottom"/>
            <w:tcBorders>
              <w:bottom w:val="single" w:sz="8" w:color="DCE2EF"/>
            </w:tcBorders>
            <w:shd w:val="clear" w:color="auto" w:fill="DCE2EF"/>
          </w:tcPr>
          <w:p>
            <w:pPr>
              <w:spacing w:after="0"/>
              <w:rPr>
                <w:sz w:val="20"/>
                <w:szCs w:val="20"/>
                <w:color w:val="auto"/>
              </w:rPr>
            </w:pPr>
          </w:p>
        </w:tc>
        <w:tc>
          <w:tcPr>
            <w:tcW w:w="420" w:type="dxa"/>
            <w:vAlign w:val="bottom"/>
            <w:tcBorders>
              <w:bottom w:val="single" w:sz="8" w:color="DCE2EF"/>
            </w:tcBorders>
            <w:shd w:val="clear" w:color="auto" w:fill="DCE2EF"/>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DCE2EF"/>
            </w:tcBorders>
            <w:shd w:val="clear" w:color="auto" w:fill="DCE2EF"/>
          </w:tcPr>
          <w:p>
            <w:pPr>
              <w:jc w:val="right"/>
              <w:ind w:right="74"/>
              <w:spacing w:after="0"/>
              <w:rPr>
                <w:sz w:val="20"/>
                <w:szCs w:val="20"/>
                <w:color w:val="auto"/>
              </w:rPr>
            </w:pPr>
            <w:r>
              <w:rPr>
                <w:rFonts w:ascii="Arial" w:cs="Arial" w:eastAsia="Arial" w:hAnsi="Arial"/>
                <w:sz w:val="18"/>
                <w:szCs w:val="18"/>
                <w:color w:val="auto"/>
              </w:rPr>
              <w:t>500.1</w:t>
            </w:r>
          </w:p>
        </w:tc>
        <w:tc>
          <w:tcPr>
            <w:tcW w:w="120" w:type="dxa"/>
            <w:vAlign w:val="bottom"/>
            <w:tcBorders>
              <w:bottom w:val="single" w:sz="8" w:color="DCE2EF"/>
            </w:tcBorders>
            <w:shd w:val="clear" w:color="auto" w:fill="DCE2EF"/>
          </w:tcPr>
          <w:p>
            <w:pPr>
              <w:spacing w:after="0"/>
              <w:rPr>
                <w:sz w:val="20"/>
                <w:szCs w:val="20"/>
                <w:color w:val="auto"/>
              </w:rPr>
            </w:pPr>
          </w:p>
        </w:tc>
        <w:tc>
          <w:tcPr>
            <w:tcW w:w="400" w:type="dxa"/>
            <w:vAlign w:val="bottom"/>
            <w:tcBorders>
              <w:bottom w:val="single" w:sz="8" w:color="DCE2EF"/>
            </w:tcBorders>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DCE2EF"/>
            </w:tcBorders>
            <w:shd w:val="clear" w:color="auto" w:fill="DCE2EF"/>
          </w:tcPr>
          <w:p>
            <w:pPr>
              <w:jc w:val="right"/>
              <w:ind w:right="74"/>
              <w:spacing w:after="0"/>
              <w:rPr>
                <w:sz w:val="20"/>
                <w:szCs w:val="20"/>
                <w:color w:val="auto"/>
              </w:rPr>
            </w:pPr>
            <w:r>
              <w:rPr>
                <w:rFonts w:ascii="Arial" w:cs="Arial" w:eastAsia="Arial" w:hAnsi="Arial"/>
                <w:sz w:val="18"/>
                <w:szCs w:val="18"/>
                <w:color w:val="auto"/>
              </w:rPr>
              <w:t>473.4</w:t>
            </w:r>
          </w:p>
        </w:tc>
        <w:tc>
          <w:tcPr>
            <w:tcW w:w="100" w:type="dxa"/>
            <w:vAlign w:val="bottom"/>
            <w:tcBorders>
              <w:bottom w:val="single" w:sz="8" w:color="DCE2EF"/>
            </w:tcBorders>
            <w:shd w:val="clear" w:color="auto" w:fill="DCE2EF"/>
          </w:tcPr>
          <w:p>
            <w:pPr>
              <w:spacing w:after="0"/>
              <w:rPr>
                <w:sz w:val="20"/>
                <w:szCs w:val="20"/>
                <w:color w:val="auto"/>
              </w:rPr>
            </w:pPr>
          </w:p>
        </w:tc>
        <w:tc>
          <w:tcPr>
            <w:tcW w:w="500" w:type="dxa"/>
            <w:vAlign w:val="bottom"/>
            <w:tcBorders>
              <w:bottom w:val="single" w:sz="8" w:color="DCE2EF"/>
            </w:tcBorders>
            <w:shd w:val="clear" w:color="auto" w:fill="DCE2EF"/>
          </w:tcPr>
          <w:p>
            <w:pPr>
              <w:jc w:val="right"/>
              <w:ind w:right="2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DCE2EF"/>
            </w:tcBorders>
            <w:shd w:val="clear" w:color="auto" w:fill="DCE2EF"/>
          </w:tcPr>
          <w:p>
            <w:pPr>
              <w:jc w:val="right"/>
              <w:ind w:right="314"/>
              <w:spacing w:after="0"/>
              <w:rPr>
                <w:sz w:val="20"/>
                <w:szCs w:val="20"/>
                <w:color w:val="auto"/>
              </w:rPr>
            </w:pPr>
            <w:r>
              <w:rPr>
                <w:rFonts w:ascii="Arial" w:cs="Arial" w:eastAsia="Arial" w:hAnsi="Arial"/>
                <w:sz w:val="18"/>
                <w:szCs w:val="18"/>
                <w:color w:val="auto"/>
              </w:rPr>
              <w:t>26.7</w:t>
            </w:r>
          </w:p>
        </w:tc>
        <w:tc>
          <w:tcPr>
            <w:tcW w:w="1520" w:type="dxa"/>
            <w:vAlign w:val="bottom"/>
            <w:tcBorders>
              <w:bottom w:val="single" w:sz="8" w:color="DCE2EF"/>
            </w:tcBorders>
            <w:shd w:val="clear" w:color="auto" w:fill="DCE2EF"/>
          </w:tcPr>
          <w:p>
            <w:pPr>
              <w:jc w:val="right"/>
              <w:ind w:right="550"/>
              <w:spacing w:after="0"/>
              <w:rPr>
                <w:sz w:val="20"/>
                <w:szCs w:val="20"/>
                <w:color w:val="auto"/>
              </w:rPr>
            </w:pPr>
            <w:r>
              <w:rPr>
                <w:rFonts w:ascii="Arial" w:cs="Arial" w:eastAsia="Arial" w:hAnsi="Arial"/>
                <w:sz w:val="18"/>
                <w:szCs w:val="18"/>
                <w:color w:val="auto"/>
              </w:rPr>
              <w:t>5.6%</w:t>
            </w:r>
          </w:p>
        </w:tc>
      </w:tr>
      <w:tr>
        <w:trPr>
          <w:trHeight w:val="252"/>
        </w:trPr>
        <w:tc>
          <w:tcPr>
            <w:tcW w:w="416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1"/>
                <w:szCs w:val="21"/>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00" w:type="dxa"/>
            <w:vAlign w:val="bottom"/>
          </w:tcPr>
          <w:p>
            <w:pPr>
              <w:jc w:val="right"/>
              <w:ind w:right="254"/>
              <w:spacing w:after="0"/>
              <w:rPr>
                <w:sz w:val="20"/>
                <w:szCs w:val="20"/>
                <w:color w:val="auto"/>
              </w:rPr>
            </w:pPr>
            <w:r>
              <w:rPr>
                <w:rFonts w:ascii="Arial" w:cs="Arial" w:eastAsia="Arial" w:hAnsi="Arial"/>
                <w:sz w:val="18"/>
                <w:szCs w:val="18"/>
                <w:color w:val="auto"/>
              </w:rPr>
              <w:t>(17.6)</w:t>
            </w:r>
          </w:p>
        </w:tc>
        <w:tc>
          <w:tcPr>
            <w:tcW w:w="1520" w:type="dxa"/>
            <w:vAlign w:val="bottom"/>
          </w:tcPr>
          <w:p>
            <w:pPr>
              <w:jc w:val="right"/>
              <w:ind w:right="450"/>
              <w:spacing w:after="0"/>
              <w:rPr>
                <w:sz w:val="20"/>
                <w:szCs w:val="20"/>
                <w:color w:val="auto"/>
              </w:rPr>
            </w:pPr>
            <w:r>
              <w:rPr>
                <w:rFonts w:ascii="Arial" w:cs="Arial" w:eastAsia="Arial" w:hAnsi="Arial"/>
                <w:sz w:val="18"/>
                <w:szCs w:val="18"/>
                <w:color w:val="auto"/>
              </w:rPr>
              <w:t>(44.6)%</w:t>
            </w:r>
          </w:p>
        </w:tc>
      </w:tr>
      <w:tr>
        <w:trPr>
          <w:trHeight w:val="194"/>
        </w:trPr>
        <w:tc>
          <w:tcPr>
            <w:tcW w:w="40" w:type="dxa"/>
            <w:vAlign w:val="bottom"/>
            <w:shd w:val="clear" w:color="auto" w:fill="DCE2EF"/>
          </w:tcPr>
          <w:p>
            <w:pPr>
              <w:spacing w:after="0"/>
              <w:rPr>
                <w:sz w:val="16"/>
                <w:szCs w:val="16"/>
                <w:color w:val="auto"/>
              </w:rPr>
            </w:pPr>
          </w:p>
        </w:tc>
        <w:tc>
          <w:tcPr>
            <w:tcW w:w="412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shd w:val="clear" w:color="auto" w:fill="DCE2EF"/>
              </w:rPr>
              <w:t>Operating profit margin</w:t>
            </w:r>
          </w:p>
        </w:tc>
        <w:tc>
          <w:tcPr>
            <w:tcW w:w="420" w:type="dxa"/>
            <w:vAlign w:val="bottom"/>
            <w:shd w:val="clear" w:color="auto" w:fill="DCE2EF"/>
          </w:tcPr>
          <w:p>
            <w:pPr>
              <w:spacing w:after="0"/>
              <w:rPr>
                <w:sz w:val="16"/>
                <w:szCs w:val="16"/>
                <w:color w:val="auto"/>
              </w:rPr>
            </w:pPr>
          </w:p>
        </w:tc>
        <w:tc>
          <w:tcPr>
            <w:tcW w:w="13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4.4%</w:t>
            </w:r>
          </w:p>
        </w:tc>
        <w:tc>
          <w:tcPr>
            <w:tcW w:w="120" w:type="dxa"/>
            <w:vAlign w:val="bottom"/>
            <w:shd w:val="clear" w:color="auto" w:fill="DCE2EF"/>
          </w:tcPr>
          <w:p>
            <w:pPr>
              <w:spacing w:after="0"/>
              <w:rPr>
                <w:sz w:val="16"/>
                <w:szCs w:val="16"/>
                <w:color w:val="auto"/>
              </w:rPr>
            </w:pPr>
          </w:p>
        </w:tc>
        <w:tc>
          <w:tcPr>
            <w:tcW w:w="400" w:type="dxa"/>
            <w:vAlign w:val="bottom"/>
            <w:shd w:val="clear" w:color="auto" w:fill="DCE2EF"/>
          </w:tcPr>
          <w:p>
            <w:pPr>
              <w:spacing w:after="0"/>
              <w:rPr>
                <w:sz w:val="16"/>
                <w:szCs w:val="16"/>
                <w:color w:val="auto"/>
              </w:rPr>
            </w:pPr>
          </w:p>
        </w:tc>
        <w:tc>
          <w:tcPr>
            <w:tcW w:w="13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8.3%</w:t>
            </w:r>
          </w:p>
        </w:tc>
        <w:tc>
          <w:tcPr>
            <w:tcW w:w="100" w:type="dxa"/>
            <w:vAlign w:val="bottom"/>
            <w:shd w:val="clear" w:color="auto" w:fill="DCE2EF"/>
          </w:tcPr>
          <w:p>
            <w:pPr>
              <w:spacing w:after="0"/>
              <w:rPr>
                <w:sz w:val="16"/>
                <w:szCs w:val="16"/>
                <w:color w:val="auto"/>
              </w:rPr>
            </w:pPr>
          </w:p>
        </w:tc>
        <w:tc>
          <w:tcPr>
            <w:tcW w:w="500" w:type="dxa"/>
            <w:vAlign w:val="bottom"/>
            <w:shd w:val="clear" w:color="auto" w:fill="DCE2EF"/>
          </w:tcPr>
          <w:p>
            <w:pPr>
              <w:spacing w:after="0"/>
              <w:rPr>
                <w:sz w:val="16"/>
                <w:szCs w:val="16"/>
                <w:color w:val="auto"/>
              </w:rPr>
            </w:pPr>
          </w:p>
        </w:tc>
        <w:tc>
          <w:tcPr>
            <w:tcW w:w="1500" w:type="dxa"/>
            <w:vAlign w:val="bottom"/>
            <w:shd w:val="clear" w:color="auto" w:fill="DCE2EF"/>
          </w:tcPr>
          <w:p>
            <w:pPr>
              <w:jc w:val="right"/>
              <w:ind w:right="314"/>
              <w:spacing w:after="0"/>
              <w:rPr>
                <w:sz w:val="20"/>
                <w:szCs w:val="20"/>
                <w:color w:val="auto"/>
              </w:rPr>
            </w:pPr>
            <w:r>
              <w:rPr>
                <w:rFonts w:ascii="Arial" w:cs="Arial" w:eastAsia="Arial" w:hAnsi="Arial"/>
                <w:sz w:val="14"/>
                <w:szCs w:val="14"/>
                <w:i w:val="1"/>
                <w:iCs w:val="1"/>
                <w:color w:val="auto"/>
              </w:rPr>
              <w:t>(396) bps</w:t>
            </w:r>
          </w:p>
        </w:tc>
        <w:tc>
          <w:tcPr>
            <w:tcW w:w="1520" w:type="dxa"/>
            <w:vAlign w:val="bottom"/>
            <w:shd w:val="clear" w:color="auto" w:fill="DCE2EF"/>
          </w:tcPr>
          <w:p>
            <w:pPr>
              <w:spacing w:after="0"/>
              <w:rPr>
                <w:sz w:val="16"/>
                <w:szCs w:val="16"/>
                <w:color w:val="auto"/>
              </w:rPr>
            </w:pPr>
          </w:p>
        </w:tc>
      </w:tr>
      <w:tr>
        <w:trPr>
          <w:trHeight w:val="27"/>
        </w:trPr>
        <w:tc>
          <w:tcPr>
            <w:tcW w:w="40" w:type="dxa"/>
            <w:vAlign w:val="bottom"/>
            <w:shd w:val="clear" w:color="auto" w:fill="DCE2EF"/>
          </w:tcPr>
          <w:p>
            <w:pPr>
              <w:spacing w:after="0"/>
              <w:rPr>
                <w:sz w:val="2"/>
                <w:szCs w:val="2"/>
                <w:color w:val="auto"/>
              </w:rPr>
            </w:pPr>
          </w:p>
        </w:tc>
        <w:tc>
          <w:tcPr>
            <w:tcW w:w="820" w:type="dxa"/>
            <w:vAlign w:val="bottom"/>
            <w:shd w:val="clear" w:color="auto" w:fill="DCE2EF"/>
          </w:tcPr>
          <w:p>
            <w:pPr>
              <w:spacing w:after="0"/>
              <w:rPr>
                <w:sz w:val="2"/>
                <w:szCs w:val="2"/>
                <w:color w:val="auto"/>
              </w:rPr>
            </w:pPr>
          </w:p>
        </w:tc>
        <w:tc>
          <w:tcPr>
            <w:tcW w:w="3300" w:type="dxa"/>
            <w:vAlign w:val="bottom"/>
            <w:shd w:val="clear" w:color="auto" w:fill="DCE2EF"/>
          </w:tcPr>
          <w:p>
            <w:pPr>
              <w:spacing w:after="0"/>
              <w:rPr>
                <w:sz w:val="2"/>
                <w:szCs w:val="2"/>
                <w:color w:val="auto"/>
              </w:rPr>
            </w:pPr>
          </w:p>
        </w:tc>
        <w:tc>
          <w:tcPr>
            <w:tcW w:w="420" w:type="dxa"/>
            <w:vAlign w:val="bottom"/>
            <w:shd w:val="clear" w:color="auto" w:fill="DCE2EF"/>
          </w:tcPr>
          <w:p>
            <w:pPr>
              <w:spacing w:after="0"/>
              <w:rPr>
                <w:sz w:val="2"/>
                <w:szCs w:val="2"/>
                <w:color w:val="auto"/>
              </w:rPr>
            </w:pPr>
          </w:p>
        </w:tc>
        <w:tc>
          <w:tcPr>
            <w:tcW w:w="1340" w:type="dxa"/>
            <w:vAlign w:val="bottom"/>
            <w:shd w:val="clear" w:color="auto" w:fill="DCE2EF"/>
          </w:tcPr>
          <w:p>
            <w:pPr>
              <w:spacing w:after="0"/>
              <w:rPr>
                <w:sz w:val="2"/>
                <w:szCs w:val="2"/>
                <w:color w:val="auto"/>
              </w:rPr>
            </w:pPr>
          </w:p>
        </w:tc>
        <w:tc>
          <w:tcPr>
            <w:tcW w:w="120" w:type="dxa"/>
            <w:vAlign w:val="bottom"/>
            <w:shd w:val="clear" w:color="auto" w:fill="DCE2EF"/>
          </w:tcPr>
          <w:p>
            <w:pPr>
              <w:spacing w:after="0"/>
              <w:rPr>
                <w:sz w:val="2"/>
                <w:szCs w:val="2"/>
                <w:color w:val="auto"/>
              </w:rPr>
            </w:pPr>
          </w:p>
        </w:tc>
        <w:tc>
          <w:tcPr>
            <w:tcW w:w="400" w:type="dxa"/>
            <w:vAlign w:val="bottom"/>
            <w:shd w:val="clear" w:color="auto" w:fill="DCE2EF"/>
          </w:tcPr>
          <w:p>
            <w:pPr>
              <w:spacing w:after="0"/>
              <w:rPr>
                <w:sz w:val="2"/>
                <w:szCs w:val="2"/>
                <w:color w:val="auto"/>
              </w:rPr>
            </w:pPr>
          </w:p>
        </w:tc>
        <w:tc>
          <w:tcPr>
            <w:tcW w:w="1360" w:type="dxa"/>
            <w:vAlign w:val="bottom"/>
            <w:shd w:val="clear" w:color="auto" w:fill="DCE2EF"/>
          </w:tcPr>
          <w:p>
            <w:pPr>
              <w:spacing w:after="0"/>
              <w:rPr>
                <w:sz w:val="2"/>
                <w:szCs w:val="2"/>
                <w:color w:val="auto"/>
              </w:rPr>
            </w:pPr>
          </w:p>
        </w:tc>
        <w:tc>
          <w:tcPr>
            <w:tcW w:w="100" w:type="dxa"/>
            <w:vAlign w:val="bottom"/>
            <w:shd w:val="clear" w:color="auto" w:fill="DCE2EF"/>
          </w:tcPr>
          <w:p>
            <w:pPr>
              <w:spacing w:after="0"/>
              <w:rPr>
                <w:sz w:val="2"/>
                <w:szCs w:val="2"/>
                <w:color w:val="auto"/>
              </w:rPr>
            </w:pPr>
          </w:p>
        </w:tc>
        <w:tc>
          <w:tcPr>
            <w:tcW w:w="500" w:type="dxa"/>
            <w:vAlign w:val="bottom"/>
            <w:shd w:val="clear" w:color="auto" w:fill="DCE2EF"/>
          </w:tcPr>
          <w:p>
            <w:pPr>
              <w:spacing w:after="0"/>
              <w:rPr>
                <w:sz w:val="2"/>
                <w:szCs w:val="2"/>
                <w:color w:val="auto"/>
              </w:rPr>
            </w:pPr>
          </w:p>
        </w:tc>
        <w:tc>
          <w:tcPr>
            <w:tcW w:w="1500" w:type="dxa"/>
            <w:vAlign w:val="bottom"/>
            <w:shd w:val="clear" w:color="auto" w:fill="DCE2EF"/>
          </w:tcPr>
          <w:p>
            <w:pPr>
              <w:spacing w:after="0"/>
              <w:rPr>
                <w:sz w:val="2"/>
                <w:szCs w:val="2"/>
                <w:color w:val="auto"/>
              </w:rPr>
            </w:pPr>
          </w:p>
        </w:tc>
        <w:tc>
          <w:tcPr>
            <w:tcW w:w="1520" w:type="dxa"/>
            <w:vAlign w:val="bottom"/>
            <w:shd w:val="clear" w:color="auto" w:fill="DCE2EF"/>
          </w:tcPr>
          <w:p>
            <w:pPr>
              <w:spacing w:after="0"/>
              <w:rPr>
                <w:sz w:val="2"/>
                <w:szCs w:val="2"/>
                <w:color w:val="auto"/>
              </w:rPr>
            </w:pPr>
          </w:p>
        </w:tc>
      </w:tr>
    </w:tbl>
    <w:p>
      <w:pPr>
        <w:spacing w:after="0" w:line="139"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18"/>
          <w:szCs w:val="18"/>
          <w:color w:val="auto"/>
        </w:rPr>
        <w:t>Technical Solutions revenues increased by $ 26.7 million, or 5.6%, during 2018, as compared to 2017. The increase was primarily attributable to higher BES project revenues in our U.S. business due to the timing of new projects.</w:t>
      </w:r>
    </w:p>
    <w:p>
      <w:pPr>
        <w:spacing w:after="0" w:line="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Operating profit decreased by $17.6 million, or 44.6%, during 2018, as compared to 2017. Operating profit margin decreased by 396 bps to 4.4% in 2018 from 8.3% in 2017. The decrease in operating profit margin was primarily attributable to impairment charges on goodwill and customer relationships related to our U.K. business totaling $26.5 million during 2018, as well as the loss of certain higher margin contracts in our U.K. business, partially offset by favorable margins on certain projects in our U.S. business and higher tax deductions for energy efficient government building projects.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24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0046AD"/>
              </w:rPr>
              <w:t>Corporate</w:t>
            </w:r>
          </w:p>
        </w:tc>
        <w:tc>
          <w:tcPr>
            <w:tcW w:w="1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1"/>
        </w:trPr>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29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Years Ended October 31,</w:t>
            </w:r>
          </w:p>
        </w:tc>
        <w:tc>
          <w:tcPr>
            <w:tcW w:w="6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24"/>
        </w:trPr>
        <w:tc>
          <w:tcPr>
            <w:tcW w:w="424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Decrease</w:t>
            </w:r>
          </w:p>
        </w:tc>
        <w:tc>
          <w:tcPr>
            <w:tcW w:w="1260" w:type="dxa"/>
            <w:vAlign w:val="bottom"/>
          </w:tcPr>
          <w:p>
            <w:pPr>
              <w:spacing w:after="0"/>
              <w:rPr>
                <w:sz w:val="19"/>
                <w:szCs w:val="19"/>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3380" w:type="dxa"/>
            <w:vAlign w:val="bottom"/>
            <w:tcBorders>
              <w:bottom w:val="single" w:sz="8" w:color="DCE2E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40" w:type="dxa"/>
            <w:vAlign w:val="bottom"/>
            <w:shd w:val="clear" w:color="auto" w:fill="DCE2EF"/>
          </w:tcPr>
          <w:p>
            <w:pPr>
              <w:spacing w:after="0"/>
              <w:rPr>
                <w:sz w:val="20"/>
                <w:szCs w:val="20"/>
                <w:color w:val="auto"/>
              </w:rPr>
            </w:pPr>
          </w:p>
        </w:tc>
        <w:tc>
          <w:tcPr>
            <w:tcW w:w="4200" w:type="dxa"/>
            <w:vAlign w:val="bottom"/>
            <w:gridSpan w:val="2"/>
            <w:shd w:val="clear" w:color="auto" w:fill="DCE2EF"/>
          </w:tcPr>
          <w:p>
            <w:pPr>
              <w:spacing w:after="0"/>
              <w:rPr>
                <w:sz w:val="20"/>
                <w:szCs w:val="20"/>
                <w:color w:val="auto"/>
              </w:rPr>
            </w:pPr>
            <w:r>
              <w:rPr>
                <w:rFonts w:ascii="Arial" w:cs="Arial" w:eastAsia="Arial" w:hAnsi="Arial"/>
                <w:sz w:val="18"/>
                <w:szCs w:val="18"/>
                <w:color w:val="auto"/>
                <w:shd w:val="clear" w:color="auto" w:fill="DCE2EF"/>
              </w:rPr>
              <w:t>Corporate expenses</w:t>
            </w:r>
          </w:p>
        </w:tc>
        <w:tc>
          <w:tcPr>
            <w:tcW w:w="1120" w:type="dxa"/>
            <w:vAlign w:val="bottom"/>
            <w:shd w:val="clear" w:color="auto" w:fill="DCE2EF"/>
          </w:tcPr>
          <w:p>
            <w:pPr>
              <w:jc w:val="right"/>
              <w:ind w:right="91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168.8</w:t>
            </w:r>
          </w:p>
        </w:tc>
        <w:tc>
          <w:tcPr>
            <w:tcW w:w="120" w:type="dxa"/>
            <w:vAlign w:val="bottom"/>
            <w:shd w:val="clear" w:color="auto" w:fill="DCE2EF"/>
          </w:tcPr>
          <w:p>
            <w:pPr>
              <w:spacing w:after="0"/>
              <w:rPr>
                <w:sz w:val="20"/>
                <w:szCs w:val="20"/>
                <w:color w:val="auto"/>
              </w:rPr>
            </w:pPr>
          </w:p>
        </w:tc>
        <w:tc>
          <w:tcPr>
            <w:tcW w:w="1100" w:type="dxa"/>
            <w:vAlign w:val="bottom"/>
            <w:shd w:val="clear" w:color="auto" w:fill="DCE2EF"/>
          </w:tcPr>
          <w:p>
            <w:pPr>
              <w:jc w:val="right"/>
              <w:ind w:right="89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189.0</w:t>
            </w:r>
          </w:p>
        </w:tc>
        <w:tc>
          <w:tcPr>
            <w:tcW w:w="120" w:type="dxa"/>
            <w:vAlign w:val="bottom"/>
            <w:shd w:val="clear" w:color="auto" w:fill="DCE2EF"/>
          </w:tcPr>
          <w:p>
            <w:pPr>
              <w:spacing w:after="0"/>
              <w:rPr>
                <w:sz w:val="20"/>
                <w:szCs w:val="20"/>
                <w:color w:val="auto"/>
              </w:rPr>
            </w:pPr>
          </w:p>
        </w:tc>
        <w:tc>
          <w:tcPr>
            <w:tcW w:w="660" w:type="dxa"/>
            <w:vAlign w:val="bottom"/>
            <w:shd w:val="clear" w:color="auto" w:fill="DCE2EF"/>
          </w:tcPr>
          <w:p>
            <w:pPr>
              <w:jc w:val="right"/>
              <w:ind w:right="45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DCE2EF"/>
          </w:tcPr>
          <w:p>
            <w:pPr>
              <w:jc w:val="right"/>
              <w:ind w:right="510"/>
              <w:spacing w:after="0"/>
              <w:rPr>
                <w:sz w:val="20"/>
                <w:szCs w:val="20"/>
                <w:color w:val="auto"/>
              </w:rPr>
            </w:pPr>
            <w:r>
              <w:rPr>
                <w:rFonts w:ascii="Arial" w:cs="Arial" w:eastAsia="Arial" w:hAnsi="Arial"/>
                <w:sz w:val="18"/>
                <w:szCs w:val="18"/>
                <w:color w:val="auto"/>
              </w:rPr>
              <w:t>(20.2)</w:t>
            </w:r>
          </w:p>
        </w:tc>
        <w:tc>
          <w:tcPr>
            <w:tcW w:w="1260" w:type="dxa"/>
            <w:vAlign w:val="bottom"/>
            <w:shd w:val="clear" w:color="auto" w:fill="DCE2EF"/>
          </w:tcPr>
          <w:p>
            <w:pPr>
              <w:jc w:val="right"/>
              <w:ind w:right="450"/>
              <w:spacing w:after="0"/>
              <w:rPr>
                <w:sz w:val="20"/>
                <w:szCs w:val="20"/>
                <w:color w:val="auto"/>
              </w:rPr>
            </w:pPr>
            <w:r>
              <w:rPr>
                <w:rFonts w:ascii="Arial" w:cs="Arial" w:eastAsia="Arial" w:hAnsi="Arial"/>
                <w:sz w:val="18"/>
                <w:szCs w:val="18"/>
                <w:color w:val="auto"/>
              </w:rPr>
              <w:t>(10.7)%</w:t>
            </w:r>
          </w:p>
        </w:tc>
      </w:tr>
      <w:tr>
        <w:trPr>
          <w:trHeight w:val="27"/>
        </w:trPr>
        <w:tc>
          <w:tcPr>
            <w:tcW w:w="40" w:type="dxa"/>
            <w:vAlign w:val="bottom"/>
            <w:shd w:val="clear" w:color="auto" w:fill="DCE2EF"/>
          </w:tcPr>
          <w:p>
            <w:pPr>
              <w:spacing w:after="0"/>
              <w:rPr>
                <w:sz w:val="2"/>
                <w:szCs w:val="2"/>
                <w:color w:val="auto"/>
              </w:rPr>
            </w:pPr>
          </w:p>
        </w:tc>
        <w:tc>
          <w:tcPr>
            <w:tcW w:w="820" w:type="dxa"/>
            <w:vAlign w:val="bottom"/>
            <w:shd w:val="clear" w:color="auto" w:fill="DCE2EF"/>
          </w:tcPr>
          <w:p>
            <w:pPr>
              <w:spacing w:after="0"/>
              <w:rPr>
                <w:sz w:val="2"/>
                <w:szCs w:val="2"/>
                <w:color w:val="auto"/>
              </w:rPr>
            </w:pPr>
          </w:p>
        </w:tc>
        <w:tc>
          <w:tcPr>
            <w:tcW w:w="3380" w:type="dxa"/>
            <w:vAlign w:val="bottom"/>
            <w:shd w:val="clear" w:color="auto" w:fill="DCE2EF"/>
          </w:tcPr>
          <w:p>
            <w:pPr>
              <w:spacing w:after="0"/>
              <w:rPr>
                <w:sz w:val="2"/>
                <w:szCs w:val="2"/>
                <w:color w:val="auto"/>
              </w:rPr>
            </w:pPr>
          </w:p>
        </w:tc>
        <w:tc>
          <w:tcPr>
            <w:tcW w:w="1120" w:type="dxa"/>
            <w:vAlign w:val="bottom"/>
            <w:shd w:val="clear" w:color="auto" w:fill="DCE2EF"/>
          </w:tcPr>
          <w:p>
            <w:pPr>
              <w:spacing w:after="0"/>
              <w:rPr>
                <w:sz w:val="2"/>
                <w:szCs w:val="2"/>
                <w:color w:val="auto"/>
              </w:rPr>
            </w:pPr>
          </w:p>
        </w:tc>
        <w:tc>
          <w:tcPr>
            <w:tcW w:w="600" w:type="dxa"/>
            <w:vAlign w:val="bottom"/>
            <w:shd w:val="clear" w:color="auto" w:fill="DCE2EF"/>
          </w:tcPr>
          <w:p>
            <w:pPr>
              <w:spacing w:after="0"/>
              <w:rPr>
                <w:sz w:val="2"/>
                <w:szCs w:val="2"/>
                <w:color w:val="auto"/>
              </w:rPr>
            </w:pPr>
          </w:p>
        </w:tc>
        <w:tc>
          <w:tcPr>
            <w:tcW w:w="120" w:type="dxa"/>
            <w:vAlign w:val="bottom"/>
            <w:shd w:val="clear" w:color="auto" w:fill="DCE2EF"/>
          </w:tcPr>
          <w:p>
            <w:pPr>
              <w:spacing w:after="0"/>
              <w:rPr>
                <w:sz w:val="2"/>
                <w:szCs w:val="2"/>
                <w:color w:val="auto"/>
              </w:rPr>
            </w:pPr>
          </w:p>
        </w:tc>
        <w:tc>
          <w:tcPr>
            <w:tcW w:w="1100" w:type="dxa"/>
            <w:vAlign w:val="bottom"/>
            <w:shd w:val="clear" w:color="auto" w:fill="DCE2EF"/>
          </w:tcPr>
          <w:p>
            <w:pPr>
              <w:spacing w:after="0"/>
              <w:rPr>
                <w:sz w:val="2"/>
                <w:szCs w:val="2"/>
                <w:color w:val="auto"/>
              </w:rPr>
            </w:pPr>
          </w:p>
        </w:tc>
        <w:tc>
          <w:tcPr>
            <w:tcW w:w="600" w:type="dxa"/>
            <w:vAlign w:val="bottom"/>
            <w:shd w:val="clear" w:color="auto" w:fill="DCE2EF"/>
          </w:tcPr>
          <w:p>
            <w:pPr>
              <w:spacing w:after="0"/>
              <w:rPr>
                <w:sz w:val="2"/>
                <w:szCs w:val="2"/>
                <w:color w:val="auto"/>
              </w:rPr>
            </w:pPr>
          </w:p>
        </w:tc>
        <w:tc>
          <w:tcPr>
            <w:tcW w:w="120" w:type="dxa"/>
            <w:vAlign w:val="bottom"/>
            <w:shd w:val="clear" w:color="auto" w:fill="DCE2EF"/>
          </w:tcPr>
          <w:p>
            <w:pPr>
              <w:spacing w:after="0"/>
              <w:rPr>
                <w:sz w:val="2"/>
                <w:szCs w:val="2"/>
                <w:color w:val="auto"/>
              </w:rPr>
            </w:pPr>
          </w:p>
        </w:tc>
        <w:tc>
          <w:tcPr>
            <w:tcW w:w="660" w:type="dxa"/>
            <w:vAlign w:val="bottom"/>
            <w:shd w:val="clear" w:color="auto" w:fill="DCE2EF"/>
          </w:tcPr>
          <w:p>
            <w:pPr>
              <w:spacing w:after="0"/>
              <w:rPr>
                <w:sz w:val="2"/>
                <w:szCs w:val="2"/>
                <w:color w:val="auto"/>
              </w:rPr>
            </w:pPr>
          </w:p>
        </w:tc>
        <w:tc>
          <w:tcPr>
            <w:tcW w:w="1600" w:type="dxa"/>
            <w:vAlign w:val="bottom"/>
            <w:shd w:val="clear" w:color="auto" w:fill="DCE2EF"/>
          </w:tcPr>
          <w:p>
            <w:pPr>
              <w:spacing w:after="0"/>
              <w:rPr>
                <w:sz w:val="2"/>
                <w:szCs w:val="2"/>
                <w:color w:val="auto"/>
              </w:rPr>
            </w:pPr>
          </w:p>
        </w:tc>
        <w:tc>
          <w:tcPr>
            <w:tcW w:w="1260" w:type="dxa"/>
            <w:vAlign w:val="bottom"/>
            <w:shd w:val="clear" w:color="auto" w:fill="DCE2EF"/>
          </w:tcPr>
          <w:p>
            <w:pPr>
              <w:spacing w:after="0"/>
              <w:rPr>
                <w:sz w:val="2"/>
                <w:szCs w:val="2"/>
                <w:color w:val="auto"/>
              </w:rPr>
            </w:pPr>
          </w:p>
        </w:tc>
      </w:tr>
    </w:tbl>
    <w:p>
      <w:pPr>
        <w:spacing w:after="0" w:line="139"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18"/>
          <w:szCs w:val="18"/>
          <w:color w:val="auto"/>
        </w:rPr>
        <w:t>Corporate expenses decreased by $20.2 million, or 10.7%, during 2018, as compared to 2017. The decrease in corporate expenses was primarily related to:</w:t>
      </w:r>
    </w:p>
    <w:p>
      <w:pPr>
        <w:spacing w:after="0" w:line="9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absence of $24.2 million of transaction expenses related to the GCA acquisition;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$11.8 million lower adjustment to self-insurance reserves related to prior year claims;</w:t>
      </w:r>
    </w:p>
    <w:p>
      <w:pPr>
        <w:spacing w:after="0" w:line="171"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$3.4 million adjustment to decrease our medical and dental insurance reserves as a result of actuarial evaluations performed in 2018; and</w:t>
      </w:r>
    </w:p>
    <w:p>
      <w:pPr>
        <w:spacing w:after="0" w:line="90" w:lineRule="exact"/>
        <w:rPr>
          <w:rFonts w:ascii="Arial" w:cs="Arial" w:eastAsia="Arial" w:hAnsi="Arial"/>
          <w:sz w:val="18"/>
          <w:szCs w:val="18"/>
          <w:color w:val="auto"/>
        </w:rPr>
      </w:pPr>
    </w:p>
    <w:p>
      <w:pPr>
        <w:ind w:right="300" w:firstLine="332"/>
        <w:spacing w:after="0" w:line="438" w:lineRule="auto"/>
        <w:tabs>
          <w:tab w:leader="none" w:pos="6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$2.0 million decrease in legal settlement costs, net of a $7.0 million reimbursement of previously expensed legal settlement costs. This decrease was partially offset by:</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$6.4 million increase in technology investments and related support;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$4.8 million increase in restructuring and related costs as a result of the GCA acquisition;</w:t>
      </w:r>
    </w:p>
    <w:p>
      <w:pPr>
        <w:spacing w:after="0" w:line="171" w:lineRule="exact"/>
        <w:rPr>
          <w:rFonts w:ascii="Arial" w:cs="Arial" w:eastAsia="Arial" w:hAnsi="Arial"/>
          <w:sz w:val="18"/>
          <w:szCs w:val="18"/>
          <w:color w:val="auto"/>
        </w:rPr>
      </w:pPr>
    </w:p>
    <w:p>
      <w:pPr>
        <w:ind w:left="660" w:right="20" w:hanging="328"/>
        <w:spacing w:after="0" w:line="29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absence of a $3.2 million reimbursement of previously expensed fees associated with a concluded internal investigation into a foreign entity formerly affiliated with a joint venture during the prior year;</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$3.2 million increase in expenses related to certain incentive plans due to the timing of awards; and</w:t>
      </w:r>
    </w:p>
    <w:p>
      <w:pPr>
        <w:spacing w:after="0" w:line="169" w:lineRule="exact"/>
        <w:rPr>
          <w:rFonts w:ascii="Arial" w:cs="Arial" w:eastAsia="Arial" w:hAnsi="Arial"/>
          <w:sz w:val="18"/>
          <w:szCs w:val="18"/>
          <w:color w:val="auto"/>
        </w:rPr>
      </w:pPr>
    </w:p>
    <w:p>
      <w:pPr>
        <w:ind w:left="660" w:hanging="328"/>
        <w:spacing w:after="0" w:line="29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$1.5 million higher compensation and related expenses primarily related to hiring additional personnel to support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 as well as incremental expenses related to the GCA acquisition.</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95" w:right="239" w:bottom="1440" w:gutter="0" w:footer="0" w:header="0"/>
        </w:sectPr>
      </w:pPr>
    </w:p>
    <w:bookmarkStart w:id="37" w:name="page38"/>
    <w:bookmarkEnd w:id="37"/>
    <w:p>
      <w:pPr>
        <w:ind w:left="40"/>
        <w:spacing w:after="0"/>
        <w:rPr>
          <w:sz w:val="20"/>
          <w:szCs w:val="20"/>
          <w:color w:val="auto"/>
        </w:rPr>
      </w:pPr>
      <w:r>
        <w:rPr>
          <w:rFonts w:ascii="Arial" w:cs="Arial" w:eastAsia="Arial" w:hAnsi="Arial"/>
          <w:sz w:val="18"/>
          <w:szCs w:val="18"/>
          <w:b w:val="1"/>
          <w:bCs w:val="1"/>
          <w:color w:val="0046AD"/>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Our primary sources of liquidity are operating cash flows and borrowing capacity under our credit facility. We assess our liquidity in terms of our ability to generate cash to fund our short- and long-term cash requirements. As such, we project our anticipated cash requirements as well as cash flows generated from operating activities to meet those needs.</w:t>
      </w:r>
    </w:p>
    <w:p>
      <w:pPr>
        <w:spacing w:after="0" w:line="10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 addition to normal working capital requirements, we anticipate that our short- and long-term cash requirements will include funding legal settlements, insurance claims, dividend payments, capital expenditures, and continued systems and technology transformation initiatives. We anticipate long-term cash uses may also include strategic acquisitions and share repurchases.</w:t>
      </w:r>
    </w:p>
    <w:p>
      <w:pPr>
        <w:spacing w:after="0" w:line="10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that our operating cash flows and borrowing capacity under our credit facility are sufficient to fund our cash requirements for the next twelve months. In the event that our plans change or our cash requirements are greater than we anticipate, we may need to access the capital markets to finance future cash requirements. However, there can be no assurance that such financing will be available to us should we need it or, if available, that the terms will be satisfactory to us and not dilutive to existing shareholders.</w:t>
      </w:r>
    </w:p>
    <w:p>
      <w:pPr>
        <w:spacing w:after="0" w:line="1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On a long-term basis, we will continue to rely on our credit facility for any long-term funding not provided by operating cash flows. In addition, we anticipate that future cash generated from operations will be augmented by working capital improvements driven by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000000"/>
        </w:rPr>
        <w:t>, such as the management of costs through consolidated procurement.</w:t>
      </w:r>
    </w:p>
    <w:p>
      <w:pPr>
        <w:spacing w:after="0" w:line="9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IFM Assurance Company (“IFM”) is a wholly-owned captive insurance company that we formed in 2015. IFM is part of our enterprise-wide, multi-year insurance strategy that is intended to better position our risk and safety programs and provide us with increased flexibility in the end-to-end management of our insurance programs. IFM began providing coverage to us as of January 1, 2015. We had accelerated cash tax savings related to coverage provided by IFM of approximately $6 million in 2019, $7 million in 2018, and $10 million in 2017. We project accelerated cash tax savings for 2020 to be approximately $6 million.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Credit Facility</w:t>
      </w:r>
    </w:p>
    <w:p>
      <w:pPr>
        <w:spacing w:after="0" w:line="17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On September 1, 2017, we refinanced and replaced our then-existing $800.0 million credit facility with a new senior, secured five-year syndicated credit facility (the “Credit Facility”), consisting of a $900.0 million revolving line of credit and an $800.0 million amortizing term loan, scheduled to mature on September 1, 2022. In accordance with the terms of the Credit Facility, the line of credit was reduced to $800.0 million on September 1, 2018. Initial borrowings under the Credit Facility were used to finance, in part, the cash portion of the purchase price related to the GCA acquisition, to refinance certain existing indebtedness of ABM, and to pay transaction costs.</w:t>
      </w:r>
    </w:p>
    <w:p>
      <w:pPr>
        <w:spacing w:after="0" w:line="12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Our ability to draw down available capacity under the Credit Facility, as amended, is subject to, and limited by, compliance with certain financial covenants, including a current maximum leverage ratio of 4.00 to 1.0 that steps down by 25 basis points annually each July to 3.50 to 1.0 by July 2021 and a minimum fixed charge coverage ratio of 1.50 to 1.0. Other covenants under the Credit Facility include limitations on liens, dispositions, fundamental changes, investments, and certain transactions and payments. At October 31, 2019, we were in compliance with these covenants and expect to be in compliance in the foreseeable future.</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2019, we made $40.0 million of principal payments under the term loan. At October 31, 2019, the total outstanding borrowings under our Credit Facility in the form of cash borrowings and standby letters of credit were $808.4 million and $149.8 million, respectively. At October 31, 2019, we had up to $574.2 million of borrowing capacity under the Credit Facility; however, covenant restrictions limited our actual borrowing capacity to $406.6 million.</w:t>
      </w:r>
    </w:p>
    <w:p>
      <w:pPr>
        <w:spacing w:after="0" w:line="1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July 2017, the U.K. Financial Conduct Authority, the regulator of the London Interbank Offered Rate (“LIBOR”), indicated that it will no longer require banks to submit rates to the LIBOR administrator after 2021. This announcement signaled that the calculation of LIBOR and its continued use could not be guaranteed after 2021. A change away from LIBOR after 2021 may impact our Credit Facility and interest rate swaps. Our current credit agreement as well as our International Swaps and Derivatives Association, Inc. agreement provide for any changes away from LIBOR to a successor rate to be based on prevailing or equivalent standards. We continue to monitor developments related to the LIBOR transition and/or identification of an alternative, market-accepted rate. The impact related to any changes cannot be predicted at this time.</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09"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0046AD"/>
        </w:rPr>
        <w:t>Reinvestment of Foreign Earnings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plan to reinvest our foreign earnings to fund future non-U.S. growth and expansion, and we do not anticipate remitting such earnings to the United States. While U.S. federal tax expense has been recognized as a result of the Tax Act, no deferred tax liabilities with respect to federal and state income taxes or foreign withholding taxes have been recognized. We believe that our cash on hand in the United States, along with our Credit Facility and future domestic cash flows, are sufficient to satisfy our domestic liquidity requirements.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Proceeds from Federal Energy Savings Performance Contracts</w:t>
      </w:r>
    </w:p>
    <w:p>
      <w:pPr>
        <w:spacing w:after="0" w:line="17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As part of our Technical Solutions business, we enter into energy savings performance contracts (“ESPC”) with the federal government pursuant to which we agree to develop, design, engineer, and construct a project and guarantee that the project will satisfy agreed-upon performance standards. Proceeds from ESPC projects are generally received in advance of construction through agreements to sell the ESPC receivables to unaffiliated third parties. We use the advances from the third parties under these agreements to finance the projects, which are recorded as cash flows from financing activities. The use of the cash received under these arrangements to pay project costs is classified as operating cash flows.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Effect of Inflation</w:t>
      </w:r>
    </w:p>
    <w:p>
      <w:pPr>
        <w:spacing w:after="0" w:line="17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The rates of inflation experienced in recent years have not had a material impact on our financial statements. We attempt to recover increased costs by increasing prices for our services, to the extent permitted by contracts and competition.</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Regulatory Environment and Environmental Compliance</w:t>
      </w:r>
    </w:p>
    <w:p>
      <w:pPr>
        <w:spacing w:after="0" w:line="17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Our operations are subject to various federal, state, and/or local laws regulating the discharge of materials into the environment or otherwise relating to the protection of the environment, such as discharge into soil, water, and air, and the generation, handling, storage, transportation, and disposal of waste and hazardous substances. In addition, from time to time we are involved in environmental matters at certain of our locations or in connection with our operations. Historically, the cost of complying with environmental laws or resolving environmental issues relating to locations or operations in the United States or abroad has not had a material adverse effect on our financial position, results of operations, or cash flows. We do not believe that the resolution of matters known at this time will be material.</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Cash Flows</w:t>
      </w:r>
    </w:p>
    <w:p>
      <w:pPr>
        <w:spacing w:after="0" w:line="17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In addition to revenues and operating profit, our management views operating cash flows as a good indicator of financial performance, because strong operating cash flows provide opportunities for growth both organically and through acquisitions. Net cash provided by operating activities of continuing operations was $262.8 million during 2019. Operating cash flows primarily depend on: revenue levels; the quality and timing of collections of accounts receivable; the timing of payments to suppliers and other vendors; the timing and amount of income tax payments; and the timing and amount of payments on insurance claims and legal settlements.</w:t>
      </w:r>
    </w:p>
    <w:p>
      <w:pPr>
        <w:spacing w:after="0" w:line="281"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auto"/>
        </w:rPr>
        <w:t>Years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29845</wp:posOffset>
            </wp:positionV>
            <wp:extent cx="23241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740" w:type="dxa"/>
            <w:vAlign w:val="bottom"/>
            <w:gridSpan w:val="3"/>
          </w:tcPr>
          <w:p>
            <w:pPr>
              <w:ind w:left="4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240" w:type="dxa"/>
            <w:vAlign w:val="bottom"/>
          </w:tcPr>
          <w:p>
            <w:pPr>
              <w:spacing w:after="0"/>
              <w:rPr>
                <w:sz w:val="18"/>
                <w:szCs w:val="18"/>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620" w:type="dxa"/>
            <w:vAlign w:val="bottom"/>
            <w:tcBorders>
              <w:top w:val="single" w:sz="8" w:color="auto"/>
              <w:bottom w:val="single" w:sz="8" w:color="DCE2EF"/>
            </w:tcBorders>
          </w:tcPr>
          <w:p>
            <w:pPr>
              <w:spacing w:after="0" w:line="20" w:lineRule="exact"/>
              <w:rPr>
                <w:sz w:val="1"/>
                <w:szCs w:val="1"/>
                <w:color w:val="auto"/>
              </w:rPr>
            </w:pPr>
          </w:p>
        </w:tc>
        <w:tc>
          <w:tcPr>
            <w:tcW w:w="708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0"/>
        </w:trPr>
        <w:tc>
          <w:tcPr>
            <w:tcW w:w="40" w:type="dxa"/>
            <w:vAlign w:val="bottom"/>
            <w:tcBorders>
              <w:bottom w:val="single" w:sz="8" w:color="DCE2EF"/>
            </w:tcBorders>
            <w:shd w:val="clear" w:color="auto" w:fill="DCE2EF"/>
          </w:tcPr>
          <w:p>
            <w:pPr>
              <w:spacing w:after="0"/>
              <w:rPr>
                <w:sz w:val="20"/>
                <w:szCs w:val="20"/>
                <w:color w:val="auto"/>
              </w:rPr>
            </w:pPr>
          </w:p>
        </w:tc>
        <w:tc>
          <w:tcPr>
            <w:tcW w:w="770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8"/>
                <w:szCs w:val="18"/>
                <w:color w:val="auto"/>
                <w:shd w:val="clear" w:color="auto" w:fill="DCE2EF"/>
              </w:rPr>
              <w:t>Net cash provided by operating activities of continuing operations</w:t>
            </w:r>
          </w:p>
        </w:tc>
        <w:tc>
          <w:tcPr>
            <w:tcW w:w="240" w:type="dxa"/>
            <w:vAlign w:val="bottom"/>
            <w:tcBorders>
              <w:bottom w:val="single" w:sz="8" w:color="DCE2EF"/>
            </w:tcBorders>
            <w:shd w:val="clear" w:color="auto" w:fill="DCE2E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DCE2EF"/>
            </w:tcBorders>
            <w:shd w:val="clear" w:color="auto" w:fill="DCE2EF"/>
          </w:tcPr>
          <w:p>
            <w:pPr>
              <w:jc w:val="right"/>
              <w:ind w:right="10"/>
              <w:spacing w:after="0"/>
              <w:rPr>
                <w:sz w:val="20"/>
                <w:szCs w:val="20"/>
                <w:color w:val="auto"/>
              </w:rPr>
            </w:pPr>
            <w:r>
              <w:rPr>
                <w:rFonts w:ascii="Arial" w:cs="Arial" w:eastAsia="Arial" w:hAnsi="Arial"/>
                <w:sz w:val="18"/>
                <w:szCs w:val="18"/>
                <w:color w:val="auto"/>
              </w:rPr>
              <w:t>262.8</w:t>
            </w:r>
          </w:p>
        </w:tc>
        <w:tc>
          <w:tcPr>
            <w:tcW w:w="100" w:type="dxa"/>
            <w:vAlign w:val="bottom"/>
            <w:tcBorders>
              <w:bottom w:val="single" w:sz="8" w:color="DCE2EF"/>
            </w:tcBorders>
            <w:shd w:val="clear" w:color="auto" w:fill="DCE2EF"/>
          </w:tcPr>
          <w:p>
            <w:pPr>
              <w:spacing w:after="0"/>
              <w:rPr>
                <w:sz w:val="20"/>
                <w:szCs w:val="20"/>
                <w:color w:val="auto"/>
              </w:rPr>
            </w:pPr>
          </w:p>
        </w:tc>
        <w:tc>
          <w:tcPr>
            <w:tcW w:w="260" w:type="dxa"/>
            <w:vAlign w:val="bottom"/>
            <w:tcBorders>
              <w:bottom w:val="single" w:sz="8" w:color="DCE2EF"/>
            </w:tcBorders>
            <w:shd w:val="clear" w:color="auto" w:fill="DCE2E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DCE2EF"/>
            </w:tcBorders>
            <w:shd w:val="clear" w:color="auto" w:fill="DCE2EF"/>
          </w:tcPr>
          <w:p>
            <w:pPr>
              <w:jc w:val="right"/>
              <w:ind w:right="30"/>
              <w:spacing w:after="0"/>
              <w:rPr>
                <w:sz w:val="20"/>
                <w:szCs w:val="20"/>
                <w:color w:val="auto"/>
              </w:rPr>
            </w:pPr>
            <w:r>
              <w:rPr>
                <w:rFonts w:ascii="Arial" w:cs="Arial" w:eastAsia="Arial" w:hAnsi="Arial"/>
                <w:sz w:val="18"/>
                <w:szCs w:val="18"/>
                <w:color w:val="auto"/>
              </w:rPr>
              <w:t>299.7</w:t>
            </w:r>
          </w:p>
        </w:tc>
        <w:tc>
          <w:tcPr>
            <w:tcW w:w="100" w:type="dxa"/>
            <w:vAlign w:val="bottom"/>
            <w:tcBorders>
              <w:bottom w:val="single" w:sz="8" w:color="DCE2EF"/>
            </w:tcBorders>
            <w:shd w:val="clear" w:color="auto" w:fill="DCE2EF"/>
          </w:tcPr>
          <w:p>
            <w:pPr>
              <w:spacing w:after="0"/>
              <w:rPr>
                <w:sz w:val="20"/>
                <w:szCs w:val="20"/>
                <w:color w:val="auto"/>
              </w:rPr>
            </w:pPr>
          </w:p>
        </w:tc>
        <w:tc>
          <w:tcPr>
            <w:tcW w:w="260" w:type="dxa"/>
            <w:vAlign w:val="bottom"/>
            <w:tcBorders>
              <w:bottom w:val="single" w:sz="8" w:color="DCE2EF"/>
            </w:tcBorders>
            <w:shd w:val="clear" w:color="auto" w:fill="DCE2E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DCE2EF"/>
            </w:tcBorders>
            <w:shd w:val="clear" w:color="auto" w:fill="DCE2EF"/>
          </w:tcPr>
          <w:p>
            <w:pPr>
              <w:jc w:val="right"/>
              <w:ind w:right="30"/>
              <w:spacing w:after="0"/>
              <w:rPr>
                <w:sz w:val="20"/>
                <w:szCs w:val="20"/>
                <w:color w:val="auto"/>
              </w:rPr>
            </w:pPr>
            <w:r>
              <w:rPr>
                <w:rFonts w:ascii="Arial" w:cs="Arial" w:eastAsia="Arial" w:hAnsi="Arial"/>
                <w:sz w:val="18"/>
                <w:szCs w:val="18"/>
                <w:color w:val="auto"/>
              </w:rPr>
              <w:t>101.7</w:t>
            </w:r>
          </w:p>
        </w:tc>
      </w:tr>
      <w:tr>
        <w:trPr>
          <w:trHeight w:val="265"/>
        </w:trPr>
        <w:tc>
          <w:tcPr>
            <w:tcW w:w="7740" w:type="dxa"/>
            <w:vAlign w:val="bottom"/>
            <w:tcBorders>
              <w:bottom w:val="single" w:sz="8" w:color="DCE2EF"/>
            </w:tcBorders>
            <w:gridSpan w:val="3"/>
          </w:tcPr>
          <w:p>
            <w:pPr>
              <w:ind w:left="40"/>
              <w:spacing w:after="0"/>
              <w:rPr>
                <w:sz w:val="20"/>
                <w:szCs w:val="20"/>
                <w:color w:val="auto"/>
              </w:rPr>
            </w:pPr>
            <w:r>
              <w:rPr>
                <w:rFonts w:ascii="Arial" w:cs="Arial" w:eastAsia="Arial" w:hAnsi="Arial"/>
                <w:sz w:val="18"/>
                <w:szCs w:val="18"/>
                <w:color w:val="auto"/>
              </w:rPr>
              <w:t>Net cash (used in) provided by operating activities of discontinued operations</w:t>
            </w: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DCE2E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DCE2E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w:t>
            </w:r>
          </w:p>
        </w:tc>
      </w:tr>
      <w:tr>
        <w:trPr>
          <w:trHeight w:val="235"/>
        </w:trPr>
        <w:tc>
          <w:tcPr>
            <w:tcW w:w="40" w:type="dxa"/>
            <w:vAlign w:val="bottom"/>
            <w:tcBorders>
              <w:bottom w:val="single" w:sz="8" w:color="DCE2EF"/>
            </w:tcBorders>
            <w:shd w:val="clear" w:color="auto" w:fill="DCE2EF"/>
          </w:tcPr>
          <w:p>
            <w:pPr>
              <w:spacing w:after="0"/>
              <w:rPr>
                <w:sz w:val="20"/>
                <w:szCs w:val="20"/>
                <w:color w:val="auto"/>
              </w:rPr>
            </w:pPr>
          </w:p>
        </w:tc>
        <w:tc>
          <w:tcPr>
            <w:tcW w:w="770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8"/>
                <w:szCs w:val="18"/>
                <w:color w:val="auto"/>
                <w:shd w:val="clear" w:color="auto" w:fill="DCE2EF"/>
              </w:rPr>
              <w:t>Net cash provided by operating activities</w:t>
            </w:r>
          </w:p>
        </w:tc>
        <w:tc>
          <w:tcPr>
            <w:tcW w:w="240" w:type="dxa"/>
            <w:vAlign w:val="bottom"/>
            <w:tcBorders>
              <w:bottom w:val="single" w:sz="8" w:color="DCE2EF"/>
            </w:tcBorders>
            <w:shd w:val="clear" w:color="auto" w:fill="DCE2EF"/>
          </w:tcPr>
          <w:p>
            <w:pPr>
              <w:spacing w:after="0"/>
              <w:rPr>
                <w:sz w:val="20"/>
                <w:szCs w:val="20"/>
                <w:color w:val="auto"/>
              </w:rPr>
            </w:pPr>
          </w:p>
        </w:tc>
        <w:tc>
          <w:tcPr>
            <w:tcW w:w="900" w:type="dxa"/>
            <w:vAlign w:val="bottom"/>
            <w:tcBorders>
              <w:bottom w:val="single" w:sz="8" w:color="DCE2EF"/>
            </w:tcBorders>
            <w:shd w:val="clear" w:color="auto" w:fill="DCE2EF"/>
          </w:tcPr>
          <w:p>
            <w:pPr>
              <w:jc w:val="right"/>
              <w:ind w:right="10"/>
              <w:spacing w:after="0"/>
              <w:rPr>
                <w:sz w:val="20"/>
                <w:szCs w:val="20"/>
                <w:color w:val="auto"/>
              </w:rPr>
            </w:pPr>
            <w:r>
              <w:rPr>
                <w:rFonts w:ascii="Arial" w:cs="Arial" w:eastAsia="Arial" w:hAnsi="Arial"/>
                <w:sz w:val="18"/>
                <w:szCs w:val="18"/>
                <w:color w:val="auto"/>
              </w:rPr>
              <w:t>262.7</w:t>
            </w:r>
          </w:p>
        </w:tc>
        <w:tc>
          <w:tcPr>
            <w:tcW w:w="100" w:type="dxa"/>
            <w:vAlign w:val="bottom"/>
            <w:tcBorders>
              <w:bottom w:val="single" w:sz="8" w:color="DCE2EF"/>
            </w:tcBorders>
            <w:shd w:val="clear" w:color="auto" w:fill="DCE2EF"/>
          </w:tcPr>
          <w:p>
            <w:pPr>
              <w:spacing w:after="0"/>
              <w:rPr>
                <w:sz w:val="20"/>
                <w:szCs w:val="20"/>
                <w:color w:val="auto"/>
              </w:rPr>
            </w:pPr>
          </w:p>
        </w:tc>
        <w:tc>
          <w:tcPr>
            <w:tcW w:w="260" w:type="dxa"/>
            <w:vAlign w:val="bottom"/>
            <w:tcBorders>
              <w:bottom w:val="single" w:sz="8" w:color="DCE2EF"/>
            </w:tcBorders>
            <w:shd w:val="clear" w:color="auto" w:fill="DCE2EF"/>
          </w:tcPr>
          <w:p>
            <w:pPr>
              <w:spacing w:after="0"/>
              <w:rPr>
                <w:sz w:val="20"/>
                <w:szCs w:val="20"/>
                <w:color w:val="auto"/>
              </w:rPr>
            </w:pPr>
          </w:p>
        </w:tc>
        <w:tc>
          <w:tcPr>
            <w:tcW w:w="900" w:type="dxa"/>
            <w:vAlign w:val="bottom"/>
            <w:tcBorders>
              <w:bottom w:val="single" w:sz="8" w:color="DCE2EF"/>
            </w:tcBorders>
            <w:shd w:val="clear" w:color="auto" w:fill="DCE2EF"/>
          </w:tcPr>
          <w:p>
            <w:pPr>
              <w:jc w:val="right"/>
              <w:ind w:right="30"/>
              <w:spacing w:after="0"/>
              <w:rPr>
                <w:sz w:val="20"/>
                <w:szCs w:val="20"/>
                <w:color w:val="auto"/>
              </w:rPr>
            </w:pPr>
            <w:r>
              <w:rPr>
                <w:rFonts w:ascii="Arial" w:cs="Arial" w:eastAsia="Arial" w:hAnsi="Arial"/>
                <w:sz w:val="18"/>
                <w:szCs w:val="18"/>
                <w:color w:val="auto"/>
              </w:rPr>
              <w:t>320.9</w:t>
            </w:r>
          </w:p>
        </w:tc>
        <w:tc>
          <w:tcPr>
            <w:tcW w:w="100" w:type="dxa"/>
            <w:vAlign w:val="bottom"/>
            <w:tcBorders>
              <w:bottom w:val="single" w:sz="8" w:color="DCE2EF"/>
            </w:tcBorders>
            <w:shd w:val="clear" w:color="auto" w:fill="DCE2EF"/>
          </w:tcPr>
          <w:p>
            <w:pPr>
              <w:spacing w:after="0"/>
              <w:rPr>
                <w:sz w:val="20"/>
                <w:szCs w:val="20"/>
                <w:color w:val="auto"/>
              </w:rPr>
            </w:pPr>
          </w:p>
        </w:tc>
        <w:tc>
          <w:tcPr>
            <w:tcW w:w="260" w:type="dxa"/>
            <w:vAlign w:val="bottom"/>
            <w:tcBorders>
              <w:bottom w:val="single" w:sz="8" w:color="DCE2EF"/>
            </w:tcBorders>
            <w:shd w:val="clear" w:color="auto" w:fill="DCE2EF"/>
          </w:tcPr>
          <w:p>
            <w:pPr>
              <w:spacing w:after="0"/>
              <w:rPr>
                <w:sz w:val="20"/>
                <w:szCs w:val="20"/>
                <w:color w:val="auto"/>
              </w:rPr>
            </w:pPr>
          </w:p>
        </w:tc>
        <w:tc>
          <w:tcPr>
            <w:tcW w:w="900" w:type="dxa"/>
            <w:vAlign w:val="bottom"/>
            <w:tcBorders>
              <w:bottom w:val="single" w:sz="8" w:color="DCE2EF"/>
            </w:tcBorders>
            <w:shd w:val="clear" w:color="auto" w:fill="DCE2EF"/>
          </w:tcPr>
          <w:p>
            <w:pPr>
              <w:jc w:val="right"/>
              <w:ind w:right="30"/>
              <w:spacing w:after="0"/>
              <w:rPr>
                <w:sz w:val="20"/>
                <w:szCs w:val="20"/>
                <w:color w:val="auto"/>
              </w:rPr>
            </w:pPr>
            <w:r>
              <w:rPr>
                <w:rFonts w:ascii="Arial" w:cs="Arial" w:eastAsia="Arial" w:hAnsi="Arial"/>
                <w:sz w:val="18"/>
                <w:szCs w:val="18"/>
                <w:color w:val="auto"/>
              </w:rPr>
              <w:t>5.6</w:t>
            </w:r>
          </w:p>
        </w:tc>
      </w:tr>
      <w:tr>
        <w:trPr>
          <w:trHeight w:val="297"/>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40" w:type="dxa"/>
            <w:vAlign w:val="bottom"/>
            <w:tcBorders>
              <w:bottom w:val="single" w:sz="8" w:color="DCE2EF"/>
            </w:tcBorders>
            <w:shd w:val="clear" w:color="auto" w:fill="DCE2EF"/>
          </w:tcPr>
          <w:p>
            <w:pPr>
              <w:spacing w:after="0"/>
              <w:rPr>
                <w:sz w:val="21"/>
                <w:szCs w:val="21"/>
                <w:color w:val="auto"/>
              </w:rPr>
            </w:pPr>
          </w:p>
        </w:tc>
        <w:tc>
          <w:tcPr>
            <w:tcW w:w="770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8"/>
                <w:szCs w:val="18"/>
                <w:color w:val="auto"/>
                <w:shd w:val="clear" w:color="auto" w:fill="DCE2EF"/>
              </w:rPr>
              <w:t>Net cash used in investing activities</w:t>
            </w:r>
          </w:p>
        </w:tc>
        <w:tc>
          <w:tcPr>
            <w:tcW w:w="240" w:type="dxa"/>
            <w:vAlign w:val="bottom"/>
            <w:tcBorders>
              <w:bottom w:val="single" w:sz="8" w:color="DCE2EF"/>
            </w:tcBorders>
            <w:shd w:val="clear" w:color="auto" w:fill="DCE2EF"/>
          </w:tcPr>
          <w:p>
            <w:pPr>
              <w:spacing w:after="0"/>
              <w:rPr>
                <w:sz w:val="21"/>
                <w:szCs w:val="21"/>
                <w:color w:val="auto"/>
              </w:rPr>
            </w:pPr>
          </w:p>
        </w:tc>
        <w:tc>
          <w:tcPr>
            <w:tcW w:w="90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Borders>
              <w:bottom w:val="single" w:sz="8" w:color="DCE2EF"/>
            </w:tcBorders>
            <w:shd w:val="clear" w:color="auto" w:fill="DCE2EF"/>
          </w:tcPr>
          <w:p>
            <w:pPr>
              <w:spacing w:after="0"/>
              <w:rPr>
                <w:sz w:val="21"/>
                <w:szCs w:val="21"/>
                <w:color w:val="auto"/>
              </w:rPr>
            </w:pPr>
          </w:p>
        </w:tc>
        <w:tc>
          <w:tcPr>
            <w:tcW w:w="260" w:type="dxa"/>
            <w:vAlign w:val="bottom"/>
            <w:tcBorders>
              <w:bottom w:val="single" w:sz="8" w:color="DCE2EF"/>
            </w:tcBorders>
            <w:shd w:val="clear" w:color="auto" w:fill="DCE2EF"/>
          </w:tcPr>
          <w:p>
            <w:pPr>
              <w:spacing w:after="0"/>
              <w:rPr>
                <w:sz w:val="21"/>
                <w:szCs w:val="21"/>
                <w:color w:val="auto"/>
              </w:rPr>
            </w:pPr>
          </w:p>
        </w:tc>
        <w:tc>
          <w:tcPr>
            <w:tcW w:w="90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DCE2EF"/>
            </w:tcBorders>
            <w:shd w:val="clear" w:color="auto" w:fill="DCE2EF"/>
          </w:tcPr>
          <w:p>
            <w:pPr>
              <w:spacing w:after="0"/>
              <w:rPr>
                <w:sz w:val="21"/>
                <w:szCs w:val="21"/>
                <w:color w:val="auto"/>
              </w:rPr>
            </w:pPr>
          </w:p>
        </w:tc>
        <w:tc>
          <w:tcPr>
            <w:tcW w:w="260" w:type="dxa"/>
            <w:vAlign w:val="bottom"/>
            <w:tcBorders>
              <w:bottom w:val="single" w:sz="8" w:color="DCE2EF"/>
            </w:tcBorders>
            <w:shd w:val="clear" w:color="auto" w:fill="DCE2EF"/>
          </w:tcPr>
          <w:p>
            <w:pPr>
              <w:spacing w:after="0"/>
              <w:rPr>
                <w:sz w:val="21"/>
                <w:szCs w:val="21"/>
                <w:color w:val="auto"/>
              </w:rPr>
            </w:pPr>
          </w:p>
        </w:tc>
        <w:tc>
          <w:tcPr>
            <w:tcW w:w="90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8"/>
                <w:szCs w:val="18"/>
                <w:color w:val="auto"/>
              </w:rPr>
              <w:t>(871.8)</w:t>
            </w:r>
          </w:p>
        </w:tc>
      </w:tr>
      <w:tr>
        <w:trPr>
          <w:trHeight w:val="324"/>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43"/>
        </w:trPr>
        <w:tc>
          <w:tcPr>
            <w:tcW w:w="40" w:type="dxa"/>
            <w:vAlign w:val="bottom"/>
            <w:shd w:val="clear" w:color="auto" w:fill="DCE2EF"/>
          </w:tcPr>
          <w:p>
            <w:pPr>
              <w:spacing w:after="0"/>
              <w:rPr>
                <w:sz w:val="21"/>
                <w:szCs w:val="21"/>
                <w:color w:val="auto"/>
              </w:rPr>
            </w:pPr>
          </w:p>
        </w:tc>
        <w:tc>
          <w:tcPr>
            <w:tcW w:w="7700" w:type="dxa"/>
            <w:vAlign w:val="bottom"/>
            <w:gridSpan w:val="2"/>
            <w:shd w:val="clear" w:color="auto" w:fill="DCE2EF"/>
          </w:tcPr>
          <w:p>
            <w:pPr>
              <w:spacing w:after="0"/>
              <w:rPr>
                <w:sz w:val="20"/>
                <w:szCs w:val="20"/>
                <w:color w:val="auto"/>
              </w:rPr>
            </w:pPr>
            <w:r>
              <w:rPr>
                <w:rFonts w:ascii="Arial" w:cs="Arial" w:eastAsia="Arial" w:hAnsi="Arial"/>
                <w:sz w:val="18"/>
                <w:szCs w:val="18"/>
                <w:color w:val="auto"/>
                <w:shd w:val="clear" w:color="auto" w:fill="DCE2EF"/>
              </w:rPr>
              <w:t>Net cash (used in) provided by financing activities</w:t>
            </w:r>
          </w:p>
        </w:tc>
        <w:tc>
          <w:tcPr>
            <w:tcW w:w="240" w:type="dxa"/>
            <w:vAlign w:val="bottom"/>
            <w:shd w:val="clear" w:color="auto" w:fill="DCE2EF"/>
          </w:tcPr>
          <w:p>
            <w:pPr>
              <w:spacing w:after="0"/>
              <w:rPr>
                <w:sz w:val="21"/>
                <w:szCs w:val="21"/>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(184.8)</w:t>
            </w:r>
          </w:p>
        </w:tc>
        <w:tc>
          <w:tcPr>
            <w:tcW w:w="100" w:type="dxa"/>
            <w:vAlign w:val="bottom"/>
            <w:shd w:val="clear" w:color="auto" w:fill="DCE2EF"/>
          </w:tcPr>
          <w:p>
            <w:pPr>
              <w:spacing w:after="0"/>
              <w:rPr>
                <w:sz w:val="21"/>
                <w:szCs w:val="21"/>
                <w:color w:val="auto"/>
              </w:rPr>
            </w:pPr>
          </w:p>
        </w:tc>
        <w:tc>
          <w:tcPr>
            <w:tcW w:w="260" w:type="dxa"/>
            <w:vAlign w:val="bottom"/>
            <w:shd w:val="clear" w:color="auto" w:fill="DCE2EF"/>
          </w:tcPr>
          <w:p>
            <w:pPr>
              <w:spacing w:after="0"/>
              <w:rPr>
                <w:sz w:val="21"/>
                <w:szCs w:val="21"/>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(295.8)</w:t>
            </w:r>
          </w:p>
        </w:tc>
        <w:tc>
          <w:tcPr>
            <w:tcW w:w="100" w:type="dxa"/>
            <w:vAlign w:val="bottom"/>
            <w:shd w:val="clear" w:color="auto" w:fill="DCE2EF"/>
          </w:tcPr>
          <w:p>
            <w:pPr>
              <w:spacing w:after="0"/>
              <w:rPr>
                <w:sz w:val="21"/>
                <w:szCs w:val="21"/>
                <w:color w:val="auto"/>
              </w:rPr>
            </w:pPr>
          </w:p>
        </w:tc>
        <w:tc>
          <w:tcPr>
            <w:tcW w:w="260" w:type="dxa"/>
            <w:vAlign w:val="bottom"/>
            <w:shd w:val="clear" w:color="auto" w:fill="DCE2EF"/>
          </w:tcPr>
          <w:p>
            <w:pPr>
              <w:spacing w:after="0"/>
              <w:rPr>
                <w:sz w:val="21"/>
                <w:szCs w:val="21"/>
                <w:color w:val="auto"/>
              </w:rPr>
            </w:pPr>
          </w:p>
        </w:tc>
        <w:tc>
          <w:tcPr>
            <w:tcW w:w="90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874.0</w:t>
            </w:r>
          </w:p>
        </w:tc>
      </w:tr>
      <w:tr>
        <w:trPr>
          <w:trHeight w:val="27"/>
        </w:trPr>
        <w:tc>
          <w:tcPr>
            <w:tcW w:w="40" w:type="dxa"/>
            <w:vAlign w:val="bottom"/>
            <w:shd w:val="clear" w:color="auto" w:fill="DCE2EF"/>
          </w:tcPr>
          <w:p>
            <w:pPr>
              <w:spacing w:after="0"/>
              <w:rPr>
                <w:sz w:val="2"/>
                <w:szCs w:val="2"/>
                <w:color w:val="auto"/>
              </w:rPr>
            </w:pPr>
          </w:p>
        </w:tc>
        <w:tc>
          <w:tcPr>
            <w:tcW w:w="620" w:type="dxa"/>
            <w:vAlign w:val="bottom"/>
            <w:shd w:val="clear" w:color="auto" w:fill="DCE2EF"/>
          </w:tcPr>
          <w:p>
            <w:pPr>
              <w:spacing w:after="0"/>
              <w:rPr>
                <w:sz w:val="2"/>
                <w:szCs w:val="2"/>
                <w:color w:val="auto"/>
              </w:rPr>
            </w:pPr>
          </w:p>
        </w:tc>
        <w:tc>
          <w:tcPr>
            <w:tcW w:w="7080" w:type="dxa"/>
            <w:vAlign w:val="bottom"/>
            <w:shd w:val="clear" w:color="auto" w:fill="DCE2EF"/>
          </w:tcPr>
          <w:p>
            <w:pPr>
              <w:spacing w:after="0"/>
              <w:rPr>
                <w:sz w:val="2"/>
                <w:szCs w:val="2"/>
                <w:color w:val="auto"/>
              </w:rPr>
            </w:pPr>
          </w:p>
        </w:tc>
        <w:tc>
          <w:tcPr>
            <w:tcW w:w="240" w:type="dxa"/>
            <w:vAlign w:val="bottom"/>
            <w:shd w:val="clear" w:color="auto" w:fill="DCE2EF"/>
          </w:tcPr>
          <w:p>
            <w:pPr>
              <w:spacing w:after="0"/>
              <w:rPr>
                <w:sz w:val="2"/>
                <w:szCs w:val="2"/>
                <w:color w:val="auto"/>
              </w:rPr>
            </w:pPr>
          </w:p>
        </w:tc>
        <w:tc>
          <w:tcPr>
            <w:tcW w:w="900" w:type="dxa"/>
            <w:vAlign w:val="bottom"/>
            <w:shd w:val="clear" w:color="auto" w:fill="DCE2EF"/>
          </w:tcPr>
          <w:p>
            <w:pPr>
              <w:spacing w:after="0"/>
              <w:rPr>
                <w:sz w:val="2"/>
                <w:szCs w:val="2"/>
                <w:color w:val="auto"/>
              </w:rPr>
            </w:pPr>
          </w:p>
        </w:tc>
        <w:tc>
          <w:tcPr>
            <w:tcW w:w="100" w:type="dxa"/>
            <w:vAlign w:val="bottom"/>
            <w:shd w:val="clear" w:color="auto" w:fill="DCE2EF"/>
          </w:tcPr>
          <w:p>
            <w:pPr>
              <w:spacing w:after="0"/>
              <w:rPr>
                <w:sz w:val="2"/>
                <w:szCs w:val="2"/>
                <w:color w:val="auto"/>
              </w:rPr>
            </w:pPr>
          </w:p>
        </w:tc>
        <w:tc>
          <w:tcPr>
            <w:tcW w:w="260" w:type="dxa"/>
            <w:vAlign w:val="bottom"/>
            <w:shd w:val="clear" w:color="auto" w:fill="DCE2EF"/>
          </w:tcPr>
          <w:p>
            <w:pPr>
              <w:spacing w:after="0"/>
              <w:rPr>
                <w:sz w:val="2"/>
                <w:szCs w:val="2"/>
                <w:color w:val="auto"/>
              </w:rPr>
            </w:pPr>
          </w:p>
        </w:tc>
        <w:tc>
          <w:tcPr>
            <w:tcW w:w="900" w:type="dxa"/>
            <w:vAlign w:val="bottom"/>
            <w:shd w:val="clear" w:color="auto" w:fill="DCE2EF"/>
          </w:tcPr>
          <w:p>
            <w:pPr>
              <w:spacing w:after="0"/>
              <w:rPr>
                <w:sz w:val="2"/>
                <w:szCs w:val="2"/>
                <w:color w:val="auto"/>
              </w:rPr>
            </w:pPr>
          </w:p>
        </w:tc>
        <w:tc>
          <w:tcPr>
            <w:tcW w:w="100" w:type="dxa"/>
            <w:vAlign w:val="bottom"/>
            <w:shd w:val="clear" w:color="auto" w:fill="DCE2EF"/>
          </w:tcPr>
          <w:p>
            <w:pPr>
              <w:spacing w:after="0"/>
              <w:rPr>
                <w:sz w:val="2"/>
                <w:szCs w:val="2"/>
                <w:color w:val="auto"/>
              </w:rPr>
            </w:pPr>
          </w:p>
        </w:tc>
        <w:tc>
          <w:tcPr>
            <w:tcW w:w="260" w:type="dxa"/>
            <w:vAlign w:val="bottom"/>
            <w:shd w:val="clear" w:color="auto" w:fill="DCE2EF"/>
          </w:tcPr>
          <w:p>
            <w:pPr>
              <w:spacing w:after="0"/>
              <w:rPr>
                <w:sz w:val="2"/>
                <w:szCs w:val="2"/>
                <w:color w:val="auto"/>
              </w:rPr>
            </w:pPr>
          </w:p>
        </w:tc>
        <w:tc>
          <w:tcPr>
            <w:tcW w:w="900" w:type="dxa"/>
            <w:vAlign w:val="bottom"/>
            <w:shd w:val="clear" w:color="auto" w:fill="DCE2EF"/>
          </w:tcPr>
          <w:p>
            <w:pPr>
              <w:spacing w:after="0"/>
              <w:rPr>
                <w:sz w:val="2"/>
                <w:szCs w:val="2"/>
                <w:color w:val="auto"/>
              </w:rPr>
            </w:pPr>
          </w:p>
        </w:tc>
      </w:tr>
    </w:tbl>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Activities of Continuing Operations</w:t>
      </w:r>
    </w:p>
    <w:p>
      <w:pPr>
        <w:spacing w:after="0" w:line="16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Net cash provided by operating activities of continuing operations decreased by $36.9 million during 2019, as compared to 2018. The decrease was primarily related to the timing of client receivable collections, including a one-time settlement payment received from a client in 2018, and the absence of proceeds from the termination of interest rate swaps in 2018, partially offset by the timing of vendor payments.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95" w:right="239" w:bottom="1440" w:gutter="0" w:footer="0" w:header="0"/>
        </w:sectPr>
      </w:pPr>
    </w:p>
    <w:bookmarkStart w:id="39" w:name="page40"/>
    <w:bookmarkEnd w:id="39"/>
    <w:p>
      <w:pPr>
        <w:jc w:val="both"/>
        <w:ind w:firstLine="648"/>
        <w:spacing w:after="0" w:line="264" w:lineRule="auto"/>
        <w:rPr>
          <w:sz w:val="20"/>
          <w:szCs w:val="20"/>
          <w:color w:val="auto"/>
        </w:rPr>
      </w:pPr>
      <w:r>
        <w:rPr>
          <w:rFonts w:ascii="Arial" w:cs="Arial" w:eastAsia="Arial" w:hAnsi="Arial"/>
          <w:sz w:val="18"/>
          <w:szCs w:val="18"/>
          <w:color w:val="auto"/>
        </w:rPr>
        <w:t>Net cash provided by operating activities of continuing operations increased by $198.0 million during 2018, as compared to 2017. The increase was primarily related to the timing of client receivable collections</w:t>
      </w:r>
      <w:r>
        <w:rPr>
          <w:rFonts w:ascii="Arial" w:cs="Arial" w:eastAsia="Arial" w:hAnsi="Arial"/>
          <w:sz w:val="18"/>
          <w:szCs w:val="18"/>
          <w:i w:val="1"/>
          <w:iCs w:val="1"/>
          <w:color w:val="auto"/>
        </w:rPr>
        <w:t>,</w:t>
      </w:r>
      <w:r>
        <w:rPr>
          <w:rFonts w:ascii="Arial" w:cs="Arial" w:eastAsia="Arial" w:hAnsi="Arial"/>
          <w:sz w:val="18"/>
          <w:szCs w:val="18"/>
          <w:color w:val="auto"/>
        </w:rPr>
        <w:t xml:space="preserve"> including collections from acquired GCA accounts, as well as proceeds from the termination of interest rate swaps and a year-over-year reduction of required cash insurance deposits included in other assets. This increase was partially offset by the timing of vendor payments.</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Activities of Discontinued Operations</w:t>
      </w:r>
    </w:p>
    <w:p>
      <w:pPr>
        <w:spacing w:after="0" w:line="16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Net cash used in operating activities of discontinued operations was $0.1 million during 2019, as compared to net cash provided by operating activities of discontinued operations of $21.2 million during 2018, a change of $21.3 million, primarily attributable to an income tax refund received on a legal settlement during 2018.</w:t>
      </w:r>
    </w:p>
    <w:p>
      <w:pPr>
        <w:spacing w:after="0" w:line="10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Net cash provided by operating activities of discontinued operations was $21.2 million during 2018, as compared to net cash used in operating activities of discontinued operations of $96.1 million in 2017, a change of $117.3 million, primarily attributable to the payment of a $120.0 million legal settlement during 2017.</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Investing Activities</w:t>
      </w:r>
    </w:p>
    <w:p>
      <w:pPr>
        <w:spacing w:after="0" w:line="169"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18"/>
          <w:szCs w:val="18"/>
          <w:color w:val="auto"/>
        </w:rPr>
        <w:t>Net cash used in investing activities increased by $10.2 million during 2019, as compared to 2018. The increase was primarily related to higher additions to property, plant and equipment in 2019.</w:t>
      </w:r>
    </w:p>
    <w:p>
      <w:pPr>
        <w:spacing w:after="0" w:line="9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Net cash used in investing activities decreased by $823.7 million during 2018, as compared to 2017. The decrease was primarily related to an $ 853.6 million year-over-year increase in cash paid, net of cash acquired, for acquisitions, partially offset by the absence of $35.5 million of cash proceeds from the sale of our Government Services business in 2017.</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Activities</w:t>
      </w:r>
    </w:p>
    <w:p>
      <w:pPr>
        <w:spacing w:after="0" w:line="16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Net cash used in financing activities decreased by $111.0 million during 2019, as compared to 2018, primarily due to higher repayments of our borrowings in 2018.</w:t>
      </w:r>
    </w:p>
    <w:p>
      <w:pPr>
        <w:spacing w:after="0" w:line="9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Net cash used in financing activities was $295.8 million during 2018, as compared to net cash provided by financing activities of $874.0 million during 2017. The change was primarily due to higher repayments of our borrowings in 2018, as compared to higher net borrowings in 2017 to fund the GCA acquisition.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Dividends</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On December 18, 2019, we announced a quarterly cash dividend of $0.185 per share on our common stock, payable on February 3, 2020. We declared a quarterly cash dividend on our common stock every quarter during 2019, 2018, and 2017. We paid total annual dividends of $47.7 million, $46.0 million, and $39.5 million during 2019, 2018, and 2017, respectively.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Contractual Obligations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60" w:type="dxa"/>
            <w:vAlign w:val="bottom"/>
            <w:gridSpan w:val="4"/>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60" w:type="dxa"/>
            <w:vAlign w:val="bottom"/>
            <w:gridSpan w:val="8"/>
          </w:tcPr>
          <w:p>
            <w:pPr>
              <w:ind w:left="420"/>
              <w:spacing w:after="0"/>
              <w:rPr>
                <w:sz w:val="20"/>
                <w:szCs w:val="20"/>
                <w:color w:val="auto"/>
              </w:rPr>
            </w:pPr>
            <w:r>
              <w:rPr>
                <w:rFonts w:ascii="Arial" w:cs="Arial" w:eastAsia="Arial" w:hAnsi="Arial"/>
                <w:sz w:val="16"/>
                <w:szCs w:val="16"/>
                <w:b w:val="1"/>
                <w:bCs w:val="1"/>
                <w:color w:val="auto"/>
              </w:rPr>
              <w:t>Commitments Due By Period</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0"/>
        </w:trPr>
        <w:tc>
          <w:tcPr>
            <w:tcW w:w="5260" w:type="dxa"/>
            <w:vAlign w:val="bottom"/>
            <w:gridSpan w:val="4"/>
          </w:tcPr>
          <w:p>
            <w:pPr>
              <w:ind w:left="40"/>
              <w:spacing w:after="0"/>
              <w:rPr>
                <w:sz w:val="20"/>
                <w:szCs w:val="20"/>
                <w:color w:val="auto"/>
              </w:rPr>
            </w:pPr>
            <w:r>
              <w:rPr>
                <w:rFonts w:ascii="Arial" w:cs="Arial" w:eastAsia="Arial" w:hAnsi="Arial"/>
                <w:sz w:val="16"/>
                <w:szCs w:val="16"/>
                <w:b w:val="1"/>
                <w:bCs w:val="1"/>
                <w:color w:val="auto"/>
              </w:rPr>
              <w:t>Contractual Obligations</w:t>
            </w:r>
          </w:p>
        </w:tc>
        <w:tc>
          <w:tcPr>
            <w:tcW w:w="260" w:type="dxa"/>
            <w:vAlign w:val="bottom"/>
          </w:tcPr>
          <w:p>
            <w:pPr>
              <w:spacing w:after="0"/>
              <w:rPr>
                <w:sz w:val="18"/>
                <w:szCs w:val="18"/>
                <w:color w:val="auto"/>
              </w:rPr>
            </w:pPr>
          </w:p>
        </w:tc>
        <w:tc>
          <w:tcPr>
            <w:tcW w:w="104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2021-2022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b w:val="1"/>
                <w:bCs w:val="1"/>
                <w:color w:val="auto"/>
              </w:rPr>
              <w:t>2023-2024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Thereafter</w:t>
            </w:r>
          </w:p>
        </w:tc>
      </w:tr>
      <w:tr>
        <w:trPr>
          <w:trHeight w:val="34"/>
        </w:trPr>
        <w:tc>
          <w:tcPr>
            <w:tcW w:w="40" w:type="dxa"/>
            <w:vAlign w:val="bottom"/>
            <w:tcBorders>
              <w:bottom w:val="single" w:sz="8" w:color="DCE2EF"/>
            </w:tcBorders>
          </w:tcPr>
          <w:p>
            <w:pPr>
              <w:spacing w:after="0"/>
              <w:rPr>
                <w:sz w:val="2"/>
                <w:szCs w:val="2"/>
                <w:color w:val="auto"/>
              </w:rPr>
            </w:pPr>
          </w:p>
        </w:tc>
        <w:tc>
          <w:tcPr>
            <w:tcW w:w="700" w:type="dxa"/>
            <w:vAlign w:val="bottom"/>
            <w:tcBorders>
              <w:top w:val="single" w:sz="8" w:color="auto"/>
              <w:bottom w:val="single" w:sz="8" w:color="DCE2EF"/>
            </w:tcBorders>
          </w:tcPr>
          <w:p>
            <w:pPr>
              <w:spacing w:after="0"/>
              <w:rPr>
                <w:sz w:val="2"/>
                <w:szCs w:val="2"/>
                <w:color w:val="auto"/>
              </w:rPr>
            </w:pPr>
          </w:p>
        </w:tc>
        <w:tc>
          <w:tcPr>
            <w:tcW w:w="1140" w:type="dxa"/>
            <w:vAlign w:val="bottom"/>
            <w:tcBorders>
              <w:top w:val="single" w:sz="8" w:color="auto"/>
              <w:bottom w:val="single" w:sz="8" w:color="DCE2EF"/>
            </w:tcBorders>
          </w:tcPr>
          <w:p>
            <w:pPr>
              <w:spacing w:after="0"/>
              <w:rPr>
                <w:sz w:val="2"/>
                <w:szCs w:val="2"/>
                <w:color w:val="auto"/>
              </w:rPr>
            </w:pPr>
          </w:p>
        </w:tc>
        <w:tc>
          <w:tcPr>
            <w:tcW w:w="3380" w:type="dxa"/>
            <w:vAlign w:val="bottom"/>
            <w:tcBorders>
              <w:bottom w:val="single" w:sz="8" w:color="DCE2E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5260" w:type="dxa"/>
            <w:vAlign w:val="bottom"/>
            <w:gridSpan w:val="4"/>
            <w:shd w:val="clear" w:color="auto" w:fill="DCE2EF"/>
          </w:tcPr>
          <w:p>
            <w:pPr>
              <w:ind w:left="40"/>
              <w:spacing w:after="0"/>
              <w:rPr>
                <w:sz w:val="20"/>
                <w:szCs w:val="20"/>
                <w:color w:val="auto"/>
              </w:rPr>
            </w:pPr>
            <w:r>
              <w:rPr>
                <w:rFonts w:ascii="Arial" w:cs="Arial" w:eastAsia="Arial" w:hAnsi="Arial"/>
                <w:sz w:val="16"/>
                <w:szCs w:val="16"/>
                <w:color w:val="auto"/>
              </w:rPr>
              <w:t>Borrowings under term loan</w:t>
            </w:r>
            <w:r>
              <w:rPr>
                <w:rFonts w:ascii="Arial" w:cs="Arial" w:eastAsia="Arial" w:hAnsi="Arial"/>
                <w:sz w:val="21"/>
                <w:szCs w:val="21"/>
                <w:color w:val="auto"/>
                <w:vertAlign w:val="superscript"/>
              </w:rPr>
              <w:t>(1)</w:t>
            </w:r>
          </w:p>
        </w:tc>
        <w:tc>
          <w:tcPr>
            <w:tcW w:w="260" w:type="dxa"/>
            <w:vAlign w:val="bottom"/>
            <w:shd w:val="clear" w:color="auto" w:fill="DCE2E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740.0</w:t>
            </w:r>
          </w:p>
        </w:tc>
        <w:tc>
          <w:tcPr>
            <w:tcW w:w="120" w:type="dxa"/>
            <w:vAlign w:val="bottom"/>
            <w:shd w:val="clear" w:color="auto" w:fill="DCE2EF"/>
          </w:tcPr>
          <w:p>
            <w:pPr>
              <w:spacing w:after="0"/>
              <w:rPr>
                <w:sz w:val="21"/>
                <w:szCs w:val="21"/>
                <w:color w:val="auto"/>
              </w:rPr>
            </w:pPr>
          </w:p>
        </w:tc>
        <w:tc>
          <w:tcPr>
            <w:tcW w:w="260" w:type="dxa"/>
            <w:vAlign w:val="bottom"/>
            <w:shd w:val="clear" w:color="auto" w:fill="DCE2E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60.0</w:t>
            </w:r>
          </w:p>
        </w:tc>
        <w:tc>
          <w:tcPr>
            <w:tcW w:w="100" w:type="dxa"/>
            <w:vAlign w:val="bottom"/>
            <w:shd w:val="clear" w:color="auto" w:fill="DCE2EF"/>
          </w:tcPr>
          <w:p>
            <w:pPr>
              <w:spacing w:after="0"/>
              <w:rPr>
                <w:sz w:val="21"/>
                <w:szCs w:val="21"/>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680.0</w:t>
            </w:r>
          </w:p>
        </w:tc>
        <w:tc>
          <w:tcPr>
            <w:tcW w:w="100" w:type="dxa"/>
            <w:vAlign w:val="bottom"/>
            <w:shd w:val="clear" w:color="auto" w:fill="DCE2EF"/>
          </w:tcPr>
          <w:p>
            <w:pPr>
              <w:spacing w:after="0"/>
              <w:rPr>
                <w:sz w:val="21"/>
                <w:szCs w:val="21"/>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5260" w:type="dxa"/>
            <w:vAlign w:val="bottom"/>
            <w:gridSpan w:val="4"/>
          </w:tcPr>
          <w:p>
            <w:pPr>
              <w:ind w:left="40"/>
              <w:spacing w:after="0"/>
              <w:rPr>
                <w:sz w:val="20"/>
                <w:szCs w:val="20"/>
                <w:color w:val="auto"/>
              </w:rPr>
            </w:pPr>
            <w:r>
              <w:rPr>
                <w:rFonts w:ascii="Arial" w:cs="Arial" w:eastAsia="Arial" w:hAnsi="Arial"/>
                <w:sz w:val="16"/>
                <w:szCs w:val="16"/>
                <w:color w:val="auto"/>
              </w:rPr>
              <w:t>Borrowings under line of credit</w:t>
            </w:r>
            <w:r>
              <w:rPr>
                <w:rFonts w:ascii="Arial" w:cs="Arial" w:eastAsia="Arial" w:hAnsi="Arial"/>
                <w:sz w:val="21"/>
                <w:szCs w:val="21"/>
                <w:color w:val="auto"/>
                <w:vertAlign w:val="superscript"/>
              </w:rPr>
              <w:t>(1)</w:t>
            </w:r>
          </w:p>
        </w:tc>
        <w:tc>
          <w:tcPr>
            <w:tcW w:w="26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68.4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68.4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5260" w:type="dxa"/>
            <w:vAlign w:val="bottom"/>
            <w:gridSpan w:val="4"/>
            <w:shd w:val="clear" w:color="auto" w:fill="DCE2EF"/>
          </w:tcPr>
          <w:p>
            <w:pPr>
              <w:ind w:left="40"/>
              <w:spacing w:after="0"/>
              <w:rPr>
                <w:sz w:val="20"/>
                <w:szCs w:val="20"/>
                <w:color w:val="auto"/>
              </w:rPr>
            </w:pPr>
            <w:r>
              <w:rPr>
                <w:rFonts w:ascii="Arial" w:cs="Arial" w:eastAsia="Arial" w:hAnsi="Arial"/>
                <w:sz w:val="16"/>
                <w:szCs w:val="16"/>
                <w:color w:val="auto"/>
              </w:rPr>
              <w:t>Fixed interest related to interest rate swaps</w:t>
            </w:r>
            <w:r>
              <w:rPr>
                <w:rFonts w:ascii="Arial" w:cs="Arial" w:eastAsia="Arial" w:hAnsi="Arial"/>
                <w:sz w:val="21"/>
                <w:szCs w:val="21"/>
                <w:color w:val="auto"/>
                <w:vertAlign w:val="superscript"/>
              </w:rPr>
              <w:t>(2)</w:t>
            </w:r>
          </w:p>
        </w:tc>
        <w:tc>
          <w:tcPr>
            <w:tcW w:w="260" w:type="dxa"/>
            <w:vAlign w:val="bottom"/>
            <w:shd w:val="clear" w:color="auto" w:fill="DCE2EF"/>
          </w:tcPr>
          <w:p>
            <w:pPr>
              <w:spacing w:after="0"/>
              <w:rPr>
                <w:sz w:val="23"/>
                <w:szCs w:val="23"/>
                <w:color w:val="auto"/>
              </w:rPr>
            </w:pPr>
          </w:p>
        </w:tc>
        <w:tc>
          <w:tcPr>
            <w:tcW w:w="92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28.8</w:t>
            </w:r>
          </w:p>
        </w:tc>
        <w:tc>
          <w:tcPr>
            <w:tcW w:w="120" w:type="dxa"/>
            <w:vAlign w:val="bottom"/>
            <w:shd w:val="clear" w:color="auto" w:fill="DCE2EF"/>
          </w:tcPr>
          <w:p>
            <w:pPr>
              <w:spacing w:after="0"/>
              <w:rPr>
                <w:sz w:val="23"/>
                <w:szCs w:val="23"/>
                <w:color w:val="auto"/>
              </w:rPr>
            </w:pPr>
          </w:p>
        </w:tc>
        <w:tc>
          <w:tcPr>
            <w:tcW w:w="260" w:type="dxa"/>
            <w:vAlign w:val="bottom"/>
            <w:shd w:val="clear" w:color="auto" w:fill="DCE2EF"/>
          </w:tcPr>
          <w:p>
            <w:pPr>
              <w:spacing w:after="0"/>
              <w:rPr>
                <w:sz w:val="23"/>
                <w:szCs w:val="23"/>
                <w:color w:val="auto"/>
              </w:rPr>
            </w:pPr>
          </w:p>
        </w:tc>
        <w:tc>
          <w:tcPr>
            <w:tcW w:w="88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DCE2EF"/>
          </w:tcPr>
          <w:p>
            <w:pPr>
              <w:spacing w:after="0"/>
              <w:rPr>
                <w:sz w:val="23"/>
                <w:szCs w:val="23"/>
                <w:color w:val="auto"/>
              </w:rPr>
            </w:pPr>
          </w:p>
        </w:tc>
        <w:tc>
          <w:tcPr>
            <w:tcW w:w="140" w:type="dxa"/>
            <w:vAlign w:val="bottom"/>
            <w:shd w:val="clear" w:color="auto" w:fill="DCE2EF"/>
          </w:tcPr>
          <w:p>
            <w:pPr>
              <w:spacing w:after="0"/>
              <w:rPr>
                <w:sz w:val="23"/>
                <w:szCs w:val="23"/>
                <w:color w:val="auto"/>
              </w:rPr>
            </w:pPr>
          </w:p>
        </w:tc>
        <w:tc>
          <w:tcPr>
            <w:tcW w:w="100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DCE2EF"/>
          </w:tcPr>
          <w:p>
            <w:pPr>
              <w:spacing w:after="0"/>
              <w:rPr>
                <w:sz w:val="23"/>
                <w:szCs w:val="23"/>
                <w:color w:val="auto"/>
              </w:rPr>
            </w:pPr>
          </w:p>
        </w:tc>
        <w:tc>
          <w:tcPr>
            <w:tcW w:w="160" w:type="dxa"/>
            <w:vAlign w:val="bottom"/>
            <w:shd w:val="clear" w:color="auto" w:fill="DCE2EF"/>
          </w:tcPr>
          <w:p>
            <w:pPr>
              <w:spacing w:after="0"/>
              <w:rPr>
                <w:sz w:val="23"/>
                <w:szCs w:val="23"/>
                <w:color w:val="auto"/>
              </w:rPr>
            </w:pPr>
          </w:p>
        </w:tc>
        <w:tc>
          <w:tcPr>
            <w:tcW w:w="108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DCE2EF"/>
          </w:tcPr>
          <w:p>
            <w:pPr>
              <w:spacing w:after="0"/>
              <w:rPr>
                <w:sz w:val="23"/>
                <w:szCs w:val="23"/>
                <w:color w:val="auto"/>
              </w:rPr>
            </w:pPr>
          </w:p>
        </w:tc>
        <w:tc>
          <w:tcPr>
            <w:tcW w:w="100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5260" w:type="dxa"/>
            <w:vAlign w:val="bottom"/>
            <w:gridSpan w:val="4"/>
          </w:tcPr>
          <w:p>
            <w:pPr>
              <w:ind w:left="40"/>
              <w:spacing w:after="0"/>
              <w:rPr>
                <w:sz w:val="20"/>
                <w:szCs w:val="20"/>
                <w:color w:val="auto"/>
              </w:rPr>
            </w:pPr>
            <w:r>
              <w:rPr>
                <w:rFonts w:ascii="Arial" w:cs="Arial" w:eastAsia="Arial" w:hAnsi="Arial"/>
                <w:sz w:val="16"/>
                <w:szCs w:val="16"/>
                <w:color w:val="auto"/>
              </w:rPr>
              <w:t>Operating leases and other similar commitments</w:t>
            </w:r>
            <w:r>
              <w:rPr>
                <w:rFonts w:ascii="Arial" w:cs="Arial" w:eastAsia="Arial" w:hAnsi="Arial"/>
                <w:sz w:val="21"/>
                <w:szCs w:val="21"/>
                <w:color w:val="auto"/>
                <w:vertAlign w:val="superscript"/>
              </w:rPr>
              <w:t>(3)</w:t>
            </w:r>
          </w:p>
        </w:tc>
        <w:tc>
          <w:tcPr>
            <w:tcW w:w="26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206.5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42.8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65.8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46.0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51.8</w:t>
            </w:r>
          </w:p>
        </w:tc>
      </w:tr>
      <w:tr>
        <w:trPr>
          <w:trHeight w:val="270"/>
        </w:trPr>
        <w:tc>
          <w:tcPr>
            <w:tcW w:w="5260" w:type="dxa"/>
            <w:vAlign w:val="bottom"/>
            <w:gridSpan w:val="4"/>
            <w:shd w:val="clear" w:color="auto" w:fill="DCE2EF"/>
          </w:tcPr>
          <w:p>
            <w:pPr>
              <w:ind w:left="40"/>
              <w:spacing w:after="0"/>
              <w:rPr>
                <w:sz w:val="20"/>
                <w:szCs w:val="20"/>
                <w:color w:val="auto"/>
              </w:rPr>
            </w:pPr>
            <w:r>
              <w:rPr>
                <w:rFonts w:ascii="Arial" w:cs="Arial" w:eastAsia="Arial" w:hAnsi="Arial"/>
                <w:sz w:val="16"/>
                <w:szCs w:val="16"/>
                <w:color w:val="auto"/>
              </w:rPr>
              <w:t>Service concession arrangements</w:t>
            </w:r>
            <w:r>
              <w:rPr>
                <w:rFonts w:ascii="Arial" w:cs="Arial" w:eastAsia="Arial" w:hAnsi="Arial"/>
                <w:sz w:val="21"/>
                <w:szCs w:val="21"/>
                <w:color w:val="auto"/>
                <w:vertAlign w:val="superscript"/>
              </w:rPr>
              <w:t>(4)</w:t>
            </w:r>
          </w:p>
        </w:tc>
        <w:tc>
          <w:tcPr>
            <w:tcW w:w="260" w:type="dxa"/>
            <w:vAlign w:val="bottom"/>
            <w:shd w:val="clear" w:color="auto" w:fill="DCE2EF"/>
          </w:tcPr>
          <w:p>
            <w:pPr>
              <w:spacing w:after="0"/>
              <w:rPr>
                <w:sz w:val="23"/>
                <w:szCs w:val="23"/>
                <w:color w:val="auto"/>
              </w:rPr>
            </w:pPr>
          </w:p>
        </w:tc>
        <w:tc>
          <w:tcPr>
            <w:tcW w:w="92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105.0</w:t>
            </w:r>
          </w:p>
        </w:tc>
        <w:tc>
          <w:tcPr>
            <w:tcW w:w="120" w:type="dxa"/>
            <w:vAlign w:val="bottom"/>
            <w:shd w:val="clear" w:color="auto" w:fill="DCE2EF"/>
          </w:tcPr>
          <w:p>
            <w:pPr>
              <w:spacing w:after="0"/>
              <w:rPr>
                <w:sz w:val="23"/>
                <w:szCs w:val="23"/>
                <w:color w:val="auto"/>
              </w:rPr>
            </w:pPr>
          </w:p>
        </w:tc>
        <w:tc>
          <w:tcPr>
            <w:tcW w:w="260" w:type="dxa"/>
            <w:vAlign w:val="bottom"/>
            <w:shd w:val="clear" w:color="auto" w:fill="DCE2EF"/>
          </w:tcPr>
          <w:p>
            <w:pPr>
              <w:spacing w:after="0"/>
              <w:rPr>
                <w:sz w:val="23"/>
                <w:szCs w:val="23"/>
                <w:color w:val="auto"/>
              </w:rPr>
            </w:pPr>
          </w:p>
        </w:tc>
        <w:tc>
          <w:tcPr>
            <w:tcW w:w="88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DCE2EF"/>
          </w:tcPr>
          <w:p>
            <w:pPr>
              <w:spacing w:after="0"/>
              <w:rPr>
                <w:sz w:val="23"/>
                <w:szCs w:val="23"/>
                <w:color w:val="auto"/>
              </w:rPr>
            </w:pPr>
          </w:p>
        </w:tc>
        <w:tc>
          <w:tcPr>
            <w:tcW w:w="140" w:type="dxa"/>
            <w:vAlign w:val="bottom"/>
            <w:shd w:val="clear" w:color="auto" w:fill="DCE2EF"/>
          </w:tcPr>
          <w:p>
            <w:pPr>
              <w:spacing w:after="0"/>
              <w:rPr>
                <w:sz w:val="23"/>
                <w:szCs w:val="23"/>
                <w:color w:val="auto"/>
              </w:rPr>
            </w:pPr>
          </w:p>
        </w:tc>
        <w:tc>
          <w:tcPr>
            <w:tcW w:w="100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31.4</w:t>
            </w:r>
          </w:p>
        </w:tc>
        <w:tc>
          <w:tcPr>
            <w:tcW w:w="100" w:type="dxa"/>
            <w:vAlign w:val="bottom"/>
            <w:shd w:val="clear" w:color="auto" w:fill="DCE2EF"/>
          </w:tcPr>
          <w:p>
            <w:pPr>
              <w:spacing w:after="0"/>
              <w:rPr>
                <w:sz w:val="23"/>
                <w:szCs w:val="23"/>
                <w:color w:val="auto"/>
              </w:rPr>
            </w:pPr>
          </w:p>
        </w:tc>
        <w:tc>
          <w:tcPr>
            <w:tcW w:w="160" w:type="dxa"/>
            <w:vAlign w:val="bottom"/>
            <w:shd w:val="clear" w:color="auto" w:fill="DCE2EF"/>
          </w:tcPr>
          <w:p>
            <w:pPr>
              <w:spacing w:after="0"/>
              <w:rPr>
                <w:sz w:val="23"/>
                <w:szCs w:val="23"/>
                <w:color w:val="auto"/>
              </w:rPr>
            </w:pPr>
          </w:p>
        </w:tc>
        <w:tc>
          <w:tcPr>
            <w:tcW w:w="98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30.9</w:t>
            </w:r>
          </w:p>
        </w:tc>
        <w:tc>
          <w:tcPr>
            <w:tcW w:w="100" w:type="dxa"/>
            <w:vAlign w:val="bottom"/>
            <w:shd w:val="clear" w:color="auto" w:fill="DCE2EF"/>
          </w:tcPr>
          <w:p>
            <w:pPr>
              <w:spacing w:after="0"/>
              <w:rPr>
                <w:sz w:val="23"/>
                <w:szCs w:val="23"/>
                <w:color w:val="auto"/>
              </w:rPr>
            </w:pPr>
          </w:p>
        </w:tc>
        <w:tc>
          <w:tcPr>
            <w:tcW w:w="140" w:type="dxa"/>
            <w:vAlign w:val="bottom"/>
            <w:shd w:val="clear" w:color="auto" w:fill="DCE2EF"/>
          </w:tcPr>
          <w:p>
            <w:pPr>
              <w:spacing w:after="0"/>
              <w:rPr>
                <w:sz w:val="23"/>
                <w:szCs w:val="23"/>
                <w:color w:val="auto"/>
              </w:rPr>
            </w:pPr>
          </w:p>
        </w:tc>
        <w:tc>
          <w:tcPr>
            <w:tcW w:w="100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21.9</w:t>
            </w:r>
          </w:p>
        </w:tc>
      </w:tr>
      <w:tr>
        <w:trPr>
          <w:trHeight w:val="270"/>
        </w:trPr>
        <w:tc>
          <w:tcPr>
            <w:tcW w:w="5260" w:type="dxa"/>
            <w:vAlign w:val="bottom"/>
            <w:gridSpan w:val="4"/>
          </w:tcPr>
          <w:p>
            <w:pPr>
              <w:ind w:left="40"/>
              <w:spacing w:after="0"/>
              <w:rPr>
                <w:sz w:val="20"/>
                <w:szCs w:val="20"/>
                <w:color w:val="auto"/>
              </w:rPr>
            </w:pPr>
            <w:r>
              <w:rPr>
                <w:rFonts w:ascii="Arial" w:cs="Arial" w:eastAsia="Arial" w:hAnsi="Arial"/>
                <w:sz w:val="16"/>
                <w:szCs w:val="16"/>
                <w:color w:val="auto"/>
              </w:rPr>
              <w:t>Capital leases</w:t>
            </w:r>
            <w:r>
              <w:rPr>
                <w:rFonts w:ascii="Arial" w:cs="Arial" w:eastAsia="Arial" w:hAnsi="Arial"/>
                <w:sz w:val="21"/>
                <w:szCs w:val="21"/>
                <w:color w:val="auto"/>
                <w:vertAlign w:val="superscript"/>
              </w:rPr>
              <w:t>(3)</w:t>
            </w:r>
          </w:p>
        </w:tc>
        <w:tc>
          <w:tcPr>
            <w:tcW w:w="26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5260" w:type="dxa"/>
            <w:vAlign w:val="bottom"/>
            <w:gridSpan w:val="4"/>
            <w:shd w:val="clear" w:color="auto" w:fill="DCE2EF"/>
          </w:tcPr>
          <w:p>
            <w:pPr>
              <w:ind w:left="40"/>
              <w:spacing w:after="0"/>
              <w:rPr>
                <w:sz w:val="20"/>
                <w:szCs w:val="20"/>
                <w:color w:val="auto"/>
              </w:rPr>
            </w:pPr>
            <w:r>
              <w:rPr>
                <w:rFonts w:ascii="Arial" w:cs="Arial" w:eastAsia="Arial" w:hAnsi="Arial"/>
                <w:sz w:val="16"/>
                <w:szCs w:val="16"/>
                <w:color w:val="auto"/>
              </w:rPr>
              <w:t>Information technology service agreements</w:t>
            </w:r>
            <w:r>
              <w:rPr>
                <w:rFonts w:ascii="Arial" w:cs="Arial" w:eastAsia="Arial" w:hAnsi="Arial"/>
                <w:sz w:val="21"/>
                <w:szCs w:val="21"/>
                <w:color w:val="auto"/>
                <w:vertAlign w:val="superscript"/>
              </w:rPr>
              <w:t>(5)</w:t>
            </w:r>
          </w:p>
        </w:tc>
        <w:tc>
          <w:tcPr>
            <w:tcW w:w="260" w:type="dxa"/>
            <w:vAlign w:val="bottom"/>
            <w:shd w:val="clear" w:color="auto" w:fill="DCE2EF"/>
          </w:tcPr>
          <w:p>
            <w:pPr>
              <w:spacing w:after="0"/>
              <w:rPr>
                <w:sz w:val="23"/>
                <w:szCs w:val="23"/>
                <w:color w:val="auto"/>
              </w:rPr>
            </w:pPr>
          </w:p>
        </w:tc>
        <w:tc>
          <w:tcPr>
            <w:tcW w:w="92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75.9</w:t>
            </w:r>
          </w:p>
        </w:tc>
        <w:tc>
          <w:tcPr>
            <w:tcW w:w="120" w:type="dxa"/>
            <w:vAlign w:val="bottom"/>
            <w:shd w:val="clear" w:color="auto" w:fill="DCE2EF"/>
          </w:tcPr>
          <w:p>
            <w:pPr>
              <w:spacing w:after="0"/>
              <w:rPr>
                <w:sz w:val="23"/>
                <w:szCs w:val="23"/>
                <w:color w:val="auto"/>
              </w:rPr>
            </w:pPr>
          </w:p>
        </w:tc>
        <w:tc>
          <w:tcPr>
            <w:tcW w:w="260" w:type="dxa"/>
            <w:vAlign w:val="bottom"/>
            <w:shd w:val="clear" w:color="auto" w:fill="DCE2EF"/>
          </w:tcPr>
          <w:p>
            <w:pPr>
              <w:spacing w:after="0"/>
              <w:rPr>
                <w:sz w:val="23"/>
                <w:szCs w:val="23"/>
                <w:color w:val="auto"/>
              </w:rPr>
            </w:pPr>
          </w:p>
        </w:tc>
        <w:tc>
          <w:tcPr>
            <w:tcW w:w="88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33.7</w:t>
            </w:r>
          </w:p>
        </w:tc>
        <w:tc>
          <w:tcPr>
            <w:tcW w:w="100" w:type="dxa"/>
            <w:vAlign w:val="bottom"/>
            <w:shd w:val="clear" w:color="auto" w:fill="DCE2EF"/>
          </w:tcPr>
          <w:p>
            <w:pPr>
              <w:spacing w:after="0"/>
              <w:rPr>
                <w:sz w:val="23"/>
                <w:szCs w:val="23"/>
                <w:color w:val="auto"/>
              </w:rPr>
            </w:pPr>
          </w:p>
        </w:tc>
        <w:tc>
          <w:tcPr>
            <w:tcW w:w="140" w:type="dxa"/>
            <w:vAlign w:val="bottom"/>
            <w:shd w:val="clear" w:color="auto" w:fill="DCE2EF"/>
          </w:tcPr>
          <w:p>
            <w:pPr>
              <w:spacing w:after="0"/>
              <w:rPr>
                <w:sz w:val="23"/>
                <w:szCs w:val="23"/>
                <w:color w:val="auto"/>
              </w:rPr>
            </w:pPr>
          </w:p>
        </w:tc>
        <w:tc>
          <w:tcPr>
            <w:tcW w:w="100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35.8</w:t>
            </w:r>
          </w:p>
        </w:tc>
        <w:tc>
          <w:tcPr>
            <w:tcW w:w="100" w:type="dxa"/>
            <w:vAlign w:val="bottom"/>
            <w:shd w:val="clear" w:color="auto" w:fill="DCE2EF"/>
          </w:tcPr>
          <w:p>
            <w:pPr>
              <w:spacing w:after="0"/>
              <w:rPr>
                <w:sz w:val="23"/>
                <w:szCs w:val="23"/>
                <w:color w:val="auto"/>
              </w:rPr>
            </w:pPr>
          </w:p>
        </w:tc>
        <w:tc>
          <w:tcPr>
            <w:tcW w:w="160" w:type="dxa"/>
            <w:vAlign w:val="bottom"/>
            <w:shd w:val="clear" w:color="auto" w:fill="DCE2EF"/>
          </w:tcPr>
          <w:p>
            <w:pPr>
              <w:spacing w:after="0"/>
              <w:rPr>
                <w:sz w:val="23"/>
                <w:szCs w:val="23"/>
                <w:color w:val="auto"/>
              </w:rPr>
            </w:pPr>
          </w:p>
        </w:tc>
        <w:tc>
          <w:tcPr>
            <w:tcW w:w="98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6.3</w:t>
            </w:r>
          </w:p>
        </w:tc>
        <w:tc>
          <w:tcPr>
            <w:tcW w:w="100" w:type="dxa"/>
            <w:vAlign w:val="bottom"/>
            <w:shd w:val="clear" w:color="auto" w:fill="DCE2EF"/>
          </w:tcPr>
          <w:p>
            <w:pPr>
              <w:spacing w:after="0"/>
              <w:rPr>
                <w:sz w:val="23"/>
                <w:szCs w:val="23"/>
                <w:color w:val="auto"/>
              </w:rPr>
            </w:pPr>
          </w:p>
        </w:tc>
        <w:tc>
          <w:tcPr>
            <w:tcW w:w="140" w:type="dxa"/>
            <w:vAlign w:val="bottom"/>
            <w:shd w:val="clear" w:color="auto" w:fill="DCE2EF"/>
          </w:tcPr>
          <w:p>
            <w:pPr>
              <w:spacing w:after="0"/>
              <w:rPr>
                <w:sz w:val="23"/>
                <w:szCs w:val="23"/>
                <w:color w:val="auto"/>
              </w:rPr>
            </w:pPr>
          </w:p>
        </w:tc>
        <w:tc>
          <w:tcPr>
            <w:tcW w:w="100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0.1</w:t>
            </w:r>
          </w:p>
        </w:tc>
      </w:tr>
      <w:tr>
        <w:trPr>
          <w:trHeight w:val="270"/>
        </w:trPr>
        <w:tc>
          <w:tcPr>
            <w:tcW w:w="5260" w:type="dxa"/>
            <w:vAlign w:val="bottom"/>
            <w:tcBorders>
              <w:bottom w:val="single" w:sz="8" w:color="DCE2EF"/>
            </w:tcBorders>
            <w:gridSpan w:val="4"/>
          </w:tcPr>
          <w:p>
            <w:pPr>
              <w:ind w:left="40"/>
              <w:spacing w:after="0"/>
              <w:rPr>
                <w:sz w:val="20"/>
                <w:szCs w:val="20"/>
                <w:color w:val="auto"/>
              </w:rPr>
            </w:pPr>
            <w:r>
              <w:rPr>
                <w:rFonts w:ascii="Arial" w:cs="Arial" w:eastAsia="Arial" w:hAnsi="Arial"/>
                <w:sz w:val="16"/>
                <w:szCs w:val="16"/>
                <w:color w:val="auto"/>
              </w:rPr>
              <w:t>Benefit obligations</w:t>
            </w:r>
            <w:r>
              <w:rPr>
                <w:rFonts w:ascii="Arial" w:cs="Arial" w:eastAsia="Arial" w:hAnsi="Arial"/>
                <w:sz w:val="21"/>
                <w:szCs w:val="21"/>
                <w:color w:val="auto"/>
                <w:vertAlign w:val="superscript"/>
              </w:rPr>
              <w:t>(6)</w:t>
            </w: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27.6</w:t>
            </w:r>
          </w:p>
        </w:tc>
        <w:tc>
          <w:tcPr>
            <w:tcW w:w="120" w:type="dxa"/>
            <w:vAlign w:val="bottom"/>
            <w:tcBorders>
              <w:bottom w:val="single" w:sz="8" w:color="DCE2E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DCE2E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DCE2E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DCE2E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12.2</w:t>
            </w:r>
          </w:p>
        </w:tc>
      </w:tr>
      <w:tr>
        <w:trPr>
          <w:trHeight w:val="237"/>
        </w:trPr>
        <w:tc>
          <w:tcPr>
            <w:tcW w:w="5260" w:type="dxa"/>
            <w:vAlign w:val="bottom"/>
            <w:tcBorders>
              <w:bottom w:val="single" w:sz="8" w:color="DCE2EF"/>
            </w:tcBorders>
            <w:gridSpan w:val="4"/>
            <w:shd w:val="clear" w:color="auto" w:fill="DCE2EF"/>
          </w:tcPr>
          <w:p>
            <w:pPr>
              <w:ind w:left="40"/>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bottom w:val="single" w:sz="8" w:color="auto"/>
            </w:tcBorders>
            <w:shd w:val="clear" w:color="auto" w:fill="DCE2E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rPr>
              <w:t>1,259.7</w:t>
            </w:r>
          </w:p>
        </w:tc>
        <w:tc>
          <w:tcPr>
            <w:tcW w:w="120" w:type="dxa"/>
            <w:vAlign w:val="bottom"/>
            <w:tcBorders>
              <w:bottom w:val="single" w:sz="8" w:color="DCE2EF"/>
            </w:tcBorders>
            <w:shd w:val="clear" w:color="auto" w:fill="DCE2EF"/>
          </w:tcPr>
          <w:p>
            <w:pPr>
              <w:spacing w:after="0"/>
              <w:rPr>
                <w:sz w:val="20"/>
                <w:szCs w:val="20"/>
                <w:color w:val="auto"/>
              </w:rPr>
            </w:pPr>
          </w:p>
        </w:tc>
        <w:tc>
          <w:tcPr>
            <w:tcW w:w="260" w:type="dxa"/>
            <w:vAlign w:val="bottom"/>
            <w:tcBorders>
              <w:bottom w:val="single" w:sz="8" w:color="auto"/>
            </w:tcBorders>
            <w:shd w:val="clear" w:color="auto" w:fill="DCE2E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rPr>
              <w:t>178.1</w:t>
            </w:r>
          </w:p>
        </w:tc>
        <w:tc>
          <w:tcPr>
            <w:tcW w:w="100" w:type="dxa"/>
            <w:vAlign w:val="bottom"/>
            <w:tcBorders>
              <w:bottom w:val="single" w:sz="8" w:color="DCE2EF"/>
            </w:tcBorders>
            <w:shd w:val="clear" w:color="auto" w:fill="DCE2EF"/>
          </w:tcPr>
          <w:p>
            <w:pPr>
              <w:spacing w:after="0"/>
              <w:rPr>
                <w:sz w:val="20"/>
                <w:szCs w:val="20"/>
                <w:color w:val="auto"/>
              </w:rPr>
            </w:pPr>
          </w:p>
        </w:tc>
        <w:tc>
          <w:tcPr>
            <w:tcW w:w="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rPr>
              <w:t>907.1</w:t>
            </w:r>
          </w:p>
        </w:tc>
        <w:tc>
          <w:tcPr>
            <w:tcW w:w="100" w:type="dxa"/>
            <w:vAlign w:val="bottom"/>
            <w:tcBorders>
              <w:bottom w:val="single" w:sz="8" w:color="DCE2EF"/>
            </w:tcBorders>
            <w:shd w:val="clear" w:color="auto" w:fill="DCE2EF"/>
          </w:tcPr>
          <w:p>
            <w:pPr>
              <w:spacing w:after="0"/>
              <w:rPr>
                <w:sz w:val="20"/>
                <w:szCs w:val="20"/>
                <w:color w:val="auto"/>
              </w:rPr>
            </w:pPr>
          </w:p>
        </w:tc>
        <w:tc>
          <w:tcPr>
            <w:tcW w:w="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rPr>
              <w:t>88.4</w:t>
            </w:r>
          </w:p>
        </w:tc>
        <w:tc>
          <w:tcPr>
            <w:tcW w:w="100" w:type="dxa"/>
            <w:vAlign w:val="bottom"/>
            <w:tcBorders>
              <w:bottom w:val="single" w:sz="8" w:color="DCE2EF"/>
            </w:tcBorders>
            <w:shd w:val="clear" w:color="auto" w:fill="DCE2EF"/>
          </w:tcPr>
          <w:p>
            <w:pPr>
              <w:spacing w:after="0"/>
              <w:rPr>
                <w:sz w:val="20"/>
                <w:szCs w:val="20"/>
                <w:color w:val="auto"/>
              </w:rPr>
            </w:pPr>
          </w:p>
        </w:tc>
        <w:tc>
          <w:tcPr>
            <w:tcW w:w="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86.1</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21"/>
          <w:szCs w:val="21"/>
          <w:color w:val="auto"/>
          <w:vertAlign w:val="superscript"/>
        </w:rPr>
      </w:pPr>
      <w:r>
        <w:rPr>
          <w:rFonts w:ascii="Arial" w:cs="Arial" w:eastAsia="Arial" w:hAnsi="Arial"/>
          <w:sz w:val="15"/>
          <w:szCs w:val="15"/>
          <w:color w:val="auto"/>
        </w:rPr>
        <w:t>Borrowings under our term loan and line of credit are presented at face value.</w:t>
      </w:r>
    </w:p>
    <w:p>
      <w:pPr>
        <w:spacing w:after="0" w:line="343" w:lineRule="exact"/>
        <w:rPr>
          <w:rFonts w:ascii="Arial" w:cs="Arial" w:eastAsia="Arial" w:hAnsi="Arial"/>
          <w:sz w:val="21"/>
          <w:szCs w:val="21"/>
          <w:color w:val="auto"/>
          <w:vertAlign w:val="superscript"/>
        </w:rPr>
      </w:pPr>
    </w:p>
    <w:p>
      <w:pPr>
        <w:ind w:left="5620"/>
        <w:spacing w:after="0"/>
        <w:rPr>
          <w:rFonts w:ascii="Arial" w:cs="Arial" w:eastAsia="Arial" w:hAnsi="Arial"/>
          <w:sz w:val="21"/>
          <w:szCs w:val="21"/>
          <w:color w:val="auto"/>
          <w:vertAlign w:val="superscript"/>
        </w:rPr>
      </w:pPr>
      <w:r>
        <w:rPr>
          <w:rFonts w:ascii="Arial" w:cs="Arial" w:eastAsia="Arial" w:hAnsi="Arial"/>
          <w:sz w:val="18"/>
          <w:szCs w:val="18"/>
          <w:color w:val="auto"/>
        </w:rPr>
        <w:t>37</w:t>
      </w:r>
    </w:p>
    <w:p>
      <w:pPr>
        <w:sectPr>
          <w:pgSz w:w="11900" w:h="16838" w:orient="portrait"/>
          <w:cols w:equalWidth="0" w:num="1">
            <w:col w:w="11420"/>
          </w:cols>
          <w:pgMar w:left="240" w:top="495" w:right="239" w:bottom="1440" w:gutter="0" w:footer="0" w:header="0"/>
        </w:sectPr>
      </w:pPr>
    </w:p>
    <w:bookmarkStart w:id="40" w:name="page41"/>
    <w:bookmarkEnd w:id="40"/>
    <w:p>
      <w:pPr>
        <w:jc w:val="both"/>
        <w:ind w:firstLine="8"/>
        <w:spacing w:after="0" w:line="248" w:lineRule="auto"/>
        <w:tabs>
          <w:tab w:leader="none" w:pos="184" w:val="left"/>
        </w:tabs>
        <w:numPr>
          <w:ilvl w:val="0"/>
          <w:numId w:val="20"/>
        </w:numPr>
        <w:rPr>
          <w:rFonts w:ascii="Arial" w:cs="Arial" w:eastAsia="Arial" w:hAnsi="Arial"/>
          <w:sz w:val="21"/>
          <w:szCs w:val="21"/>
          <w:color w:val="auto"/>
          <w:vertAlign w:val="superscript"/>
        </w:rPr>
      </w:pPr>
      <w:r>
        <w:rPr>
          <w:rFonts w:ascii="Arial" w:cs="Arial" w:eastAsia="Arial" w:hAnsi="Arial"/>
          <w:sz w:val="15"/>
          <w:szCs w:val="15"/>
          <w:color w:val="auto"/>
        </w:rPr>
        <w:t>Our estimates of future interest payments are calculated based on our hedged borrowings under our Credit Facility, using the fixed rates under our interest rate swap agreements for the applicable notional amounts. See Note 13, “Credit Facility,” in the Financial Statements for additional disclosure related to our interest rate swaps. We exclude interest payments on our remaining borrowings from this table because the cash outlay for the interest is unknown. The interest payments on the borrowings under the Credit Facility will be determined based upon the average outstanding balance of our borrowings and the prevailing interest rate during that time.</w:t>
      </w:r>
    </w:p>
    <w:p>
      <w:pPr>
        <w:spacing w:after="0" w:line="323" w:lineRule="exact"/>
        <w:rPr>
          <w:rFonts w:ascii="Arial" w:cs="Arial" w:eastAsia="Arial" w:hAnsi="Arial"/>
          <w:sz w:val="21"/>
          <w:szCs w:val="21"/>
          <w:color w:val="auto"/>
          <w:vertAlign w:val="superscript"/>
        </w:rPr>
      </w:pPr>
    </w:p>
    <w:p>
      <w:pPr>
        <w:ind w:firstLine="8"/>
        <w:spacing w:after="0" w:line="223" w:lineRule="auto"/>
        <w:tabs>
          <w:tab w:leader="none" w:pos="203" w:val="left"/>
        </w:tabs>
        <w:numPr>
          <w:ilvl w:val="0"/>
          <w:numId w:val="20"/>
        </w:numPr>
        <w:rPr>
          <w:rFonts w:ascii="Arial" w:cs="Arial" w:eastAsia="Arial" w:hAnsi="Arial"/>
          <w:sz w:val="22"/>
          <w:szCs w:val="22"/>
          <w:color w:val="auto"/>
          <w:vertAlign w:val="superscript"/>
        </w:rPr>
      </w:pPr>
      <w:r>
        <w:rPr>
          <w:rFonts w:ascii="Arial" w:cs="Arial" w:eastAsia="Arial" w:hAnsi="Arial"/>
          <w:sz w:val="16"/>
          <w:szCs w:val="16"/>
          <w:color w:val="auto"/>
        </w:rPr>
        <w:t>Reflects our contractual obligations to make future payments under non-cancelable operating leases, capital lease agreements, and other similar commitments for various facilities, vehicles, and other equipment.</w:t>
      </w:r>
    </w:p>
    <w:p>
      <w:pPr>
        <w:spacing w:after="0" w:line="111" w:lineRule="exact"/>
        <w:rPr>
          <w:rFonts w:ascii="Arial" w:cs="Arial" w:eastAsia="Arial" w:hAnsi="Arial"/>
          <w:sz w:val="22"/>
          <w:szCs w:val="22"/>
          <w:color w:val="auto"/>
          <w:vertAlign w:val="superscript"/>
        </w:rPr>
      </w:pPr>
    </w:p>
    <w:p>
      <w:pPr>
        <w:ind w:left="180" w:hanging="172"/>
        <w:spacing w:after="0"/>
        <w:tabs>
          <w:tab w:leader="none" w:pos="180" w:val="left"/>
        </w:tabs>
        <w:numPr>
          <w:ilvl w:val="0"/>
          <w:numId w:val="20"/>
        </w:numPr>
        <w:rPr>
          <w:rFonts w:ascii="Arial" w:cs="Arial" w:eastAsia="Arial" w:hAnsi="Arial"/>
          <w:sz w:val="21"/>
          <w:szCs w:val="21"/>
          <w:color w:val="auto"/>
          <w:vertAlign w:val="superscript"/>
        </w:rPr>
      </w:pPr>
      <w:r>
        <w:rPr>
          <w:rFonts w:ascii="Arial" w:cs="Arial" w:eastAsia="Arial" w:hAnsi="Arial"/>
          <w:sz w:val="15"/>
          <w:szCs w:val="15"/>
          <w:color w:val="auto"/>
        </w:rPr>
        <w:t>Represents leased location parking arrangements that meet the definition of service concession arrangements under Topic 853.</w:t>
      </w:r>
    </w:p>
    <w:p>
      <w:pPr>
        <w:spacing w:after="0" w:line="132" w:lineRule="exact"/>
        <w:rPr>
          <w:rFonts w:ascii="Arial" w:cs="Arial" w:eastAsia="Arial" w:hAnsi="Arial"/>
          <w:sz w:val="21"/>
          <w:szCs w:val="21"/>
          <w:color w:val="auto"/>
          <w:vertAlign w:val="superscript"/>
        </w:rPr>
      </w:pPr>
    </w:p>
    <w:p>
      <w:pPr>
        <w:ind w:firstLine="8"/>
        <w:spacing w:after="0"/>
        <w:tabs>
          <w:tab w:leader="none" w:pos="226" w:val="left"/>
        </w:tabs>
        <w:numPr>
          <w:ilvl w:val="0"/>
          <w:numId w:val="20"/>
        </w:numPr>
        <w:rPr>
          <w:rFonts w:ascii="Arial" w:cs="Arial" w:eastAsia="Arial" w:hAnsi="Arial"/>
          <w:sz w:val="22"/>
          <w:szCs w:val="22"/>
          <w:color w:val="auto"/>
          <w:vertAlign w:val="superscript"/>
        </w:rPr>
      </w:pPr>
      <w:r>
        <w:rPr>
          <w:rFonts w:ascii="Arial" w:cs="Arial" w:eastAsia="Arial" w:hAnsi="Arial"/>
          <w:sz w:val="16"/>
          <w:szCs w:val="16"/>
          <w:color w:val="auto"/>
        </w:rPr>
        <w:t>Reflects our contractual obligations to make future payments for outsourced services and licensing costs pursuant to our information technology agreements.</w:t>
      </w:r>
    </w:p>
    <w:p>
      <w:pPr>
        <w:spacing w:after="0" w:line="287" w:lineRule="exact"/>
        <w:rPr>
          <w:rFonts w:ascii="Arial" w:cs="Arial" w:eastAsia="Arial" w:hAnsi="Arial"/>
          <w:sz w:val="22"/>
          <w:szCs w:val="22"/>
          <w:color w:val="auto"/>
          <w:vertAlign w:val="superscript"/>
        </w:rPr>
      </w:pPr>
    </w:p>
    <w:p>
      <w:pPr>
        <w:ind w:firstLine="8"/>
        <w:spacing w:after="0" w:line="299" w:lineRule="auto"/>
        <w:tabs>
          <w:tab w:leader="none" w:pos="162"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Reflects future expected payments relating to our defined benefit, postretirement, and deferred compensation plans. These amounts are based on expected future service and were calculated using the same assumptions used to measure our benefit obligation at October 31, 2019.</w:t>
      </w:r>
    </w:p>
    <w:p>
      <w:pPr>
        <w:spacing w:after="0" w:line="9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to our company sponsored plans, we participate in certain multiemployer pension and other postretirement plans. The cost of these plans is equal to the annual required contributions determined in accordance with the provisions of negotiated collective bargaining arrangements. During 2019, 2018, and 2017, contributions made to these plans were $345.4 million, $339.3 million, and $316.4 million, respectively; however, our future contributions to the multiemployer plans are dependent upon a number of factors, including the funded status of the plans, the ability of other participating companies to meet ongoing funding obligations, and the level of our ongoing participation in these plans. As the amount of future contributions that we would be contractually obligated to make pursuant to these plans cannot be reasonably estimated, such amounts have been excluded from the above table. See Note 14, “Employee Benefit Plans,” in the Financial Statements for more information.</w:t>
      </w:r>
    </w:p>
    <w:p>
      <w:pPr>
        <w:spacing w:after="0" w:line="10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At October 31, 2019, our total liability for unrecognized tax benefits was $12.2 million. The resolution or settlement of these tax positions with the taxing authorities is subject to significant uncertainty, and therefore we are unable to make a reliable estimate of the amount or timing of cash that may be required to settle these matters. In addition, certain of these matters may not require cash settlements due to the exercise of credits and net operating loss carryforwards as well as other offsets, including the indirect benefit from other taxing jurisdictions that may be available.</w:t>
      </w:r>
    </w:p>
    <w:p>
      <w:pPr>
        <w:spacing w:after="0" w:line="12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Excluded from the contractual obligations table are payments we may make for exposures for which we are self-insured, including workers’ compensation, general liability, automobile liability, property damage, and other insurable risks. At October 31, 2019, our self-insurance reserves, net of recoverables, were $443.3 million. In general, these amounts are recorded on an undiscounted basis and are classified on the consolidated balance sheets as current or long-term based on the expected settlement date. As these obligations do not have scheduled maturities, we are unable to make a reliable estimate of the amount or timing of cash that may be required to settle these matters.</w:t>
      </w:r>
    </w:p>
    <w:p>
      <w:pPr>
        <w:spacing w:after="0" w:line="121" w:lineRule="exact"/>
        <w:rPr>
          <w:sz w:val="20"/>
          <w:szCs w:val="20"/>
          <w:color w:val="auto"/>
        </w:rPr>
      </w:pPr>
    </w:p>
    <w:p>
      <w:pPr>
        <w:jc w:val="both"/>
        <w:ind w:firstLine="232"/>
        <w:spacing w:after="0" w:line="257" w:lineRule="auto"/>
        <w:rPr>
          <w:sz w:val="20"/>
          <w:szCs w:val="20"/>
          <w:color w:val="auto"/>
        </w:rPr>
      </w:pPr>
      <w:r>
        <w:rPr>
          <w:rFonts w:ascii="Arial" w:cs="Arial" w:eastAsia="Arial" w:hAnsi="Arial"/>
          <w:sz w:val="18"/>
          <w:szCs w:val="18"/>
          <w:color w:val="auto"/>
        </w:rPr>
        <w:t>We have no off-balance sheet arrangements other than unrecorded standby letters of credit and surety bonds. We use letters of credit and surety bonds in the ordinary course of business to ensure the performance of contractual obligations and to collateralize self-insurance obligations in the event we are unable to meet our claim payment obligations. As we already have reserves on our books for the claims costs, these do not represent additional liabilities. The bonds typically remain in force for one to five years and may include optional renewal periods. As of October 31, 2019, these letters of credit and surety bonds totaled $ 149.8 million and $596.8 million, respectively. Neither of these arrangements has a material current effect, or is reasonably likely to have a material future effect, on our financial condition, revenues or expenses, results of operations, liquidity, capital expenditures, or capital resources.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00" w:right="239" w:bottom="1440" w:gutter="0" w:footer="0" w:header="0"/>
        </w:sectPr>
      </w:pPr>
    </w:p>
    <w:bookmarkStart w:id="41" w:name="page42"/>
    <w:bookmarkEnd w:id="41"/>
    <w:p>
      <w:pPr>
        <w:ind w:left="40"/>
        <w:spacing w:after="0"/>
        <w:rPr>
          <w:sz w:val="20"/>
          <w:szCs w:val="20"/>
          <w:color w:val="auto"/>
        </w:rPr>
      </w:pPr>
      <w:r>
        <w:rPr>
          <w:rFonts w:ascii="Arial" w:cs="Arial" w:eastAsia="Arial" w:hAnsi="Arial"/>
          <w:sz w:val="18"/>
          <w:szCs w:val="18"/>
          <w:b w:val="1"/>
          <w:bCs w:val="1"/>
          <w:color w:val="0046AD"/>
        </w:rPr>
        <w:t>Critical Accounting Policies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The preparation of consolidated financial statements in accordance with United States generally accepted accounting principles requires our management to make certain estimates that affect the reported amounts. We base our estimates on historical experience, known or expected trends, independent valuations, and various other assumptions that we believe to be reasonable under the circumstances. As future events and their effects cannot be determined with precision, actual results could differ significantly from these estimates. On November 1, 2018, we adopted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and ASU 2017-10, </w:t>
      </w:r>
      <w:r>
        <w:rPr>
          <w:rFonts w:ascii="Arial" w:cs="Arial" w:eastAsia="Arial" w:hAnsi="Arial"/>
          <w:sz w:val="18"/>
          <w:szCs w:val="18"/>
          <w:i w:val="1"/>
          <w:iCs w:val="1"/>
          <w:color w:val="auto"/>
        </w:rPr>
        <w:t>Service Concession</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Arrangements (Topic 853): Determining the Customer of the Operation Services</w:t>
      </w:r>
      <w:r>
        <w:rPr>
          <w:rFonts w:ascii="Arial" w:cs="Arial" w:eastAsia="Arial" w:hAnsi="Arial"/>
          <w:sz w:val="18"/>
          <w:szCs w:val="18"/>
          <w:color w:val="auto"/>
        </w:rPr>
        <w:t>. Refer to Note 2, “Basis of Presentation and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Policies,” and Note 3, “Revenues,” in the Financial Statements for additional information regarding the impact of adopting these standards. Additionally, refer to Note 2, “Basis of Presentation and Significant Accounting Policies,” for other standards adopted during the first quarter of 2019, none of which had a material impact on our consolidated financial statements. There have been no other significant changes to our critical accounting policies and estimates. We believe the following critical accounting policies govern the more significant judgments and estimates used in the preparation of our financial statements.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09" w:right="23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33020</wp:posOffset>
            </wp:positionV>
            <wp:extent cx="19640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Valuation of Long-Lived Assets</w:t>
      </w:r>
    </w:p>
    <w:p>
      <w:pPr>
        <w:spacing w:after="0" w:line="20" w:lineRule="exact"/>
        <w:rPr>
          <w:sz w:val="20"/>
          <w:szCs w:val="20"/>
          <w:color w:val="auto"/>
        </w:rPr>
      </w:pPr>
      <w:r>
        <w:rPr>
          <w:sz w:val="20"/>
          <w:szCs w:val="20"/>
          <w:color w:val="auto"/>
        </w:rPr>
        <w:br w:type="column"/>
      </w:r>
    </w:p>
    <w:p>
      <w:pPr>
        <w:spacing w:after="0"/>
        <w:tabs>
          <w:tab w:leader="none" w:pos="3400" w:val="left"/>
        </w:tabs>
        <w:rPr>
          <w:sz w:val="20"/>
          <w:szCs w:val="20"/>
          <w:color w:val="auto"/>
        </w:rPr>
      </w:pPr>
      <w:r>
        <w:rPr>
          <w:rFonts w:ascii="Arial" w:cs="Arial" w:eastAsia="Arial" w:hAnsi="Arial"/>
          <w:sz w:val="16"/>
          <w:szCs w:val="16"/>
          <w:b w:val="1"/>
          <w:bCs w:val="1"/>
          <w:color w:val="auto"/>
        </w:rPr>
        <w:t>Judgments and Uncertainties</w:t>
      </w:r>
      <w:r>
        <w:rPr>
          <w:sz w:val="20"/>
          <w:szCs w:val="20"/>
          <w:color w:val="auto"/>
        </w:rPr>
        <w:tab/>
      </w:r>
      <w:r>
        <w:rPr>
          <w:rFonts w:ascii="Arial" w:cs="Arial" w:eastAsia="Arial" w:hAnsi="Arial"/>
          <w:sz w:val="16"/>
          <w:szCs w:val="16"/>
          <w:b w:val="1"/>
          <w:bCs w:val="1"/>
          <w:color w:val="auto"/>
        </w:rPr>
        <w:t>Effect if Actual Results Differ from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33020</wp:posOffset>
            </wp:positionV>
            <wp:extent cx="52057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452" w:lineRule="exact"/>
        <w:rPr>
          <w:sz w:val="20"/>
          <w:szCs w:val="20"/>
          <w:color w:val="auto"/>
        </w:rPr>
      </w:pPr>
    </w:p>
    <w:p>
      <w:pPr>
        <w:sectPr>
          <w:pgSz w:w="11900" w:h="16838" w:orient="portrait"/>
          <w:cols w:equalWidth="0" w:num="2">
            <w:col w:w="2480" w:space="720"/>
            <w:col w:w="8140"/>
          </w:cols>
          <w:pgMar w:left="280" w:top="687" w:right="279" w:bottom="1440" w:gutter="0" w:footer="0" w:header="0"/>
        </w:sectPr>
      </w:pPr>
    </w:p>
    <w:p>
      <w:pPr>
        <w:ind w:right="20"/>
        <w:spacing w:after="0" w:line="249" w:lineRule="auto"/>
        <w:rPr>
          <w:sz w:val="20"/>
          <w:szCs w:val="20"/>
          <w:color w:val="auto"/>
        </w:rPr>
      </w:pPr>
      <w:r>
        <w:rPr>
          <w:rFonts w:ascii="Arial" w:cs="Arial" w:eastAsia="Arial" w:hAnsi="Arial"/>
          <w:sz w:val="16"/>
          <w:szCs w:val="16"/>
          <w:color w:val="auto"/>
        </w:rPr>
        <w:t>We evaluate our fixed assets and amortizable intangible assets for impairment whenever events or changes in circumstances indicate that the carrying amount of such assets may not be recoverable. These events and circumstances include, but are not limited to: higher than expected attrition for customer relationships; a current expectation that a long-lived asset will be disposed of significantly before the end of its previously estimated useful life, such as when we classify a business as held for sale; a significant adverse change in the extent or manner in which we use a long-lived asset; or a change in the physical condition of a long-lived asset.</w:t>
      </w:r>
    </w:p>
    <w:p>
      <w:pPr>
        <w:spacing w:after="0" w:line="158"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Undiscounted cash flow analyses are used to determine if impairment exists; if impairment is determined to exist, the loss is calculated based on estimated fair value.</w:t>
      </w:r>
    </w:p>
    <w:p>
      <w:pPr>
        <w:spacing w:after="0" w:line="149"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Goodwill is not amortized but rather tested at least annually for impairment, or more often if events or changes in circumstances indicate it is more-likely-than-not that the carrying amount of the asset may not be recoverable. Goodwill is tested for impairment at the reporting unit level, which represents an operating segment or a component of an operating segment. Goodwill is tested for impairment by either performing a qualitative evaluation or a quantitative test. The qualitative evaluation is an assessment of factors to determine whether it is more-likely-than-not that the fair value of a reporting unit is less than its carrying amount, including goodwill. We may elect not to perform the qualitative assessment for some or all of our reporting units and instead perform a quantitative impairment test.</w:t>
      </w:r>
    </w:p>
    <w:p>
      <w:pPr>
        <w:spacing w:after="0" w:line="20" w:lineRule="exact"/>
        <w:rPr>
          <w:sz w:val="20"/>
          <w:szCs w:val="20"/>
          <w:color w:val="auto"/>
        </w:rPr>
      </w:pPr>
      <w:r>
        <w:rPr>
          <w:sz w:val="20"/>
          <w:szCs w:val="20"/>
          <w:color w:val="auto"/>
        </w:rPr>
        <w:br w:type="column"/>
      </w:r>
    </w:p>
    <w:p>
      <w:pPr>
        <w:ind w:right="40"/>
        <w:spacing w:after="0" w:line="251" w:lineRule="auto"/>
        <w:rPr>
          <w:sz w:val="20"/>
          <w:szCs w:val="20"/>
          <w:color w:val="auto"/>
        </w:rPr>
      </w:pPr>
      <w:r>
        <w:rPr>
          <w:rFonts w:ascii="Arial" w:cs="Arial" w:eastAsia="Arial" w:hAnsi="Arial"/>
          <w:sz w:val="16"/>
          <w:szCs w:val="16"/>
          <w:color w:val="auto"/>
        </w:rPr>
        <w:t>Our impairment evaluations require us to apply judgment in determining whether a triggering event has occurred, including the evaluation of whether it is more likely than not that a long-lived asset will be disposed of significantly before the end of its previously estimated useful life. Incorrect estimation of useful lives may result in inaccurate depreciation and amortization charges over future periods leading to future impairment.</w:t>
      </w:r>
    </w:p>
    <w:p>
      <w:pPr>
        <w:spacing w:after="0" w:line="156"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Our impairment loss calculations contain uncertainties because they require management to make assumptions and to apply judgment to estimate future cash flows and asset fair values, including forecasting useful lives of the assets and selecting the discount rate that reflects the risk inherent in future cash flows.</w:t>
      </w:r>
    </w:p>
    <w:p>
      <w:pPr>
        <w:spacing w:after="0" w:line="150"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We estimate the fair value of each reporting unit using a combination of the income approach and the market approach.</w:t>
      </w:r>
    </w:p>
    <w:p>
      <w:pPr>
        <w:spacing w:after="0" w:line="138"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The income approach incorporates the use of a discounted cash flow method in which the estimated future cash flows and terminal value are calculated for each reporting unit and then discounted to present value using an appropriate discount rate.</w:t>
      </w:r>
    </w:p>
    <w:p>
      <w:pPr>
        <w:spacing w:after="0" w:line="151"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The valuation of our reporting units requires significant judgment in evaluation of recent indicators of market activity and estimated future cash flows, discount rates, and other factors. Our impairment analyses contain inherent uncertainties due to uncontrollable events that could positively or negatively impact anticipated future economic and operating conditions.</w:t>
      </w:r>
    </w:p>
    <w:p>
      <w:pPr>
        <w:spacing w:after="0" w:line="152"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In making these estimates, the weighted-average cost of capital is utilized to calculate the present value of future cash flows and terminal value. Many variables go into estimating future cash flows, including estimates of our future revenue growth and operating results. When estimating our projected revenue growth and future operating results, we consider industry trends, economic data, and our competitive advantage.</w:t>
      </w:r>
    </w:p>
    <w:p>
      <w:pPr>
        <w:spacing w:after="0" w:line="152"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market approach estimates fair value of a reporting unit by using market comparables for reasonably similar public companies.</w:t>
      </w:r>
    </w:p>
    <w:p>
      <w:pPr>
        <w:spacing w:after="0" w:line="20" w:lineRule="exact"/>
        <w:rPr>
          <w:sz w:val="20"/>
          <w:szCs w:val="20"/>
          <w:color w:val="auto"/>
        </w:rPr>
      </w:pPr>
      <w:r>
        <w:rPr>
          <w:sz w:val="20"/>
          <w:szCs w:val="20"/>
          <w:color w:val="auto"/>
        </w:rPr>
        <w:br w:type="column"/>
      </w:r>
    </w:p>
    <w:p>
      <w:pPr>
        <w:spacing w:after="0" w:line="264" w:lineRule="auto"/>
        <w:rPr>
          <w:sz w:val="20"/>
          <w:szCs w:val="20"/>
          <w:color w:val="auto"/>
        </w:rPr>
      </w:pPr>
      <w:r>
        <w:rPr>
          <w:rFonts w:ascii="Arial" w:cs="Arial" w:eastAsia="Arial" w:hAnsi="Arial"/>
          <w:sz w:val="16"/>
          <w:szCs w:val="16"/>
          <w:color w:val="auto"/>
        </w:rPr>
        <w:t>During the last three years, we have not made any changes in the accounting methodology used to evaluate the impairment of long-lived assets or to estimate the useful lives of our long-lived assets.</w:t>
      </w:r>
    </w:p>
    <w:p>
      <w:pPr>
        <w:spacing w:after="0" w:line="338"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 xml:space="preserve">Additionally, we have not made any changes in the accounting methodology used to evaluate impairment of goodwill during the last three years, other than adopting ASU 2017-04, </w:t>
      </w:r>
      <w:r>
        <w:rPr>
          <w:rFonts w:ascii="Arial" w:cs="Arial" w:eastAsia="Arial" w:hAnsi="Arial"/>
          <w:sz w:val="16"/>
          <w:szCs w:val="16"/>
          <w:i w:val="1"/>
          <w:iCs w:val="1"/>
          <w:color w:val="auto"/>
        </w:rPr>
        <w:t>Intangibles—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Goodwill and Other (Topic 350): Simplifying the Test for Goodwill Impairment </w:t>
      </w:r>
      <w:r>
        <w:rPr>
          <w:rFonts w:ascii="Arial" w:cs="Arial" w:eastAsia="Arial" w:hAnsi="Arial"/>
          <w:sz w:val="16"/>
          <w:szCs w:val="16"/>
          <w:color w:val="auto"/>
        </w:rPr>
        <w:t>in 2017.</w:t>
      </w:r>
    </w:p>
    <w:p>
      <w:pPr>
        <w:spacing w:after="0" w:line="14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During the third quarter of 2019, in connection with the reorganization of our Healthcare business, a goodwill impairment analysis was performed on the underlying reporting unit immediately before the reorganization, and we concluded that the estimated fair value of the underlying reporting unit substantially exceeded its carrying value immediately before the reorganization and that no further evaluation of impairment was necessary. Additionally, we performed our annual goodwill impairment analysis on August 1, 2019 and concluded that the implied fair value of each of our reporting units was substantially in excess of its carrying value and that no further evaluation of impairment was necessary. A 10% decrease in the estimated fair value of any of our reporting units would not have resulted in a different conclusion.</w:t>
      </w:r>
    </w:p>
    <w:p>
      <w:pPr>
        <w:spacing w:after="0" w:line="153" w:lineRule="exact"/>
        <w:rPr>
          <w:sz w:val="20"/>
          <w:szCs w:val="20"/>
          <w:color w:val="auto"/>
        </w:rPr>
      </w:pPr>
    </w:p>
    <w:p>
      <w:pPr>
        <w:ind w:right="280"/>
        <w:spacing w:after="0" w:line="254" w:lineRule="auto"/>
        <w:rPr>
          <w:sz w:val="20"/>
          <w:szCs w:val="20"/>
          <w:color w:val="auto"/>
        </w:rPr>
      </w:pPr>
      <w:r>
        <w:rPr>
          <w:rFonts w:ascii="Arial" w:cs="Arial" w:eastAsia="Arial" w:hAnsi="Arial"/>
          <w:sz w:val="16"/>
          <w:szCs w:val="16"/>
          <w:color w:val="auto"/>
        </w:rPr>
        <w:t>During 2018 we performed a qualitative goodwill impairment analysis for each of our reporting units on November 1, 2017 when we reorganized our reportable segments and reporting units following the integration of GCA into our industry group model. We concluded that goodwill related to those reporting units was not impaired and further quantitative testing was not required.</w:t>
      </w:r>
    </w:p>
    <w:p>
      <w:pPr>
        <w:spacing w:after="0" w:line="150"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In connection with our annual goodwill impairment analysis performed on August 1, 2018, we recorded an impairment charge of $20.3 million on goodwill and $6.2 million on customer relationships for one of our reporting units within the Technical Solutions segment. This reporting unit’s performance declined during 2018 primarily due to the adverse impact of Brexit and the resulting impact on microeconomic conditions in the U.K. retail sector, as well as the anticipated loss of a significant customer contract. In performing our annual goodwill impairment analysis, we determined there was a revised future outlook for this business, including reduced expectations of future sales, operating margins, and cash flows. In analyzing our other goodwill reporting units, we concluded that goodwill related to these other reporting units was not impaired.</w:t>
      </w:r>
    </w:p>
    <w:p>
      <w:pPr>
        <w:spacing w:after="0" w:line="153"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During 2017, we recorded a $17.4 million impairment recovery related to the sale of our Government Services business to adjust the fair value of certain previously impaired assets to the valuation of the assets as implied by the agreed-upon sales price, less estimated costs to sell.</w:t>
      </w:r>
    </w:p>
    <w:p>
      <w:pPr>
        <w:spacing w:after="0" w:line="589" w:lineRule="exact"/>
        <w:rPr>
          <w:sz w:val="20"/>
          <w:szCs w:val="20"/>
          <w:color w:val="auto"/>
        </w:rPr>
      </w:pPr>
    </w:p>
    <w:p>
      <w:pPr>
        <w:sectPr>
          <w:pgSz w:w="11900" w:h="16838" w:orient="portrait"/>
          <w:cols w:equalWidth="0" w:num="3">
            <w:col w:w="3040" w:space="160"/>
            <w:col w:w="3260" w:space="160"/>
            <w:col w:w="4720"/>
          </w:cols>
          <w:pgMar w:left="280" w:top="687" w:right="279" w:bottom="1440" w:gutter="0" w:footer="0" w:header="0"/>
          <w:type w:val="continuous"/>
        </w:sectPr>
      </w:pP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340"/>
          </w:cols>
          <w:pgMar w:left="280" w:top="687" w:right="27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33020</wp:posOffset>
            </wp:positionV>
            <wp:extent cx="20326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Insurance Reserves</w:t>
      </w:r>
    </w:p>
    <w:p>
      <w:pPr>
        <w:spacing w:after="0" w:line="196"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We use a combination of insured and self-insurance programs to cover workers’ compensation, general liability, automobile liability, property damage, and other insurable risks.</w:t>
      </w:r>
    </w:p>
    <w:p>
      <w:pPr>
        <w:spacing w:after="0" w:line="14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Insurance claim liabilities represent our estimate of retained risks without regard to insurance coverage. We retain a substantial portion of the risk related to certain workers’ compensation and medical claims. Liabilities associated with these losses include estimates of both claims filed and IBNR Claims.</w:t>
      </w:r>
    </w:p>
    <w:p>
      <w:pPr>
        <w:spacing w:after="0" w:line="150"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With the assistance of third-party actuaries, we periodically review our estimate of ultimate losses for IBNR Claims and adjust our required self-insurance reserves as appropriate. As part of this evaluation, we review the status of existing and new claim reserves as established by our third-party claims administrators.</w:t>
      </w:r>
    </w:p>
    <w:p>
      <w:pPr>
        <w:spacing w:after="0" w:line="150" w:lineRule="exact"/>
        <w:rPr>
          <w:sz w:val="20"/>
          <w:szCs w:val="20"/>
          <w:color w:val="auto"/>
        </w:rPr>
      </w:pPr>
    </w:p>
    <w:p>
      <w:pPr>
        <w:ind w:right="200"/>
        <w:spacing w:after="0" w:line="255" w:lineRule="auto"/>
        <w:rPr>
          <w:sz w:val="20"/>
          <w:szCs w:val="20"/>
          <w:color w:val="auto"/>
        </w:rPr>
      </w:pPr>
      <w:r>
        <w:rPr>
          <w:rFonts w:ascii="Arial" w:cs="Arial" w:eastAsia="Arial" w:hAnsi="Arial"/>
          <w:sz w:val="16"/>
          <w:szCs w:val="16"/>
          <w:color w:val="auto"/>
        </w:rPr>
        <w:t>The third-party claims administrators establish the case reserves based upon known factors related to the type and severity of the claims, demographic data, legislative matters, and case law, as appropriate.</w:t>
      </w:r>
    </w:p>
    <w:p>
      <w:pPr>
        <w:spacing w:after="0" w:line="151"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We compare actual trends to expected trends and monitor claims development.</w:t>
      </w:r>
    </w:p>
    <w:p>
      <w:pPr>
        <w:spacing w:after="0" w:line="121"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The specific case reserves estimated by the third-party administrators are provided to an actuary who assists us in projecting an actuarial estimate of the overall ultimate losses for our self-insured or high deductible programs, which includes the case reserves plus an actuarial estimate of reserves required for additional development, including IBNR Claims.</w:t>
      </w:r>
    </w:p>
    <w:p>
      <w:pPr>
        <w:spacing w:after="0" w:line="152"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We utilize the results of actuarial studies to estimate our insurance rates and insurance reserves for future periods and to adjust reserves, if appropriate, for prior years.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Judgments and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33020</wp:posOffset>
            </wp:positionV>
            <wp:extent cx="20326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Our self-insurance liabilities contain uncertainties due to assumptions required and judgment used.</w:t>
      </w:r>
    </w:p>
    <w:p>
      <w:pPr>
        <w:spacing w:after="0" w:line="138"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Costs to settle our obligations, including legal and healthcare costs, could fluctuate and cause estimates of our self-insurance liabilities to change.</w:t>
      </w:r>
    </w:p>
    <w:p>
      <w:pPr>
        <w:spacing w:after="0" w:line="145"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Incident rates, including frequency and severity, could fluctuate and cause the estimates in our self-insurance liabilities to change.</w:t>
      </w:r>
    </w:p>
    <w:p>
      <w:pPr>
        <w:spacing w:after="0" w:line="145"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These estimates are subject to: changes in the regulatory environment; fluctuations in projected exposures, including payroll, revenues, and the number of vehicle units; and the frequency, lag, and severity of claims.</w:t>
      </w:r>
    </w:p>
    <w:p>
      <w:pPr>
        <w:spacing w:after="0" w:line="5"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full extent of certain claims, especially workers’ compensation and general liability claims, may not be fully determined for several years.</w:t>
      </w:r>
    </w:p>
    <w:p>
      <w:pPr>
        <w:spacing w:after="0" w:line="150"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In addition, if the reserves related to self-insurance or high deductible programs from acquired businesses are not adequate to cover damages resulting from future accidents or other incidents, we may be exposed to substantial losses arising from future development of the claims.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Effect if Actual Results Differ from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33020</wp:posOffset>
            </wp:positionV>
            <wp:extent cx="30359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We have not made any changes in the accounting methodology used to establish our self-insurance liabilities during the past three years.</w:t>
      </w:r>
    </w:p>
    <w:p>
      <w:pPr>
        <w:spacing w:after="0" w:line="13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After analyzing the recent loss development patterns, comparing the loss development patterns against benchmarks, and applying actuarial projection methods to estimate the ultimate losses, we decreased our total reserves for known claims as well as our estimate of the loss amounts associated with IBNR Claims for prior years by $3.4 million during 2019. During 2018 and 2017, we increased such reserves by $10.2 million and $22.0 million, respectively.</w:t>
      </w:r>
    </w:p>
    <w:p>
      <w:pPr>
        <w:spacing w:after="0" w:line="150"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It is possible that actual results could differ from recorded self-insurance liabilities. A 10% change in our projected ultimate losses would have affected net income by approximately $32.4 million for 2019.</w:t>
      </w:r>
    </w:p>
    <w:p>
      <w:pPr>
        <w:spacing w:after="0" w:line="6061" w:lineRule="exact"/>
        <w:rPr>
          <w:sz w:val="20"/>
          <w:szCs w:val="20"/>
          <w:color w:val="auto"/>
        </w:rPr>
      </w:pPr>
    </w:p>
    <w:p>
      <w:pPr>
        <w:sectPr>
          <w:pgSz w:w="11900" w:h="16838" w:orient="portrait"/>
          <w:cols w:equalWidth="0" w:num="3">
            <w:col w:w="3140" w:space="180"/>
            <w:col w:w="3120" w:space="180"/>
            <w:col w:w="4680"/>
          </w:cols>
          <w:pgMar w:left="280" w:top="687"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300"/>
          </w:cols>
          <w:pgMar w:left="280" w:top="687" w:right="31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33020</wp:posOffset>
            </wp:positionV>
            <wp:extent cx="20326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Contingencies and Litigation</w:t>
      </w:r>
    </w:p>
    <w:p>
      <w:pPr>
        <w:spacing w:after="0" w:line="20" w:lineRule="exact"/>
        <w:rPr>
          <w:sz w:val="20"/>
          <w:szCs w:val="20"/>
          <w:color w:val="auto"/>
        </w:rPr>
      </w:pPr>
      <w:r>
        <w:rPr>
          <w:sz w:val="20"/>
          <w:szCs w:val="20"/>
          <w:color w:val="auto"/>
        </w:rPr>
        <w:br w:type="column"/>
      </w:r>
    </w:p>
    <w:p>
      <w:pPr>
        <w:spacing w:after="0"/>
        <w:tabs>
          <w:tab w:leader="none" w:pos="3280" w:val="left"/>
        </w:tabs>
        <w:rPr>
          <w:sz w:val="20"/>
          <w:szCs w:val="20"/>
          <w:color w:val="auto"/>
        </w:rPr>
      </w:pPr>
      <w:r>
        <w:rPr>
          <w:rFonts w:ascii="Arial" w:cs="Arial" w:eastAsia="Arial" w:hAnsi="Arial"/>
          <w:sz w:val="16"/>
          <w:szCs w:val="16"/>
          <w:b w:val="1"/>
          <w:bCs w:val="1"/>
          <w:color w:val="auto"/>
        </w:rPr>
        <w:t>Judgments and Uncertainties</w:t>
      </w:r>
      <w:r>
        <w:rPr>
          <w:sz w:val="20"/>
          <w:szCs w:val="20"/>
          <w:color w:val="auto"/>
        </w:rPr>
        <w:tab/>
      </w:r>
      <w:r>
        <w:rPr>
          <w:rFonts w:ascii="Arial" w:cs="Arial" w:eastAsia="Arial" w:hAnsi="Arial"/>
          <w:sz w:val="16"/>
          <w:szCs w:val="16"/>
          <w:b w:val="1"/>
          <w:bCs w:val="1"/>
          <w:color w:val="auto"/>
        </w:rPr>
        <w:t>Effect if Actual Results Differ from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33020</wp:posOffset>
            </wp:positionV>
            <wp:extent cx="51371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spacing w:after="0" w:line="452" w:lineRule="exact"/>
        <w:rPr>
          <w:sz w:val="20"/>
          <w:szCs w:val="20"/>
          <w:color w:val="auto"/>
        </w:rPr>
      </w:pPr>
    </w:p>
    <w:p>
      <w:pPr>
        <w:sectPr>
          <w:pgSz w:w="11900" w:h="16838" w:orient="portrait"/>
          <w:cols w:equalWidth="0" w:num="2">
            <w:col w:w="2600" w:space="720"/>
            <w:col w:w="8020"/>
          </w:cols>
          <w:pgMar w:left="280" w:top="687" w:right="279" w:bottom="1440" w:gutter="0" w:footer="0" w:header="0"/>
        </w:sectPr>
      </w:pPr>
    </w:p>
    <w:p>
      <w:pPr>
        <w:ind w:right="40"/>
        <w:spacing w:after="0" w:line="252" w:lineRule="auto"/>
        <w:rPr>
          <w:sz w:val="20"/>
          <w:szCs w:val="20"/>
          <w:color w:val="auto"/>
        </w:rPr>
      </w:pPr>
      <w:r>
        <w:rPr>
          <w:rFonts w:ascii="Arial" w:cs="Arial" w:eastAsia="Arial" w:hAnsi="Arial"/>
          <w:sz w:val="16"/>
          <w:szCs w:val="16"/>
          <w:color w:val="auto"/>
        </w:rPr>
        <w:t>We are a party to a number of lawsuits, claims, and proceedings incident to the operation of our business, including those pertaining to labor and employment, contracts, personal injury, and other matters, some of which allege substantial monetary damages. Some of these actions may be brought as class actions on behalf of a class or purported class of employees.</w:t>
      </w:r>
    </w:p>
    <w:p>
      <w:pPr>
        <w:spacing w:after="0" w:line="152"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We accrue for loss contingencies when losses become probable and are reasonably estimable. If the reasonable estimate of the loss is a range and no amount within the range is a better estimate, the minimum amount of the range is recorded as a liability.</w:t>
      </w:r>
    </w:p>
    <w:p>
      <w:pPr>
        <w:spacing w:after="0" w:line="150"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We do not accrue for contingent losses that, in our judgment, are considered to be reasonably possible but not probable.</w:t>
      </w:r>
    </w:p>
    <w:p>
      <w:pPr>
        <w:spacing w:after="0" w:line="20" w:lineRule="exact"/>
        <w:rPr>
          <w:sz w:val="20"/>
          <w:szCs w:val="20"/>
          <w:color w:val="auto"/>
        </w:rPr>
      </w:pPr>
      <w:r>
        <w:rPr>
          <w:sz w:val="20"/>
          <w:szCs w:val="20"/>
          <w:color w:val="auto"/>
        </w:rPr>
        <w:br w:type="column"/>
      </w:r>
    </w:p>
    <w:p>
      <w:pPr>
        <w:ind w:right="40"/>
        <w:spacing w:after="0" w:line="269" w:lineRule="auto"/>
        <w:rPr>
          <w:sz w:val="20"/>
          <w:szCs w:val="20"/>
          <w:color w:val="auto"/>
        </w:rPr>
      </w:pPr>
      <w:r>
        <w:rPr>
          <w:rFonts w:ascii="Arial" w:cs="Arial" w:eastAsia="Arial" w:hAnsi="Arial"/>
          <w:sz w:val="16"/>
          <w:szCs w:val="16"/>
          <w:color w:val="auto"/>
        </w:rPr>
        <w:t>Litigation outcomes are difficult to predict and are often resolved over long periods of time.</w:t>
      </w:r>
    </w:p>
    <w:p>
      <w:pPr>
        <w:spacing w:after="0" w:line="13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Estimating probable and reasonably possible losses requires the analysis of multiple possible outcomes that often depend on judgments about potential actions by third parties, such as future changes in facts and circumstances, differing interpretations of the law, assessments of the amount of damages, and other factors beyond our control. There is the potential for a material adverse effect on our financial statements if one or more matters are resolved in a particular period in an amount materially in excess of what we anticipated.</w:t>
      </w:r>
    </w:p>
    <w:p>
      <w:pPr>
        <w:spacing w:after="0" w:line="153"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In addition, in some cases, although a loss is probable or reasonably possible, we cannot reasonably estimate the maximum potential losses for probable matters or the range of losses for reasonably possible matters. Therefore, our accrual for probable losses and our estimated range of loss for reasonably possible losses do not represent our maximum possible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5080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40"/>
        <w:spacing w:after="0" w:line="269" w:lineRule="auto"/>
        <w:rPr>
          <w:sz w:val="20"/>
          <w:szCs w:val="20"/>
          <w:color w:val="auto"/>
        </w:rPr>
      </w:pPr>
      <w:r>
        <w:rPr>
          <w:rFonts w:ascii="Arial" w:cs="Arial" w:eastAsia="Arial" w:hAnsi="Arial"/>
          <w:sz w:val="16"/>
          <w:szCs w:val="16"/>
          <w:color w:val="auto"/>
        </w:rPr>
        <w:t>We have not made any changes in the accounting methodology used to establish our loss contingencies during the past three years.</w:t>
      </w:r>
    </w:p>
    <w:p>
      <w:pPr>
        <w:spacing w:after="0" w:line="138"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Our management currently estimates the range of loss for all reasonably possible losses for which a reasonable estimate of the loss can be made is between zero and $6 million. Factors underlying this estimated range of loss may change from time to time, and actual results may vary significantly from this estimate.</w:t>
      </w:r>
    </w:p>
    <w:p>
      <w:pPr>
        <w:spacing w:after="0" w:line="3789" w:lineRule="exact"/>
        <w:rPr>
          <w:sz w:val="20"/>
          <w:szCs w:val="20"/>
          <w:color w:val="auto"/>
        </w:rPr>
      </w:pPr>
    </w:p>
    <w:p>
      <w:pPr>
        <w:sectPr>
          <w:pgSz w:w="11900" w:h="16838" w:orient="portrait"/>
          <w:cols w:equalWidth="0" w:num="3">
            <w:col w:w="3120" w:space="200"/>
            <w:col w:w="3120" w:space="180"/>
            <w:col w:w="4720"/>
          </w:cols>
          <w:pgMar w:left="280" w:top="687" w:right="279" w:bottom="1440" w:gutter="0" w:footer="0" w:header="0"/>
          <w:type w:val="continuous"/>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340"/>
          </w:cols>
          <w:pgMar w:left="280" w:top="687" w:right="27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7"/>
          <w:szCs w:val="17"/>
          <w:b w:val="1"/>
          <w:bCs w:val="1"/>
          <w:color w:val="0046AD"/>
        </w:rPr>
        <w:t>Recent Accounting Pronouncements</w:t>
      </w:r>
    </w:p>
    <w:p>
      <w:pPr>
        <w:sectPr>
          <w:pgSz w:w="11900" w:h="16838" w:orient="portrait"/>
          <w:cols w:equalWidth="0" w:num="1">
            <w:col w:w="11380"/>
          </w:cols>
          <w:pgMar w:left="240" w:top="493" w:right="27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left="300"/>
        <w:spacing w:after="0" w:line="274" w:lineRule="auto"/>
        <w:rPr>
          <w:sz w:val="20"/>
          <w:szCs w:val="20"/>
          <w:color w:val="auto"/>
        </w:rPr>
      </w:pPr>
      <w:r>
        <w:rPr>
          <w:rFonts w:ascii="Arial" w:cs="Arial" w:eastAsia="Arial" w:hAnsi="Arial"/>
          <w:sz w:val="16"/>
          <w:szCs w:val="16"/>
          <w:b w:val="1"/>
          <w:bCs w:val="1"/>
          <w:color w:val="auto"/>
        </w:rPr>
        <w:t>Accounting Standard Update(s)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9436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5"/>
          <w:szCs w:val="15"/>
          <w:color w:val="auto"/>
        </w:rPr>
        <w:t>2019-07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1054735</wp:posOffset>
            </wp:positionV>
            <wp:extent cx="9436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80"/>
        <w:spacing w:after="0"/>
        <w:rPr>
          <w:sz w:val="20"/>
          <w:szCs w:val="20"/>
          <w:color w:val="auto"/>
        </w:rPr>
      </w:pPr>
      <w:r>
        <w:rPr>
          <w:rFonts w:ascii="Arial" w:cs="Arial" w:eastAsia="Arial" w:hAnsi="Arial"/>
          <w:sz w:val="15"/>
          <w:szCs w:val="15"/>
          <w:color w:val="auto"/>
        </w:rPr>
        <w:t>2019-05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745490</wp:posOffset>
            </wp:positionV>
            <wp:extent cx="9436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80"/>
        <w:spacing w:after="0"/>
        <w:rPr>
          <w:sz w:val="20"/>
          <w:szCs w:val="20"/>
          <w:color w:val="auto"/>
        </w:rPr>
      </w:pPr>
      <w:r>
        <w:rPr>
          <w:rFonts w:ascii="Arial" w:cs="Arial" w:eastAsia="Arial" w:hAnsi="Arial"/>
          <w:sz w:val="15"/>
          <w:szCs w:val="15"/>
          <w:color w:val="auto"/>
        </w:rPr>
        <w:t>2019-04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1706245</wp:posOffset>
            </wp:positionV>
            <wp:extent cx="94361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80"/>
        <w:spacing w:after="0"/>
        <w:rPr>
          <w:sz w:val="20"/>
          <w:szCs w:val="20"/>
          <w:color w:val="auto"/>
        </w:rPr>
      </w:pPr>
      <w:r>
        <w:rPr>
          <w:rFonts w:ascii="Arial" w:cs="Arial" w:eastAsia="Arial" w:hAnsi="Arial"/>
          <w:sz w:val="15"/>
          <w:szCs w:val="15"/>
          <w:color w:val="auto"/>
        </w:rPr>
        <w:t>2018-18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1054735</wp:posOffset>
            </wp:positionV>
            <wp:extent cx="94361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80"/>
        <w:spacing w:after="0"/>
        <w:rPr>
          <w:sz w:val="20"/>
          <w:szCs w:val="20"/>
          <w:color w:val="auto"/>
        </w:rPr>
      </w:pPr>
      <w:r>
        <w:rPr>
          <w:rFonts w:ascii="Arial" w:cs="Arial" w:eastAsia="Arial" w:hAnsi="Arial"/>
          <w:sz w:val="15"/>
          <w:szCs w:val="15"/>
          <w:color w:val="auto"/>
        </w:rPr>
        <w:t>2018-17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625475</wp:posOffset>
            </wp:positionV>
            <wp:extent cx="94361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Topic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33020</wp:posOffset>
            </wp:positionV>
            <wp:extent cx="14579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Codification Updates to SEC</w:t>
      </w:r>
    </w:p>
    <w:p>
      <w:pPr>
        <w:spacing w:after="0" w:line="10" w:lineRule="exact"/>
        <w:rPr>
          <w:sz w:val="20"/>
          <w:szCs w:val="20"/>
          <w:color w:val="auto"/>
        </w:rPr>
      </w:pPr>
    </w:p>
    <w:p>
      <w:pPr>
        <w:jc w:val="center"/>
        <w:spacing w:after="0" w:line="229" w:lineRule="auto"/>
        <w:rPr>
          <w:sz w:val="20"/>
          <w:szCs w:val="20"/>
          <w:color w:val="auto"/>
        </w:rPr>
      </w:pPr>
      <w:r>
        <w:rPr>
          <w:rFonts w:ascii="Arial" w:cs="Arial" w:eastAsia="Arial" w:hAnsi="Arial"/>
          <w:sz w:val="15"/>
          <w:szCs w:val="15"/>
          <w:color w:val="auto"/>
        </w:rPr>
        <w:t>Sections—Amendments to SEC Paragraphs Pursuant to SEC Final Rule Releases No. 33-10532, “Disclosure Update and Simplification,” and Nos. 33-10231 and 33-10442, “Investment Company Reporting Modernization,” and Miscellaneous Updates.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107950</wp:posOffset>
            </wp:positionV>
            <wp:extent cx="14579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167" w:lineRule="exact"/>
        <w:rPr>
          <w:sz w:val="20"/>
          <w:szCs w:val="20"/>
          <w:color w:val="auto"/>
        </w:rPr>
      </w:pPr>
    </w:p>
    <w:p>
      <w:pPr>
        <w:jc w:val="center"/>
        <w:ind w:left="-19" w:right="80"/>
        <w:spacing w:after="0" w:line="249" w:lineRule="auto"/>
        <w:rPr>
          <w:sz w:val="20"/>
          <w:szCs w:val="20"/>
          <w:color w:val="auto"/>
        </w:rPr>
      </w:pPr>
      <w:r>
        <w:rPr>
          <w:rFonts w:ascii="Arial" w:cs="Arial" w:eastAsia="Arial" w:hAnsi="Arial"/>
          <w:sz w:val="15"/>
          <w:szCs w:val="15"/>
          <w:color w:val="auto"/>
        </w:rPr>
        <w:t>Financial Instruments—Credit Losses (Topic 326): Targeted Transition Relief.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514350</wp:posOffset>
            </wp:positionV>
            <wp:extent cx="14579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19" w:right="100"/>
        <w:spacing w:after="0" w:line="235" w:lineRule="auto"/>
        <w:rPr>
          <w:sz w:val="20"/>
          <w:szCs w:val="20"/>
          <w:color w:val="auto"/>
        </w:rPr>
      </w:pPr>
      <w:r>
        <w:rPr>
          <w:rFonts w:ascii="Arial" w:cs="Arial" w:eastAsia="Arial" w:hAnsi="Arial"/>
          <w:sz w:val="15"/>
          <w:szCs w:val="15"/>
          <w:color w:val="auto"/>
        </w:rPr>
        <w:t>Codification Improvements to Topic 326: Financial Instruments—Credit Losses; Topic 815: Derivatives and Hedging; and Topic 825: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1172210</wp:posOffset>
            </wp:positionV>
            <wp:extent cx="14579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left="80"/>
        <w:spacing w:after="0" w:line="241" w:lineRule="auto"/>
        <w:rPr>
          <w:sz w:val="20"/>
          <w:szCs w:val="20"/>
          <w:color w:val="auto"/>
        </w:rPr>
      </w:pPr>
      <w:r>
        <w:rPr>
          <w:rFonts w:ascii="Arial" w:cs="Arial" w:eastAsia="Arial" w:hAnsi="Arial"/>
          <w:sz w:val="15"/>
          <w:szCs w:val="15"/>
          <w:color w:val="auto"/>
        </w:rPr>
        <w:t>Collaborative Arrangements (Topic 808): Clarifying the Interaction between Topic 808 and Topic 606.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723900</wp:posOffset>
            </wp:positionV>
            <wp:extent cx="14579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left="180"/>
        <w:spacing w:after="0" w:line="241" w:lineRule="auto"/>
        <w:rPr>
          <w:sz w:val="20"/>
          <w:szCs w:val="20"/>
          <w:color w:val="auto"/>
        </w:rPr>
      </w:pPr>
      <w:r>
        <w:rPr>
          <w:rFonts w:ascii="Arial" w:cs="Arial" w:eastAsia="Arial" w:hAnsi="Arial"/>
          <w:sz w:val="15"/>
          <w:szCs w:val="15"/>
          <w:color w:val="auto"/>
        </w:rPr>
        <w:t>Consolidation (Topic 810): Targeted Improvements to Related Party Guidance for 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295275</wp:posOffset>
            </wp:positionV>
            <wp:extent cx="14579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left="-19"/>
        <w:spacing w:after="0"/>
        <w:rPr>
          <w:sz w:val="20"/>
          <w:szCs w:val="20"/>
          <w:color w:val="auto"/>
        </w:rPr>
      </w:pPr>
      <w:r>
        <w:rPr>
          <w:rFonts w:ascii="Arial" w:cs="Arial" w:eastAsia="Arial" w:hAnsi="Arial"/>
          <w:sz w:val="16"/>
          <w:szCs w:val="16"/>
          <w:b w:val="1"/>
          <w:bCs w:val="1"/>
          <w:color w:val="auto"/>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33020</wp:posOffset>
            </wp:positionV>
            <wp:extent cx="31813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9" w:lineRule="exact"/>
        <w:rPr>
          <w:sz w:val="20"/>
          <w:szCs w:val="20"/>
          <w:color w:val="auto"/>
        </w:rPr>
      </w:pPr>
    </w:p>
    <w:p>
      <w:pPr>
        <w:ind w:right="120"/>
        <w:spacing w:after="0" w:line="237" w:lineRule="auto"/>
        <w:rPr>
          <w:sz w:val="20"/>
          <w:szCs w:val="20"/>
          <w:color w:val="auto"/>
        </w:rPr>
      </w:pPr>
      <w:r>
        <w:rPr>
          <w:rFonts w:ascii="Arial" w:cs="Arial" w:eastAsia="Arial" w:hAnsi="Arial"/>
          <w:sz w:val="15"/>
          <w:szCs w:val="15"/>
          <w:color w:val="auto"/>
        </w:rPr>
        <w:t>The Financial Accounting Standards Board (“FASB”) issued this ASU in July 2019 to codify the SEC releases that clarify and improve the disclosure and presentation requirements of a variety of codification topics, thereby eliminating certain disclosure requirements that were redundant, duplicative, overlapping, outdated, or superseded.</w:t>
      </w:r>
    </w:p>
    <w:p>
      <w:pPr>
        <w:spacing w:after="0" w:line="121" w:lineRule="exact"/>
        <w:rPr>
          <w:sz w:val="20"/>
          <w:szCs w:val="20"/>
          <w:color w:val="auto"/>
        </w:rPr>
      </w:pPr>
    </w:p>
    <w:p>
      <w:pPr>
        <w:ind w:right="20"/>
        <w:spacing w:after="0" w:line="237" w:lineRule="auto"/>
        <w:rPr>
          <w:sz w:val="20"/>
          <w:szCs w:val="20"/>
          <w:color w:val="auto"/>
        </w:rPr>
      </w:pPr>
      <w:r>
        <w:rPr>
          <w:rFonts w:ascii="Arial" w:cs="Arial" w:eastAsia="Arial" w:hAnsi="Arial"/>
          <w:sz w:val="15"/>
          <w:szCs w:val="15"/>
          <w:color w:val="auto"/>
        </w:rPr>
        <w:t>We adopted the amendments under the SEC releases in the second quarter of 2019, as described in Note 2, “Basis of Presentation and Significant Accounting Policies,” in the Financial Statements. The eliminated or amended disclosures did not have a material impact on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5715</wp:posOffset>
            </wp:positionV>
            <wp:extent cx="31813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6" w:lineRule="exact"/>
        <w:rPr>
          <w:sz w:val="20"/>
          <w:szCs w:val="20"/>
          <w:color w:val="auto"/>
        </w:rPr>
      </w:pPr>
    </w:p>
    <w:p>
      <w:pPr>
        <w:spacing w:after="0" w:line="237" w:lineRule="auto"/>
        <w:rPr>
          <w:sz w:val="20"/>
          <w:szCs w:val="20"/>
          <w:color w:val="auto"/>
        </w:rPr>
      </w:pPr>
      <w:r>
        <w:rPr>
          <w:rFonts w:ascii="Arial" w:cs="Arial" w:eastAsia="Arial" w:hAnsi="Arial"/>
          <w:sz w:val="15"/>
          <w:szCs w:val="15"/>
          <w:color w:val="auto"/>
        </w:rPr>
        <w:t>This ASU, issued in May 2019, provides targeted transition relief allowing entities to make an irrevocable one-time election upon adoption of the new credit losses standard to measure financial assets previously measured at amortized cost (except held-to-maturity securities) using the fair value option.</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5"/>
          <w:szCs w:val="15"/>
          <w:color w:val="auto"/>
        </w:rPr>
        <w:t>We are currently evaluating the impact of implementing this guidance on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-9525</wp:posOffset>
            </wp:positionV>
            <wp:extent cx="31813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jc w:val="both"/>
        <w:ind w:right="320"/>
        <w:spacing w:after="0" w:line="249" w:lineRule="auto"/>
        <w:rPr>
          <w:sz w:val="20"/>
          <w:szCs w:val="20"/>
          <w:color w:val="auto"/>
        </w:rPr>
      </w:pPr>
      <w:r>
        <w:rPr>
          <w:rFonts w:ascii="Arial" w:cs="Arial" w:eastAsia="Arial" w:hAnsi="Arial"/>
          <w:sz w:val="15"/>
          <w:szCs w:val="15"/>
          <w:color w:val="auto"/>
        </w:rPr>
        <w:t>This ASU, issued in April 2019, provides narrow-scope amendments designed to assist in the application of the following updates and the related accounting standards:</w:t>
      </w:r>
    </w:p>
    <w:p>
      <w:pPr>
        <w:spacing w:after="0" w:line="84" w:lineRule="exact"/>
        <w:rPr>
          <w:sz w:val="20"/>
          <w:szCs w:val="20"/>
          <w:color w:val="auto"/>
        </w:rPr>
      </w:pPr>
    </w:p>
    <w:p>
      <w:pPr>
        <w:ind w:right="340" w:firstLine="6"/>
        <w:spacing w:after="0" w:line="272" w:lineRule="auto"/>
        <w:tabs>
          <w:tab w:leader="none" w:pos="229" w:val="left"/>
        </w:tabs>
        <w:numPr>
          <w:ilvl w:val="0"/>
          <w:numId w:val="21"/>
        </w:numPr>
        <w:rPr>
          <w:rFonts w:ascii="Arial" w:cs="Arial" w:eastAsia="Arial" w:hAnsi="Arial"/>
          <w:sz w:val="15"/>
          <w:szCs w:val="15"/>
          <w:color w:val="auto"/>
        </w:rPr>
      </w:pPr>
      <w:r>
        <w:rPr>
          <w:rFonts w:ascii="Arial" w:cs="Arial" w:eastAsia="Arial" w:hAnsi="Arial"/>
          <w:sz w:val="15"/>
          <w:szCs w:val="15"/>
          <w:color w:val="auto"/>
        </w:rPr>
        <w:t xml:space="preserve">ASU 2016-13, </w:t>
      </w:r>
      <w:r>
        <w:rPr>
          <w:rFonts w:ascii="Arial" w:cs="Arial" w:eastAsia="Arial" w:hAnsi="Arial"/>
          <w:sz w:val="15"/>
          <w:szCs w:val="15"/>
          <w:i w:val="1"/>
          <w:iCs w:val="1"/>
          <w:color w:val="auto"/>
        </w:rPr>
        <w:t>Financial Instruments—Credit Losses (Topic 326):</w:t>
      </w:r>
      <w:r>
        <w:rPr>
          <w:rFonts w:ascii="Arial" w:cs="Arial" w:eastAsia="Arial" w:hAnsi="Arial"/>
          <w:sz w:val="15"/>
          <w:szCs w:val="15"/>
          <w:color w:val="auto"/>
        </w:rPr>
        <w:t xml:space="preserve"> </w:t>
      </w:r>
      <w:r>
        <w:rPr>
          <w:rFonts w:ascii="Arial" w:cs="Arial" w:eastAsia="Arial" w:hAnsi="Arial"/>
          <w:sz w:val="15"/>
          <w:szCs w:val="15"/>
          <w:i w:val="1"/>
          <w:iCs w:val="1"/>
          <w:color w:val="auto"/>
        </w:rPr>
        <w:t>Measurement of Credit Losses on Financial Statements</w:t>
      </w:r>
      <w:r>
        <w:rPr>
          <w:rFonts w:ascii="Arial" w:cs="Arial" w:eastAsia="Arial" w:hAnsi="Arial"/>
          <w:sz w:val="15"/>
          <w:szCs w:val="15"/>
          <w:color w:val="auto"/>
        </w:rPr>
        <w:t>;</w:t>
      </w:r>
    </w:p>
    <w:p>
      <w:pPr>
        <w:spacing w:after="0" w:line="68" w:lineRule="exact"/>
        <w:rPr>
          <w:rFonts w:ascii="Arial" w:cs="Arial" w:eastAsia="Arial" w:hAnsi="Arial"/>
          <w:sz w:val="15"/>
          <w:szCs w:val="15"/>
          <w:color w:val="auto"/>
        </w:rPr>
      </w:pPr>
    </w:p>
    <w:p>
      <w:pPr>
        <w:ind w:right="560" w:firstLine="6"/>
        <w:spacing w:after="0" w:line="272" w:lineRule="auto"/>
        <w:tabs>
          <w:tab w:leader="none" w:pos="229" w:val="left"/>
        </w:tabs>
        <w:numPr>
          <w:ilvl w:val="0"/>
          <w:numId w:val="21"/>
        </w:numPr>
        <w:rPr>
          <w:rFonts w:ascii="Arial" w:cs="Arial" w:eastAsia="Arial" w:hAnsi="Arial"/>
          <w:sz w:val="15"/>
          <w:szCs w:val="15"/>
          <w:color w:val="auto"/>
        </w:rPr>
      </w:pPr>
      <w:r>
        <w:rPr>
          <w:rFonts w:ascii="Arial" w:cs="Arial" w:eastAsia="Arial" w:hAnsi="Arial"/>
          <w:sz w:val="15"/>
          <w:szCs w:val="15"/>
          <w:color w:val="auto"/>
        </w:rPr>
        <w:t xml:space="preserve">ASU 2017-12, </w:t>
      </w:r>
      <w:r>
        <w:rPr>
          <w:rFonts w:ascii="Arial" w:cs="Arial" w:eastAsia="Arial" w:hAnsi="Arial"/>
          <w:sz w:val="15"/>
          <w:szCs w:val="15"/>
          <w:i w:val="1"/>
          <w:iCs w:val="1"/>
          <w:color w:val="auto"/>
        </w:rPr>
        <w:t>Derivatives and Hedging (Topic 815): Targeted</w:t>
      </w:r>
      <w:r>
        <w:rPr>
          <w:rFonts w:ascii="Arial" w:cs="Arial" w:eastAsia="Arial" w:hAnsi="Arial"/>
          <w:sz w:val="15"/>
          <w:szCs w:val="15"/>
          <w:color w:val="auto"/>
        </w:rPr>
        <w:t xml:space="preserve"> </w:t>
      </w:r>
      <w:r>
        <w:rPr>
          <w:rFonts w:ascii="Arial" w:cs="Arial" w:eastAsia="Arial" w:hAnsi="Arial"/>
          <w:sz w:val="15"/>
          <w:szCs w:val="15"/>
          <w:i w:val="1"/>
          <w:iCs w:val="1"/>
          <w:color w:val="auto"/>
        </w:rPr>
        <w:t>Improvements to Accounting for Hedging Activities</w:t>
      </w:r>
      <w:r>
        <w:rPr>
          <w:rFonts w:ascii="Arial" w:cs="Arial" w:eastAsia="Arial" w:hAnsi="Arial"/>
          <w:sz w:val="15"/>
          <w:szCs w:val="15"/>
          <w:color w:val="auto"/>
        </w:rPr>
        <w:t>; and</w:t>
      </w:r>
    </w:p>
    <w:p>
      <w:pPr>
        <w:spacing w:after="0" w:line="68" w:lineRule="exact"/>
        <w:rPr>
          <w:rFonts w:ascii="Arial" w:cs="Arial" w:eastAsia="Arial" w:hAnsi="Arial"/>
          <w:sz w:val="15"/>
          <w:szCs w:val="15"/>
          <w:color w:val="auto"/>
        </w:rPr>
      </w:pPr>
    </w:p>
    <w:p>
      <w:pPr>
        <w:ind w:right="600" w:firstLine="6"/>
        <w:spacing w:after="0" w:line="249" w:lineRule="auto"/>
        <w:tabs>
          <w:tab w:leader="none" w:pos="229" w:val="left"/>
        </w:tabs>
        <w:numPr>
          <w:ilvl w:val="0"/>
          <w:numId w:val="21"/>
        </w:numPr>
        <w:rPr>
          <w:rFonts w:ascii="Arial" w:cs="Arial" w:eastAsia="Arial" w:hAnsi="Arial"/>
          <w:sz w:val="15"/>
          <w:szCs w:val="15"/>
          <w:color w:val="auto"/>
        </w:rPr>
      </w:pPr>
      <w:r>
        <w:rPr>
          <w:rFonts w:ascii="Arial" w:cs="Arial" w:eastAsia="Arial" w:hAnsi="Arial"/>
          <w:sz w:val="15"/>
          <w:szCs w:val="15"/>
          <w:color w:val="auto"/>
        </w:rPr>
        <w:t xml:space="preserve">2016-01, </w:t>
      </w:r>
      <w:r>
        <w:rPr>
          <w:rFonts w:ascii="Arial" w:cs="Arial" w:eastAsia="Arial" w:hAnsi="Arial"/>
          <w:sz w:val="15"/>
          <w:szCs w:val="15"/>
          <w:i w:val="1"/>
          <w:iCs w:val="1"/>
          <w:color w:val="auto"/>
        </w:rPr>
        <w:t>Financial Instruments—Overall (Subtopic 825-10):</w:t>
      </w:r>
      <w:r>
        <w:rPr>
          <w:rFonts w:ascii="Arial" w:cs="Arial" w:eastAsia="Arial" w:hAnsi="Arial"/>
          <w:sz w:val="15"/>
          <w:szCs w:val="15"/>
          <w:color w:val="auto"/>
        </w:rPr>
        <w:t xml:space="preserve"> </w:t>
      </w:r>
      <w:r>
        <w:rPr>
          <w:rFonts w:ascii="Arial" w:cs="Arial" w:eastAsia="Arial" w:hAnsi="Arial"/>
          <w:sz w:val="15"/>
          <w:szCs w:val="15"/>
          <w:i w:val="1"/>
          <w:iCs w:val="1"/>
          <w:color w:val="auto"/>
        </w:rPr>
        <w:t>Recognition and Measurement of Financial Assets and Financial Liabilities</w:t>
      </w:r>
      <w:r>
        <w:rPr>
          <w:rFonts w:ascii="Arial" w:cs="Arial" w:eastAsia="Arial" w:hAnsi="Arial"/>
          <w:sz w:val="15"/>
          <w:szCs w:val="15"/>
          <w:color w:val="auto"/>
        </w:rPr>
        <w:t>.</w:t>
      </w:r>
    </w:p>
    <w:p>
      <w:pPr>
        <w:spacing w:after="0" w:line="84" w:lineRule="exact"/>
        <w:rPr>
          <w:sz w:val="20"/>
          <w:szCs w:val="20"/>
          <w:color w:val="auto"/>
        </w:rPr>
      </w:pPr>
    </w:p>
    <w:p>
      <w:pPr>
        <w:ind w:right="40"/>
        <w:spacing w:after="0" w:line="241" w:lineRule="auto"/>
        <w:rPr>
          <w:sz w:val="20"/>
          <w:szCs w:val="20"/>
          <w:color w:val="auto"/>
        </w:rPr>
      </w:pPr>
      <w:r>
        <w:rPr>
          <w:rFonts w:ascii="Arial" w:cs="Arial" w:eastAsia="Arial" w:hAnsi="Arial"/>
          <w:sz w:val="15"/>
          <w:szCs w:val="15"/>
          <w:color w:val="auto"/>
        </w:rPr>
        <w:t>We are currently evaluating the impact of implementing the guidance related to (1) and (3) on our financial statements. We adopted the guidance related to (2) effective November 1, 2019 on a prospective basis without significant impact on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3810</wp:posOffset>
            </wp:positionV>
            <wp:extent cx="31813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 w:lineRule="exact"/>
        <w:rPr>
          <w:sz w:val="20"/>
          <w:szCs w:val="20"/>
          <w:color w:val="auto"/>
        </w:rPr>
      </w:pPr>
    </w:p>
    <w:p>
      <w:pPr>
        <w:ind w:right="160"/>
        <w:spacing w:after="0" w:line="233" w:lineRule="auto"/>
        <w:rPr>
          <w:sz w:val="20"/>
          <w:szCs w:val="20"/>
          <w:color w:val="auto"/>
        </w:rPr>
      </w:pPr>
      <w:r>
        <w:rPr>
          <w:rFonts w:ascii="Arial" w:cs="Arial" w:eastAsia="Arial" w:hAnsi="Arial"/>
          <w:sz w:val="15"/>
          <w:szCs w:val="15"/>
          <w:color w:val="auto"/>
        </w:rPr>
        <w:t>This ASU, issued in November 2018, provides guidance on whether certain transactions between collaborative arrangement participants should be accounted for as revenue under Topic 606. It specifically addresses when the participant is a customer in the context of a unit of account, adds unit of account guidance in Topic 808 to align with guidance in Topic 606, and precludes presenting the collaborative arrangement transaction together with revenue recognized under Topic 606 if the collaborative arrangement participant is not a customer.</w:t>
      </w:r>
    </w:p>
    <w:p>
      <w:pPr>
        <w:spacing w:after="0" w:line="119" w:lineRule="exact"/>
        <w:rPr>
          <w:sz w:val="20"/>
          <w:szCs w:val="20"/>
          <w:color w:val="auto"/>
        </w:rPr>
      </w:pPr>
    </w:p>
    <w:p>
      <w:pPr>
        <w:ind w:right="60"/>
        <w:spacing w:after="0" w:line="272" w:lineRule="auto"/>
        <w:rPr>
          <w:sz w:val="20"/>
          <w:szCs w:val="20"/>
          <w:color w:val="auto"/>
        </w:rPr>
      </w:pPr>
      <w:r>
        <w:rPr>
          <w:rFonts w:ascii="Arial" w:cs="Arial" w:eastAsia="Arial" w:hAnsi="Arial"/>
          <w:sz w:val="15"/>
          <w:szCs w:val="15"/>
          <w:color w:val="auto"/>
        </w:rPr>
        <w:t>We are currently evaluating the impact of implementing this guidance on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-9525</wp:posOffset>
            </wp:positionV>
            <wp:extent cx="31813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ind w:right="140"/>
        <w:spacing w:after="0" w:line="241" w:lineRule="auto"/>
        <w:rPr>
          <w:sz w:val="20"/>
          <w:szCs w:val="20"/>
          <w:color w:val="auto"/>
        </w:rPr>
      </w:pPr>
      <w:r>
        <w:rPr>
          <w:rFonts w:ascii="Arial" w:cs="Arial" w:eastAsia="Arial" w:hAnsi="Arial"/>
          <w:sz w:val="15"/>
          <w:szCs w:val="15"/>
          <w:color w:val="auto"/>
        </w:rPr>
        <w:t>This ASU, issued in October 2018, provides that indirect interests held through related parties in common control arrangements should be considered on a proportional basis for determining whether fees paid to decision makers and service providers are variable interest.</w:t>
      </w:r>
    </w:p>
    <w:p>
      <w:pPr>
        <w:spacing w:after="0" w:line="90" w:lineRule="exact"/>
        <w:rPr>
          <w:sz w:val="20"/>
          <w:szCs w:val="20"/>
          <w:color w:val="auto"/>
        </w:rPr>
      </w:pPr>
    </w:p>
    <w:p>
      <w:pPr>
        <w:ind w:right="60"/>
        <w:spacing w:after="0" w:line="272" w:lineRule="auto"/>
        <w:rPr>
          <w:sz w:val="20"/>
          <w:szCs w:val="20"/>
          <w:color w:val="auto"/>
        </w:rPr>
      </w:pPr>
      <w:r>
        <w:rPr>
          <w:rFonts w:ascii="Arial" w:cs="Arial" w:eastAsia="Arial" w:hAnsi="Arial"/>
          <w:sz w:val="15"/>
          <w:szCs w:val="15"/>
          <w:color w:val="auto"/>
        </w:rPr>
        <w:t>We are currently evaluating the impact of implementing this guidance on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-9525</wp:posOffset>
            </wp:positionV>
            <wp:extent cx="31813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Effective Date/Method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19050</wp:posOffset>
            </wp:positionV>
            <wp:extent cx="14490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7" w:lineRule="exact"/>
        <w:rPr>
          <w:sz w:val="20"/>
          <w:szCs w:val="20"/>
          <w:color w:val="auto"/>
        </w:rPr>
      </w:pPr>
    </w:p>
    <w:p>
      <w:pPr>
        <w:jc w:val="center"/>
        <w:spacing w:after="0" w:line="272" w:lineRule="auto"/>
        <w:rPr>
          <w:sz w:val="20"/>
          <w:szCs w:val="20"/>
          <w:color w:val="auto"/>
        </w:rPr>
      </w:pPr>
      <w:r>
        <w:rPr>
          <w:rFonts w:ascii="Arial" w:cs="Arial" w:eastAsia="Arial" w:hAnsi="Arial"/>
          <w:sz w:val="15"/>
          <w:szCs w:val="15"/>
          <w:color w:val="auto"/>
        </w:rPr>
        <w:t>Effective upon issuance, applied prospectively.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915670</wp:posOffset>
            </wp:positionV>
            <wp:extent cx="14490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left="60"/>
        <w:spacing w:after="0" w:line="249" w:lineRule="auto"/>
        <w:rPr>
          <w:sz w:val="20"/>
          <w:szCs w:val="20"/>
          <w:color w:val="auto"/>
        </w:rPr>
      </w:pPr>
      <w:r>
        <w:rPr>
          <w:rFonts w:ascii="Arial" w:cs="Arial" w:eastAsia="Arial" w:hAnsi="Arial"/>
          <w:sz w:val="15"/>
          <w:szCs w:val="15"/>
          <w:color w:val="auto"/>
        </w:rPr>
        <w:t>This update will be adopted in conjunction with ASU 2016-13, as further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514350</wp:posOffset>
            </wp:positionV>
            <wp:extent cx="14490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right="20" w:firstLine="29"/>
        <w:spacing w:after="0" w:line="234" w:lineRule="auto"/>
        <w:tabs>
          <w:tab w:leader="none" w:pos="271"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amendments related to ASU 2016-13 will be adopted in conjunction with that ASU, as</w:t>
      </w:r>
    </w:p>
    <w:p>
      <w:pPr>
        <w:spacing w:after="0" w:line="1" w:lineRule="exact"/>
        <w:rPr>
          <w:rFonts w:ascii="Arial" w:cs="Arial" w:eastAsia="Arial" w:hAnsi="Arial"/>
          <w:sz w:val="15"/>
          <w:szCs w:val="15"/>
          <w:color w:val="auto"/>
        </w:rPr>
      </w:pPr>
    </w:p>
    <w:p>
      <w:pPr>
        <w:ind w:left="280"/>
        <w:spacing w:after="0"/>
        <w:rPr>
          <w:rFonts w:ascii="Arial" w:cs="Arial" w:eastAsia="Arial" w:hAnsi="Arial"/>
          <w:sz w:val="15"/>
          <w:szCs w:val="15"/>
          <w:color w:val="auto"/>
        </w:rPr>
      </w:pPr>
      <w:r>
        <w:rPr>
          <w:rFonts w:ascii="Arial" w:cs="Arial" w:eastAsia="Arial" w:hAnsi="Arial"/>
          <w:sz w:val="15"/>
          <w:szCs w:val="15"/>
          <w:color w:val="auto"/>
        </w:rPr>
        <w:t>further described below.</w:t>
      </w:r>
    </w:p>
    <w:p>
      <w:pPr>
        <w:spacing w:after="0" w:line="104" w:lineRule="exact"/>
        <w:rPr>
          <w:rFonts w:ascii="Arial" w:cs="Arial" w:eastAsia="Arial" w:hAnsi="Arial"/>
          <w:sz w:val="15"/>
          <w:szCs w:val="15"/>
          <w:color w:val="auto"/>
        </w:rPr>
      </w:pPr>
    </w:p>
    <w:p>
      <w:pPr>
        <w:ind w:left="240" w:right="100" w:hanging="136"/>
        <w:spacing w:after="0" w:line="239" w:lineRule="auto"/>
        <w:tabs>
          <w:tab w:leader="none" w:pos="338" w:val="left"/>
        </w:tabs>
        <w:numPr>
          <w:ilvl w:val="1"/>
          <w:numId w:val="22"/>
        </w:numPr>
        <w:rPr>
          <w:rFonts w:ascii="Arial" w:cs="Arial" w:eastAsia="Arial" w:hAnsi="Arial"/>
          <w:sz w:val="15"/>
          <w:szCs w:val="15"/>
          <w:color w:val="auto"/>
        </w:rPr>
      </w:pPr>
      <w:r>
        <w:rPr>
          <w:rFonts w:ascii="Arial" w:cs="Arial" w:eastAsia="Arial" w:hAnsi="Arial"/>
          <w:sz w:val="15"/>
          <w:szCs w:val="15"/>
          <w:color w:val="auto"/>
        </w:rPr>
        <w:t>Since we already adopted ASU 2016-01, the related</w:t>
      </w:r>
    </w:p>
    <w:p>
      <w:pPr>
        <w:spacing w:after="0" w:line="1" w:lineRule="exact"/>
        <w:rPr>
          <w:sz w:val="20"/>
          <w:szCs w:val="20"/>
          <w:color w:val="auto"/>
        </w:rPr>
      </w:pPr>
    </w:p>
    <w:p>
      <w:pPr>
        <w:jc w:val="center"/>
        <w:spacing w:after="0" w:line="231" w:lineRule="auto"/>
        <w:rPr>
          <w:sz w:val="20"/>
          <w:szCs w:val="20"/>
          <w:color w:val="auto"/>
        </w:rPr>
      </w:pPr>
      <w:r>
        <w:rPr>
          <w:rFonts w:ascii="Arial" w:cs="Arial" w:eastAsia="Arial" w:hAnsi="Arial"/>
          <w:sz w:val="15"/>
          <w:szCs w:val="15"/>
          <w:color w:val="auto"/>
        </w:rPr>
        <w:t>amendments are effective for us on November 1, 2020 and will be applied using a modified-retrospective adoption approach with a cumulative-effect adjustment to 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467360</wp:posOffset>
            </wp:positionV>
            <wp:extent cx="14490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November 1, 2020</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This update will be applied</w:t>
      </w:r>
    </w:p>
    <w:p>
      <w:pPr>
        <w:spacing w:after="0" w:line="10" w:lineRule="exact"/>
        <w:rPr>
          <w:sz w:val="20"/>
          <w:szCs w:val="20"/>
          <w:color w:val="auto"/>
        </w:rPr>
      </w:pPr>
    </w:p>
    <w:p>
      <w:pPr>
        <w:ind w:left="600"/>
        <w:spacing w:after="0"/>
        <w:rPr>
          <w:sz w:val="20"/>
          <w:szCs w:val="20"/>
          <w:color w:val="auto"/>
        </w:rPr>
      </w:pPr>
      <w:r>
        <w:rPr>
          <w:rFonts w:ascii="Arial" w:cs="Arial" w:eastAsia="Arial" w:hAnsi="Arial"/>
          <w:sz w:val="15"/>
          <w:szCs w:val="15"/>
          <w:color w:val="auto"/>
        </w:rPr>
        <w:t>retrospectively.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749935</wp:posOffset>
            </wp:positionV>
            <wp:extent cx="14490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November 1, 2020</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This update will be applied</w:t>
      </w:r>
    </w:p>
    <w:p>
      <w:pPr>
        <w:spacing w:after="0" w:line="10" w:lineRule="exact"/>
        <w:rPr>
          <w:sz w:val="20"/>
          <w:szCs w:val="20"/>
          <w:color w:val="auto"/>
        </w:rPr>
      </w:pPr>
    </w:p>
    <w:p>
      <w:pPr>
        <w:ind w:left="600"/>
        <w:spacing w:after="0"/>
        <w:rPr>
          <w:sz w:val="20"/>
          <w:szCs w:val="20"/>
          <w:color w:val="auto"/>
        </w:rPr>
      </w:pPr>
      <w:r>
        <w:rPr>
          <w:rFonts w:ascii="Arial" w:cs="Arial" w:eastAsia="Arial" w:hAnsi="Arial"/>
          <w:sz w:val="15"/>
          <w:szCs w:val="15"/>
          <w:color w:val="auto"/>
        </w:rPr>
        <w:t>retrospectively.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321310</wp:posOffset>
            </wp:positionV>
            <wp:extent cx="14490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722" w:lineRule="exact"/>
        <w:rPr>
          <w:sz w:val="20"/>
          <w:szCs w:val="20"/>
          <w:color w:val="auto"/>
        </w:rPr>
      </w:pPr>
    </w:p>
    <w:p>
      <w:pPr>
        <w:sectPr>
          <w:pgSz w:w="11900" w:h="16838" w:orient="portrait"/>
          <w:cols w:equalWidth="0" w:num="4">
            <w:col w:w="1200" w:space="460"/>
            <w:col w:w="2200" w:space="180"/>
            <w:col w:w="4960" w:space="180"/>
            <w:col w:w="2200"/>
          </w:cols>
          <w:pgMar w:left="240" w:top="493" w:right="279" w:bottom="1440" w:gutter="0" w:footer="0" w:header="0"/>
          <w:type w:val="continuous"/>
        </w:sectPr>
      </w:pP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380"/>
          </w:cols>
          <w:pgMar w:left="240" w:top="493" w:right="279"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189"/>
        </w:trPr>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Accounting</w:t>
            </w:r>
          </w:p>
        </w:tc>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Standard</w:t>
            </w:r>
          </w:p>
        </w:tc>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Update(s)</w:t>
            </w:r>
          </w:p>
        </w:tc>
        <w:tc>
          <w:tcPr>
            <w:tcW w:w="120" w:type="dxa"/>
            <w:vAlign w:val="bottom"/>
          </w:tcPr>
          <w:p>
            <w:pPr>
              <w:spacing w:after="0"/>
              <w:rPr>
                <w:sz w:val="20"/>
                <w:szCs w:val="20"/>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Topic</w:t>
            </w:r>
          </w:p>
        </w:tc>
        <w:tc>
          <w:tcPr>
            <w:tcW w:w="100" w:type="dxa"/>
            <w:vAlign w:val="bottom"/>
          </w:tcPr>
          <w:p>
            <w:pPr>
              <w:spacing w:after="0"/>
              <w:rPr>
                <w:sz w:val="20"/>
                <w:szCs w:val="20"/>
                <w:color w:val="auto"/>
              </w:rPr>
            </w:pPr>
          </w:p>
        </w:tc>
        <w:tc>
          <w:tcPr>
            <w:tcW w:w="5000" w:type="dxa"/>
            <w:vAlign w:val="bottom"/>
            <w:tcBorders>
              <w:bottom w:val="single" w:sz="8" w:color="auto"/>
            </w:tcBorders>
          </w:tcPr>
          <w:p>
            <w:pPr>
              <w:ind w:left="2140"/>
              <w:spacing w:after="0"/>
              <w:rPr>
                <w:sz w:val="20"/>
                <w:szCs w:val="20"/>
                <w:color w:val="auto"/>
              </w:rPr>
            </w:pPr>
            <w:r>
              <w:rPr>
                <w:rFonts w:ascii="Arial" w:cs="Arial" w:eastAsia="Arial" w:hAnsi="Arial"/>
                <w:sz w:val="16"/>
                <w:szCs w:val="16"/>
                <w:b w:val="1"/>
                <w:bCs w:val="1"/>
                <w:color w:val="auto"/>
              </w:rPr>
              <w:t>Summary</w:t>
            </w:r>
          </w:p>
        </w:tc>
        <w:tc>
          <w:tcPr>
            <w:tcW w:w="0" w:type="dxa"/>
            <w:vAlign w:val="bottom"/>
          </w:tcPr>
          <w:p>
            <w:pPr>
              <w:spacing w:after="0"/>
              <w:rPr>
                <w:sz w:val="1"/>
                <w:szCs w:val="1"/>
                <w:color w:val="auto"/>
              </w:rPr>
            </w:pPr>
          </w:p>
        </w:tc>
      </w:tr>
      <w:tr>
        <w:trPr>
          <w:trHeight w:val="163"/>
        </w:trPr>
        <w:tc>
          <w:tcPr>
            <w:tcW w:w="1500" w:type="dxa"/>
            <w:vAlign w:val="bottom"/>
          </w:tcPr>
          <w:p>
            <w:pPr>
              <w:jc w:val="right"/>
              <w:ind w:right="442"/>
              <w:spacing w:after="0" w:line="163" w:lineRule="exact"/>
              <w:rPr>
                <w:sz w:val="20"/>
                <w:szCs w:val="20"/>
                <w:color w:val="auto"/>
              </w:rPr>
            </w:pPr>
            <w:r>
              <w:rPr>
                <w:rFonts w:ascii="Arial" w:cs="Arial" w:eastAsia="Arial" w:hAnsi="Arial"/>
                <w:sz w:val="15"/>
                <w:szCs w:val="15"/>
                <w:color w:val="auto"/>
              </w:rPr>
              <w:t>2018-16</w:t>
            </w:r>
          </w:p>
        </w:tc>
        <w:tc>
          <w:tcPr>
            <w:tcW w:w="120" w:type="dxa"/>
            <w:vAlign w:val="bottom"/>
          </w:tcPr>
          <w:p>
            <w:pPr>
              <w:spacing w:after="0"/>
              <w:rPr>
                <w:sz w:val="14"/>
                <w:szCs w:val="14"/>
                <w:color w:val="auto"/>
              </w:rPr>
            </w:pPr>
          </w:p>
        </w:tc>
        <w:tc>
          <w:tcPr>
            <w:tcW w:w="2400" w:type="dxa"/>
            <w:vAlign w:val="bottom"/>
            <w:gridSpan w:val="2"/>
          </w:tcPr>
          <w:p>
            <w:pPr>
              <w:jc w:val="center"/>
              <w:ind w:right="120"/>
              <w:spacing w:after="0" w:line="163" w:lineRule="exact"/>
              <w:rPr>
                <w:sz w:val="20"/>
                <w:szCs w:val="20"/>
                <w:color w:val="auto"/>
              </w:rPr>
            </w:pPr>
            <w:r>
              <w:rPr>
                <w:rFonts w:ascii="Arial" w:cs="Arial" w:eastAsia="Arial" w:hAnsi="Arial"/>
                <w:sz w:val="15"/>
                <w:szCs w:val="15"/>
                <w:color w:val="auto"/>
              </w:rPr>
              <w:t>Derivatives and Hedging (Topic</w:t>
            </w:r>
          </w:p>
        </w:tc>
        <w:tc>
          <w:tcPr>
            <w:tcW w:w="5000" w:type="dxa"/>
            <w:vAlign w:val="bottom"/>
          </w:tcPr>
          <w:p>
            <w:pPr>
              <w:ind w:left="20"/>
              <w:spacing w:after="0" w:line="163" w:lineRule="exact"/>
              <w:rPr>
                <w:sz w:val="20"/>
                <w:szCs w:val="20"/>
                <w:color w:val="auto"/>
              </w:rPr>
            </w:pPr>
            <w:r>
              <w:rPr>
                <w:rFonts w:ascii="Arial" w:cs="Arial" w:eastAsia="Arial" w:hAnsi="Arial"/>
                <w:sz w:val="15"/>
                <w:szCs w:val="15"/>
                <w:color w:val="auto"/>
              </w:rPr>
              <w:t>This ASU, issued in October 2018, adds the Overnight Index Swap</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2"/>
          </w:tcPr>
          <w:p>
            <w:pPr>
              <w:jc w:val="center"/>
              <w:ind w:right="120"/>
              <w:spacing w:after="0" w:line="162" w:lineRule="exact"/>
              <w:rPr>
                <w:sz w:val="20"/>
                <w:szCs w:val="20"/>
                <w:color w:val="auto"/>
              </w:rPr>
            </w:pPr>
            <w:r>
              <w:rPr>
                <w:rFonts w:ascii="Arial" w:cs="Arial" w:eastAsia="Arial" w:hAnsi="Arial"/>
                <w:sz w:val="15"/>
                <w:szCs w:val="15"/>
                <w:color w:val="auto"/>
              </w:rPr>
              <w:t>815): Inclusion of the Secured</w:t>
            </w:r>
          </w:p>
        </w:tc>
        <w:tc>
          <w:tcPr>
            <w:tcW w:w="5000" w:type="dxa"/>
            <w:vAlign w:val="bottom"/>
          </w:tcPr>
          <w:p>
            <w:pPr>
              <w:ind w:left="20"/>
              <w:spacing w:after="0" w:line="162" w:lineRule="exact"/>
              <w:rPr>
                <w:sz w:val="20"/>
                <w:szCs w:val="20"/>
                <w:color w:val="auto"/>
              </w:rPr>
            </w:pPr>
            <w:r>
              <w:rPr>
                <w:rFonts w:ascii="Arial" w:cs="Arial" w:eastAsia="Arial" w:hAnsi="Arial"/>
                <w:sz w:val="15"/>
                <w:szCs w:val="15"/>
                <w:color w:val="auto"/>
              </w:rPr>
              <w:t>(“OIS”) rate based on the SOFR (a swap rate based on the underlying</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2"/>
          </w:tcPr>
          <w:p>
            <w:pPr>
              <w:jc w:val="center"/>
              <w:ind w:right="100"/>
              <w:spacing w:after="0" w:line="162" w:lineRule="exact"/>
              <w:rPr>
                <w:sz w:val="20"/>
                <w:szCs w:val="20"/>
                <w:color w:val="auto"/>
              </w:rPr>
            </w:pPr>
            <w:r>
              <w:rPr>
                <w:rFonts w:ascii="Arial" w:cs="Arial" w:eastAsia="Arial" w:hAnsi="Arial"/>
                <w:sz w:val="15"/>
                <w:szCs w:val="15"/>
                <w:color w:val="auto"/>
              </w:rPr>
              <w:t>Overnight Financing Rate</w:t>
            </w:r>
          </w:p>
        </w:tc>
        <w:tc>
          <w:tcPr>
            <w:tcW w:w="5000" w:type="dxa"/>
            <w:vAlign w:val="bottom"/>
          </w:tcPr>
          <w:p>
            <w:pPr>
              <w:ind w:left="20"/>
              <w:spacing w:after="0" w:line="162" w:lineRule="exact"/>
              <w:rPr>
                <w:sz w:val="20"/>
                <w:szCs w:val="20"/>
                <w:color w:val="auto"/>
              </w:rPr>
            </w:pPr>
            <w:r>
              <w:rPr>
                <w:rFonts w:ascii="Arial" w:cs="Arial" w:eastAsia="Arial" w:hAnsi="Arial"/>
                <w:sz w:val="15"/>
                <w:szCs w:val="15"/>
                <w:color w:val="auto"/>
              </w:rPr>
              <w:t>overnight SOFR rate) as an eligible benchmark interest rate for purposes</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2"/>
          </w:tcPr>
          <w:p>
            <w:pPr>
              <w:jc w:val="center"/>
              <w:ind w:right="120"/>
              <w:spacing w:after="0" w:line="162" w:lineRule="exact"/>
              <w:rPr>
                <w:sz w:val="20"/>
                <w:szCs w:val="20"/>
                <w:color w:val="auto"/>
              </w:rPr>
            </w:pPr>
            <w:r>
              <w:rPr>
                <w:rFonts w:ascii="Arial" w:cs="Arial" w:eastAsia="Arial" w:hAnsi="Arial"/>
                <w:sz w:val="15"/>
                <w:szCs w:val="15"/>
                <w:color w:val="auto"/>
              </w:rPr>
              <w:t>(SOFR) Overnight Index Swap</w:t>
            </w:r>
          </w:p>
        </w:tc>
        <w:tc>
          <w:tcPr>
            <w:tcW w:w="5000" w:type="dxa"/>
            <w:vAlign w:val="bottom"/>
          </w:tcPr>
          <w:p>
            <w:pPr>
              <w:ind w:left="20"/>
              <w:spacing w:after="0" w:line="162" w:lineRule="exact"/>
              <w:rPr>
                <w:sz w:val="20"/>
                <w:szCs w:val="20"/>
                <w:color w:val="auto"/>
              </w:rPr>
            </w:pPr>
            <w:r>
              <w:rPr>
                <w:rFonts w:ascii="Arial" w:cs="Arial" w:eastAsia="Arial" w:hAnsi="Arial"/>
                <w:sz w:val="15"/>
                <w:szCs w:val="15"/>
                <w:color w:val="auto"/>
              </w:rPr>
              <w:t>of applying hedge accounting. SOFR is a volume-weighted median</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2"/>
          </w:tcPr>
          <w:p>
            <w:pPr>
              <w:jc w:val="center"/>
              <w:ind w:right="120"/>
              <w:spacing w:after="0" w:line="162" w:lineRule="exact"/>
              <w:rPr>
                <w:sz w:val="20"/>
                <w:szCs w:val="20"/>
                <w:color w:val="auto"/>
              </w:rPr>
            </w:pPr>
            <w:r>
              <w:rPr>
                <w:rFonts w:ascii="Arial" w:cs="Arial" w:eastAsia="Arial" w:hAnsi="Arial"/>
                <w:sz w:val="15"/>
                <w:szCs w:val="15"/>
                <w:color w:val="auto"/>
              </w:rPr>
              <w:t>(OIS) Rate as a Benchmark</w:t>
            </w:r>
          </w:p>
        </w:tc>
        <w:tc>
          <w:tcPr>
            <w:tcW w:w="5000" w:type="dxa"/>
            <w:vAlign w:val="bottom"/>
          </w:tcPr>
          <w:p>
            <w:pPr>
              <w:ind w:left="20"/>
              <w:spacing w:after="0" w:line="162" w:lineRule="exact"/>
              <w:rPr>
                <w:sz w:val="20"/>
                <w:szCs w:val="20"/>
                <w:color w:val="auto"/>
              </w:rPr>
            </w:pPr>
            <w:r>
              <w:rPr>
                <w:rFonts w:ascii="Arial" w:cs="Arial" w:eastAsia="Arial" w:hAnsi="Arial"/>
                <w:sz w:val="15"/>
                <w:szCs w:val="15"/>
                <w:color w:val="auto"/>
              </w:rPr>
              <w:t>interest rate that is calculated daily based on overnight transactions from</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2"/>
          </w:tcPr>
          <w:p>
            <w:pPr>
              <w:jc w:val="center"/>
              <w:ind w:right="120"/>
              <w:spacing w:after="0" w:line="162" w:lineRule="exact"/>
              <w:rPr>
                <w:sz w:val="20"/>
                <w:szCs w:val="20"/>
                <w:color w:val="auto"/>
              </w:rPr>
            </w:pPr>
            <w:r>
              <w:rPr>
                <w:rFonts w:ascii="Arial" w:cs="Arial" w:eastAsia="Arial" w:hAnsi="Arial"/>
                <w:sz w:val="15"/>
                <w:szCs w:val="15"/>
                <w:color w:val="auto"/>
              </w:rPr>
              <w:t>Interest Rate for Hedge</w:t>
            </w:r>
          </w:p>
        </w:tc>
        <w:tc>
          <w:tcPr>
            <w:tcW w:w="5000" w:type="dxa"/>
            <w:vAlign w:val="bottom"/>
          </w:tcPr>
          <w:p>
            <w:pPr>
              <w:ind w:left="20"/>
              <w:spacing w:after="0" w:line="162" w:lineRule="exact"/>
              <w:rPr>
                <w:sz w:val="20"/>
                <w:szCs w:val="20"/>
                <w:color w:val="auto"/>
              </w:rPr>
            </w:pPr>
            <w:r>
              <w:rPr>
                <w:rFonts w:ascii="Arial" w:cs="Arial" w:eastAsia="Arial" w:hAnsi="Arial"/>
                <w:sz w:val="15"/>
                <w:szCs w:val="15"/>
                <w:color w:val="auto"/>
              </w:rPr>
              <w:t>the prior day’s trading activity in specified segments of the U.S. Treasury</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2"/>
          </w:tcPr>
          <w:p>
            <w:pPr>
              <w:jc w:val="center"/>
              <w:ind w:right="120"/>
              <w:spacing w:after="0" w:line="162" w:lineRule="exact"/>
              <w:rPr>
                <w:sz w:val="20"/>
                <w:szCs w:val="20"/>
                <w:color w:val="auto"/>
              </w:rPr>
            </w:pPr>
            <w:r>
              <w:rPr>
                <w:rFonts w:ascii="Arial" w:cs="Arial" w:eastAsia="Arial" w:hAnsi="Arial"/>
                <w:sz w:val="15"/>
                <w:szCs w:val="15"/>
                <w:color w:val="auto"/>
              </w:rPr>
              <w:t>Accounting Purposes.</w:t>
            </w:r>
          </w:p>
        </w:tc>
        <w:tc>
          <w:tcPr>
            <w:tcW w:w="5000" w:type="dxa"/>
            <w:vAlign w:val="bottom"/>
          </w:tcPr>
          <w:p>
            <w:pPr>
              <w:ind w:left="20"/>
              <w:spacing w:after="0" w:line="162" w:lineRule="exact"/>
              <w:rPr>
                <w:sz w:val="20"/>
                <w:szCs w:val="20"/>
                <w:color w:val="auto"/>
              </w:rPr>
            </w:pPr>
            <w:r>
              <w:rPr>
                <w:rFonts w:ascii="Arial" w:cs="Arial" w:eastAsia="Arial" w:hAnsi="Arial"/>
                <w:sz w:val="15"/>
                <w:szCs w:val="15"/>
                <w:color w:val="auto"/>
              </w:rPr>
              <w:t>repo market. SOFR was selected by the Alternative Reference Rates</w:t>
            </w:r>
          </w:p>
        </w:tc>
        <w:tc>
          <w:tcPr>
            <w:tcW w:w="0" w:type="dxa"/>
            <w:vAlign w:val="bottom"/>
          </w:tcPr>
          <w:p>
            <w:pPr>
              <w:spacing w:after="0"/>
              <w:rPr>
                <w:sz w:val="1"/>
                <w:szCs w:val="1"/>
                <w:color w:val="auto"/>
              </w:rPr>
            </w:pPr>
          </w:p>
        </w:tc>
      </w:tr>
      <w:tr>
        <w:trPr>
          <w:trHeight w:val="20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0" w:type="dxa"/>
            <w:vAlign w:val="bottom"/>
          </w:tcPr>
          <w:p>
            <w:pPr>
              <w:ind w:left="20"/>
              <w:spacing w:after="0"/>
              <w:rPr>
                <w:sz w:val="20"/>
                <w:szCs w:val="20"/>
                <w:color w:val="auto"/>
              </w:rPr>
            </w:pPr>
            <w:r>
              <w:rPr>
                <w:rFonts w:ascii="Arial" w:cs="Arial" w:eastAsia="Arial" w:hAnsi="Arial"/>
                <w:sz w:val="15"/>
                <w:szCs w:val="15"/>
                <w:color w:val="auto"/>
              </w:rPr>
              <w:t>Committee as its preferred alternative reference rate to LIBOR.</w:t>
            </w:r>
          </w:p>
        </w:tc>
        <w:tc>
          <w:tcPr>
            <w:tcW w:w="0" w:type="dxa"/>
            <w:vAlign w:val="bottom"/>
          </w:tcPr>
          <w:p>
            <w:pPr>
              <w:spacing w:after="0"/>
              <w:rPr>
                <w:sz w:val="1"/>
                <w:szCs w:val="1"/>
                <w:color w:val="auto"/>
              </w:rPr>
            </w:pPr>
          </w:p>
        </w:tc>
      </w:tr>
      <w:tr>
        <w:trPr>
          <w:trHeight w:val="280"/>
        </w:trPr>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0" w:type="dxa"/>
            <w:vAlign w:val="bottom"/>
          </w:tcPr>
          <w:p>
            <w:pPr>
              <w:ind w:left="20"/>
              <w:spacing w:after="0"/>
              <w:rPr>
                <w:sz w:val="20"/>
                <w:szCs w:val="20"/>
                <w:color w:val="auto"/>
              </w:rPr>
            </w:pPr>
            <w:r>
              <w:rPr>
                <w:rFonts w:ascii="Arial" w:cs="Arial" w:eastAsia="Arial" w:hAnsi="Arial"/>
                <w:sz w:val="15"/>
                <w:szCs w:val="15"/>
                <w:color w:val="auto"/>
              </w:rPr>
              <w:t>We are currently evaluating the impact of implementing this guidance on</w:t>
            </w:r>
          </w:p>
        </w:tc>
        <w:tc>
          <w:tcPr>
            <w:tcW w:w="0" w:type="dxa"/>
            <w:vAlign w:val="bottom"/>
          </w:tcPr>
          <w:p>
            <w:pPr>
              <w:spacing w:after="0"/>
              <w:rPr>
                <w:sz w:val="1"/>
                <w:szCs w:val="1"/>
                <w:color w:val="auto"/>
              </w:rPr>
            </w:pPr>
          </w:p>
        </w:tc>
      </w:tr>
      <w:tr>
        <w:trPr>
          <w:trHeight w:val="209"/>
        </w:trPr>
        <w:tc>
          <w:tcPr>
            <w:tcW w:w="1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our financial statements.</w:t>
            </w:r>
          </w:p>
        </w:tc>
        <w:tc>
          <w:tcPr>
            <w:tcW w:w="0" w:type="dxa"/>
            <w:vAlign w:val="bottom"/>
          </w:tcPr>
          <w:p>
            <w:pPr>
              <w:spacing w:after="0"/>
              <w:rPr>
                <w:sz w:val="1"/>
                <w:szCs w:val="1"/>
                <w:color w:val="auto"/>
              </w:rPr>
            </w:pPr>
          </w:p>
        </w:tc>
      </w:tr>
      <w:tr>
        <w:trPr>
          <w:trHeight w:val="162"/>
        </w:trPr>
        <w:tc>
          <w:tcPr>
            <w:tcW w:w="1500" w:type="dxa"/>
            <w:vAlign w:val="bottom"/>
          </w:tcPr>
          <w:p>
            <w:pPr>
              <w:jc w:val="center"/>
              <w:spacing w:after="0" w:line="162" w:lineRule="exact"/>
              <w:rPr>
                <w:sz w:val="20"/>
                <w:szCs w:val="20"/>
                <w:color w:val="auto"/>
              </w:rPr>
            </w:pPr>
            <w:r>
              <w:rPr>
                <w:rFonts w:ascii="Arial" w:cs="Arial" w:eastAsia="Arial" w:hAnsi="Arial"/>
                <w:sz w:val="15"/>
                <w:szCs w:val="15"/>
                <w:color w:val="auto"/>
              </w:rPr>
              <w:t>2018-15</w:t>
            </w:r>
          </w:p>
        </w:tc>
        <w:tc>
          <w:tcPr>
            <w:tcW w:w="120" w:type="dxa"/>
            <w:vAlign w:val="bottom"/>
          </w:tcPr>
          <w:p>
            <w:pPr>
              <w:spacing w:after="0"/>
              <w:rPr>
                <w:sz w:val="14"/>
                <w:szCs w:val="14"/>
                <w:color w:val="auto"/>
              </w:rPr>
            </w:pPr>
          </w:p>
        </w:tc>
        <w:tc>
          <w:tcPr>
            <w:tcW w:w="2400" w:type="dxa"/>
            <w:vAlign w:val="bottom"/>
            <w:gridSpan w:val="2"/>
          </w:tcPr>
          <w:p>
            <w:pPr>
              <w:jc w:val="center"/>
              <w:ind w:right="120"/>
              <w:spacing w:after="0" w:line="162" w:lineRule="exact"/>
              <w:rPr>
                <w:sz w:val="20"/>
                <w:szCs w:val="20"/>
                <w:color w:val="auto"/>
              </w:rPr>
            </w:pPr>
            <w:r>
              <w:rPr>
                <w:rFonts w:ascii="Arial" w:cs="Arial" w:eastAsia="Arial" w:hAnsi="Arial"/>
                <w:sz w:val="15"/>
                <w:szCs w:val="15"/>
                <w:color w:val="auto"/>
              </w:rPr>
              <w:t>Intangibles—Goodwill and Other</w:t>
            </w:r>
          </w:p>
        </w:tc>
        <w:tc>
          <w:tcPr>
            <w:tcW w:w="5000" w:type="dxa"/>
            <w:vAlign w:val="bottom"/>
          </w:tcPr>
          <w:p>
            <w:pPr>
              <w:ind w:left="20"/>
              <w:spacing w:after="0" w:line="162" w:lineRule="exact"/>
              <w:rPr>
                <w:sz w:val="20"/>
                <w:szCs w:val="20"/>
                <w:color w:val="auto"/>
              </w:rPr>
            </w:pPr>
            <w:r>
              <w:rPr>
                <w:rFonts w:ascii="Arial" w:cs="Arial" w:eastAsia="Arial" w:hAnsi="Arial"/>
                <w:sz w:val="15"/>
                <w:szCs w:val="15"/>
                <w:color w:val="auto"/>
              </w:rPr>
              <w:t>This ASU, issued in August 2018, aligns the requirements for capitalizing</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2"/>
          </w:tcPr>
          <w:p>
            <w:pPr>
              <w:jc w:val="center"/>
              <w:ind w:right="120"/>
              <w:spacing w:after="0" w:line="162" w:lineRule="exact"/>
              <w:rPr>
                <w:sz w:val="20"/>
                <w:szCs w:val="20"/>
                <w:color w:val="auto"/>
              </w:rPr>
            </w:pPr>
            <w:r>
              <w:rPr>
                <w:rFonts w:ascii="Arial" w:cs="Arial" w:eastAsia="Arial" w:hAnsi="Arial"/>
                <w:sz w:val="15"/>
                <w:szCs w:val="15"/>
                <w:color w:val="auto"/>
              </w:rPr>
              <w:t>—Internal-Use Software</w:t>
            </w:r>
          </w:p>
        </w:tc>
        <w:tc>
          <w:tcPr>
            <w:tcW w:w="5000" w:type="dxa"/>
            <w:vAlign w:val="bottom"/>
          </w:tcPr>
          <w:p>
            <w:pPr>
              <w:ind w:left="20"/>
              <w:spacing w:after="0" w:line="162" w:lineRule="exact"/>
              <w:rPr>
                <w:sz w:val="20"/>
                <w:szCs w:val="20"/>
                <w:color w:val="auto"/>
              </w:rPr>
            </w:pPr>
            <w:r>
              <w:rPr>
                <w:rFonts w:ascii="Arial" w:cs="Arial" w:eastAsia="Arial" w:hAnsi="Arial"/>
                <w:sz w:val="15"/>
                <w:szCs w:val="15"/>
                <w:color w:val="auto"/>
              </w:rPr>
              <w:t>implementation costs incurred in a hosting arrangement that is a service</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2"/>
          </w:tcPr>
          <w:p>
            <w:pPr>
              <w:jc w:val="center"/>
              <w:ind w:right="120"/>
              <w:spacing w:after="0" w:line="162" w:lineRule="exact"/>
              <w:rPr>
                <w:sz w:val="20"/>
                <w:szCs w:val="20"/>
                <w:color w:val="auto"/>
              </w:rPr>
            </w:pPr>
            <w:r>
              <w:rPr>
                <w:rFonts w:ascii="Arial" w:cs="Arial" w:eastAsia="Arial" w:hAnsi="Arial"/>
                <w:sz w:val="15"/>
                <w:szCs w:val="15"/>
                <w:color w:val="auto"/>
              </w:rPr>
              <w:t>(Subtopic 350-40): Customer’s</w:t>
            </w:r>
          </w:p>
        </w:tc>
        <w:tc>
          <w:tcPr>
            <w:tcW w:w="5000" w:type="dxa"/>
            <w:vAlign w:val="bottom"/>
          </w:tcPr>
          <w:p>
            <w:pPr>
              <w:ind w:left="20"/>
              <w:spacing w:after="0" w:line="162" w:lineRule="exact"/>
              <w:rPr>
                <w:sz w:val="20"/>
                <w:szCs w:val="20"/>
                <w:color w:val="auto"/>
              </w:rPr>
            </w:pPr>
            <w:r>
              <w:rPr>
                <w:rFonts w:ascii="Arial" w:cs="Arial" w:eastAsia="Arial" w:hAnsi="Arial"/>
                <w:sz w:val="15"/>
                <w:szCs w:val="15"/>
                <w:color w:val="auto"/>
              </w:rPr>
              <w:t>contract with the requirements for capitalizing implementation costs</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2"/>
          </w:tcPr>
          <w:p>
            <w:pPr>
              <w:jc w:val="center"/>
              <w:ind w:right="100"/>
              <w:spacing w:after="0" w:line="162" w:lineRule="exact"/>
              <w:rPr>
                <w:sz w:val="20"/>
                <w:szCs w:val="20"/>
                <w:color w:val="auto"/>
              </w:rPr>
            </w:pPr>
            <w:r>
              <w:rPr>
                <w:rFonts w:ascii="Arial" w:cs="Arial" w:eastAsia="Arial" w:hAnsi="Arial"/>
                <w:sz w:val="15"/>
                <w:szCs w:val="15"/>
                <w:color w:val="auto"/>
              </w:rPr>
              <w:t>Accounting for Implementation</w:t>
            </w:r>
          </w:p>
        </w:tc>
        <w:tc>
          <w:tcPr>
            <w:tcW w:w="5000" w:type="dxa"/>
            <w:vAlign w:val="bottom"/>
          </w:tcPr>
          <w:p>
            <w:pPr>
              <w:ind w:left="20"/>
              <w:spacing w:after="0" w:line="162" w:lineRule="exact"/>
              <w:rPr>
                <w:sz w:val="20"/>
                <w:szCs w:val="20"/>
                <w:color w:val="auto"/>
              </w:rPr>
            </w:pPr>
            <w:r>
              <w:rPr>
                <w:rFonts w:ascii="Arial" w:cs="Arial" w:eastAsia="Arial" w:hAnsi="Arial"/>
                <w:sz w:val="15"/>
                <w:szCs w:val="15"/>
                <w:color w:val="auto"/>
              </w:rPr>
              <w:t>incurred to develop or obtain internal-use software.</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2"/>
          </w:tcPr>
          <w:p>
            <w:pPr>
              <w:jc w:val="center"/>
              <w:ind w:right="120"/>
              <w:spacing w:after="0" w:line="162" w:lineRule="exact"/>
              <w:rPr>
                <w:sz w:val="20"/>
                <w:szCs w:val="20"/>
                <w:color w:val="auto"/>
              </w:rPr>
            </w:pPr>
            <w:r>
              <w:rPr>
                <w:rFonts w:ascii="Arial" w:cs="Arial" w:eastAsia="Arial" w:hAnsi="Arial"/>
                <w:sz w:val="15"/>
                <w:szCs w:val="15"/>
                <w:color w:val="auto"/>
              </w:rPr>
              <w:t>Costs Incurred in a Cloud</w:t>
            </w:r>
          </w:p>
        </w:tc>
        <w:tc>
          <w:tcPr>
            <w:tcW w:w="5000" w:type="dxa"/>
            <w:vAlign w:val="bottom"/>
            <w:vMerge w:val="restart"/>
          </w:tcPr>
          <w:p>
            <w:pPr>
              <w:ind w:left="20"/>
              <w:spacing w:after="0"/>
              <w:rPr>
                <w:sz w:val="20"/>
                <w:szCs w:val="20"/>
                <w:color w:val="auto"/>
              </w:rPr>
            </w:pPr>
            <w:r>
              <w:rPr>
                <w:rFonts w:ascii="Arial" w:cs="Arial" w:eastAsia="Arial" w:hAnsi="Arial"/>
                <w:sz w:val="15"/>
                <w:szCs w:val="15"/>
                <w:color w:val="auto"/>
              </w:rPr>
              <w:t>We are currently evaluating the impact of implementing this guidance on</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2"/>
          </w:tcPr>
          <w:p>
            <w:pPr>
              <w:jc w:val="center"/>
              <w:ind w:right="100"/>
              <w:spacing w:after="0" w:line="162" w:lineRule="exact"/>
              <w:rPr>
                <w:sz w:val="20"/>
                <w:szCs w:val="20"/>
                <w:color w:val="auto"/>
              </w:rPr>
            </w:pPr>
            <w:r>
              <w:rPr>
                <w:rFonts w:ascii="Arial" w:cs="Arial" w:eastAsia="Arial" w:hAnsi="Arial"/>
                <w:sz w:val="15"/>
                <w:szCs w:val="15"/>
                <w:color w:val="auto"/>
              </w:rPr>
              <w:t>Computing Arrangement That Is</w:t>
            </w:r>
          </w:p>
        </w:tc>
        <w:tc>
          <w:tcPr>
            <w:tcW w:w="5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a Service Contract.</w:t>
            </w:r>
          </w:p>
        </w:tc>
        <w:tc>
          <w:tcPr>
            <w:tcW w:w="100" w:type="dxa"/>
            <w:vAlign w:val="bottom"/>
          </w:tcPr>
          <w:p>
            <w:pPr>
              <w:spacing w:after="0"/>
              <w:rPr>
                <w:sz w:val="18"/>
                <w:szCs w:val="18"/>
                <w:color w:val="auto"/>
              </w:rPr>
            </w:pP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our financial statements.</w:t>
            </w:r>
          </w:p>
        </w:tc>
        <w:tc>
          <w:tcPr>
            <w:tcW w:w="0" w:type="dxa"/>
            <w:vAlign w:val="bottom"/>
          </w:tcPr>
          <w:p>
            <w:pPr>
              <w:spacing w:after="0"/>
              <w:rPr>
                <w:sz w:val="1"/>
                <w:szCs w:val="1"/>
                <w:color w:val="auto"/>
              </w:rPr>
            </w:pPr>
          </w:p>
        </w:tc>
      </w:tr>
      <w:tr>
        <w:trPr>
          <w:trHeight w:val="162"/>
        </w:trPr>
        <w:tc>
          <w:tcPr>
            <w:tcW w:w="1500" w:type="dxa"/>
            <w:vAlign w:val="bottom"/>
          </w:tcPr>
          <w:p>
            <w:pPr>
              <w:jc w:val="center"/>
              <w:spacing w:after="0" w:line="162" w:lineRule="exact"/>
              <w:rPr>
                <w:sz w:val="20"/>
                <w:szCs w:val="20"/>
                <w:color w:val="auto"/>
              </w:rPr>
            </w:pPr>
            <w:r>
              <w:rPr>
                <w:rFonts w:ascii="Arial" w:cs="Arial" w:eastAsia="Arial" w:hAnsi="Arial"/>
                <w:sz w:val="15"/>
                <w:szCs w:val="15"/>
                <w:color w:val="auto"/>
              </w:rPr>
              <w:t>2018-14</w:t>
            </w:r>
          </w:p>
        </w:tc>
        <w:tc>
          <w:tcPr>
            <w:tcW w:w="120" w:type="dxa"/>
            <w:vAlign w:val="bottom"/>
          </w:tcPr>
          <w:p>
            <w:pPr>
              <w:spacing w:after="0"/>
              <w:rPr>
                <w:sz w:val="14"/>
                <w:szCs w:val="14"/>
                <w:color w:val="auto"/>
              </w:rPr>
            </w:pPr>
          </w:p>
        </w:tc>
        <w:tc>
          <w:tcPr>
            <w:tcW w:w="2400" w:type="dxa"/>
            <w:vAlign w:val="bottom"/>
            <w:gridSpan w:val="2"/>
          </w:tcPr>
          <w:p>
            <w:pPr>
              <w:jc w:val="center"/>
              <w:ind w:right="80"/>
              <w:spacing w:after="0" w:line="162" w:lineRule="exact"/>
              <w:rPr>
                <w:sz w:val="20"/>
                <w:szCs w:val="20"/>
                <w:color w:val="auto"/>
              </w:rPr>
            </w:pPr>
            <w:r>
              <w:rPr>
                <w:rFonts w:ascii="Arial" w:cs="Arial" w:eastAsia="Arial" w:hAnsi="Arial"/>
                <w:sz w:val="15"/>
                <w:szCs w:val="15"/>
                <w:color w:val="auto"/>
              </w:rPr>
              <w:t>Compensation—Retirement</w:t>
            </w:r>
          </w:p>
        </w:tc>
        <w:tc>
          <w:tcPr>
            <w:tcW w:w="5000" w:type="dxa"/>
            <w:vAlign w:val="bottom"/>
          </w:tcPr>
          <w:p>
            <w:pPr>
              <w:ind w:left="20"/>
              <w:spacing w:after="0" w:line="162" w:lineRule="exact"/>
              <w:rPr>
                <w:sz w:val="20"/>
                <w:szCs w:val="20"/>
                <w:color w:val="auto"/>
              </w:rPr>
            </w:pPr>
            <w:r>
              <w:rPr>
                <w:rFonts w:ascii="Arial" w:cs="Arial" w:eastAsia="Arial" w:hAnsi="Arial"/>
                <w:sz w:val="15"/>
                <w:szCs w:val="15"/>
                <w:color w:val="auto"/>
              </w:rPr>
              <w:t>This ASU, issued in August 2018, modifies the disclosure requirements</w:t>
            </w:r>
          </w:p>
        </w:tc>
        <w:tc>
          <w:tcPr>
            <w:tcW w:w="0" w:type="dxa"/>
            <w:vAlign w:val="bottom"/>
          </w:tcPr>
          <w:p>
            <w:pPr>
              <w:spacing w:after="0"/>
              <w:rPr>
                <w:sz w:val="1"/>
                <w:szCs w:val="1"/>
                <w:color w:val="auto"/>
              </w:rPr>
            </w:pPr>
          </w:p>
        </w:tc>
      </w:tr>
      <w:tr>
        <w:trPr>
          <w:trHeight w:val="20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5"/>
                <w:szCs w:val="15"/>
                <w:color w:val="auto"/>
              </w:rPr>
              <w:t>Benefits—General (Topic 715).</w:t>
            </w:r>
          </w:p>
        </w:tc>
        <w:tc>
          <w:tcPr>
            <w:tcW w:w="5000" w:type="dxa"/>
            <w:vAlign w:val="bottom"/>
          </w:tcPr>
          <w:p>
            <w:pPr>
              <w:ind w:left="20"/>
              <w:spacing w:after="0"/>
              <w:rPr>
                <w:sz w:val="20"/>
                <w:szCs w:val="20"/>
                <w:color w:val="auto"/>
              </w:rPr>
            </w:pPr>
            <w:r>
              <w:rPr>
                <w:rFonts w:ascii="Arial" w:cs="Arial" w:eastAsia="Arial" w:hAnsi="Arial"/>
                <w:sz w:val="15"/>
                <w:szCs w:val="15"/>
                <w:color w:val="auto"/>
              </w:rPr>
              <w:t>on company-sponsored defined benefit plans.</w:t>
            </w:r>
          </w:p>
        </w:tc>
        <w:tc>
          <w:tcPr>
            <w:tcW w:w="0" w:type="dxa"/>
            <w:vAlign w:val="bottom"/>
          </w:tcPr>
          <w:p>
            <w:pPr>
              <w:spacing w:after="0"/>
              <w:rPr>
                <w:sz w:val="1"/>
                <w:szCs w:val="1"/>
                <w:color w:val="auto"/>
              </w:rPr>
            </w:pPr>
          </w:p>
        </w:tc>
      </w:tr>
      <w:tr>
        <w:trPr>
          <w:trHeight w:val="280"/>
        </w:trPr>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0" w:type="dxa"/>
            <w:vAlign w:val="bottom"/>
          </w:tcPr>
          <w:p>
            <w:pPr>
              <w:ind w:left="20"/>
              <w:spacing w:after="0"/>
              <w:rPr>
                <w:sz w:val="20"/>
                <w:szCs w:val="20"/>
                <w:color w:val="auto"/>
              </w:rPr>
            </w:pPr>
            <w:r>
              <w:rPr>
                <w:rFonts w:ascii="Arial" w:cs="Arial" w:eastAsia="Arial" w:hAnsi="Arial"/>
                <w:sz w:val="15"/>
                <w:szCs w:val="15"/>
                <w:color w:val="auto"/>
              </w:rPr>
              <w:t>We are currently evaluating the impact of implementing this guidance on</w:t>
            </w:r>
          </w:p>
        </w:tc>
        <w:tc>
          <w:tcPr>
            <w:tcW w:w="0" w:type="dxa"/>
            <w:vAlign w:val="bottom"/>
          </w:tcPr>
          <w:p>
            <w:pPr>
              <w:spacing w:after="0"/>
              <w:rPr>
                <w:sz w:val="1"/>
                <w:szCs w:val="1"/>
                <w:color w:val="auto"/>
              </w:rPr>
            </w:pPr>
          </w:p>
        </w:tc>
      </w:tr>
      <w:tr>
        <w:trPr>
          <w:trHeight w:val="209"/>
        </w:trPr>
        <w:tc>
          <w:tcPr>
            <w:tcW w:w="1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our financial statements.</w:t>
            </w:r>
          </w:p>
        </w:tc>
        <w:tc>
          <w:tcPr>
            <w:tcW w:w="0" w:type="dxa"/>
            <w:vAlign w:val="bottom"/>
          </w:tcPr>
          <w:p>
            <w:pPr>
              <w:spacing w:after="0"/>
              <w:rPr>
                <w:sz w:val="1"/>
                <w:szCs w:val="1"/>
                <w:color w:val="auto"/>
              </w:rPr>
            </w:pPr>
          </w:p>
        </w:tc>
      </w:tr>
      <w:tr>
        <w:trPr>
          <w:trHeight w:val="162"/>
        </w:trPr>
        <w:tc>
          <w:tcPr>
            <w:tcW w:w="1500" w:type="dxa"/>
            <w:vAlign w:val="bottom"/>
          </w:tcPr>
          <w:p>
            <w:pPr>
              <w:jc w:val="center"/>
              <w:spacing w:after="0" w:line="162" w:lineRule="exact"/>
              <w:rPr>
                <w:sz w:val="20"/>
                <w:szCs w:val="20"/>
                <w:color w:val="auto"/>
              </w:rPr>
            </w:pPr>
            <w:r>
              <w:rPr>
                <w:rFonts w:ascii="Arial" w:cs="Arial" w:eastAsia="Arial" w:hAnsi="Arial"/>
                <w:sz w:val="15"/>
                <w:szCs w:val="15"/>
                <w:color w:val="auto"/>
              </w:rPr>
              <w:t>2018-13</w:t>
            </w:r>
          </w:p>
        </w:tc>
        <w:tc>
          <w:tcPr>
            <w:tcW w:w="120" w:type="dxa"/>
            <w:vAlign w:val="bottom"/>
          </w:tcPr>
          <w:p>
            <w:pPr>
              <w:spacing w:after="0"/>
              <w:rPr>
                <w:sz w:val="14"/>
                <w:szCs w:val="14"/>
                <w:color w:val="auto"/>
              </w:rPr>
            </w:pPr>
          </w:p>
        </w:tc>
        <w:tc>
          <w:tcPr>
            <w:tcW w:w="2400" w:type="dxa"/>
            <w:vAlign w:val="bottom"/>
            <w:gridSpan w:val="2"/>
          </w:tcPr>
          <w:p>
            <w:pPr>
              <w:jc w:val="center"/>
              <w:ind w:right="120"/>
              <w:spacing w:after="0" w:line="162" w:lineRule="exact"/>
              <w:rPr>
                <w:sz w:val="20"/>
                <w:szCs w:val="20"/>
                <w:color w:val="auto"/>
              </w:rPr>
            </w:pPr>
            <w:r>
              <w:rPr>
                <w:rFonts w:ascii="Arial" w:cs="Arial" w:eastAsia="Arial" w:hAnsi="Arial"/>
                <w:sz w:val="15"/>
                <w:szCs w:val="15"/>
                <w:color w:val="auto"/>
              </w:rPr>
              <w:t>Fair Value Measurement (Topic</w:t>
            </w:r>
          </w:p>
        </w:tc>
        <w:tc>
          <w:tcPr>
            <w:tcW w:w="5000" w:type="dxa"/>
            <w:vAlign w:val="bottom"/>
          </w:tcPr>
          <w:p>
            <w:pPr>
              <w:ind w:left="20"/>
              <w:spacing w:after="0" w:line="162" w:lineRule="exact"/>
              <w:rPr>
                <w:sz w:val="20"/>
                <w:szCs w:val="20"/>
                <w:color w:val="auto"/>
              </w:rPr>
            </w:pPr>
            <w:r>
              <w:rPr>
                <w:rFonts w:ascii="Arial" w:cs="Arial" w:eastAsia="Arial" w:hAnsi="Arial"/>
                <w:sz w:val="15"/>
                <w:szCs w:val="15"/>
                <w:color w:val="auto"/>
              </w:rPr>
              <w:t>This ASU, issued in August 2018, modifies the disclosure requirements</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2"/>
          </w:tcPr>
          <w:p>
            <w:pPr>
              <w:jc w:val="center"/>
              <w:ind w:right="120"/>
              <w:spacing w:after="0" w:line="162" w:lineRule="exact"/>
              <w:rPr>
                <w:sz w:val="20"/>
                <w:szCs w:val="20"/>
                <w:color w:val="auto"/>
              </w:rPr>
            </w:pPr>
            <w:r>
              <w:rPr>
                <w:rFonts w:ascii="Arial" w:cs="Arial" w:eastAsia="Arial" w:hAnsi="Arial"/>
                <w:sz w:val="15"/>
                <w:szCs w:val="15"/>
                <w:color w:val="auto"/>
              </w:rPr>
              <w:t>820): Disclosure Framework.</w:t>
            </w:r>
          </w:p>
        </w:tc>
        <w:tc>
          <w:tcPr>
            <w:tcW w:w="5000" w:type="dxa"/>
            <w:vAlign w:val="bottom"/>
          </w:tcPr>
          <w:p>
            <w:pPr>
              <w:ind w:left="20"/>
              <w:spacing w:after="0" w:line="162" w:lineRule="exact"/>
              <w:rPr>
                <w:sz w:val="20"/>
                <w:szCs w:val="20"/>
                <w:color w:val="auto"/>
              </w:rPr>
            </w:pPr>
            <w:r>
              <w:rPr>
                <w:rFonts w:ascii="Arial" w:cs="Arial" w:eastAsia="Arial" w:hAnsi="Arial"/>
                <w:sz w:val="15"/>
                <w:szCs w:val="15"/>
                <w:color w:val="auto"/>
              </w:rPr>
              <w:t>on fair value measurements by removing certain disclosure requirements</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0" w:type="dxa"/>
            <w:vAlign w:val="bottom"/>
          </w:tcPr>
          <w:p>
            <w:pPr>
              <w:ind w:left="20"/>
              <w:spacing w:after="0" w:line="162" w:lineRule="exact"/>
              <w:rPr>
                <w:sz w:val="20"/>
                <w:szCs w:val="20"/>
                <w:color w:val="auto"/>
              </w:rPr>
            </w:pPr>
            <w:r>
              <w:rPr>
                <w:rFonts w:ascii="Arial" w:cs="Arial" w:eastAsia="Arial" w:hAnsi="Arial"/>
                <w:sz w:val="15"/>
                <w:szCs w:val="15"/>
                <w:color w:val="auto"/>
              </w:rPr>
              <w:t>related to the fair value hierarchy, modifying existing disclosure</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0" w:type="dxa"/>
            <w:vAlign w:val="bottom"/>
          </w:tcPr>
          <w:p>
            <w:pPr>
              <w:ind w:left="20"/>
              <w:spacing w:after="0" w:line="162" w:lineRule="exact"/>
              <w:rPr>
                <w:sz w:val="20"/>
                <w:szCs w:val="20"/>
                <w:color w:val="auto"/>
              </w:rPr>
            </w:pPr>
            <w:r>
              <w:rPr>
                <w:rFonts w:ascii="Arial" w:cs="Arial" w:eastAsia="Arial" w:hAnsi="Arial"/>
                <w:sz w:val="15"/>
                <w:szCs w:val="15"/>
                <w:color w:val="auto"/>
              </w:rPr>
              <w:t>requirements related to measurement uncertainty, and adding new</w:t>
            </w:r>
          </w:p>
        </w:tc>
        <w:tc>
          <w:tcPr>
            <w:tcW w:w="0" w:type="dxa"/>
            <w:vAlign w:val="bottom"/>
          </w:tcPr>
          <w:p>
            <w:pPr>
              <w:spacing w:after="0"/>
              <w:rPr>
                <w:sz w:val="1"/>
                <w:szCs w:val="1"/>
                <w:color w:val="auto"/>
              </w:rPr>
            </w:pPr>
          </w:p>
        </w:tc>
      </w:tr>
      <w:tr>
        <w:trPr>
          <w:trHeight w:val="20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0" w:type="dxa"/>
            <w:vAlign w:val="bottom"/>
          </w:tcPr>
          <w:p>
            <w:pPr>
              <w:ind w:left="20"/>
              <w:spacing w:after="0"/>
              <w:rPr>
                <w:sz w:val="20"/>
                <w:szCs w:val="20"/>
                <w:color w:val="auto"/>
              </w:rPr>
            </w:pPr>
            <w:r>
              <w:rPr>
                <w:rFonts w:ascii="Arial" w:cs="Arial" w:eastAsia="Arial" w:hAnsi="Arial"/>
                <w:sz w:val="15"/>
                <w:szCs w:val="15"/>
                <w:color w:val="auto"/>
              </w:rPr>
              <w:t>disclosure requirements.</w:t>
            </w:r>
          </w:p>
        </w:tc>
        <w:tc>
          <w:tcPr>
            <w:tcW w:w="0" w:type="dxa"/>
            <w:vAlign w:val="bottom"/>
          </w:tcPr>
          <w:p>
            <w:pPr>
              <w:spacing w:after="0"/>
              <w:rPr>
                <w:sz w:val="1"/>
                <w:szCs w:val="1"/>
                <w:color w:val="auto"/>
              </w:rPr>
            </w:pPr>
          </w:p>
        </w:tc>
      </w:tr>
      <w:tr>
        <w:trPr>
          <w:trHeight w:val="280"/>
        </w:trPr>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0" w:type="dxa"/>
            <w:vAlign w:val="bottom"/>
          </w:tcPr>
          <w:p>
            <w:pPr>
              <w:ind w:left="20"/>
              <w:spacing w:after="0"/>
              <w:rPr>
                <w:sz w:val="20"/>
                <w:szCs w:val="20"/>
                <w:color w:val="auto"/>
              </w:rPr>
            </w:pPr>
            <w:r>
              <w:rPr>
                <w:rFonts w:ascii="Arial" w:cs="Arial" w:eastAsia="Arial" w:hAnsi="Arial"/>
                <w:sz w:val="15"/>
                <w:szCs w:val="15"/>
                <w:color w:val="auto"/>
              </w:rPr>
              <w:t>We are currently evaluating the impact of implementing this guidance on</w:t>
            </w:r>
          </w:p>
        </w:tc>
        <w:tc>
          <w:tcPr>
            <w:tcW w:w="0" w:type="dxa"/>
            <w:vAlign w:val="bottom"/>
          </w:tcPr>
          <w:p>
            <w:pPr>
              <w:spacing w:after="0"/>
              <w:rPr>
                <w:sz w:val="1"/>
                <w:szCs w:val="1"/>
                <w:color w:val="auto"/>
              </w:rPr>
            </w:pPr>
          </w:p>
        </w:tc>
      </w:tr>
      <w:tr>
        <w:trPr>
          <w:trHeight w:val="209"/>
        </w:trPr>
        <w:tc>
          <w:tcPr>
            <w:tcW w:w="1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our financial statements.</w:t>
            </w:r>
          </w:p>
        </w:tc>
        <w:tc>
          <w:tcPr>
            <w:tcW w:w="0" w:type="dxa"/>
            <w:vAlign w:val="bottom"/>
          </w:tcPr>
          <w:p>
            <w:pPr>
              <w:spacing w:after="0"/>
              <w:rPr>
                <w:sz w:val="1"/>
                <w:szCs w:val="1"/>
                <w:color w:val="auto"/>
              </w:rPr>
            </w:pPr>
          </w:p>
        </w:tc>
      </w:tr>
      <w:tr>
        <w:trPr>
          <w:trHeight w:val="162"/>
        </w:trPr>
        <w:tc>
          <w:tcPr>
            <w:tcW w:w="1500" w:type="dxa"/>
            <w:vAlign w:val="bottom"/>
          </w:tcPr>
          <w:p>
            <w:pPr>
              <w:jc w:val="center"/>
              <w:spacing w:after="0" w:line="162" w:lineRule="exact"/>
              <w:rPr>
                <w:sz w:val="20"/>
                <w:szCs w:val="20"/>
                <w:color w:val="auto"/>
              </w:rPr>
            </w:pPr>
            <w:r>
              <w:rPr>
                <w:rFonts w:ascii="Arial" w:cs="Arial" w:eastAsia="Arial" w:hAnsi="Arial"/>
                <w:sz w:val="15"/>
                <w:szCs w:val="15"/>
                <w:color w:val="auto"/>
              </w:rPr>
              <w:t>2016-13</w:t>
            </w:r>
          </w:p>
        </w:tc>
        <w:tc>
          <w:tcPr>
            <w:tcW w:w="120" w:type="dxa"/>
            <w:vAlign w:val="bottom"/>
          </w:tcPr>
          <w:p>
            <w:pPr>
              <w:spacing w:after="0"/>
              <w:rPr>
                <w:sz w:val="14"/>
                <w:szCs w:val="14"/>
                <w:color w:val="auto"/>
              </w:rPr>
            </w:pPr>
          </w:p>
        </w:tc>
        <w:tc>
          <w:tcPr>
            <w:tcW w:w="2400" w:type="dxa"/>
            <w:vAlign w:val="bottom"/>
            <w:gridSpan w:val="2"/>
          </w:tcPr>
          <w:p>
            <w:pPr>
              <w:jc w:val="center"/>
              <w:ind w:right="100"/>
              <w:spacing w:after="0" w:line="162" w:lineRule="exact"/>
              <w:rPr>
                <w:sz w:val="20"/>
                <w:szCs w:val="20"/>
                <w:color w:val="auto"/>
              </w:rPr>
            </w:pPr>
            <w:r>
              <w:rPr>
                <w:rFonts w:ascii="Arial" w:cs="Arial" w:eastAsia="Arial" w:hAnsi="Arial"/>
                <w:sz w:val="15"/>
                <w:szCs w:val="15"/>
                <w:color w:val="auto"/>
              </w:rPr>
              <w:t>Financial Instruments—Credit</w:t>
            </w:r>
          </w:p>
        </w:tc>
        <w:tc>
          <w:tcPr>
            <w:tcW w:w="5000" w:type="dxa"/>
            <w:vAlign w:val="bottom"/>
          </w:tcPr>
          <w:p>
            <w:pPr>
              <w:ind w:left="20"/>
              <w:spacing w:after="0" w:line="162" w:lineRule="exact"/>
              <w:rPr>
                <w:sz w:val="20"/>
                <w:szCs w:val="20"/>
                <w:color w:val="auto"/>
              </w:rPr>
            </w:pPr>
            <w:r>
              <w:rPr>
                <w:rFonts w:ascii="Arial" w:cs="Arial" w:eastAsia="Arial" w:hAnsi="Arial"/>
                <w:sz w:val="15"/>
                <w:szCs w:val="15"/>
                <w:color w:val="auto"/>
              </w:rPr>
              <w:t>This ASU, issued in June 2016, replaces the existing incurred loss</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2"/>
          </w:tcPr>
          <w:p>
            <w:pPr>
              <w:jc w:val="center"/>
              <w:ind w:right="120"/>
              <w:spacing w:after="0" w:line="162" w:lineRule="exact"/>
              <w:rPr>
                <w:sz w:val="20"/>
                <w:szCs w:val="20"/>
                <w:color w:val="auto"/>
              </w:rPr>
            </w:pPr>
            <w:r>
              <w:rPr>
                <w:rFonts w:ascii="Arial" w:cs="Arial" w:eastAsia="Arial" w:hAnsi="Arial"/>
                <w:sz w:val="15"/>
                <w:szCs w:val="15"/>
                <w:color w:val="auto"/>
              </w:rPr>
              <w:t>Losses (Topic 326):</w:t>
            </w:r>
          </w:p>
        </w:tc>
        <w:tc>
          <w:tcPr>
            <w:tcW w:w="5000" w:type="dxa"/>
            <w:vAlign w:val="bottom"/>
          </w:tcPr>
          <w:p>
            <w:pPr>
              <w:ind w:left="20"/>
              <w:spacing w:after="0" w:line="162" w:lineRule="exact"/>
              <w:rPr>
                <w:sz w:val="20"/>
                <w:szCs w:val="20"/>
                <w:color w:val="auto"/>
              </w:rPr>
            </w:pPr>
            <w:r>
              <w:rPr>
                <w:rFonts w:ascii="Arial" w:cs="Arial" w:eastAsia="Arial" w:hAnsi="Arial"/>
                <w:sz w:val="15"/>
                <w:szCs w:val="15"/>
                <w:color w:val="auto"/>
              </w:rPr>
              <w:t>impairment model with a methodology that incorporates all expected</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2"/>
          </w:tcPr>
          <w:p>
            <w:pPr>
              <w:jc w:val="center"/>
              <w:ind w:right="120"/>
              <w:spacing w:after="0" w:line="162" w:lineRule="exact"/>
              <w:rPr>
                <w:sz w:val="20"/>
                <w:szCs w:val="20"/>
                <w:color w:val="auto"/>
              </w:rPr>
            </w:pPr>
            <w:r>
              <w:rPr>
                <w:rFonts w:ascii="Arial" w:cs="Arial" w:eastAsia="Arial" w:hAnsi="Arial"/>
                <w:sz w:val="15"/>
                <w:szCs w:val="15"/>
                <w:color w:val="auto"/>
              </w:rPr>
              <w:t>Measurement of Credit Losses</w:t>
            </w:r>
          </w:p>
        </w:tc>
        <w:tc>
          <w:tcPr>
            <w:tcW w:w="5000" w:type="dxa"/>
            <w:vAlign w:val="bottom"/>
          </w:tcPr>
          <w:p>
            <w:pPr>
              <w:ind w:left="20"/>
              <w:spacing w:after="0" w:line="162" w:lineRule="exact"/>
              <w:rPr>
                <w:sz w:val="20"/>
                <w:szCs w:val="20"/>
                <w:color w:val="auto"/>
              </w:rPr>
            </w:pPr>
            <w:r>
              <w:rPr>
                <w:rFonts w:ascii="Arial" w:cs="Arial" w:eastAsia="Arial" w:hAnsi="Arial"/>
                <w:sz w:val="15"/>
                <w:szCs w:val="15"/>
                <w:color w:val="auto"/>
              </w:rPr>
              <w:t>credit loss estimates, resulting in more timely recognition of losses.</w:t>
            </w:r>
          </w:p>
        </w:tc>
        <w:tc>
          <w:tcPr>
            <w:tcW w:w="0" w:type="dxa"/>
            <w:vAlign w:val="bottom"/>
          </w:tcPr>
          <w:p>
            <w:pPr>
              <w:spacing w:after="0"/>
              <w:rPr>
                <w:sz w:val="1"/>
                <w:szCs w:val="1"/>
                <w:color w:val="auto"/>
              </w:rPr>
            </w:pPr>
          </w:p>
        </w:tc>
      </w:tr>
      <w:tr>
        <w:trPr>
          <w:trHeight w:val="20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5"/>
                <w:szCs w:val="15"/>
                <w:color w:val="auto"/>
              </w:rPr>
              <w:t>on Financial Statements.</w:t>
            </w:r>
          </w:p>
        </w:tc>
        <w:tc>
          <w:tcPr>
            <w:tcW w:w="5000" w:type="dxa"/>
            <w:vAlign w:val="bottom"/>
            <w:vMerge w:val="restart"/>
          </w:tcPr>
          <w:p>
            <w:pPr>
              <w:ind w:left="20"/>
              <w:spacing w:after="0"/>
              <w:rPr>
                <w:sz w:val="20"/>
                <w:szCs w:val="20"/>
                <w:color w:val="auto"/>
              </w:rPr>
            </w:pPr>
            <w:r>
              <w:rPr>
                <w:rFonts w:ascii="Arial" w:cs="Arial" w:eastAsia="Arial" w:hAnsi="Arial"/>
                <w:sz w:val="15"/>
                <w:szCs w:val="15"/>
                <w:color w:val="auto"/>
              </w:rPr>
              <w:t>We are currently evaluating the impact of implementing this guidance on</w:t>
            </w:r>
          </w:p>
        </w:tc>
        <w:tc>
          <w:tcPr>
            <w:tcW w:w="0" w:type="dxa"/>
            <w:vAlign w:val="bottom"/>
          </w:tcPr>
          <w:p>
            <w:pPr>
              <w:spacing w:after="0"/>
              <w:rPr>
                <w:sz w:val="1"/>
                <w:szCs w:val="1"/>
                <w:color w:val="auto"/>
              </w:rPr>
            </w:pPr>
          </w:p>
        </w:tc>
      </w:tr>
      <w:tr>
        <w:trPr>
          <w:trHeight w:val="118"/>
        </w:trPr>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0" w:type="dxa"/>
            <w:vAlign w:val="bottom"/>
          </w:tcPr>
          <w:p>
            <w:pPr>
              <w:ind w:left="20"/>
              <w:spacing w:after="0"/>
              <w:rPr>
                <w:sz w:val="20"/>
                <w:szCs w:val="20"/>
                <w:color w:val="auto"/>
              </w:rPr>
            </w:pPr>
            <w:r>
              <w:rPr>
                <w:rFonts w:ascii="Arial" w:cs="Arial" w:eastAsia="Arial" w:hAnsi="Arial"/>
                <w:sz w:val="15"/>
                <w:szCs w:val="15"/>
                <w:color w:val="auto"/>
              </w:rPr>
              <w:t>our financial statements.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518160</wp:posOffset>
            </wp:positionV>
            <wp:extent cx="57283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283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80" w:type="dxa"/>
        <w:tblCellMar>
          <w:top w:w="0" w:type="dxa"/>
          <w:left w:w="0" w:type="dxa"/>
          <w:bottom w:w="0" w:type="dxa"/>
          <w:right w:w="0" w:type="dxa"/>
        </w:tblCellMar>
      </w:tblPr>
      <w:tr>
        <w:trPr>
          <w:trHeight w:val="172"/>
        </w:trPr>
        <w:tc>
          <w:tcPr>
            <w:tcW w:w="1080" w:type="dxa"/>
            <w:vAlign w:val="bottom"/>
          </w:tcPr>
          <w:p>
            <w:pPr>
              <w:jc w:val="right"/>
              <w:ind w:right="443"/>
              <w:spacing w:after="0"/>
              <w:rPr>
                <w:sz w:val="20"/>
                <w:szCs w:val="20"/>
                <w:color w:val="auto"/>
              </w:rPr>
            </w:pPr>
            <w:r>
              <w:rPr>
                <w:rFonts w:ascii="Arial" w:cs="Arial" w:eastAsia="Arial" w:hAnsi="Arial"/>
                <w:sz w:val="15"/>
                <w:szCs w:val="15"/>
                <w:color w:val="auto"/>
                <w:w w:val="98"/>
              </w:rPr>
              <w:t>2016-02</w:t>
            </w:r>
          </w:p>
        </w:tc>
        <w:tc>
          <w:tcPr>
            <w:tcW w:w="2180" w:type="dxa"/>
            <w:vAlign w:val="bottom"/>
          </w:tcPr>
          <w:p>
            <w:pPr>
              <w:ind w:left="540"/>
              <w:spacing w:after="0"/>
              <w:rPr>
                <w:sz w:val="20"/>
                <w:szCs w:val="20"/>
                <w:color w:val="auto"/>
              </w:rPr>
            </w:pPr>
            <w:r>
              <w:rPr>
                <w:rFonts w:ascii="Arial" w:cs="Arial" w:eastAsia="Arial" w:hAnsi="Arial"/>
                <w:sz w:val="15"/>
                <w:szCs w:val="15"/>
                <w:i w:val="1"/>
                <w:iCs w:val="1"/>
                <w:color w:val="auto"/>
              </w:rPr>
              <w:t>Leases (Topic 842)</w:t>
            </w:r>
            <w:r>
              <w:rPr>
                <w:rFonts w:ascii="Arial" w:cs="Arial" w:eastAsia="Arial" w:hAnsi="Arial"/>
                <w:sz w:val="15"/>
                <w:szCs w:val="15"/>
                <w:color w:val="auto"/>
              </w:rPr>
              <w:t>.</w:t>
            </w:r>
          </w:p>
        </w:tc>
        <w:tc>
          <w:tcPr>
            <w:tcW w:w="5240" w:type="dxa"/>
            <w:vAlign w:val="bottom"/>
          </w:tcPr>
          <w:p>
            <w:pPr>
              <w:ind w:left="300"/>
              <w:spacing w:after="0"/>
              <w:rPr>
                <w:sz w:val="20"/>
                <w:szCs w:val="20"/>
                <w:color w:val="auto"/>
              </w:rPr>
            </w:pPr>
            <w:r>
              <w:rPr>
                <w:rFonts w:ascii="Arial" w:cs="Arial" w:eastAsia="Arial" w:hAnsi="Arial"/>
                <w:sz w:val="15"/>
                <w:szCs w:val="15"/>
                <w:color w:val="auto"/>
              </w:rPr>
              <w:t>ASU 2016-02 was issued in February 2016 to improve transparency and</w:t>
            </w:r>
          </w:p>
        </w:tc>
      </w:tr>
      <w:tr>
        <w:trPr>
          <w:trHeight w:val="162"/>
        </w:trPr>
        <w:tc>
          <w:tcPr>
            <w:tcW w:w="1080" w:type="dxa"/>
            <w:vAlign w:val="bottom"/>
          </w:tcPr>
          <w:p>
            <w:pPr>
              <w:jc w:val="right"/>
              <w:ind w:right="443"/>
              <w:spacing w:after="0" w:line="162" w:lineRule="exact"/>
              <w:rPr>
                <w:sz w:val="20"/>
                <w:szCs w:val="20"/>
                <w:color w:val="auto"/>
              </w:rPr>
            </w:pPr>
            <w:r>
              <w:rPr>
                <w:rFonts w:ascii="Arial" w:cs="Arial" w:eastAsia="Arial" w:hAnsi="Arial"/>
                <w:sz w:val="15"/>
                <w:szCs w:val="15"/>
                <w:color w:val="auto"/>
                <w:w w:val="98"/>
              </w:rPr>
              <w:t>2018-10</w:t>
            </w:r>
          </w:p>
        </w:tc>
        <w:tc>
          <w:tcPr>
            <w:tcW w:w="2180" w:type="dxa"/>
            <w:vAlign w:val="bottom"/>
          </w:tcPr>
          <w:p>
            <w:pPr>
              <w:spacing w:after="0"/>
              <w:rPr>
                <w:sz w:val="14"/>
                <w:szCs w:val="14"/>
                <w:color w:val="auto"/>
              </w:rPr>
            </w:pPr>
          </w:p>
        </w:tc>
        <w:tc>
          <w:tcPr>
            <w:tcW w:w="5240" w:type="dxa"/>
            <w:vAlign w:val="bottom"/>
          </w:tcPr>
          <w:p>
            <w:pPr>
              <w:ind w:left="300"/>
              <w:spacing w:after="0" w:line="162" w:lineRule="exact"/>
              <w:rPr>
                <w:sz w:val="20"/>
                <w:szCs w:val="20"/>
                <w:color w:val="auto"/>
              </w:rPr>
            </w:pPr>
            <w:r>
              <w:rPr>
                <w:rFonts w:ascii="Arial" w:cs="Arial" w:eastAsia="Arial" w:hAnsi="Arial"/>
                <w:sz w:val="15"/>
                <w:szCs w:val="15"/>
                <w:color w:val="auto"/>
              </w:rPr>
              <w:t>comparability among organizations by requiring lessees to recognize</w:t>
            </w:r>
          </w:p>
        </w:tc>
      </w:tr>
      <w:tr>
        <w:trPr>
          <w:trHeight w:val="162"/>
        </w:trPr>
        <w:tc>
          <w:tcPr>
            <w:tcW w:w="1080" w:type="dxa"/>
            <w:vAlign w:val="bottom"/>
          </w:tcPr>
          <w:p>
            <w:pPr>
              <w:jc w:val="right"/>
              <w:ind w:right="463"/>
              <w:spacing w:after="0" w:line="162" w:lineRule="exact"/>
              <w:rPr>
                <w:sz w:val="20"/>
                <w:szCs w:val="20"/>
                <w:color w:val="auto"/>
              </w:rPr>
            </w:pPr>
            <w:r>
              <w:rPr>
                <w:rFonts w:ascii="Arial" w:cs="Arial" w:eastAsia="Arial" w:hAnsi="Arial"/>
                <w:sz w:val="15"/>
                <w:szCs w:val="15"/>
                <w:color w:val="auto"/>
                <w:w w:val="94"/>
              </w:rPr>
              <w:t>2018-11</w:t>
            </w:r>
          </w:p>
        </w:tc>
        <w:tc>
          <w:tcPr>
            <w:tcW w:w="2180" w:type="dxa"/>
            <w:vAlign w:val="bottom"/>
          </w:tcPr>
          <w:p>
            <w:pPr>
              <w:spacing w:after="0"/>
              <w:rPr>
                <w:sz w:val="14"/>
                <w:szCs w:val="14"/>
                <w:color w:val="auto"/>
              </w:rPr>
            </w:pPr>
          </w:p>
        </w:tc>
        <w:tc>
          <w:tcPr>
            <w:tcW w:w="5240" w:type="dxa"/>
            <w:vAlign w:val="bottom"/>
          </w:tcPr>
          <w:p>
            <w:pPr>
              <w:ind w:left="300"/>
              <w:spacing w:after="0" w:line="162" w:lineRule="exact"/>
              <w:rPr>
                <w:sz w:val="20"/>
                <w:szCs w:val="20"/>
                <w:color w:val="auto"/>
              </w:rPr>
            </w:pPr>
            <w:r>
              <w:rPr>
                <w:rFonts w:ascii="Arial" w:cs="Arial" w:eastAsia="Arial" w:hAnsi="Arial"/>
                <w:sz w:val="15"/>
                <w:szCs w:val="15"/>
                <w:color w:val="auto"/>
              </w:rPr>
              <w:t>lease assets and lease liabilities on the balance sheet and to disclose</w:t>
            </w:r>
          </w:p>
        </w:tc>
      </w:tr>
      <w:tr>
        <w:trPr>
          <w:trHeight w:val="162"/>
        </w:trPr>
        <w:tc>
          <w:tcPr>
            <w:tcW w:w="1080" w:type="dxa"/>
            <w:vAlign w:val="bottom"/>
          </w:tcPr>
          <w:p>
            <w:pPr>
              <w:jc w:val="right"/>
              <w:ind w:right="443"/>
              <w:spacing w:after="0" w:line="162" w:lineRule="exact"/>
              <w:rPr>
                <w:sz w:val="20"/>
                <w:szCs w:val="20"/>
                <w:color w:val="auto"/>
              </w:rPr>
            </w:pPr>
            <w:r>
              <w:rPr>
                <w:rFonts w:ascii="Arial" w:cs="Arial" w:eastAsia="Arial" w:hAnsi="Arial"/>
                <w:sz w:val="15"/>
                <w:szCs w:val="15"/>
                <w:color w:val="auto"/>
                <w:w w:val="98"/>
              </w:rPr>
              <w:t>2019-01</w:t>
            </w:r>
          </w:p>
        </w:tc>
        <w:tc>
          <w:tcPr>
            <w:tcW w:w="2180" w:type="dxa"/>
            <w:vAlign w:val="bottom"/>
          </w:tcPr>
          <w:p>
            <w:pPr>
              <w:spacing w:after="0"/>
              <w:rPr>
                <w:sz w:val="14"/>
                <w:szCs w:val="14"/>
                <w:color w:val="auto"/>
              </w:rPr>
            </w:pPr>
          </w:p>
        </w:tc>
        <w:tc>
          <w:tcPr>
            <w:tcW w:w="5240" w:type="dxa"/>
            <w:vAlign w:val="bottom"/>
          </w:tcPr>
          <w:p>
            <w:pPr>
              <w:ind w:left="300"/>
              <w:spacing w:after="0" w:line="162" w:lineRule="exact"/>
              <w:rPr>
                <w:sz w:val="20"/>
                <w:szCs w:val="20"/>
                <w:color w:val="auto"/>
              </w:rPr>
            </w:pPr>
            <w:r>
              <w:rPr>
                <w:rFonts w:ascii="Arial" w:cs="Arial" w:eastAsia="Arial" w:hAnsi="Arial"/>
                <w:sz w:val="15"/>
                <w:szCs w:val="15"/>
                <w:color w:val="auto"/>
              </w:rPr>
              <w:t>key information about leasing arrangements. Additional ASUs have since</w:t>
            </w:r>
          </w:p>
        </w:tc>
      </w:tr>
      <w:tr>
        <w:trPr>
          <w:trHeight w:val="162"/>
        </w:trPr>
        <w:tc>
          <w:tcPr>
            <w:tcW w:w="10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5240" w:type="dxa"/>
            <w:vAlign w:val="bottom"/>
          </w:tcPr>
          <w:p>
            <w:pPr>
              <w:ind w:left="300"/>
              <w:spacing w:after="0" w:line="162" w:lineRule="exact"/>
              <w:rPr>
                <w:sz w:val="20"/>
                <w:szCs w:val="20"/>
                <w:color w:val="auto"/>
              </w:rPr>
            </w:pPr>
            <w:r>
              <w:rPr>
                <w:rFonts w:ascii="Arial" w:cs="Arial" w:eastAsia="Arial" w:hAnsi="Arial"/>
                <w:sz w:val="15"/>
                <w:szCs w:val="15"/>
                <w:color w:val="auto"/>
              </w:rPr>
              <w:t>been issued which provide amended and additional guidance for the</w:t>
            </w:r>
          </w:p>
        </w:tc>
      </w:tr>
      <w:tr>
        <w:trPr>
          <w:trHeight w:val="162"/>
        </w:trPr>
        <w:tc>
          <w:tcPr>
            <w:tcW w:w="10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5240" w:type="dxa"/>
            <w:vAlign w:val="bottom"/>
          </w:tcPr>
          <w:p>
            <w:pPr>
              <w:ind w:left="300"/>
              <w:spacing w:after="0" w:line="162" w:lineRule="exact"/>
              <w:rPr>
                <w:sz w:val="20"/>
                <w:szCs w:val="20"/>
                <w:color w:val="auto"/>
              </w:rPr>
            </w:pPr>
            <w:r>
              <w:rPr>
                <w:rFonts w:ascii="Arial" w:cs="Arial" w:eastAsia="Arial" w:hAnsi="Arial"/>
                <w:sz w:val="15"/>
                <w:szCs w:val="15"/>
                <w:color w:val="auto"/>
              </w:rPr>
              <w:t>implementation of ASU 2016-02. All related guidance has been codified</w:t>
            </w:r>
          </w:p>
        </w:tc>
      </w:tr>
      <w:tr>
        <w:trPr>
          <w:trHeight w:val="206"/>
        </w:trPr>
        <w:tc>
          <w:tcPr>
            <w:tcW w:w="10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5240" w:type="dxa"/>
            <w:vAlign w:val="bottom"/>
          </w:tcPr>
          <w:p>
            <w:pPr>
              <w:ind w:left="300"/>
              <w:spacing w:after="0"/>
              <w:rPr>
                <w:sz w:val="20"/>
                <w:szCs w:val="20"/>
                <w:color w:val="auto"/>
              </w:rPr>
            </w:pPr>
            <w:r>
              <w:rPr>
                <w:rFonts w:ascii="Arial" w:cs="Arial" w:eastAsia="Arial" w:hAnsi="Arial"/>
                <w:sz w:val="15"/>
                <w:szCs w:val="15"/>
                <w:color w:val="auto"/>
              </w:rPr>
              <w:t>into, and is now known as, ASC 842, Leases.</w:t>
            </w:r>
          </w:p>
        </w:tc>
      </w:tr>
    </w:tbl>
    <w:p>
      <w:pPr>
        <w:spacing w:after="0" w:line="118" w:lineRule="exact"/>
        <w:rPr>
          <w:sz w:val="20"/>
          <w:szCs w:val="20"/>
          <w:color w:val="auto"/>
        </w:rPr>
      </w:pPr>
    </w:p>
    <w:p>
      <w:pPr>
        <w:ind w:left="4040"/>
        <w:spacing w:after="0"/>
        <w:rPr>
          <w:sz w:val="20"/>
          <w:szCs w:val="20"/>
          <w:color w:val="auto"/>
        </w:rPr>
      </w:pPr>
      <w:r>
        <w:rPr>
          <w:rFonts w:ascii="Arial" w:cs="Arial" w:eastAsia="Arial" w:hAnsi="Arial"/>
          <w:sz w:val="15"/>
          <w:szCs w:val="15"/>
          <w:color w:val="auto"/>
        </w:rPr>
        <w:t>The anticipated effect of adoption is described in Note 2, “Basis of</w:t>
      </w:r>
    </w:p>
    <w:p>
      <w:pPr>
        <w:ind w:left="4040"/>
        <w:spacing w:after="0"/>
        <w:rPr>
          <w:sz w:val="20"/>
          <w:szCs w:val="20"/>
          <w:color w:val="auto"/>
        </w:rPr>
      </w:pPr>
      <w:r>
        <w:rPr>
          <w:rFonts w:ascii="Arial" w:cs="Arial" w:eastAsia="Arial" w:hAnsi="Arial"/>
          <w:sz w:val="15"/>
          <w:szCs w:val="15"/>
          <w:color w:val="auto"/>
        </w:rPr>
        <w:t>Presentation and Significant Accounting Policies,” in the Financial</w:t>
      </w:r>
    </w:p>
    <w:p>
      <w:pPr>
        <w:ind w:left="4040"/>
        <w:spacing w:after="0"/>
        <w:rPr>
          <w:sz w:val="20"/>
          <w:szCs w:val="20"/>
          <w:color w:val="auto"/>
        </w:rPr>
      </w:pPr>
      <w:r>
        <w:rPr>
          <w:rFonts w:ascii="Arial" w:cs="Arial" w:eastAsia="Arial" w:hAnsi="Arial"/>
          <w:sz w:val="15"/>
          <w:szCs w:val="15"/>
          <w:color w:val="auto"/>
        </w:rPr>
        <w:t>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left="180"/>
        <w:spacing w:after="0" w:line="288" w:lineRule="auto"/>
        <w:rPr>
          <w:sz w:val="20"/>
          <w:szCs w:val="20"/>
          <w:color w:val="auto"/>
        </w:rPr>
      </w:pPr>
      <w:r>
        <w:rPr>
          <w:rFonts w:ascii="Arial" w:cs="Arial" w:eastAsia="Arial" w:hAnsi="Arial"/>
          <w:sz w:val="16"/>
          <w:szCs w:val="16"/>
          <w:b w:val="1"/>
          <w:bCs w:val="1"/>
          <w:color w:val="auto"/>
        </w:rPr>
        <w:t>Effective Date/Method of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-9525</wp:posOffset>
            </wp:positionV>
            <wp:extent cx="14490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jc w:val="center"/>
        <w:ind w:left="60"/>
        <w:spacing w:after="0" w:line="241" w:lineRule="auto"/>
        <w:rPr>
          <w:sz w:val="20"/>
          <w:szCs w:val="20"/>
          <w:color w:val="auto"/>
        </w:rPr>
      </w:pPr>
      <w:r>
        <w:rPr>
          <w:rFonts w:ascii="Arial" w:cs="Arial" w:eastAsia="Arial" w:hAnsi="Arial"/>
          <w:sz w:val="15"/>
          <w:szCs w:val="15"/>
          <w:color w:val="auto"/>
        </w:rPr>
        <w:t>Since we early adopted ASU 2017-12, this update will be effective for us on November 1, 2020 on a prospective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723900</wp:posOffset>
            </wp:positionV>
            <wp:extent cx="14490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November 1, 2020</w:t>
      </w:r>
    </w:p>
    <w:p>
      <w:pPr>
        <w:spacing w:after="0" w:line="152" w:lineRule="exact"/>
        <w:rPr>
          <w:sz w:val="20"/>
          <w:szCs w:val="20"/>
          <w:color w:val="auto"/>
        </w:rPr>
      </w:pPr>
    </w:p>
    <w:p>
      <w:pPr>
        <w:jc w:val="both"/>
        <w:ind w:left="60" w:hanging="48"/>
        <w:spacing w:after="0" w:line="272" w:lineRule="auto"/>
        <w:rPr>
          <w:sz w:val="20"/>
          <w:szCs w:val="20"/>
          <w:color w:val="auto"/>
        </w:rPr>
      </w:pPr>
      <w:r>
        <w:rPr>
          <w:rFonts w:ascii="Arial" w:cs="Arial" w:eastAsia="Arial" w:hAnsi="Arial"/>
          <w:sz w:val="15"/>
          <w:szCs w:val="15"/>
          <w:color w:val="auto"/>
        </w:rPr>
        <w:t>This update will be applied either prospectively or retrospectively.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298450</wp:posOffset>
            </wp:positionV>
            <wp:extent cx="14490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480"/>
        <w:spacing w:after="0"/>
        <w:rPr>
          <w:sz w:val="20"/>
          <w:szCs w:val="20"/>
          <w:color w:val="auto"/>
        </w:rPr>
      </w:pPr>
      <w:r>
        <w:rPr>
          <w:rFonts w:ascii="Arial" w:cs="Arial" w:eastAsia="Arial" w:hAnsi="Arial"/>
          <w:sz w:val="15"/>
          <w:szCs w:val="15"/>
          <w:color w:val="auto"/>
        </w:rPr>
        <w:t>November 1, 2020</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update will be applied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retrospectively.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115570</wp:posOffset>
            </wp:positionV>
            <wp:extent cx="14490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November 1, 2020</w:t>
      </w:r>
    </w:p>
    <w:p>
      <w:pPr>
        <w:spacing w:after="0" w:line="152" w:lineRule="exact"/>
        <w:rPr>
          <w:sz w:val="20"/>
          <w:szCs w:val="20"/>
          <w:color w:val="auto"/>
        </w:rPr>
      </w:pPr>
    </w:p>
    <w:p>
      <w:pPr>
        <w:jc w:val="center"/>
        <w:ind w:left="80" w:right="20"/>
        <w:spacing w:after="0" w:line="235" w:lineRule="auto"/>
        <w:rPr>
          <w:sz w:val="20"/>
          <w:szCs w:val="20"/>
          <w:color w:val="auto"/>
        </w:rPr>
      </w:pPr>
      <w:r>
        <w:rPr>
          <w:rFonts w:ascii="Arial" w:cs="Arial" w:eastAsia="Arial" w:hAnsi="Arial"/>
          <w:sz w:val="15"/>
          <w:szCs w:val="15"/>
          <w:color w:val="auto"/>
        </w:rPr>
        <w:t>The amendments related to disclosure requirements within this update will be applied prospectively and the other amendments will be applied retrospectively.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wp:posOffset>
            </wp:positionV>
            <wp:extent cx="14490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November 1, 2020</w:t>
      </w:r>
    </w:p>
    <w:p>
      <w:pPr>
        <w:spacing w:after="0" w:line="152" w:lineRule="exact"/>
        <w:rPr>
          <w:sz w:val="20"/>
          <w:szCs w:val="20"/>
          <w:color w:val="auto"/>
        </w:rPr>
      </w:pPr>
    </w:p>
    <w:p>
      <w:pPr>
        <w:jc w:val="center"/>
        <w:ind w:left="60"/>
        <w:spacing w:after="0" w:line="232" w:lineRule="auto"/>
        <w:rPr>
          <w:sz w:val="20"/>
          <w:szCs w:val="20"/>
          <w:color w:val="auto"/>
        </w:rPr>
      </w:pPr>
      <w:r>
        <w:rPr>
          <w:rFonts w:ascii="Arial" w:cs="Arial" w:eastAsia="Arial" w:hAnsi="Arial"/>
          <w:sz w:val="15"/>
          <w:szCs w:val="15"/>
          <w:color w:val="auto"/>
        </w:rPr>
        <w:t>This standard will be applied using a modified retrospective adoption approach with a cumulative-effect adjustment to retained earnings as of the beginning of the year of adoption, except for certain provisions that are required to be applied prospectively.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5080</wp:posOffset>
            </wp:positionV>
            <wp:extent cx="14490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November 1, 2019</w:t>
      </w:r>
    </w:p>
    <w:p>
      <w:pPr>
        <w:spacing w:after="0" w:line="152" w:lineRule="exact"/>
        <w:rPr>
          <w:sz w:val="20"/>
          <w:szCs w:val="20"/>
          <w:color w:val="auto"/>
        </w:rPr>
      </w:pPr>
    </w:p>
    <w:p>
      <w:pPr>
        <w:jc w:val="center"/>
        <w:ind w:left="40"/>
        <w:spacing w:after="0" w:line="232" w:lineRule="auto"/>
        <w:rPr>
          <w:sz w:val="20"/>
          <w:szCs w:val="20"/>
          <w:color w:val="auto"/>
        </w:rPr>
      </w:pPr>
      <w:r>
        <w:rPr>
          <w:rFonts w:ascii="Arial" w:cs="Arial" w:eastAsia="Arial" w:hAnsi="Arial"/>
          <w:sz w:val="15"/>
          <w:szCs w:val="15"/>
          <w:color w:val="auto"/>
        </w:rPr>
        <w:t>We will adopt this guidance using a modified retrospective transition approach for leases existing at, or entered into after, the adoption date and will recognize a cumulative-effect adjustment to the opening balance of retained earnings in the period of adoption.</w:t>
      </w:r>
    </w:p>
    <w:p>
      <w:pPr>
        <w:spacing w:after="0" w:line="200" w:lineRule="exact"/>
        <w:rPr>
          <w:sz w:val="20"/>
          <w:szCs w:val="20"/>
          <w:color w:val="auto"/>
        </w:rPr>
      </w:pPr>
    </w:p>
    <w:p>
      <w:pPr>
        <w:sectPr>
          <w:pgSz w:w="11900" w:h="16838" w:orient="portrait"/>
          <w:cols w:equalWidth="0" w:num="2">
            <w:col w:w="9020" w:space="140"/>
            <w:col w:w="2240"/>
          </w:cols>
          <w:pgMar w:left="240" w:top="66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00"/>
          </w:cols>
          <w:pgMar w:left="240" w:top="660" w:right="25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b w:val="1"/>
          <w:bCs w:val="1"/>
          <w:color w:val="0046AD"/>
        </w:rPr>
        <w:t>ITEM 7A. QUANTITATIVE AND QUALITATIVE DISCLOSURES ABOUT MARKET RISK.</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have market risk exposure related to interest rates and foreign currency exchange rates. Market risk is measured as the potential negative impact on earnings, cash flows, or fair values resulting from a hypothetical change in interest rates or foreign currency exchange rates.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Interest Rate Risk</w:t>
      </w:r>
    </w:p>
    <w:p>
      <w:pPr>
        <w:spacing w:after="0" w:line="17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are primarily exposed to interest rate risk through our variable rate borrowings under our Credit Facility. At October 31, 2019, we had total outstanding borrowings of $808.4 million. To limit exposure to upward movements in interest rates, we entered into interest rate swap agreements to fix the interest rates on a substantial portion of our outstanding borrowings. At October 31, 2019, we had interest rate swaps with an underlying notional amount of $440.0 million and fixed interest rates of 2.83%, 2.84%, and 2.86%. Based on our average borrowings, interest rates, and interest rate swaps in effect at October 31, 2019, a 100 basis point increase in LIBOR would decrease our future earnings and cash flows by $4.3 million. For 2018, our market risk exposure related to interest rate fluctuations was $5.4 million. As actual interest rate movements over time are uncertain, our interest rate swaps pose potential interest rate risks if interest rates decrease. As of October 31, 2019, the fair value of our interest rate swap agreements was a liability of $14.6 million.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Foreign Currency Exchange Rate Risk</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primarily exposed to the impact of foreign exchange rate risk through our U.K. operations where the functional currency is the Great Britain Pound. As we intend to remain permanently invested in these foreign operations, we do not utilize hedging instruments to mitigate foreign currency exchange risks. If we change our intent with respect to such international investment, we would expect to implement strategies designed to manage those risks in an effort to mitigate the effect of foreign currency fluctuations on our earnings and cash flows.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93"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0046AD"/>
        </w:rPr>
        <w:t>ITEM 8. FINANCIAL STATEMENTS AND SUPPLEMENTARY DATA.</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ABM Industries Incorporated: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88" w:lineRule="exact"/>
        <w:rPr>
          <w:sz w:val="20"/>
          <w:szCs w:val="20"/>
          <w:color w:val="auto"/>
        </w:rPr>
      </w:pPr>
    </w:p>
    <w:p>
      <w:pPr>
        <w:ind w:right="20"/>
        <w:spacing w:after="0" w:line="220" w:lineRule="exact"/>
        <w:rPr>
          <w:sz w:val="20"/>
          <w:szCs w:val="20"/>
          <w:color w:val="auto"/>
        </w:rPr>
      </w:pPr>
      <w:r>
        <w:rPr>
          <w:rFonts w:ascii="Arial" w:cs="Arial" w:eastAsia="Arial" w:hAnsi="Arial"/>
          <w:sz w:val="18"/>
          <w:szCs w:val="18"/>
          <w:color w:val="auto"/>
        </w:rPr>
        <w:t>We have audited the accompanying consolidated balance sheets of ABM Industries Incorporated and subsidiaries (the Company) as of October 31, 2019 and 2018, the related consolidated statements of comprehensive income, stockholders’ equity, and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October 31, 2019, and the related notes and financial statement Schedule II (collectively, the consolidated financial statements). In our opinion, the consolidated financial statements present fairly, in all material respects, the financial position of the Company as of October 31, 2019 and 2018, and the results of its operations and its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October 31, 2019, in conformity with U.S. generally accepted accounting principles.</w:t>
      </w:r>
    </w:p>
    <w:p>
      <w:pPr>
        <w:spacing w:after="0" w:line="15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October 31, 2019, based on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5"/>
          <w:szCs w:val="15"/>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December 20,</w:t>
      </w:r>
      <w:r>
        <w:rPr>
          <w:rFonts w:ascii="Arial" w:cs="Arial" w:eastAsia="Arial" w:hAnsi="Arial"/>
          <w:sz w:val="18"/>
          <w:szCs w:val="18"/>
          <w:i w:val="1"/>
          <w:iCs w:val="1"/>
          <w:color w:val="auto"/>
        </w:rPr>
        <w:t xml:space="preserve"> </w:t>
      </w:r>
      <w:r>
        <w:rPr>
          <w:rFonts w:ascii="Arial" w:cs="Arial" w:eastAsia="Arial" w:hAnsi="Arial"/>
          <w:sz w:val="18"/>
          <w:szCs w:val="18"/>
          <w:color w:val="auto"/>
        </w:rPr>
        <w:t>2019 expressed an unqualified opinion of the effectiveness of the Company’s internal control over financial reporting.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88"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Evaluation of self-insurance liabilities</w:t>
      </w:r>
    </w:p>
    <w:p>
      <w:pPr>
        <w:spacing w:after="0" w:line="183" w:lineRule="exact"/>
        <w:rPr>
          <w:sz w:val="20"/>
          <w:szCs w:val="20"/>
          <w:color w:val="auto"/>
        </w:rPr>
      </w:pPr>
    </w:p>
    <w:p>
      <w:pPr>
        <w:ind w:left="340" w:right="100"/>
        <w:spacing w:after="0" w:line="264" w:lineRule="auto"/>
        <w:rPr>
          <w:sz w:val="20"/>
          <w:szCs w:val="20"/>
          <w:color w:val="auto"/>
        </w:rPr>
      </w:pPr>
      <w:r>
        <w:rPr>
          <w:rFonts w:ascii="Arial" w:cs="Arial" w:eastAsia="Arial" w:hAnsi="Arial"/>
          <w:sz w:val="18"/>
          <w:szCs w:val="18"/>
          <w:color w:val="auto"/>
        </w:rPr>
        <w:t>As discussed in Notes 2 and 12 to the consolidated financial statements, the Company uses a combination of insured and self-insurance programs to cover workers’ compensation, general liability, automobile liability, property damage, and other insurable risks. The balance of insurance reserves, net of recoverables, as of October 31, 2019 amounted to $443.3 million. The Company engages actuaries to estimate its self-insurance liabilities at least annually.</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39" w:right="239" w:bottom="1440" w:gutter="0" w:footer="0" w:header="0"/>
        </w:sectPr>
      </w:pPr>
    </w:p>
    <w:bookmarkStart w:id="49" w:name="page50"/>
    <w:bookmarkEnd w:id="49"/>
    <w:p>
      <w:pPr>
        <w:ind w:left="340" w:right="140"/>
        <w:spacing w:after="0" w:line="271" w:lineRule="auto"/>
        <w:rPr>
          <w:sz w:val="20"/>
          <w:szCs w:val="20"/>
          <w:color w:val="auto"/>
        </w:rPr>
      </w:pPr>
      <w:r>
        <w:rPr>
          <w:rFonts w:ascii="Arial" w:cs="Arial" w:eastAsia="Arial" w:hAnsi="Arial"/>
          <w:sz w:val="18"/>
          <w:szCs w:val="18"/>
          <w:color w:val="auto"/>
        </w:rPr>
        <w:t>We identified the evaluation of the self-insurance liabilities as a critical audit matter because it involves a high degree of judgment and actuarial expertise to: (1) assess the actuarial models used and (2) estimate incurred but not reported claims based on application of loss development factors to historical claims experience.</w:t>
      </w:r>
    </w:p>
    <w:p>
      <w:pPr>
        <w:spacing w:after="0" w:line="163" w:lineRule="exact"/>
        <w:rPr>
          <w:sz w:val="20"/>
          <w:szCs w:val="20"/>
          <w:color w:val="auto"/>
        </w:rPr>
      </w:pPr>
    </w:p>
    <w:p>
      <w:pPr>
        <w:ind w:left="340"/>
        <w:spacing w:after="0" w:line="257" w:lineRule="auto"/>
        <w:rPr>
          <w:sz w:val="20"/>
          <w:szCs w:val="20"/>
          <w:color w:val="auto"/>
        </w:rPr>
      </w:pPr>
      <w:r>
        <w:rPr>
          <w:rFonts w:ascii="Arial" w:cs="Arial" w:eastAsia="Arial" w:hAnsi="Arial"/>
          <w:sz w:val="18"/>
          <w:szCs w:val="18"/>
          <w:color w:val="auto"/>
        </w:rPr>
        <w:t>The primary procedures we performed to address this critical audit matter included the following. We tested certain internal controls over the Company’s self-insurance reserve process to (1) evaluate claims information sent to the actuary, (2) estimate incurred but not reported claims based on the application of loss development factors to historical claims experience, and (3) evaluate the actuarial report and the external actuarial expert’s qualifications, competency, and objectivity. We evaluated the Company’s historical ability to estimate self-insurance liabilities by comparing the prior year recorded amounts to the subsequent claim development. We tested a sample of the claims data utilized by the Company’s actuaries by comparing to underlying claims details; and involved an actuarial professional with specialized skills and knowledge who assisted in the:</w:t>
      </w:r>
    </w:p>
    <w:p>
      <w:pPr>
        <w:spacing w:after="0" w:line="28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Assessment of the actuarial models used by the Company for consistency with generally accepted actuarial standards, and</w:t>
      </w:r>
    </w:p>
    <w:p>
      <w:pPr>
        <w:spacing w:after="0" w:line="279" w:lineRule="exact"/>
        <w:rPr>
          <w:rFonts w:ascii="Arial" w:cs="Arial" w:eastAsia="Arial" w:hAnsi="Arial"/>
          <w:sz w:val="18"/>
          <w:szCs w:val="18"/>
          <w:color w:val="auto"/>
        </w:rPr>
      </w:pPr>
    </w:p>
    <w:p>
      <w:pPr>
        <w:ind w:left="660" w:right="180" w:hanging="328"/>
        <w:spacing w:after="0" w:line="29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Development of an independent actuarial estimate of self-insurance liabilities based on the Company’s underlying historical paid and incurred loss data.</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December 20, 2019</w:t>
      </w: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60"/>
          </w:cols>
          <w:pgMar w:left="240" w:top="333" w:right="29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ABM Industries Incorporated: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88"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 xml:space="preserve">We have audited ABM Industries Incorporated and subsidiaries’ (the Company) internal control over financial reporting as of October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In our opinion, the Company maintained, in all material respects, effective internal control over financial reporting as of October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35" w:lineRule="exact"/>
        <w:rPr>
          <w:sz w:val="20"/>
          <w:szCs w:val="20"/>
          <w:color w:val="auto"/>
        </w:rPr>
      </w:pPr>
    </w:p>
    <w:p>
      <w:pPr>
        <w:ind w:right="40"/>
        <w:spacing w:after="0" w:line="221" w:lineRule="exact"/>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October 31, 2019 and 2018, the related consolidated statements of comprehensive income, stockholders’ equity, and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October 31, 2019, and the related notes and financial statement Schedule II (collectively, the consolidated financial statements), and our report dated December 20, 2019 expressed an unqualified opinion on those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88"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8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December 20, 2019</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31"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CONSOLIDATED BALANCE SHEETS</w:t>
      </w:r>
    </w:p>
    <w:p>
      <w:pPr>
        <w:spacing w:after="0" w:line="185" w:lineRule="exact"/>
        <w:rPr>
          <w:sz w:val="20"/>
          <w:szCs w:val="20"/>
          <w:color w:val="auto"/>
        </w:rPr>
      </w:pPr>
    </w:p>
    <w:p>
      <w:pPr>
        <w:ind w:left="9280"/>
        <w:spacing w:after="0"/>
        <w:rPr>
          <w:sz w:val="20"/>
          <w:szCs w:val="20"/>
          <w:color w:val="auto"/>
        </w:rPr>
      </w:pPr>
      <w:r>
        <w:rPr>
          <w:rFonts w:ascii="Arial" w:cs="Arial" w:eastAsia="Arial" w:hAnsi="Arial"/>
          <w:sz w:val="18"/>
          <w:szCs w:val="18"/>
          <w:b w:val="1"/>
          <w:bCs w:val="1"/>
          <w:color w:val="auto"/>
        </w:rPr>
        <w:t>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5142230</wp:posOffset>
            </wp:positionH>
            <wp:positionV relativeFrom="paragraph">
              <wp:posOffset>29845</wp:posOffset>
            </wp:positionV>
            <wp:extent cx="2109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10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 except share and per share amounts)</w:t>
            </w:r>
          </w:p>
        </w:tc>
        <w:tc>
          <w:tcPr>
            <w:tcW w:w="360" w:type="dxa"/>
            <w:vAlign w:val="bottom"/>
          </w:tcPr>
          <w:p>
            <w:pPr>
              <w:spacing w:after="0"/>
              <w:rPr>
                <w:sz w:val="18"/>
                <w:szCs w:val="18"/>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2840" w:type="dxa"/>
            <w:vAlign w:val="bottom"/>
            <w:tcBorders>
              <w:top w:val="single" w:sz="8" w:color="auto"/>
              <w:bottom w:val="single" w:sz="8" w:color="DCE2EF"/>
            </w:tcBorders>
          </w:tcPr>
          <w:p>
            <w:pPr>
              <w:spacing w:after="0" w:line="20" w:lineRule="exact"/>
              <w:rPr>
                <w:sz w:val="1"/>
                <w:szCs w:val="1"/>
                <w:color w:val="auto"/>
              </w:rPr>
            </w:pPr>
          </w:p>
        </w:tc>
        <w:tc>
          <w:tcPr>
            <w:tcW w:w="522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64"/>
        </w:trPr>
        <w:tc>
          <w:tcPr>
            <w:tcW w:w="8100" w:type="dxa"/>
            <w:vAlign w:val="bottom"/>
            <w:gridSpan w:val="3"/>
            <w:shd w:val="clear" w:color="auto" w:fill="DCE2EF"/>
          </w:tcPr>
          <w:p>
            <w:pPr>
              <w:ind w:left="4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DCE2EF"/>
          </w:tcPr>
          <w:p>
            <w:pPr>
              <w:spacing w:after="0"/>
              <w:rPr>
                <w:sz w:val="22"/>
                <w:szCs w:val="22"/>
                <w:color w:val="auto"/>
              </w:rPr>
            </w:pPr>
          </w:p>
        </w:tc>
        <w:tc>
          <w:tcPr>
            <w:tcW w:w="124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360" w:type="dxa"/>
            <w:vAlign w:val="bottom"/>
            <w:shd w:val="clear" w:color="auto" w:fill="DCE2EF"/>
          </w:tcPr>
          <w:p>
            <w:pPr>
              <w:spacing w:after="0"/>
              <w:rPr>
                <w:sz w:val="22"/>
                <w:szCs w:val="22"/>
                <w:color w:val="auto"/>
              </w:rPr>
            </w:pPr>
          </w:p>
        </w:tc>
        <w:tc>
          <w:tcPr>
            <w:tcW w:w="1240" w:type="dxa"/>
            <w:vAlign w:val="bottom"/>
            <w:shd w:val="clear" w:color="auto" w:fill="DCE2EF"/>
          </w:tcPr>
          <w:p>
            <w:pPr>
              <w:spacing w:after="0"/>
              <w:rPr>
                <w:sz w:val="22"/>
                <w:szCs w:val="22"/>
                <w:color w:val="auto"/>
              </w:rPr>
            </w:pPr>
          </w:p>
        </w:tc>
      </w:tr>
      <w:tr>
        <w:trPr>
          <w:trHeight w:val="265"/>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5"/>
        </w:trPr>
        <w:tc>
          <w:tcPr>
            <w:tcW w:w="40" w:type="dxa"/>
            <w:vAlign w:val="bottom"/>
            <w:shd w:val="clear" w:color="auto" w:fill="DCE2EF"/>
          </w:tcPr>
          <w:p>
            <w:pPr>
              <w:spacing w:after="0"/>
              <w:rPr>
                <w:sz w:val="23"/>
                <w:szCs w:val="23"/>
                <w:color w:val="auto"/>
              </w:rPr>
            </w:pPr>
          </w:p>
        </w:tc>
        <w:tc>
          <w:tcPr>
            <w:tcW w:w="806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58.5</w:t>
            </w:r>
          </w:p>
        </w:tc>
        <w:tc>
          <w:tcPr>
            <w:tcW w:w="120" w:type="dxa"/>
            <w:vAlign w:val="bottom"/>
            <w:shd w:val="clear" w:color="auto" w:fill="DCE2EF"/>
          </w:tcPr>
          <w:p>
            <w:pPr>
              <w:spacing w:after="0"/>
              <w:rPr>
                <w:sz w:val="23"/>
                <w:szCs w:val="23"/>
                <w:color w:val="auto"/>
              </w:rPr>
            </w:pPr>
          </w:p>
        </w:tc>
        <w:tc>
          <w:tcPr>
            <w:tcW w:w="360" w:type="dxa"/>
            <w:vAlign w:val="bottom"/>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39.1</w:t>
            </w:r>
          </w:p>
        </w:tc>
      </w:tr>
      <w:tr>
        <w:trPr>
          <w:trHeight w:val="207"/>
        </w:trPr>
        <w:tc>
          <w:tcPr>
            <w:tcW w:w="40" w:type="dxa"/>
            <w:vAlign w:val="bottom"/>
          </w:tcPr>
          <w:p>
            <w:pPr>
              <w:spacing w:after="0"/>
              <w:rPr>
                <w:sz w:val="17"/>
                <w:szCs w:val="17"/>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Trade accounts receivable, net of allowances of $22.4 and $19.2</w:t>
            </w: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48"/>
        </w:trPr>
        <w:tc>
          <w:tcPr>
            <w:tcW w:w="40" w:type="dxa"/>
            <w:vAlign w:val="bottom"/>
          </w:tcPr>
          <w:p>
            <w:pPr>
              <w:spacing w:after="0"/>
              <w:rPr>
                <w:sz w:val="21"/>
                <w:szCs w:val="21"/>
                <w:color w:val="auto"/>
              </w:rPr>
            </w:pPr>
          </w:p>
        </w:tc>
        <w:tc>
          <w:tcPr>
            <w:tcW w:w="8060" w:type="dxa"/>
            <w:vAlign w:val="bottom"/>
            <w:gridSpan w:val="2"/>
          </w:tcPr>
          <w:p>
            <w:pPr>
              <w:ind w:left="500"/>
              <w:spacing w:after="0"/>
              <w:rPr>
                <w:sz w:val="20"/>
                <w:szCs w:val="20"/>
                <w:color w:val="auto"/>
              </w:rPr>
            </w:pPr>
            <w:r>
              <w:rPr>
                <w:rFonts w:ascii="Arial" w:cs="Arial" w:eastAsia="Arial" w:hAnsi="Arial"/>
                <w:sz w:val="18"/>
                <w:szCs w:val="18"/>
                <w:color w:val="auto"/>
              </w:rPr>
              <w:t>at October 31, 2019 and 2018, respectively</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1,013.2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1,014.1</w:t>
            </w:r>
          </w:p>
        </w:tc>
      </w:tr>
      <w:tr>
        <w:trPr>
          <w:trHeight w:val="275"/>
        </w:trPr>
        <w:tc>
          <w:tcPr>
            <w:tcW w:w="40" w:type="dxa"/>
            <w:vAlign w:val="bottom"/>
            <w:shd w:val="clear" w:color="auto" w:fill="DCE2EF"/>
          </w:tcPr>
          <w:p>
            <w:pPr>
              <w:spacing w:after="0"/>
              <w:rPr>
                <w:sz w:val="23"/>
                <w:szCs w:val="23"/>
                <w:color w:val="auto"/>
              </w:rPr>
            </w:pPr>
          </w:p>
        </w:tc>
        <w:tc>
          <w:tcPr>
            <w:tcW w:w="806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Costs incurred in excess of amounts billed</w:t>
            </w:r>
          </w:p>
        </w:tc>
        <w:tc>
          <w:tcPr>
            <w:tcW w:w="360" w:type="dxa"/>
            <w:vAlign w:val="bottom"/>
            <w:shd w:val="clear" w:color="auto" w:fill="DCE2EF"/>
          </w:tcPr>
          <w:p>
            <w:pPr>
              <w:spacing w:after="0"/>
              <w:rPr>
                <w:sz w:val="23"/>
                <w:szCs w:val="23"/>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72.6</w:t>
            </w:r>
          </w:p>
        </w:tc>
        <w:tc>
          <w:tcPr>
            <w:tcW w:w="120" w:type="dxa"/>
            <w:vAlign w:val="bottom"/>
            <w:shd w:val="clear" w:color="auto" w:fill="DCE2EF"/>
          </w:tcPr>
          <w:p>
            <w:pPr>
              <w:spacing w:after="0"/>
              <w:rPr>
                <w:sz w:val="23"/>
                <w:szCs w:val="23"/>
                <w:color w:val="auto"/>
              </w:rPr>
            </w:pPr>
          </w:p>
        </w:tc>
        <w:tc>
          <w:tcPr>
            <w:tcW w:w="360" w:type="dxa"/>
            <w:vAlign w:val="bottom"/>
            <w:shd w:val="clear" w:color="auto" w:fill="DCE2EF"/>
          </w:tcPr>
          <w:p>
            <w:pPr>
              <w:spacing w:after="0"/>
              <w:rPr>
                <w:sz w:val="23"/>
                <w:szCs w:val="23"/>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w:t>
            </w:r>
          </w:p>
        </w:tc>
      </w:tr>
      <w:tr>
        <w:trPr>
          <w:trHeight w:val="265"/>
        </w:trPr>
        <w:tc>
          <w:tcPr>
            <w:tcW w:w="40" w:type="dxa"/>
            <w:vAlign w:val="bottom"/>
          </w:tcPr>
          <w:p>
            <w:pPr>
              <w:spacing w:after="0"/>
              <w:rPr>
                <w:sz w:val="23"/>
                <w:szCs w:val="23"/>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Prepaid expenses</w:t>
            </w: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80.8</w:t>
            </w:r>
          </w:p>
        </w:tc>
      </w:tr>
      <w:tr>
        <w:trPr>
          <w:trHeight w:val="275"/>
        </w:trPr>
        <w:tc>
          <w:tcPr>
            <w:tcW w:w="40" w:type="dxa"/>
            <w:vAlign w:val="bottom"/>
            <w:shd w:val="clear" w:color="auto" w:fill="DCE2EF"/>
          </w:tcPr>
          <w:p>
            <w:pPr>
              <w:spacing w:after="0"/>
              <w:rPr>
                <w:sz w:val="23"/>
                <w:szCs w:val="23"/>
                <w:color w:val="auto"/>
              </w:rPr>
            </w:pPr>
          </w:p>
        </w:tc>
        <w:tc>
          <w:tcPr>
            <w:tcW w:w="806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auto"/>
            </w:tcBorders>
            <w:shd w:val="clear" w:color="auto" w:fill="DCE2EF"/>
          </w:tcPr>
          <w:p>
            <w:pPr>
              <w:spacing w:after="0"/>
              <w:rPr>
                <w:sz w:val="23"/>
                <w:szCs w:val="23"/>
                <w:color w:val="auto"/>
              </w:rPr>
            </w:pP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55.5</w:t>
            </w:r>
          </w:p>
        </w:tc>
        <w:tc>
          <w:tcPr>
            <w:tcW w:w="120" w:type="dxa"/>
            <w:vAlign w:val="bottom"/>
            <w:shd w:val="clear" w:color="auto" w:fill="DCE2EF"/>
          </w:tcPr>
          <w:p>
            <w:pPr>
              <w:spacing w:after="0"/>
              <w:rPr>
                <w:sz w:val="23"/>
                <w:szCs w:val="23"/>
                <w:color w:val="auto"/>
              </w:rPr>
            </w:pPr>
          </w:p>
        </w:tc>
        <w:tc>
          <w:tcPr>
            <w:tcW w:w="360" w:type="dxa"/>
            <w:vAlign w:val="bottom"/>
            <w:tcBorders>
              <w:bottom w:val="single" w:sz="8" w:color="auto"/>
            </w:tcBorders>
            <w:shd w:val="clear" w:color="auto" w:fill="DCE2EF"/>
          </w:tcPr>
          <w:p>
            <w:pPr>
              <w:spacing w:after="0"/>
              <w:rPr>
                <w:sz w:val="23"/>
                <w:szCs w:val="23"/>
                <w:color w:val="auto"/>
              </w:rPr>
            </w:pP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37.0</w:t>
            </w:r>
          </w:p>
        </w:tc>
      </w:tr>
      <w:tr>
        <w:trPr>
          <w:trHeight w:val="245"/>
        </w:trPr>
        <w:tc>
          <w:tcPr>
            <w:tcW w:w="40" w:type="dxa"/>
            <w:vAlign w:val="bottom"/>
            <w:tcBorders>
              <w:bottom w:val="single" w:sz="8" w:color="DCE2EF"/>
            </w:tcBorders>
          </w:tcPr>
          <w:p>
            <w:pPr>
              <w:spacing w:after="0"/>
              <w:rPr>
                <w:sz w:val="21"/>
                <w:szCs w:val="21"/>
                <w:color w:val="auto"/>
              </w:rPr>
            </w:pPr>
          </w:p>
        </w:tc>
        <w:tc>
          <w:tcPr>
            <w:tcW w:w="8060" w:type="dxa"/>
            <w:vAlign w:val="bottom"/>
            <w:tcBorders>
              <w:bottom w:val="single" w:sz="8" w:color="DCE2EF"/>
            </w:tcBorders>
            <w:gridSpan w:val="2"/>
          </w:tcPr>
          <w:p>
            <w:pPr>
              <w:ind w:left="680"/>
              <w:spacing w:after="0"/>
              <w:rPr>
                <w:sz w:val="20"/>
                <w:szCs w:val="20"/>
                <w:color w:val="auto"/>
              </w:rPr>
            </w:pPr>
            <w:r>
              <w:rPr>
                <w:rFonts w:ascii="Arial" w:cs="Arial" w:eastAsia="Arial" w:hAnsi="Arial"/>
                <w:sz w:val="18"/>
                <w:szCs w:val="18"/>
                <w:color w:val="auto"/>
              </w:rPr>
              <w:t>Total current assets</w:t>
            </w: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1,275.4</w:t>
            </w:r>
          </w:p>
        </w:tc>
        <w:tc>
          <w:tcPr>
            <w:tcW w:w="120" w:type="dxa"/>
            <w:vAlign w:val="bottom"/>
            <w:tcBorders>
              <w:bottom w:val="single" w:sz="8" w:color="DCE2E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1,171.0</w:t>
            </w:r>
          </w:p>
        </w:tc>
      </w:tr>
      <w:tr>
        <w:trPr>
          <w:trHeight w:val="255"/>
        </w:trPr>
        <w:tc>
          <w:tcPr>
            <w:tcW w:w="81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Other investments</w:t>
            </w:r>
          </w:p>
        </w:tc>
        <w:tc>
          <w:tcPr>
            <w:tcW w:w="360" w:type="dxa"/>
            <w:vAlign w:val="bottom"/>
            <w:shd w:val="clear" w:color="auto" w:fill="DCE2EF"/>
          </w:tcPr>
          <w:p>
            <w:pPr>
              <w:spacing w:after="0"/>
              <w:rPr>
                <w:sz w:val="22"/>
                <w:szCs w:val="22"/>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DCE2EF"/>
          </w:tcPr>
          <w:p>
            <w:pPr>
              <w:spacing w:after="0"/>
              <w:rPr>
                <w:sz w:val="22"/>
                <w:szCs w:val="22"/>
                <w:color w:val="auto"/>
              </w:rPr>
            </w:pPr>
          </w:p>
        </w:tc>
        <w:tc>
          <w:tcPr>
            <w:tcW w:w="360" w:type="dxa"/>
            <w:vAlign w:val="bottom"/>
            <w:shd w:val="clear" w:color="auto" w:fill="DCE2EF"/>
          </w:tcPr>
          <w:p>
            <w:pPr>
              <w:spacing w:after="0"/>
              <w:rPr>
                <w:sz w:val="22"/>
                <w:szCs w:val="22"/>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16.3</w:t>
            </w:r>
          </w:p>
        </w:tc>
      </w:tr>
      <w:tr>
        <w:trPr>
          <w:trHeight w:val="207"/>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Property, plant and equipment, net of accumulated depreciation of $199.5 and $153.9 at October 31,</w:t>
            </w: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48"/>
        </w:trPr>
        <w:tc>
          <w:tcPr>
            <w:tcW w:w="40" w:type="dxa"/>
            <w:vAlign w:val="bottom"/>
          </w:tcPr>
          <w:p>
            <w:pPr>
              <w:spacing w:after="0"/>
              <w:rPr>
                <w:sz w:val="21"/>
                <w:szCs w:val="21"/>
                <w:color w:val="auto"/>
              </w:rPr>
            </w:pPr>
          </w:p>
        </w:tc>
        <w:tc>
          <w:tcPr>
            <w:tcW w:w="8060" w:type="dxa"/>
            <w:vAlign w:val="bottom"/>
            <w:gridSpan w:val="2"/>
          </w:tcPr>
          <w:p>
            <w:pPr>
              <w:ind w:left="160"/>
              <w:spacing w:after="0"/>
              <w:rPr>
                <w:sz w:val="20"/>
                <w:szCs w:val="20"/>
                <w:color w:val="auto"/>
              </w:rPr>
            </w:pPr>
            <w:r>
              <w:rPr>
                <w:rFonts w:ascii="Arial" w:cs="Arial" w:eastAsia="Arial" w:hAnsi="Arial"/>
                <w:sz w:val="18"/>
                <w:szCs w:val="18"/>
                <w:color w:val="auto"/>
              </w:rPr>
              <w:t>2019 and 2018, respectively</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150.3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140.1</w:t>
            </w:r>
          </w:p>
        </w:tc>
      </w:tr>
      <w:tr>
        <w:trPr>
          <w:trHeight w:val="211"/>
        </w:trPr>
        <w:tc>
          <w:tcPr>
            <w:tcW w:w="81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Other intangible assets, net of accumulated amortization of $309.0 and $250.4 at October 31, 2019</w:t>
            </w:r>
          </w:p>
        </w:tc>
        <w:tc>
          <w:tcPr>
            <w:tcW w:w="360" w:type="dxa"/>
            <w:vAlign w:val="bottom"/>
            <w:shd w:val="clear" w:color="auto" w:fill="DCE2EF"/>
          </w:tcPr>
          <w:p>
            <w:pPr>
              <w:spacing w:after="0"/>
              <w:rPr>
                <w:sz w:val="18"/>
                <w:szCs w:val="18"/>
                <w:color w:val="auto"/>
              </w:rPr>
            </w:pPr>
          </w:p>
        </w:tc>
        <w:tc>
          <w:tcPr>
            <w:tcW w:w="124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360" w:type="dxa"/>
            <w:vAlign w:val="bottom"/>
            <w:shd w:val="clear" w:color="auto" w:fill="DCE2EF"/>
          </w:tcPr>
          <w:p>
            <w:pPr>
              <w:spacing w:after="0"/>
              <w:rPr>
                <w:sz w:val="18"/>
                <w:szCs w:val="18"/>
                <w:color w:val="auto"/>
              </w:rPr>
            </w:pPr>
          </w:p>
        </w:tc>
        <w:tc>
          <w:tcPr>
            <w:tcW w:w="1240" w:type="dxa"/>
            <w:vAlign w:val="bottom"/>
            <w:shd w:val="clear" w:color="auto" w:fill="DCE2EF"/>
          </w:tcPr>
          <w:p>
            <w:pPr>
              <w:spacing w:after="0"/>
              <w:rPr>
                <w:sz w:val="18"/>
                <w:szCs w:val="18"/>
                <w:color w:val="auto"/>
              </w:rPr>
            </w:pPr>
          </w:p>
        </w:tc>
      </w:tr>
      <w:tr>
        <w:trPr>
          <w:trHeight w:val="252"/>
        </w:trPr>
        <w:tc>
          <w:tcPr>
            <w:tcW w:w="40" w:type="dxa"/>
            <w:vAlign w:val="bottom"/>
            <w:shd w:val="clear" w:color="auto" w:fill="DCE2EF"/>
          </w:tcPr>
          <w:p>
            <w:pPr>
              <w:spacing w:after="0"/>
              <w:rPr>
                <w:sz w:val="21"/>
                <w:szCs w:val="21"/>
                <w:color w:val="auto"/>
              </w:rPr>
            </w:pPr>
          </w:p>
        </w:tc>
        <w:tc>
          <w:tcPr>
            <w:tcW w:w="8060" w:type="dxa"/>
            <w:vAlign w:val="bottom"/>
            <w:gridSpan w:val="2"/>
            <w:shd w:val="clear" w:color="auto" w:fill="DCE2EF"/>
          </w:tcPr>
          <w:p>
            <w:pPr>
              <w:ind w:left="160"/>
              <w:spacing w:after="0"/>
              <w:rPr>
                <w:sz w:val="20"/>
                <w:szCs w:val="20"/>
                <w:color w:val="auto"/>
              </w:rPr>
            </w:pPr>
            <w:r>
              <w:rPr>
                <w:rFonts w:ascii="Arial" w:cs="Arial" w:eastAsia="Arial" w:hAnsi="Arial"/>
                <w:sz w:val="18"/>
                <w:szCs w:val="18"/>
                <w:color w:val="auto"/>
              </w:rPr>
              <w:t>and 2018, respectively</w:t>
            </w:r>
          </w:p>
        </w:tc>
        <w:tc>
          <w:tcPr>
            <w:tcW w:w="360" w:type="dxa"/>
            <w:vAlign w:val="bottom"/>
            <w:shd w:val="clear" w:color="auto" w:fill="DCE2EF"/>
          </w:tcPr>
          <w:p>
            <w:pPr>
              <w:spacing w:after="0"/>
              <w:rPr>
                <w:sz w:val="21"/>
                <w:szCs w:val="21"/>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297.2</w:t>
            </w:r>
          </w:p>
        </w:tc>
        <w:tc>
          <w:tcPr>
            <w:tcW w:w="120" w:type="dxa"/>
            <w:vAlign w:val="bottom"/>
            <w:shd w:val="clear" w:color="auto" w:fill="DCE2EF"/>
          </w:tcPr>
          <w:p>
            <w:pPr>
              <w:spacing w:after="0"/>
              <w:rPr>
                <w:sz w:val="21"/>
                <w:szCs w:val="21"/>
                <w:color w:val="auto"/>
              </w:rPr>
            </w:pPr>
          </w:p>
        </w:tc>
        <w:tc>
          <w:tcPr>
            <w:tcW w:w="360" w:type="dxa"/>
            <w:vAlign w:val="bottom"/>
            <w:shd w:val="clear" w:color="auto" w:fill="DCE2EF"/>
          </w:tcPr>
          <w:p>
            <w:pPr>
              <w:spacing w:after="0"/>
              <w:rPr>
                <w:sz w:val="21"/>
                <w:szCs w:val="21"/>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355.7</w:t>
            </w:r>
          </w:p>
        </w:tc>
      </w:tr>
      <w:tr>
        <w:trPr>
          <w:trHeight w:val="265"/>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1,835.4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1,834.8</w:t>
            </w:r>
          </w:p>
        </w:tc>
      </w:tr>
      <w:tr>
        <w:trPr>
          <w:trHeight w:val="270"/>
        </w:trPr>
        <w:tc>
          <w:tcPr>
            <w:tcW w:w="81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Other noncurrent assets</w:t>
            </w:r>
          </w:p>
        </w:tc>
        <w:tc>
          <w:tcPr>
            <w:tcW w:w="360" w:type="dxa"/>
            <w:vAlign w:val="bottom"/>
            <w:tcBorders>
              <w:bottom w:val="single" w:sz="8" w:color="auto"/>
            </w:tcBorders>
            <w:shd w:val="clear" w:color="auto" w:fill="DCE2EF"/>
          </w:tcPr>
          <w:p>
            <w:pPr>
              <w:spacing w:after="0"/>
              <w:rPr>
                <w:sz w:val="23"/>
                <w:szCs w:val="23"/>
                <w:color w:val="auto"/>
              </w:rPr>
            </w:pP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120.3</w:t>
            </w:r>
          </w:p>
        </w:tc>
        <w:tc>
          <w:tcPr>
            <w:tcW w:w="120" w:type="dxa"/>
            <w:vAlign w:val="bottom"/>
            <w:shd w:val="clear" w:color="auto" w:fill="DCE2EF"/>
          </w:tcPr>
          <w:p>
            <w:pPr>
              <w:spacing w:after="0"/>
              <w:rPr>
                <w:sz w:val="23"/>
                <w:szCs w:val="23"/>
                <w:color w:val="auto"/>
              </w:rPr>
            </w:pPr>
          </w:p>
        </w:tc>
        <w:tc>
          <w:tcPr>
            <w:tcW w:w="360" w:type="dxa"/>
            <w:vAlign w:val="bottom"/>
            <w:tcBorders>
              <w:bottom w:val="single" w:sz="8" w:color="auto"/>
            </w:tcBorders>
            <w:shd w:val="clear" w:color="auto" w:fill="DCE2EF"/>
          </w:tcPr>
          <w:p>
            <w:pPr>
              <w:spacing w:after="0"/>
              <w:rPr>
                <w:sz w:val="23"/>
                <w:szCs w:val="23"/>
                <w:color w:val="auto"/>
              </w:rPr>
            </w:pP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109.6</w:t>
            </w:r>
          </w:p>
        </w:tc>
      </w:tr>
      <w:tr>
        <w:trPr>
          <w:trHeight w:val="295"/>
        </w:trPr>
        <w:tc>
          <w:tcPr>
            <w:tcW w:w="8100" w:type="dxa"/>
            <w:vAlign w:val="bottom"/>
            <w:tcBorders>
              <w:bottom w:val="single" w:sz="8" w:color="DCE2EF"/>
            </w:tcBorders>
            <w:gridSpan w:val="3"/>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3,692.6</w:t>
            </w:r>
          </w:p>
        </w:tc>
        <w:tc>
          <w:tcPr>
            <w:tcW w:w="120" w:type="dxa"/>
            <w:vAlign w:val="bottom"/>
            <w:tcBorders>
              <w:bottom w:val="single" w:sz="8" w:color="DCE2E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3,627.5</w:t>
            </w:r>
          </w:p>
        </w:tc>
      </w:tr>
      <w:tr>
        <w:trPr>
          <w:trHeight w:val="251"/>
        </w:trPr>
        <w:tc>
          <w:tcPr>
            <w:tcW w:w="8100" w:type="dxa"/>
            <w:vAlign w:val="bottom"/>
            <w:gridSpan w:val="3"/>
            <w:shd w:val="clear" w:color="auto" w:fill="DCE2E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shd w:val="clear" w:color="auto" w:fill="DCE2EF"/>
          </w:tcPr>
          <w:p>
            <w:pPr>
              <w:spacing w:after="0"/>
              <w:rPr>
                <w:sz w:val="21"/>
                <w:szCs w:val="21"/>
                <w:color w:val="auto"/>
              </w:rPr>
            </w:pPr>
          </w:p>
        </w:tc>
        <w:tc>
          <w:tcPr>
            <w:tcW w:w="1240" w:type="dxa"/>
            <w:vAlign w:val="bottom"/>
            <w:shd w:val="clear" w:color="auto" w:fill="DCE2EF"/>
          </w:tcPr>
          <w:p>
            <w:pPr>
              <w:spacing w:after="0"/>
              <w:rPr>
                <w:sz w:val="21"/>
                <w:szCs w:val="21"/>
                <w:color w:val="auto"/>
              </w:rPr>
            </w:pPr>
          </w:p>
        </w:tc>
        <w:tc>
          <w:tcPr>
            <w:tcW w:w="120" w:type="dxa"/>
            <w:vAlign w:val="bottom"/>
            <w:shd w:val="clear" w:color="auto" w:fill="DCE2EF"/>
          </w:tcPr>
          <w:p>
            <w:pPr>
              <w:spacing w:after="0"/>
              <w:rPr>
                <w:sz w:val="21"/>
                <w:szCs w:val="21"/>
                <w:color w:val="auto"/>
              </w:rPr>
            </w:pPr>
          </w:p>
        </w:tc>
        <w:tc>
          <w:tcPr>
            <w:tcW w:w="360" w:type="dxa"/>
            <w:vAlign w:val="bottom"/>
            <w:shd w:val="clear" w:color="auto" w:fill="DCE2EF"/>
          </w:tcPr>
          <w:p>
            <w:pPr>
              <w:spacing w:after="0"/>
              <w:rPr>
                <w:sz w:val="21"/>
                <w:szCs w:val="21"/>
                <w:color w:val="auto"/>
              </w:rPr>
            </w:pPr>
          </w:p>
        </w:tc>
        <w:tc>
          <w:tcPr>
            <w:tcW w:w="1240" w:type="dxa"/>
            <w:vAlign w:val="bottom"/>
            <w:shd w:val="clear" w:color="auto" w:fill="DCE2EF"/>
          </w:tcPr>
          <w:p>
            <w:pPr>
              <w:spacing w:after="0"/>
              <w:rPr>
                <w:sz w:val="21"/>
                <w:szCs w:val="21"/>
                <w:color w:val="auto"/>
              </w:rPr>
            </w:pPr>
          </w:p>
        </w:tc>
      </w:tr>
      <w:tr>
        <w:trPr>
          <w:trHeight w:val="265"/>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5"/>
        </w:trPr>
        <w:tc>
          <w:tcPr>
            <w:tcW w:w="40" w:type="dxa"/>
            <w:vAlign w:val="bottom"/>
            <w:shd w:val="clear" w:color="auto" w:fill="DCE2EF"/>
          </w:tcPr>
          <w:p>
            <w:pPr>
              <w:spacing w:after="0"/>
              <w:rPr>
                <w:sz w:val="23"/>
                <w:szCs w:val="23"/>
                <w:color w:val="auto"/>
              </w:rPr>
            </w:pPr>
          </w:p>
        </w:tc>
        <w:tc>
          <w:tcPr>
            <w:tcW w:w="806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Current portion of long-term debt, net</w:t>
            </w:r>
          </w:p>
        </w:tc>
        <w:tc>
          <w:tcPr>
            <w:tcW w:w="360" w:type="dxa"/>
            <w:vAlign w:val="bottom"/>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57.2</w:t>
            </w:r>
          </w:p>
        </w:tc>
        <w:tc>
          <w:tcPr>
            <w:tcW w:w="120" w:type="dxa"/>
            <w:vAlign w:val="bottom"/>
            <w:shd w:val="clear" w:color="auto" w:fill="DCE2EF"/>
          </w:tcPr>
          <w:p>
            <w:pPr>
              <w:spacing w:after="0"/>
              <w:rPr>
                <w:sz w:val="23"/>
                <w:szCs w:val="23"/>
                <w:color w:val="auto"/>
              </w:rPr>
            </w:pPr>
          </w:p>
        </w:tc>
        <w:tc>
          <w:tcPr>
            <w:tcW w:w="360" w:type="dxa"/>
            <w:vAlign w:val="bottom"/>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37.0</w:t>
            </w:r>
          </w:p>
        </w:tc>
      </w:tr>
      <w:tr>
        <w:trPr>
          <w:trHeight w:val="265"/>
        </w:trPr>
        <w:tc>
          <w:tcPr>
            <w:tcW w:w="40" w:type="dxa"/>
            <w:vAlign w:val="bottom"/>
          </w:tcPr>
          <w:p>
            <w:pPr>
              <w:spacing w:after="0"/>
              <w:rPr>
                <w:sz w:val="23"/>
                <w:szCs w:val="23"/>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Trade accounts payable</w:t>
            </w: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280.7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221.9</w:t>
            </w:r>
          </w:p>
        </w:tc>
      </w:tr>
      <w:tr>
        <w:trPr>
          <w:trHeight w:val="275"/>
        </w:trPr>
        <w:tc>
          <w:tcPr>
            <w:tcW w:w="40" w:type="dxa"/>
            <w:vAlign w:val="bottom"/>
            <w:shd w:val="clear" w:color="auto" w:fill="DCE2EF"/>
          </w:tcPr>
          <w:p>
            <w:pPr>
              <w:spacing w:after="0"/>
              <w:rPr>
                <w:sz w:val="23"/>
                <w:szCs w:val="23"/>
                <w:color w:val="auto"/>
              </w:rPr>
            </w:pPr>
          </w:p>
        </w:tc>
        <w:tc>
          <w:tcPr>
            <w:tcW w:w="806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Accrued compensation</w:t>
            </w:r>
          </w:p>
        </w:tc>
        <w:tc>
          <w:tcPr>
            <w:tcW w:w="360" w:type="dxa"/>
            <w:vAlign w:val="bottom"/>
            <w:shd w:val="clear" w:color="auto" w:fill="DCE2EF"/>
          </w:tcPr>
          <w:p>
            <w:pPr>
              <w:spacing w:after="0"/>
              <w:rPr>
                <w:sz w:val="23"/>
                <w:szCs w:val="23"/>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189.3</w:t>
            </w:r>
          </w:p>
        </w:tc>
        <w:tc>
          <w:tcPr>
            <w:tcW w:w="120" w:type="dxa"/>
            <w:vAlign w:val="bottom"/>
            <w:shd w:val="clear" w:color="auto" w:fill="DCE2EF"/>
          </w:tcPr>
          <w:p>
            <w:pPr>
              <w:spacing w:after="0"/>
              <w:rPr>
                <w:sz w:val="23"/>
                <w:szCs w:val="23"/>
                <w:color w:val="auto"/>
              </w:rPr>
            </w:pPr>
          </w:p>
        </w:tc>
        <w:tc>
          <w:tcPr>
            <w:tcW w:w="360" w:type="dxa"/>
            <w:vAlign w:val="bottom"/>
            <w:shd w:val="clear" w:color="auto" w:fill="DCE2EF"/>
          </w:tcPr>
          <w:p>
            <w:pPr>
              <w:spacing w:after="0"/>
              <w:rPr>
                <w:sz w:val="23"/>
                <w:szCs w:val="23"/>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172.1</w:t>
            </w:r>
          </w:p>
        </w:tc>
      </w:tr>
      <w:tr>
        <w:trPr>
          <w:trHeight w:val="265"/>
        </w:trPr>
        <w:tc>
          <w:tcPr>
            <w:tcW w:w="40" w:type="dxa"/>
            <w:vAlign w:val="bottom"/>
          </w:tcPr>
          <w:p>
            <w:pPr>
              <w:spacing w:after="0"/>
              <w:rPr>
                <w:sz w:val="23"/>
                <w:szCs w:val="23"/>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Accrued taxes—other than income</w:t>
            </w: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56.0</w:t>
            </w:r>
          </w:p>
        </w:tc>
      </w:tr>
      <w:tr>
        <w:trPr>
          <w:trHeight w:val="275"/>
        </w:trPr>
        <w:tc>
          <w:tcPr>
            <w:tcW w:w="40" w:type="dxa"/>
            <w:vAlign w:val="bottom"/>
            <w:shd w:val="clear" w:color="auto" w:fill="DCE2EF"/>
          </w:tcPr>
          <w:p>
            <w:pPr>
              <w:spacing w:after="0"/>
              <w:rPr>
                <w:sz w:val="23"/>
                <w:szCs w:val="23"/>
                <w:color w:val="auto"/>
              </w:rPr>
            </w:pPr>
          </w:p>
        </w:tc>
        <w:tc>
          <w:tcPr>
            <w:tcW w:w="806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Insurance claims</w:t>
            </w:r>
          </w:p>
        </w:tc>
        <w:tc>
          <w:tcPr>
            <w:tcW w:w="360" w:type="dxa"/>
            <w:vAlign w:val="bottom"/>
            <w:shd w:val="clear" w:color="auto" w:fill="DCE2EF"/>
          </w:tcPr>
          <w:p>
            <w:pPr>
              <w:spacing w:after="0"/>
              <w:rPr>
                <w:sz w:val="23"/>
                <w:szCs w:val="23"/>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149.8</w:t>
            </w:r>
          </w:p>
        </w:tc>
        <w:tc>
          <w:tcPr>
            <w:tcW w:w="120" w:type="dxa"/>
            <w:vAlign w:val="bottom"/>
            <w:shd w:val="clear" w:color="auto" w:fill="DCE2EF"/>
          </w:tcPr>
          <w:p>
            <w:pPr>
              <w:spacing w:after="0"/>
              <w:rPr>
                <w:sz w:val="23"/>
                <w:szCs w:val="23"/>
                <w:color w:val="auto"/>
              </w:rPr>
            </w:pPr>
          </w:p>
        </w:tc>
        <w:tc>
          <w:tcPr>
            <w:tcW w:w="360" w:type="dxa"/>
            <w:vAlign w:val="bottom"/>
            <w:shd w:val="clear" w:color="auto" w:fill="DCE2EF"/>
          </w:tcPr>
          <w:p>
            <w:pPr>
              <w:spacing w:after="0"/>
              <w:rPr>
                <w:sz w:val="23"/>
                <w:szCs w:val="23"/>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149.5</w:t>
            </w:r>
          </w:p>
        </w:tc>
      </w:tr>
      <w:tr>
        <w:trPr>
          <w:trHeight w:val="265"/>
        </w:trPr>
        <w:tc>
          <w:tcPr>
            <w:tcW w:w="40" w:type="dxa"/>
            <w:vAlign w:val="bottom"/>
          </w:tcPr>
          <w:p>
            <w:pPr>
              <w:spacing w:after="0"/>
              <w:rPr>
                <w:sz w:val="23"/>
                <w:szCs w:val="23"/>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Income taxes payable</w:t>
            </w: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5"/>
        </w:trPr>
        <w:tc>
          <w:tcPr>
            <w:tcW w:w="40" w:type="dxa"/>
            <w:vAlign w:val="bottom"/>
            <w:shd w:val="clear" w:color="auto" w:fill="DCE2EF"/>
          </w:tcPr>
          <w:p>
            <w:pPr>
              <w:spacing w:after="0"/>
              <w:rPr>
                <w:sz w:val="23"/>
                <w:szCs w:val="23"/>
                <w:color w:val="auto"/>
              </w:rPr>
            </w:pPr>
          </w:p>
        </w:tc>
        <w:tc>
          <w:tcPr>
            <w:tcW w:w="806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Other accrued liabilities</w:t>
            </w:r>
          </w:p>
        </w:tc>
        <w:tc>
          <w:tcPr>
            <w:tcW w:w="360" w:type="dxa"/>
            <w:vAlign w:val="bottom"/>
            <w:tcBorders>
              <w:bottom w:val="single" w:sz="8" w:color="auto"/>
            </w:tcBorders>
            <w:shd w:val="clear" w:color="auto" w:fill="DCE2EF"/>
          </w:tcPr>
          <w:p>
            <w:pPr>
              <w:spacing w:after="0"/>
              <w:rPr>
                <w:sz w:val="23"/>
                <w:szCs w:val="23"/>
                <w:color w:val="auto"/>
              </w:rPr>
            </w:pP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158.2</w:t>
            </w:r>
          </w:p>
        </w:tc>
        <w:tc>
          <w:tcPr>
            <w:tcW w:w="120" w:type="dxa"/>
            <w:vAlign w:val="bottom"/>
            <w:shd w:val="clear" w:color="auto" w:fill="DCE2EF"/>
          </w:tcPr>
          <w:p>
            <w:pPr>
              <w:spacing w:after="0"/>
              <w:rPr>
                <w:sz w:val="23"/>
                <w:szCs w:val="23"/>
                <w:color w:val="auto"/>
              </w:rPr>
            </w:pPr>
          </w:p>
        </w:tc>
        <w:tc>
          <w:tcPr>
            <w:tcW w:w="360" w:type="dxa"/>
            <w:vAlign w:val="bottom"/>
            <w:tcBorders>
              <w:bottom w:val="single" w:sz="8" w:color="auto"/>
            </w:tcBorders>
            <w:shd w:val="clear" w:color="auto" w:fill="DCE2EF"/>
          </w:tcPr>
          <w:p>
            <w:pPr>
              <w:spacing w:after="0"/>
              <w:rPr>
                <w:sz w:val="23"/>
                <w:szCs w:val="23"/>
                <w:color w:val="auto"/>
              </w:rPr>
            </w:pP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152.7</w:t>
            </w:r>
          </w:p>
        </w:tc>
      </w:tr>
      <w:tr>
        <w:trPr>
          <w:trHeight w:val="245"/>
        </w:trPr>
        <w:tc>
          <w:tcPr>
            <w:tcW w:w="40" w:type="dxa"/>
            <w:vAlign w:val="bottom"/>
            <w:tcBorders>
              <w:bottom w:val="single" w:sz="8" w:color="DCE2EF"/>
            </w:tcBorders>
          </w:tcPr>
          <w:p>
            <w:pPr>
              <w:spacing w:after="0"/>
              <w:rPr>
                <w:sz w:val="21"/>
                <w:szCs w:val="21"/>
                <w:color w:val="auto"/>
              </w:rPr>
            </w:pPr>
          </w:p>
        </w:tc>
        <w:tc>
          <w:tcPr>
            <w:tcW w:w="8060" w:type="dxa"/>
            <w:vAlign w:val="bottom"/>
            <w:tcBorders>
              <w:bottom w:val="single" w:sz="8" w:color="DCE2EF"/>
            </w:tcBorders>
            <w:gridSpan w:val="2"/>
          </w:tcPr>
          <w:p>
            <w:pPr>
              <w:ind w:left="68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902.4</w:t>
            </w:r>
          </w:p>
        </w:tc>
        <w:tc>
          <w:tcPr>
            <w:tcW w:w="120" w:type="dxa"/>
            <w:vAlign w:val="bottom"/>
            <w:tcBorders>
              <w:bottom w:val="single" w:sz="8" w:color="DCE2E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792.5</w:t>
            </w:r>
          </w:p>
        </w:tc>
      </w:tr>
      <w:tr>
        <w:trPr>
          <w:trHeight w:val="235"/>
        </w:trPr>
        <w:tc>
          <w:tcPr>
            <w:tcW w:w="40" w:type="dxa"/>
            <w:vAlign w:val="bottom"/>
            <w:tcBorders>
              <w:bottom w:val="single" w:sz="8" w:color="DCE2EF"/>
            </w:tcBorders>
            <w:shd w:val="clear" w:color="auto" w:fill="DCE2EF"/>
          </w:tcPr>
          <w:p>
            <w:pPr>
              <w:spacing w:after="0"/>
              <w:rPr>
                <w:sz w:val="20"/>
                <w:szCs w:val="20"/>
                <w:color w:val="auto"/>
              </w:rPr>
            </w:pPr>
          </w:p>
        </w:tc>
        <w:tc>
          <w:tcPr>
            <w:tcW w:w="284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8"/>
                <w:szCs w:val="18"/>
                <w:color w:val="auto"/>
                <w:shd w:val="clear" w:color="auto" w:fill="DCE2EF"/>
              </w:rPr>
              <w:t>Long-term debt, net</w:t>
            </w:r>
          </w:p>
        </w:tc>
        <w:tc>
          <w:tcPr>
            <w:tcW w:w="5220" w:type="dxa"/>
            <w:vAlign w:val="bottom"/>
            <w:tcBorders>
              <w:bottom w:val="single" w:sz="8" w:color="DCE2EF"/>
            </w:tcBorders>
            <w:shd w:val="clear" w:color="auto" w:fill="DCE2EF"/>
          </w:tcPr>
          <w:p>
            <w:pPr>
              <w:spacing w:after="0"/>
              <w:rPr>
                <w:sz w:val="20"/>
                <w:szCs w:val="20"/>
                <w:color w:val="auto"/>
              </w:rPr>
            </w:pPr>
          </w:p>
        </w:tc>
        <w:tc>
          <w:tcPr>
            <w:tcW w:w="360" w:type="dxa"/>
            <w:vAlign w:val="bottom"/>
            <w:tcBorders>
              <w:bottom w:val="single" w:sz="8" w:color="DCE2EF"/>
            </w:tcBorders>
            <w:shd w:val="clear" w:color="auto" w:fill="DCE2EF"/>
          </w:tcPr>
          <w:p>
            <w:pPr>
              <w:spacing w:after="0"/>
              <w:rPr>
                <w:sz w:val="20"/>
                <w:szCs w:val="20"/>
                <w:color w:val="auto"/>
              </w:rPr>
            </w:pPr>
          </w:p>
        </w:tc>
        <w:tc>
          <w:tcPr>
            <w:tcW w:w="1240" w:type="dxa"/>
            <w:vAlign w:val="bottom"/>
            <w:tcBorders>
              <w:bottom w:val="single" w:sz="8" w:color="DCE2EF"/>
            </w:tcBorders>
            <w:shd w:val="clear" w:color="auto" w:fill="DCE2EF"/>
          </w:tcPr>
          <w:p>
            <w:pPr>
              <w:jc w:val="right"/>
              <w:ind w:right="10"/>
              <w:spacing w:after="0"/>
              <w:rPr>
                <w:sz w:val="20"/>
                <w:szCs w:val="20"/>
                <w:color w:val="auto"/>
              </w:rPr>
            </w:pPr>
            <w:r>
              <w:rPr>
                <w:rFonts w:ascii="Arial" w:cs="Arial" w:eastAsia="Arial" w:hAnsi="Arial"/>
                <w:sz w:val="18"/>
                <w:szCs w:val="18"/>
                <w:color w:val="auto"/>
              </w:rPr>
              <w:t>744.2</w:t>
            </w:r>
          </w:p>
        </w:tc>
        <w:tc>
          <w:tcPr>
            <w:tcW w:w="120" w:type="dxa"/>
            <w:vAlign w:val="bottom"/>
            <w:tcBorders>
              <w:bottom w:val="single" w:sz="8" w:color="DCE2EF"/>
            </w:tcBorders>
            <w:shd w:val="clear" w:color="auto" w:fill="DCE2EF"/>
          </w:tcPr>
          <w:p>
            <w:pPr>
              <w:spacing w:after="0"/>
              <w:rPr>
                <w:sz w:val="20"/>
                <w:szCs w:val="20"/>
                <w:color w:val="auto"/>
              </w:rPr>
            </w:pPr>
          </w:p>
        </w:tc>
        <w:tc>
          <w:tcPr>
            <w:tcW w:w="360" w:type="dxa"/>
            <w:vAlign w:val="bottom"/>
            <w:tcBorders>
              <w:bottom w:val="single" w:sz="8" w:color="DCE2EF"/>
            </w:tcBorders>
            <w:shd w:val="clear" w:color="auto" w:fill="DCE2EF"/>
          </w:tcPr>
          <w:p>
            <w:pPr>
              <w:spacing w:after="0"/>
              <w:rPr>
                <w:sz w:val="20"/>
                <w:szCs w:val="20"/>
                <w:color w:val="auto"/>
              </w:rPr>
            </w:pPr>
          </w:p>
        </w:tc>
        <w:tc>
          <w:tcPr>
            <w:tcW w:w="1240" w:type="dxa"/>
            <w:vAlign w:val="bottom"/>
            <w:tcBorders>
              <w:bottom w:val="single" w:sz="8" w:color="DCE2EF"/>
            </w:tcBorders>
            <w:shd w:val="clear" w:color="auto" w:fill="DCE2EF"/>
          </w:tcPr>
          <w:p>
            <w:pPr>
              <w:jc w:val="right"/>
              <w:ind w:right="10"/>
              <w:spacing w:after="0"/>
              <w:rPr>
                <w:sz w:val="20"/>
                <w:szCs w:val="20"/>
                <w:color w:val="auto"/>
              </w:rPr>
            </w:pPr>
            <w:r>
              <w:rPr>
                <w:rFonts w:ascii="Arial" w:cs="Arial" w:eastAsia="Arial" w:hAnsi="Arial"/>
                <w:sz w:val="18"/>
                <w:szCs w:val="18"/>
                <w:color w:val="auto"/>
              </w:rPr>
              <w:t>902.0</w:t>
            </w:r>
          </w:p>
        </w:tc>
      </w:tr>
      <w:tr>
        <w:trPr>
          <w:trHeight w:val="265"/>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Deferred income tax liability, net</w:t>
            </w: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37.8</w:t>
            </w:r>
          </w:p>
        </w:tc>
      </w:tr>
      <w:tr>
        <w:trPr>
          <w:trHeight w:val="275"/>
        </w:trPr>
        <w:tc>
          <w:tcPr>
            <w:tcW w:w="81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Noncurrent insurance claims</w:t>
            </w:r>
          </w:p>
        </w:tc>
        <w:tc>
          <w:tcPr>
            <w:tcW w:w="360" w:type="dxa"/>
            <w:vAlign w:val="bottom"/>
            <w:shd w:val="clear" w:color="auto" w:fill="DCE2EF"/>
          </w:tcPr>
          <w:p>
            <w:pPr>
              <w:spacing w:after="0"/>
              <w:rPr>
                <w:sz w:val="23"/>
                <w:szCs w:val="23"/>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365.2</w:t>
            </w:r>
          </w:p>
        </w:tc>
        <w:tc>
          <w:tcPr>
            <w:tcW w:w="120" w:type="dxa"/>
            <w:vAlign w:val="bottom"/>
            <w:shd w:val="clear" w:color="auto" w:fill="DCE2EF"/>
          </w:tcPr>
          <w:p>
            <w:pPr>
              <w:spacing w:after="0"/>
              <w:rPr>
                <w:sz w:val="23"/>
                <w:szCs w:val="23"/>
                <w:color w:val="auto"/>
              </w:rPr>
            </w:pPr>
          </w:p>
        </w:tc>
        <w:tc>
          <w:tcPr>
            <w:tcW w:w="360" w:type="dxa"/>
            <w:vAlign w:val="bottom"/>
            <w:shd w:val="clear" w:color="auto" w:fill="DCE2EF"/>
          </w:tcPr>
          <w:p>
            <w:pPr>
              <w:spacing w:after="0"/>
              <w:rPr>
                <w:sz w:val="23"/>
                <w:szCs w:val="23"/>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360.8</w:t>
            </w:r>
          </w:p>
        </w:tc>
      </w:tr>
      <w:tr>
        <w:trPr>
          <w:trHeight w:val="265"/>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Other noncurrent liabilities</w:t>
            </w: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78.8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62.9</w:t>
            </w:r>
          </w:p>
        </w:tc>
      </w:tr>
      <w:tr>
        <w:trPr>
          <w:trHeight w:val="275"/>
        </w:trPr>
        <w:tc>
          <w:tcPr>
            <w:tcW w:w="81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Noncurrent income taxes payable</w:t>
            </w:r>
          </w:p>
        </w:tc>
        <w:tc>
          <w:tcPr>
            <w:tcW w:w="360" w:type="dxa"/>
            <w:vAlign w:val="bottom"/>
            <w:tcBorders>
              <w:bottom w:val="single" w:sz="8" w:color="auto"/>
            </w:tcBorders>
            <w:shd w:val="clear" w:color="auto" w:fill="DCE2EF"/>
          </w:tcPr>
          <w:p>
            <w:pPr>
              <w:spacing w:after="0"/>
              <w:rPr>
                <w:sz w:val="23"/>
                <w:szCs w:val="23"/>
                <w:color w:val="auto"/>
              </w:rPr>
            </w:pP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DCE2EF"/>
          </w:tcPr>
          <w:p>
            <w:pPr>
              <w:spacing w:after="0"/>
              <w:rPr>
                <w:sz w:val="23"/>
                <w:szCs w:val="23"/>
                <w:color w:val="auto"/>
              </w:rPr>
            </w:pPr>
          </w:p>
        </w:tc>
        <w:tc>
          <w:tcPr>
            <w:tcW w:w="360" w:type="dxa"/>
            <w:vAlign w:val="bottom"/>
            <w:tcBorders>
              <w:bottom w:val="single" w:sz="8" w:color="auto"/>
            </w:tcBorders>
            <w:shd w:val="clear" w:color="auto" w:fill="DCE2EF"/>
          </w:tcPr>
          <w:p>
            <w:pPr>
              <w:spacing w:after="0"/>
              <w:rPr>
                <w:sz w:val="23"/>
                <w:szCs w:val="23"/>
                <w:color w:val="auto"/>
              </w:rPr>
            </w:pP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16.9</w:t>
            </w:r>
          </w:p>
        </w:tc>
      </w:tr>
      <w:tr>
        <w:trPr>
          <w:trHeight w:val="245"/>
        </w:trPr>
        <w:tc>
          <w:tcPr>
            <w:tcW w:w="40" w:type="dxa"/>
            <w:vAlign w:val="bottom"/>
            <w:tcBorders>
              <w:bottom w:val="single" w:sz="8" w:color="DCE2EF"/>
            </w:tcBorders>
          </w:tcPr>
          <w:p>
            <w:pPr>
              <w:spacing w:after="0"/>
              <w:rPr>
                <w:sz w:val="21"/>
                <w:szCs w:val="21"/>
                <w:color w:val="auto"/>
              </w:rPr>
            </w:pPr>
          </w:p>
        </w:tc>
        <w:tc>
          <w:tcPr>
            <w:tcW w:w="8060" w:type="dxa"/>
            <w:vAlign w:val="bottom"/>
            <w:tcBorders>
              <w:bottom w:val="single" w:sz="8" w:color="DCE2EF"/>
            </w:tcBorders>
            <w:gridSpan w:val="2"/>
          </w:tcPr>
          <w:p>
            <w:pPr>
              <w:ind w:left="34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2,150.6</w:t>
            </w:r>
          </w:p>
        </w:tc>
        <w:tc>
          <w:tcPr>
            <w:tcW w:w="120" w:type="dxa"/>
            <w:vAlign w:val="bottom"/>
            <w:tcBorders>
              <w:bottom w:val="single" w:sz="8" w:color="DCE2E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2,172.9</w:t>
            </w:r>
          </w:p>
        </w:tc>
      </w:tr>
      <w:tr>
        <w:trPr>
          <w:trHeight w:val="255"/>
        </w:trPr>
        <w:tc>
          <w:tcPr>
            <w:tcW w:w="81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Commitments and contingencies</w:t>
            </w:r>
          </w:p>
        </w:tc>
        <w:tc>
          <w:tcPr>
            <w:tcW w:w="360" w:type="dxa"/>
            <w:vAlign w:val="bottom"/>
            <w:shd w:val="clear" w:color="auto" w:fill="DCE2EF"/>
          </w:tcPr>
          <w:p>
            <w:pPr>
              <w:spacing w:after="0"/>
              <w:rPr>
                <w:sz w:val="22"/>
                <w:szCs w:val="22"/>
                <w:color w:val="auto"/>
              </w:rPr>
            </w:pPr>
          </w:p>
        </w:tc>
        <w:tc>
          <w:tcPr>
            <w:tcW w:w="124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360" w:type="dxa"/>
            <w:vAlign w:val="bottom"/>
            <w:shd w:val="clear" w:color="auto" w:fill="DCE2EF"/>
          </w:tcPr>
          <w:p>
            <w:pPr>
              <w:spacing w:after="0"/>
              <w:rPr>
                <w:sz w:val="22"/>
                <w:szCs w:val="22"/>
                <w:color w:val="auto"/>
              </w:rPr>
            </w:pPr>
          </w:p>
        </w:tc>
        <w:tc>
          <w:tcPr>
            <w:tcW w:w="1240" w:type="dxa"/>
            <w:vAlign w:val="bottom"/>
            <w:shd w:val="clear" w:color="auto" w:fill="DCE2EF"/>
          </w:tcPr>
          <w:p>
            <w:pPr>
              <w:spacing w:after="0"/>
              <w:rPr>
                <w:sz w:val="22"/>
                <w:szCs w:val="22"/>
                <w:color w:val="auto"/>
              </w:rPr>
            </w:pPr>
          </w:p>
        </w:tc>
      </w:tr>
      <w:tr>
        <w:trPr>
          <w:trHeight w:val="269"/>
        </w:trPr>
        <w:tc>
          <w:tcPr>
            <w:tcW w:w="8100" w:type="dxa"/>
            <w:vAlign w:val="bottom"/>
            <w:gridSpan w:val="3"/>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1"/>
        </w:trPr>
        <w:tc>
          <w:tcPr>
            <w:tcW w:w="40" w:type="dxa"/>
            <w:vAlign w:val="bottom"/>
            <w:shd w:val="clear" w:color="auto" w:fill="DCE2EF"/>
          </w:tcPr>
          <w:p>
            <w:pPr>
              <w:spacing w:after="0"/>
              <w:rPr>
                <w:sz w:val="23"/>
                <w:szCs w:val="23"/>
                <w:color w:val="auto"/>
              </w:rPr>
            </w:pPr>
          </w:p>
        </w:tc>
        <w:tc>
          <w:tcPr>
            <w:tcW w:w="806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Preferred stock, $0.01 par value; 500,000 shares authorized; none issued</w:t>
            </w:r>
          </w:p>
        </w:tc>
        <w:tc>
          <w:tcPr>
            <w:tcW w:w="360" w:type="dxa"/>
            <w:vAlign w:val="bottom"/>
            <w:shd w:val="clear" w:color="auto" w:fill="DCE2EF"/>
          </w:tcPr>
          <w:p>
            <w:pPr>
              <w:spacing w:after="0"/>
              <w:rPr>
                <w:sz w:val="23"/>
                <w:szCs w:val="23"/>
                <w:color w:val="auto"/>
              </w:rPr>
            </w:pPr>
          </w:p>
        </w:tc>
        <w:tc>
          <w:tcPr>
            <w:tcW w:w="1360" w:type="dxa"/>
            <w:vAlign w:val="bottom"/>
            <w:gridSpan w:val="2"/>
            <w:shd w:val="clear" w:color="auto" w:fill="DCE2E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DCE2EF"/>
          </w:tcPr>
          <w:p>
            <w:pPr>
              <w:spacing w:after="0"/>
              <w:rPr>
                <w:sz w:val="23"/>
                <w:szCs w:val="23"/>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w:t>
            </w:r>
          </w:p>
        </w:tc>
      </w:tr>
      <w:tr>
        <w:trPr>
          <w:trHeight w:val="207"/>
        </w:trPr>
        <w:tc>
          <w:tcPr>
            <w:tcW w:w="40" w:type="dxa"/>
            <w:vAlign w:val="bottom"/>
          </w:tcPr>
          <w:p>
            <w:pPr>
              <w:spacing w:after="0"/>
              <w:rPr>
                <w:sz w:val="17"/>
                <w:szCs w:val="17"/>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Common stock, $0.01 par value; 100,000,000 shares authorized;</w:t>
            </w: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806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66,571,427 and 66,004,361 shares issued and outstanding at</w:t>
            </w: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48"/>
        </w:trPr>
        <w:tc>
          <w:tcPr>
            <w:tcW w:w="40" w:type="dxa"/>
            <w:vAlign w:val="bottom"/>
          </w:tcPr>
          <w:p>
            <w:pPr>
              <w:spacing w:after="0"/>
              <w:rPr>
                <w:sz w:val="21"/>
                <w:szCs w:val="21"/>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October 31, 2019 and 2018, respectively</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0.7</w:t>
            </w:r>
          </w:p>
        </w:tc>
      </w:tr>
      <w:tr>
        <w:trPr>
          <w:trHeight w:val="275"/>
        </w:trPr>
        <w:tc>
          <w:tcPr>
            <w:tcW w:w="40" w:type="dxa"/>
            <w:vAlign w:val="bottom"/>
            <w:shd w:val="clear" w:color="auto" w:fill="DCE2EF"/>
          </w:tcPr>
          <w:p>
            <w:pPr>
              <w:spacing w:after="0"/>
              <w:rPr>
                <w:sz w:val="23"/>
                <w:szCs w:val="23"/>
                <w:color w:val="auto"/>
              </w:rPr>
            </w:pPr>
          </w:p>
        </w:tc>
        <w:tc>
          <w:tcPr>
            <w:tcW w:w="806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DCE2EF"/>
          </w:tcPr>
          <w:p>
            <w:pPr>
              <w:spacing w:after="0"/>
              <w:rPr>
                <w:sz w:val="23"/>
                <w:szCs w:val="23"/>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708.9</w:t>
            </w:r>
          </w:p>
        </w:tc>
        <w:tc>
          <w:tcPr>
            <w:tcW w:w="120" w:type="dxa"/>
            <w:vAlign w:val="bottom"/>
            <w:shd w:val="clear" w:color="auto" w:fill="DCE2EF"/>
          </w:tcPr>
          <w:p>
            <w:pPr>
              <w:spacing w:after="0"/>
              <w:rPr>
                <w:sz w:val="23"/>
                <w:szCs w:val="23"/>
                <w:color w:val="auto"/>
              </w:rPr>
            </w:pPr>
          </w:p>
        </w:tc>
        <w:tc>
          <w:tcPr>
            <w:tcW w:w="360" w:type="dxa"/>
            <w:vAlign w:val="bottom"/>
            <w:shd w:val="clear" w:color="auto" w:fill="DCE2EF"/>
          </w:tcPr>
          <w:p>
            <w:pPr>
              <w:spacing w:after="0"/>
              <w:rPr>
                <w:sz w:val="23"/>
                <w:szCs w:val="23"/>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691.8</w:t>
            </w:r>
          </w:p>
        </w:tc>
      </w:tr>
      <w:tr>
        <w:trPr>
          <w:trHeight w:val="265"/>
        </w:trPr>
        <w:tc>
          <w:tcPr>
            <w:tcW w:w="40" w:type="dxa"/>
            <w:vAlign w:val="bottom"/>
          </w:tcPr>
          <w:p>
            <w:pPr>
              <w:spacing w:after="0"/>
              <w:rPr>
                <w:sz w:val="23"/>
                <w:szCs w:val="23"/>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Accumulated other comprehensive loss, net of taxes</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5"/>
        </w:trPr>
        <w:tc>
          <w:tcPr>
            <w:tcW w:w="40" w:type="dxa"/>
            <w:vAlign w:val="bottom"/>
            <w:shd w:val="clear" w:color="auto" w:fill="DCE2EF"/>
          </w:tcPr>
          <w:p>
            <w:pPr>
              <w:spacing w:after="0"/>
              <w:rPr>
                <w:sz w:val="23"/>
                <w:szCs w:val="23"/>
                <w:color w:val="auto"/>
              </w:rPr>
            </w:pPr>
          </w:p>
        </w:tc>
        <w:tc>
          <w:tcPr>
            <w:tcW w:w="806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Retained earnings</w:t>
            </w:r>
          </w:p>
        </w:tc>
        <w:tc>
          <w:tcPr>
            <w:tcW w:w="360" w:type="dxa"/>
            <w:vAlign w:val="bottom"/>
            <w:tcBorders>
              <w:bottom w:val="single" w:sz="8" w:color="auto"/>
            </w:tcBorders>
            <w:shd w:val="clear" w:color="auto" w:fill="DCE2EF"/>
          </w:tcPr>
          <w:p>
            <w:pPr>
              <w:spacing w:after="0"/>
              <w:rPr>
                <w:sz w:val="23"/>
                <w:szCs w:val="23"/>
                <w:color w:val="auto"/>
              </w:rPr>
            </w:pP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856.3</w:t>
            </w:r>
          </w:p>
        </w:tc>
        <w:tc>
          <w:tcPr>
            <w:tcW w:w="120" w:type="dxa"/>
            <w:vAlign w:val="bottom"/>
            <w:shd w:val="clear" w:color="auto" w:fill="DCE2EF"/>
          </w:tcPr>
          <w:p>
            <w:pPr>
              <w:spacing w:after="0"/>
              <w:rPr>
                <w:sz w:val="23"/>
                <w:szCs w:val="23"/>
                <w:color w:val="auto"/>
              </w:rPr>
            </w:pPr>
          </w:p>
        </w:tc>
        <w:tc>
          <w:tcPr>
            <w:tcW w:w="360" w:type="dxa"/>
            <w:vAlign w:val="bottom"/>
            <w:tcBorders>
              <w:bottom w:val="single" w:sz="8" w:color="auto"/>
            </w:tcBorders>
            <w:shd w:val="clear" w:color="auto" w:fill="DCE2EF"/>
          </w:tcPr>
          <w:p>
            <w:pPr>
              <w:spacing w:after="0"/>
              <w:rPr>
                <w:sz w:val="23"/>
                <w:szCs w:val="23"/>
                <w:color w:val="auto"/>
              </w:rPr>
            </w:pP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771.2</w:t>
            </w:r>
          </w:p>
        </w:tc>
      </w:tr>
      <w:tr>
        <w:trPr>
          <w:trHeight w:val="245"/>
        </w:trPr>
        <w:tc>
          <w:tcPr>
            <w:tcW w:w="40" w:type="dxa"/>
            <w:vAlign w:val="bottom"/>
            <w:tcBorders>
              <w:bottom w:val="single" w:sz="8" w:color="DCE2EF"/>
            </w:tcBorders>
          </w:tcPr>
          <w:p>
            <w:pPr>
              <w:spacing w:after="0"/>
              <w:rPr>
                <w:sz w:val="21"/>
                <w:szCs w:val="21"/>
                <w:color w:val="auto"/>
              </w:rPr>
            </w:pPr>
          </w:p>
        </w:tc>
        <w:tc>
          <w:tcPr>
            <w:tcW w:w="8060" w:type="dxa"/>
            <w:vAlign w:val="bottom"/>
            <w:tcBorders>
              <w:bottom w:val="single" w:sz="8" w:color="DCE2EF"/>
            </w:tcBorders>
            <w:gridSpan w:val="2"/>
          </w:tcPr>
          <w:p>
            <w:pPr>
              <w:ind w:left="34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1,542.0</w:t>
            </w:r>
          </w:p>
        </w:tc>
        <w:tc>
          <w:tcPr>
            <w:tcW w:w="120" w:type="dxa"/>
            <w:vAlign w:val="bottom"/>
            <w:tcBorders>
              <w:bottom w:val="single" w:sz="8" w:color="DCE2E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1,454.6</w:t>
            </w:r>
          </w:p>
        </w:tc>
      </w:tr>
      <w:tr>
        <w:trPr>
          <w:trHeight w:val="255"/>
        </w:trPr>
        <w:tc>
          <w:tcPr>
            <w:tcW w:w="8100" w:type="dxa"/>
            <w:vAlign w:val="bottom"/>
            <w:tcBorders>
              <w:bottom w:val="single" w:sz="8" w:color="DCE2EF"/>
            </w:tcBorders>
            <w:gridSpan w:val="3"/>
            <w:shd w:val="clear" w:color="auto" w:fill="DCE2E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auto"/>
            </w:tcBorders>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3,692.6</w:t>
            </w:r>
          </w:p>
        </w:tc>
        <w:tc>
          <w:tcPr>
            <w:tcW w:w="120" w:type="dxa"/>
            <w:vAlign w:val="bottom"/>
            <w:tcBorders>
              <w:bottom w:val="single" w:sz="8" w:color="DCE2EF"/>
            </w:tcBorders>
            <w:shd w:val="clear" w:color="auto" w:fill="DCE2EF"/>
          </w:tcPr>
          <w:p>
            <w:pPr>
              <w:spacing w:after="0"/>
              <w:rPr>
                <w:sz w:val="22"/>
                <w:szCs w:val="22"/>
                <w:color w:val="auto"/>
              </w:rPr>
            </w:pPr>
          </w:p>
        </w:tc>
        <w:tc>
          <w:tcPr>
            <w:tcW w:w="360" w:type="dxa"/>
            <w:vAlign w:val="bottom"/>
            <w:tcBorders>
              <w:bottom w:val="single" w:sz="8" w:color="auto"/>
            </w:tcBorders>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3,627.5</w:t>
            </w:r>
          </w:p>
        </w:tc>
      </w:tr>
      <w:tr>
        <w:trPr>
          <w:trHeight w:val="20"/>
        </w:trPr>
        <w:tc>
          <w:tcPr>
            <w:tcW w:w="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479" w:right="23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420"/>
          </w:cols>
          <w:pgMar w:left="240" w:top="479" w:right="239" w:bottom="1440" w:gutter="0" w:footer="0" w:header="0"/>
          <w:type w:val="continuous"/>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CONSOLIDATED STATEMENTS OF COMPREHENSIVE INCOME</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44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2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Years Ended October 31,</w:t>
            </w: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340" w:type="dxa"/>
            <w:vAlign w:val="bottom"/>
          </w:tcPr>
          <w:p>
            <w:pPr>
              <w:spacing w:after="0"/>
              <w:rPr>
                <w:sz w:val="19"/>
                <w:szCs w:val="19"/>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2240" w:type="dxa"/>
            <w:vAlign w:val="bottom"/>
            <w:tcBorders>
              <w:top w:val="single" w:sz="8" w:color="auto"/>
              <w:bottom w:val="single" w:sz="8" w:color="DCE2EF"/>
            </w:tcBorders>
          </w:tcPr>
          <w:p>
            <w:pPr>
              <w:spacing w:after="0" w:line="20" w:lineRule="exact"/>
              <w:rPr>
                <w:sz w:val="1"/>
                <w:szCs w:val="1"/>
                <w:color w:val="auto"/>
              </w:rPr>
            </w:pPr>
          </w:p>
        </w:tc>
        <w:tc>
          <w:tcPr>
            <w:tcW w:w="446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6740" w:type="dxa"/>
            <w:vAlign w:val="bottom"/>
            <w:gridSpan w:val="3"/>
            <w:shd w:val="clear" w:color="auto" w:fill="DCE2EF"/>
          </w:tcPr>
          <w:p>
            <w:pPr>
              <w:ind w:left="40"/>
              <w:spacing w:after="0"/>
              <w:rPr>
                <w:sz w:val="20"/>
                <w:szCs w:val="20"/>
                <w:color w:val="auto"/>
              </w:rPr>
            </w:pPr>
            <w:r>
              <w:rPr>
                <w:rFonts w:ascii="Arial" w:cs="Arial" w:eastAsia="Arial" w:hAnsi="Arial"/>
                <w:sz w:val="18"/>
                <w:szCs w:val="18"/>
                <w:b w:val="1"/>
                <w:bCs w:val="1"/>
                <w:color w:val="auto"/>
              </w:rPr>
              <w:t>Revenues</w:t>
            </w:r>
          </w:p>
        </w:tc>
        <w:tc>
          <w:tcPr>
            <w:tcW w:w="340" w:type="dxa"/>
            <w:vAlign w:val="bottom"/>
            <w:shd w:val="clear" w:color="auto" w:fill="DCE2E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6,498.6</w:t>
            </w:r>
          </w:p>
        </w:tc>
        <w:tc>
          <w:tcPr>
            <w:tcW w:w="100" w:type="dxa"/>
            <w:vAlign w:val="bottom"/>
            <w:shd w:val="clear" w:color="auto" w:fill="DCE2EF"/>
          </w:tcPr>
          <w:p>
            <w:pPr>
              <w:spacing w:after="0"/>
              <w:rPr>
                <w:sz w:val="21"/>
                <w:szCs w:val="21"/>
                <w:color w:val="auto"/>
              </w:rPr>
            </w:pPr>
          </w:p>
        </w:tc>
        <w:tc>
          <w:tcPr>
            <w:tcW w:w="340" w:type="dxa"/>
            <w:vAlign w:val="bottom"/>
            <w:shd w:val="clear" w:color="auto" w:fill="DCE2E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6,442.2</w:t>
            </w:r>
          </w:p>
        </w:tc>
        <w:tc>
          <w:tcPr>
            <w:tcW w:w="120" w:type="dxa"/>
            <w:vAlign w:val="bottom"/>
            <w:shd w:val="clear" w:color="auto" w:fill="DCE2EF"/>
          </w:tcPr>
          <w:p>
            <w:pPr>
              <w:spacing w:after="0"/>
              <w:rPr>
                <w:sz w:val="21"/>
                <w:szCs w:val="21"/>
                <w:color w:val="auto"/>
              </w:rPr>
            </w:pPr>
          </w:p>
        </w:tc>
        <w:tc>
          <w:tcPr>
            <w:tcW w:w="380" w:type="dxa"/>
            <w:vAlign w:val="bottom"/>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5,453.6</w:t>
            </w:r>
          </w:p>
        </w:tc>
        <w:tc>
          <w:tcPr>
            <w:tcW w:w="0" w:type="dxa"/>
            <w:vAlign w:val="bottom"/>
          </w:tcPr>
          <w:p>
            <w:pPr>
              <w:spacing w:after="0"/>
              <w:rPr>
                <w:sz w:val="1"/>
                <w:szCs w:val="1"/>
                <w:color w:val="auto"/>
              </w:rPr>
            </w:pPr>
          </w:p>
        </w:tc>
      </w:tr>
      <w:tr>
        <w:trPr>
          <w:trHeight w:val="265"/>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5,767.5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5,747.4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4,881.2</w:t>
            </w:r>
          </w:p>
        </w:tc>
        <w:tc>
          <w:tcPr>
            <w:tcW w:w="0" w:type="dxa"/>
            <w:vAlign w:val="bottom"/>
          </w:tcPr>
          <w:p>
            <w:pPr>
              <w:spacing w:after="0"/>
              <w:rPr>
                <w:sz w:val="1"/>
                <w:szCs w:val="1"/>
                <w:color w:val="auto"/>
              </w:rPr>
            </w:pPr>
          </w:p>
        </w:tc>
      </w:tr>
      <w:tr>
        <w:trPr>
          <w:trHeight w:val="275"/>
        </w:trPr>
        <w:tc>
          <w:tcPr>
            <w:tcW w:w="674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shd w:val="clear" w:color="auto" w:fill="DCE2EF"/>
          </w:tcPr>
          <w:p>
            <w:pPr>
              <w:spacing w:after="0"/>
              <w:rPr>
                <w:sz w:val="23"/>
                <w:szCs w:val="23"/>
                <w:color w:val="auto"/>
              </w:rPr>
            </w:pPr>
          </w:p>
        </w:tc>
        <w:tc>
          <w:tcPr>
            <w:tcW w:w="116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452.9</w:t>
            </w:r>
          </w:p>
        </w:tc>
        <w:tc>
          <w:tcPr>
            <w:tcW w:w="10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1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438.0</w:t>
            </w:r>
          </w:p>
        </w:tc>
        <w:tc>
          <w:tcPr>
            <w:tcW w:w="120" w:type="dxa"/>
            <w:vAlign w:val="bottom"/>
            <w:shd w:val="clear" w:color="auto" w:fill="DCE2EF"/>
          </w:tcPr>
          <w:p>
            <w:pPr>
              <w:spacing w:after="0"/>
              <w:rPr>
                <w:sz w:val="23"/>
                <w:szCs w:val="23"/>
                <w:color w:val="auto"/>
              </w:rPr>
            </w:pPr>
          </w:p>
        </w:tc>
        <w:tc>
          <w:tcPr>
            <w:tcW w:w="380" w:type="dxa"/>
            <w:vAlign w:val="bottom"/>
            <w:shd w:val="clear" w:color="auto" w:fill="DCE2EF"/>
          </w:tcPr>
          <w:p>
            <w:pPr>
              <w:spacing w:after="0"/>
              <w:rPr>
                <w:sz w:val="23"/>
                <w:szCs w:val="23"/>
                <w:color w:val="auto"/>
              </w:rPr>
            </w:pPr>
          </w:p>
        </w:tc>
        <w:tc>
          <w:tcPr>
            <w:tcW w:w="11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436.6</w:t>
            </w:r>
          </w:p>
        </w:tc>
        <w:tc>
          <w:tcPr>
            <w:tcW w:w="0" w:type="dxa"/>
            <w:vAlign w:val="bottom"/>
          </w:tcPr>
          <w:p>
            <w:pPr>
              <w:spacing w:after="0"/>
              <w:rPr>
                <w:sz w:val="1"/>
                <w:szCs w:val="1"/>
                <w:color w:val="auto"/>
              </w:rPr>
            </w:pPr>
          </w:p>
        </w:tc>
      </w:tr>
      <w:tr>
        <w:trPr>
          <w:trHeight w:val="265"/>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Restructuring and related expenses</w:t>
            </w:r>
          </w:p>
        </w:tc>
        <w:tc>
          <w:tcPr>
            <w:tcW w:w="34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5"/>
        </w:trPr>
        <w:tc>
          <w:tcPr>
            <w:tcW w:w="674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shd w:val="clear" w:color="auto" w:fill="DCE2EF"/>
          </w:tcPr>
          <w:p>
            <w:pPr>
              <w:spacing w:after="0"/>
              <w:rPr>
                <w:sz w:val="23"/>
                <w:szCs w:val="23"/>
                <w:color w:val="auto"/>
              </w:rPr>
            </w:pPr>
          </w:p>
        </w:tc>
        <w:tc>
          <w:tcPr>
            <w:tcW w:w="116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1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66.0</w:t>
            </w:r>
          </w:p>
        </w:tc>
        <w:tc>
          <w:tcPr>
            <w:tcW w:w="120" w:type="dxa"/>
            <w:vAlign w:val="bottom"/>
            <w:shd w:val="clear" w:color="auto" w:fill="DCE2EF"/>
          </w:tcPr>
          <w:p>
            <w:pPr>
              <w:spacing w:after="0"/>
              <w:rPr>
                <w:sz w:val="23"/>
                <w:szCs w:val="23"/>
                <w:color w:val="auto"/>
              </w:rPr>
            </w:pPr>
          </w:p>
        </w:tc>
        <w:tc>
          <w:tcPr>
            <w:tcW w:w="380" w:type="dxa"/>
            <w:vAlign w:val="bottom"/>
            <w:shd w:val="clear" w:color="auto" w:fill="DCE2EF"/>
          </w:tcPr>
          <w:p>
            <w:pPr>
              <w:spacing w:after="0"/>
              <w:rPr>
                <w:sz w:val="23"/>
                <w:szCs w:val="23"/>
                <w:color w:val="auto"/>
              </w:rPr>
            </w:pPr>
          </w:p>
        </w:tc>
        <w:tc>
          <w:tcPr>
            <w:tcW w:w="11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65"/>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Impairment loss (recovery)</w:t>
            </w:r>
          </w:p>
        </w:tc>
        <w:tc>
          <w:tcPr>
            <w:tcW w:w="34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55"/>
        </w:trPr>
        <w:tc>
          <w:tcPr>
            <w:tcW w:w="6740" w:type="dxa"/>
            <w:vAlign w:val="bottom"/>
            <w:tcBorders>
              <w:top w:val="single" w:sz="8" w:color="DCE2EF"/>
            </w:tcBorders>
            <w:gridSpan w:val="3"/>
            <w:shd w:val="clear" w:color="auto" w:fill="DCE2EF"/>
          </w:tcPr>
          <w:p>
            <w:pPr>
              <w:ind w:left="40"/>
              <w:spacing w:after="0"/>
              <w:rPr>
                <w:sz w:val="20"/>
                <w:szCs w:val="20"/>
                <w:color w:val="auto"/>
              </w:rPr>
            </w:pPr>
            <w:r>
              <w:rPr>
                <w:rFonts w:ascii="Arial" w:cs="Arial" w:eastAsia="Arial" w:hAnsi="Arial"/>
                <w:sz w:val="18"/>
                <w:szCs w:val="18"/>
                <w:b w:val="1"/>
                <w:bCs w:val="1"/>
                <w:color w:val="auto"/>
              </w:rPr>
              <w:t>Operating profit</w:t>
            </w:r>
          </w:p>
        </w:tc>
        <w:tc>
          <w:tcPr>
            <w:tcW w:w="340" w:type="dxa"/>
            <w:vAlign w:val="bottom"/>
            <w:tcBorders>
              <w:top w:val="single" w:sz="8" w:color="auto"/>
            </w:tcBorders>
            <w:shd w:val="clear" w:color="auto" w:fill="DCE2EF"/>
          </w:tcPr>
          <w:p>
            <w:pPr>
              <w:spacing w:after="0"/>
              <w:rPr>
                <w:sz w:val="22"/>
                <w:szCs w:val="22"/>
                <w:color w:val="auto"/>
              </w:rPr>
            </w:pPr>
          </w:p>
        </w:tc>
        <w:tc>
          <w:tcPr>
            <w:tcW w:w="1160" w:type="dxa"/>
            <w:vAlign w:val="bottom"/>
            <w:tcBorders>
              <w:top w:val="single" w:sz="8" w:color="auto"/>
            </w:tcBorders>
            <w:shd w:val="clear" w:color="auto" w:fill="DCE2EF"/>
          </w:tcPr>
          <w:p>
            <w:pPr>
              <w:jc w:val="right"/>
              <w:ind w:right="30"/>
              <w:spacing w:after="0"/>
              <w:rPr>
                <w:sz w:val="20"/>
                <w:szCs w:val="20"/>
                <w:color w:val="auto"/>
              </w:rPr>
            </w:pPr>
            <w:r>
              <w:rPr>
                <w:rFonts w:ascii="Arial" w:cs="Arial" w:eastAsia="Arial" w:hAnsi="Arial"/>
                <w:sz w:val="18"/>
                <w:szCs w:val="18"/>
                <w:color w:val="auto"/>
              </w:rPr>
              <w:t>208.3</w:t>
            </w:r>
          </w:p>
        </w:tc>
        <w:tc>
          <w:tcPr>
            <w:tcW w:w="100" w:type="dxa"/>
            <w:vAlign w:val="bottom"/>
            <w:tcBorders>
              <w:top w:val="single" w:sz="8" w:color="DCE2EF"/>
            </w:tcBorders>
            <w:shd w:val="clear" w:color="auto" w:fill="DCE2EF"/>
          </w:tcPr>
          <w:p>
            <w:pPr>
              <w:spacing w:after="0"/>
              <w:rPr>
                <w:sz w:val="22"/>
                <w:szCs w:val="22"/>
                <w:color w:val="auto"/>
              </w:rPr>
            </w:pPr>
          </w:p>
        </w:tc>
        <w:tc>
          <w:tcPr>
            <w:tcW w:w="340" w:type="dxa"/>
            <w:vAlign w:val="bottom"/>
            <w:tcBorders>
              <w:top w:val="single" w:sz="8" w:color="auto"/>
            </w:tcBorders>
            <w:shd w:val="clear" w:color="auto" w:fill="DCE2EF"/>
          </w:tcPr>
          <w:p>
            <w:pPr>
              <w:spacing w:after="0"/>
              <w:rPr>
                <w:sz w:val="22"/>
                <w:szCs w:val="22"/>
                <w:color w:val="auto"/>
              </w:rPr>
            </w:pPr>
          </w:p>
        </w:tc>
        <w:tc>
          <w:tcPr>
            <w:tcW w:w="1140" w:type="dxa"/>
            <w:vAlign w:val="bottom"/>
            <w:tcBorders>
              <w:top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138.6</w:t>
            </w:r>
          </w:p>
        </w:tc>
        <w:tc>
          <w:tcPr>
            <w:tcW w:w="120" w:type="dxa"/>
            <w:vAlign w:val="bottom"/>
            <w:tcBorders>
              <w:top w:val="single" w:sz="8" w:color="DCE2EF"/>
            </w:tcBorders>
            <w:shd w:val="clear" w:color="auto" w:fill="DCE2EF"/>
          </w:tcPr>
          <w:p>
            <w:pPr>
              <w:spacing w:after="0"/>
              <w:rPr>
                <w:sz w:val="22"/>
                <w:szCs w:val="22"/>
                <w:color w:val="auto"/>
              </w:rPr>
            </w:pPr>
          </w:p>
        </w:tc>
        <w:tc>
          <w:tcPr>
            <w:tcW w:w="380" w:type="dxa"/>
            <w:vAlign w:val="bottom"/>
            <w:tcBorders>
              <w:top w:val="single" w:sz="8" w:color="auto"/>
            </w:tcBorders>
            <w:shd w:val="clear" w:color="auto" w:fill="DCE2EF"/>
          </w:tcPr>
          <w:p>
            <w:pPr>
              <w:spacing w:after="0"/>
              <w:rPr>
                <w:sz w:val="22"/>
                <w:szCs w:val="22"/>
                <w:color w:val="auto"/>
              </w:rPr>
            </w:pPr>
          </w:p>
        </w:tc>
        <w:tc>
          <w:tcPr>
            <w:tcW w:w="1100" w:type="dxa"/>
            <w:vAlign w:val="bottom"/>
            <w:tcBorders>
              <w:top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65"/>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Income from unconsolidated affiliates</w:t>
            </w:r>
          </w:p>
        </w:tc>
        <w:tc>
          <w:tcPr>
            <w:tcW w:w="34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5"/>
        </w:trPr>
        <w:tc>
          <w:tcPr>
            <w:tcW w:w="674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auto"/>
            </w:tcBorders>
            <w:shd w:val="clear" w:color="auto" w:fill="DCE2EF"/>
          </w:tcPr>
          <w:p>
            <w:pPr>
              <w:spacing w:after="0"/>
              <w:rPr>
                <w:sz w:val="23"/>
                <w:szCs w:val="23"/>
                <w:color w:val="auto"/>
              </w:rPr>
            </w:pPr>
          </w:p>
        </w:tc>
        <w:tc>
          <w:tcPr>
            <w:tcW w:w="1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DCE2EF"/>
          </w:tcPr>
          <w:p>
            <w:pPr>
              <w:spacing w:after="0"/>
              <w:rPr>
                <w:sz w:val="23"/>
                <w:szCs w:val="23"/>
                <w:color w:val="auto"/>
              </w:rPr>
            </w:pPr>
          </w:p>
        </w:tc>
        <w:tc>
          <w:tcPr>
            <w:tcW w:w="340" w:type="dxa"/>
            <w:vAlign w:val="bottom"/>
            <w:tcBorders>
              <w:bottom w:val="single" w:sz="8" w:color="auto"/>
            </w:tcBorders>
            <w:shd w:val="clear" w:color="auto" w:fill="DCE2EF"/>
          </w:tcPr>
          <w:p>
            <w:pPr>
              <w:spacing w:after="0"/>
              <w:rPr>
                <w:sz w:val="23"/>
                <w:szCs w:val="23"/>
                <w:color w:val="auto"/>
              </w:rPr>
            </w:pPr>
          </w:p>
        </w:tc>
        <w:tc>
          <w:tcPr>
            <w:tcW w:w="1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(54.1)</w:t>
            </w:r>
          </w:p>
        </w:tc>
        <w:tc>
          <w:tcPr>
            <w:tcW w:w="120" w:type="dxa"/>
            <w:vAlign w:val="bottom"/>
            <w:shd w:val="clear" w:color="auto" w:fill="DCE2EF"/>
          </w:tcPr>
          <w:p>
            <w:pPr>
              <w:spacing w:after="0"/>
              <w:rPr>
                <w:sz w:val="23"/>
                <w:szCs w:val="23"/>
                <w:color w:val="auto"/>
              </w:rPr>
            </w:pPr>
          </w:p>
        </w:tc>
        <w:tc>
          <w:tcPr>
            <w:tcW w:w="380" w:type="dxa"/>
            <w:vAlign w:val="bottom"/>
            <w:tcBorders>
              <w:bottom w:val="single" w:sz="8" w:color="auto"/>
            </w:tcBorders>
            <w:shd w:val="clear" w:color="auto" w:fill="DCE2EF"/>
          </w:tcPr>
          <w:p>
            <w:pPr>
              <w:spacing w:after="0"/>
              <w:rPr>
                <w:sz w:val="23"/>
                <w:szCs w:val="23"/>
                <w:color w:val="auto"/>
              </w:rPr>
            </w:pPr>
          </w:p>
        </w:tc>
        <w:tc>
          <w:tcPr>
            <w:tcW w:w="11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45"/>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87.7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75"/>
        </w:trPr>
        <w:tc>
          <w:tcPr>
            <w:tcW w:w="674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Income tax (provision) benefit</w:t>
            </w:r>
          </w:p>
        </w:tc>
        <w:tc>
          <w:tcPr>
            <w:tcW w:w="340" w:type="dxa"/>
            <w:vAlign w:val="bottom"/>
            <w:tcBorders>
              <w:bottom w:val="single" w:sz="8" w:color="auto"/>
            </w:tcBorders>
            <w:shd w:val="clear" w:color="auto" w:fill="DCE2EF"/>
          </w:tcPr>
          <w:p>
            <w:pPr>
              <w:spacing w:after="0"/>
              <w:rPr>
                <w:sz w:val="23"/>
                <w:szCs w:val="23"/>
                <w:color w:val="auto"/>
              </w:rPr>
            </w:pPr>
          </w:p>
        </w:tc>
        <w:tc>
          <w:tcPr>
            <w:tcW w:w="1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DCE2EF"/>
          </w:tcPr>
          <w:p>
            <w:pPr>
              <w:spacing w:after="0"/>
              <w:rPr>
                <w:sz w:val="23"/>
                <w:szCs w:val="23"/>
                <w:color w:val="auto"/>
              </w:rPr>
            </w:pPr>
          </w:p>
        </w:tc>
        <w:tc>
          <w:tcPr>
            <w:tcW w:w="340" w:type="dxa"/>
            <w:vAlign w:val="bottom"/>
            <w:tcBorders>
              <w:bottom w:val="single" w:sz="8" w:color="auto"/>
            </w:tcBorders>
            <w:shd w:val="clear" w:color="auto" w:fill="DCE2EF"/>
          </w:tcPr>
          <w:p>
            <w:pPr>
              <w:spacing w:after="0"/>
              <w:rPr>
                <w:sz w:val="23"/>
                <w:szCs w:val="23"/>
                <w:color w:val="auto"/>
              </w:rPr>
            </w:pPr>
          </w:p>
        </w:tc>
        <w:tc>
          <w:tcPr>
            <w:tcW w:w="11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8.2</w:t>
            </w:r>
          </w:p>
        </w:tc>
        <w:tc>
          <w:tcPr>
            <w:tcW w:w="120" w:type="dxa"/>
            <w:vAlign w:val="bottom"/>
            <w:shd w:val="clear" w:color="auto" w:fill="DCE2EF"/>
          </w:tcPr>
          <w:p>
            <w:pPr>
              <w:spacing w:after="0"/>
              <w:rPr>
                <w:sz w:val="23"/>
                <w:szCs w:val="23"/>
                <w:color w:val="auto"/>
              </w:rPr>
            </w:pPr>
          </w:p>
        </w:tc>
        <w:tc>
          <w:tcPr>
            <w:tcW w:w="380" w:type="dxa"/>
            <w:vAlign w:val="bottom"/>
            <w:tcBorders>
              <w:bottom w:val="single" w:sz="8" w:color="auto"/>
            </w:tcBorders>
            <w:shd w:val="clear" w:color="auto" w:fill="DCE2EF"/>
          </w:tcPr>
          <w:p>
            <w:pPr>
              <w:spacing w:after="0"/>
              <w:rPr>
                <w:sz w:val="23"/>
                <w:szCs w:val="23"/>
                <w:color w:val="auto"/>
              </w:rPr>
            </w:pPr>
          </w:p>
        </w:tc>
        <w:tc>
          <w:tcPr>
            <w:tcW w:w="11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5"/>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95.9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75"/>
        </w:trPr>
        <w:tc>
          <w:tcPr>
            <w:tcW w:w="674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(Loss) income from discontinued operations, net of taxes</w:t>
            </w:r>
          </w:p>
        </w:tc>
        <w:tc>
          <w:tcPr>
            <w:tcW w:w="340" w:type="dxa"/>
            <w:vAlign w:val="bottom"/>
            <w:tcBorders>
              <w:bottom w:val="single" w:sz="8" w:color="auto"/>
            </w:tcBorders>
            <w:shd w:val="clear" w:color="auto" w:fill="DCE2EF"/>
          </w:tcPr>
          <w:p>
            <w:pPr>
              <w:spacing w:after="0"/>
              <w:rPr>
                <w:sz w:val="23"/>
                <w:szCs w:val="23"/>
                <w:color w:val="auto"/>
              </w:rPr>
            </w:pPr>
          </w:p>
        </w:tc>
        <w:tc>
          <w:tcPr>
            <w:tcW w:w="1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DCE2EF"/>
          </w:tcPr>
          <w:p>
            <w:pPr>
              <w:spacing w:after="0"/>
              <w:rPr>
                <w:sz w:val="23"/>
                <w:szCs w:val="23"/>
                <w:color w:val="auto"/>
              </w:rPr>
            </w:pPr>
          </w:p>
        </w:tc>
        <w:tc>
          <w:tcPr>
            <w:tcW w:w="340" w:type="dxa"/>
            <w:vAlign w:val="bottom"/>
            <w:tcBorders>
              <w:bottom w:val="single" w:sz="8" w:color="auto"/>
            </w:tcBorders>
            <w:shd w:val="clear" w:color="auto" w:fill="DCE2EF"/>
          </w:tcPr>
          <w:p>
            <w:pPr>
              <w:spacing w:after="0"/>
              <w:rPr>
                <w:sz w:val="23"/>
                <w:szCs w:val="23"/>
                <w:color w:val="auto"/>
              </w:rPr>
            </w:pPr>
          </w:p>
        </w:tc>
        <w:tc>
          <w:tcPr>
            <w:tcW w:w="11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DCE2EF"/>
          </w:tcPr>
          <w:p>
            <w:pPr>
              <w:spacing w:after="0"/>
              <w:rPr>
                <w:sz w:val="23"/>
                <w:szCs w:val="23"/>
                <w:color w:val="auto"/>
              </w:rPr>
            </w:pPr>
          </w:p>
        </w:tc>
        <w:tc>
          <w:tcPr>
            <w:tcW w:w="380" w:type="dxa"/>
            <w:vAlign w:val="bottom"/>
            <w:tcBorders>
              <w:bottom w:val="single" w:sz="8" w:color="auto"/>
            </w:tcBorders>
            <w:shd w:val="clear" w:color="auto" w:fill="DCE2EF"/>
          </w:tcPr>
          <w:p>
            <w:pPr>
              <w:spacing w:after="0"/>
              <w:rPr>
                <w:sz w:val="23"/>
                <w:szCs w:val="23"/>
                <w:color w:val="auto"/>
              </w:rPr>
            </w:pPr>
          </w:p>
        </w:tc>
        <w:tc>
          <w:tcPr>
            <w:tcW w:w="11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49"/>
        </w:trPr>
        <w:tc>
          <w:tcPr>
            <w:tcW w:w="6740" w:type="dxa"/>
            <w:vAlign w:val="bottom"/>
            <w:tcBorders>
              <w:bottom w:val="single" w:sz="8" w:color="DCE2EF"/>
            </w:tcBorders>
            <w:gridSpan w:val="3"/>
          </w:tcPr>
          <w:p>
            <w:pPr>
              <w:ind w:left="40"/>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127.4</w:t>
            </w:r>
          </w:p>
        </w:tc>
        <w:tc>
          <w:tcPr>
            <w:tcW w:w="100" w:type="dxa"/>
            <w:vAlign w:val="bottom"/>
            <w:tcBorders>
              <w:bottom w:val="single" w:sz="8" w:color="DCE2E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97.8</w:t>
            </w:r>
          </w:p>
        </w:tc>
        <w:tc>
          <w:tcPr>
            <w:tcW w:w="120" w:type="dxa"/>
            <w:vAlign w:val="bottom"/>
            <w:tcBorders>
              <w:bottom w:val="single" w:sz="8" w:color="DCE2E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64"/>
        </w:trPr>
        <w:tc>
          <w:tcPr>
            <w:tcW w:w="674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Other comprehensive income (loss)</w:t>
            </w:r>
          </w:p>
        </w:tc>
        <w:tc>
          <w:tcPr>
            <w:tcW w:w="340" w:type="dxa"/>
            <w:vAlign w:val="bottom"/>
            <w:shd w:val="clear" w:color="auto" w:fill="DCE2EF"/>
          </w:tcPr>
          <w:p>
            <w:pPr>
              <w:spacing w:after="0"/>
              <w:rPr>
                <w:sz w:val="22"/>
                <w:szCs w:val="22"/>
                <w:color w:val="auto"/>
              </w:rPr>
            </w:pPr>
          </w:p>
        </w:tc>
        <w:tc>
          <w:tcPr>
            <w:tcW w:w="116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340" w:type="dxa"/>
            <w:vAlign w:val="bottom"/>
            <w:shd w:val="clear" w:color="auto" w:fill="DCE2EF"/>
          </w:tcPr>
          <w:p>
            <w:pPr>
              <w:spacing w:after="0"/>
              <w:rPr>
                <w:sz w:val="22"/>
                <w:szCs w:val="22"/>
                <w:color w:val="auto"/>
              </w:rPr>
            </w:pPr>
          </w:p>
        </w:tc>
        <w:tc>
          <w:tcPr>
            <w:tcW w:w="114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380" w:type="dxa"/>
            <w:vAlign w:val="bottom"/>
            <w:shd w:val="clear" w:color="auto" w:fill="DCE2EF"/>
          </w:tcPr>
          <w:p>
            <w:pPr>
              <w:spacing w:after="0"/>
              <w:rPr>
                <w:sz w:val="22"/>
                <w:szCs w:val="22"/>
                <w:color w:val="auto"/>
              </w:rPr>
            </w:pPr>
          </w:p>
        </w:tc>
        <w:tc>
          <w:tcPr>
            <w:tcW w:w="1100" w:type="dxa"/>
            <w:vAlign w:val="bottom"/>
            <w:shd w:val="clear" w:color="auto" w:fill="DCE2E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6700" w:type="dxa"/>
            <w:vAlign w:val="bottom"/>
            <w:gridSpan w:val="2"/>
          </w:tcPr>
          <w:p>
            <w:pPr>
              <w:ind w:left="340"/>
              <w:spacing w:after="0"/>
              <w:rPr>
                <w:sz w:val="20"/>
                <w:szCs w:val="20"/>
                <w:color w:val="auto"/>
              </w:rPr>
            </w:pPr>
            <w:r>
              <w:rPr>
                <w:rFonts w:ascii="Arial" w:cs="Arial" w:eastAsia="Arial" w:hAnsi="Arial"/>
                <w:sz w:val="18"/>
                <w:szCs w:val="18"/>
                <w:color w:val="auto"/>
              </w:rPr>
              <w:t>Interest rate swaps and other</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5"/>
        </w:trPr>
        <w:tc>
          <w:tcPr>
            <w:tcW w:w="40" w:type="dxa"/>
            <w:vAlign w:val="bottom"/>
            <w:shd w:val="clear" w:color="auto" w:fill="DCE2EF"/>
          </w:tcPr>
          <w:p>
            <w:pPr>
              <w:spacing w:after="0"/>
              <w:rPr>
                <w:sz w:val="23"/>
                <w:szCs w:val="23"/>
                <w:color w:val="auto"/>
              </w:rPr>
            </w:pPr>
          </w:p>
        </w:tc>
        <w:tc>
          <w:tcPr>
            <w:tcW w:w="670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Foreign currency translation</w:t>
            </w:r>
          </w:p>
        </w:tc>
        <w:tc>
          <w:tcPr>
            <w:tcW w:w="340" w:type="dxa"/>
            <w:vAlign w:val="bottom"/>
            <w:shd w:val="clear" w:color="auto" w:fill="DCE2EF"/>
          </w:tcPr>
          <w:p>
            <w:pPr>
              <w:spacing w:after="0"/>
              <w:rPr>
                <w:sz w:val="23"/>
                <w:szCs w:val="23"/>
                <w:color w:val="auto"/>
              </w:rPr>
            </w:pPr>
          </w:p>
        </w:tc>
        <w:tc>
          <w:tcPr>
            <w:tcW w:w="116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DCE2EF"/>
          </w:tcPr>
          <w:p>
            <w:pPr>
              <w:spacing w:after="0"/>
              <w:rPr>
                <w:sz w:val="23"/>
                <w:szCs w:val="23"/>
                <w:color w:val="auto"/>
              </w:rPr>
            </w:pPr>
          </w:p>
        </w:tc>
        <w:tc>
          <w:tcPr>
            <w:tcW w:w="380" w:type="dxa"/>
            <w:vAlign w:val="bottom"/>
            <w:shd w:val="clear" w:color="auto" w:fill="DCE2EF"/>
          </w:tcPr>
          <w:p>
            <w:pPr>
              <w:spacing w:after="0"/>
              <w:rPr>
                <w:sz w:val="23"/>
                <w:szCs w:val="23"/>
                <w:color w:val="auto"/>
              </w:rPr>
            </w:pPr>
          </w:p>
        </w:tc>
        <w:tc>
          <w:tcPr>
            <w:tcW w:w="11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65"/>
        </w:trPr>
        <w:tc>
          <w:tcPr>
            <w:tcW w:w="40" w:type="dxa"/>
            <w:vAlign w:val="bottom"/>
            <w:tcBorders>
              <w:bottom w:val="single" w:sz="8" w:color="DCE2EF"/>
            </w:tcBorders>
          </w:tcPr>
          <w:p>
            <w:pPr>
              <w:spacing w:after="0"/>
              <w:rPr>
                <w:sz w:val="23"/>
                <w:szCs w:val="23"/>
                <w:color w:val="auto"/>
              </w:rPr>
            </w:pPr>
          </w:p>
        </w:tc>
        <w:tc>
          <w:tcPr>
            <w:tcW w:w="6700" w:type="dxa"/>
            <w:vAlign w:val="bottom"/>
            <w:tcBorders>
              <w:bottom w:val="single" w:sz="8" w:color="DCE2EF"/>
            </w:tcBorders>
            <w:gridSpan w:val="2"/>
          </w:tcPr>
          <w:p>
            <w:pPr>
              <w:ind w:left="340"/>
              <w:spacing w:after="0"/>
              <w:rPr>
                <w:sz w:val="20"/>
                <w:szCs w:val="20"/>
                <w:color w:val="auto"/>
              </w:rPr>
            </w:pPr>
            <w:r>
              <w:rPr>
                <w:rFonts w:ascii="Arial" w:cs="Arial" w:eastAsia="Arial" w:hAnsi="Arial"/>
                <w:sz w:val="18"/>
                <w:szCs w:val="18"/>
                <w:color w:val="auto"/>
              </w:rPr>
              <w:t>Income tax benefit (provision)</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DCE2E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DCE2E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5"/>
        </w:trPr>
        <w:tc>
          <w:tcPr>
            <w:tcW w:w="6740" w:type="dxa"/>
            <w:vAlign w:val="bottom"/>
            <w:tcBorders>
              <w:bottom w:val="single" w:sz="8" w:color="DCE2EF"/>
            </w:tcBorders>
            <w:gridSpan w:val="3"/>
            <w:shd w:val="clear" w:color="auto" w:fill="DCE2E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340" w:type="dxa"/>
            <w:vAlign w:val="bottom"/>
            <w:tcBorders>
              <w:bottom w:val="single" w:sz="8" w:color="auto"/>
            </w:tcBorders>
            <w:shd w:val="clear" w:color="auto" w:fill="DCE2E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DCE2EF"/>
          </w:tcPr>
          <w:p>
            <w:pPr>
              <w:jc w:val="right"/>
              <w:ind w:right="30"/>
              <w:spacing w:after="0"/>
              <w:rPr>
                <w:sz w:val="20"/>
                <w:szCs w:val="20"/>
                <w:color w:val="auto"/>
              </w:rPr>
            </w:pPr>
            <w:r>
              <w:rPr>
                <w:rFonts w:ascii="Arial" w:cs="Arial" w:eastAsia="Arial" w:hAnsi="Arial"/>
                <w:sz w:val="18"/>
                <w:szCs w:val="18"/>
                <w:color w:val="auto"/>
              </w:rPr>
              <w:t>112.5</w:t>
            </w:r>
          </w:p>
        </w:tc>
        <w:tc>
          <w:tcPr>
            <w:tcW w:w="100" w:type="dxa"/>
            <w:vAlign w:val="bottom"/>
            <w:tcBorders>
              <w:bottom w:val="single" w:sz="8" w:color="DCE2EF"/>
            </w:tcBorders>
            <w:shd w:val="clear" w:color="auto" w:fill="DCE2EF"/>
          </w:tcPr>
          <w:p>
            <w:pPr>
              <w:spacing w:after="0"/>
              <w:rPr>
                <w:sz w:val="22"/>
                <w:szCs w:val="22"/>
                <w:color w:val="auto"/>
              </w:rPr>
            </w:pPr>
          </w:p>
        </w:tc>
        <w:tc>
          <w:tcPr>
            <w:tcW w:w="340" w:type="dxa"/>
            <w:vAlign w:val="bottom"/>
            <w:tcBorders>
              <w:bottom w:val="single" w:sz="8" w:color="auto"/>
            </w:tcBorders>
            <w:shd w:val="clear" w:color="auto" w:fill="DCE2E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109.0</w:t>
            </w:r>
          </w:p>
        </w:tc>
        <w:tc>
          <w:tcPr>
            <w:tcW w:w="120" w:type="dxa"/>
            <w:vAlign w:val="bottom"/>
            <w:tcBorders>
              <w:bottom w:val="single" w:sz="8" w:color="DCE2EF"/>
            </w:tcBorders>
            <w:shd w:val="clear" w:color="auto" w:fill="DCE2EF"/>
          </w:tcPr>
          <w:p>
            <w:pPr>
              <w:spacing w:after="0"/>
              <w:rPr>
                <w:sz w:val="22"/>
                <w:szCs w:val="22"/>
                <w:color w:val="auto"/>
              </w:rPr>
            </w:pPr>
          </w:p>
        </w:tc>
        <w:tc>
          <w:tcPr>
            <w:tcW w:w="380" w:type="dxa"/>
            <w:vAlign w:val="bottom"/>
            <w:tcBorders>
              <w:bottom w:val="single" w:sz="8" w:color="auto"/>
            </w:tcBorders>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67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 xml:space="preserve">Net income per common share </w:t>
            </w:r>
            <w:r>
              <w:rPr>
                <w:rFonts w:ascii="Arial" w:cs="Arial" w:eastAsia="Arial" w:hAnsi="Arial"/>
                <w:sz w:val="18"/>
                <w:szCs w:val="18"/>
                <w:color w:val="auto"/>
              </w:rPr>
              <w:t>—</w:t>
            </w:r>
            <w:r>
              <w:rPr>
                <w:rFonts w:ascii="Arial" w:cs="Arial" w:eastAsia="Arial" w:hAnsi="Arial"/>
                <w:sz w:val="18"/>
                <w:szCs w:val="18"/>
                <w:b w:val="1"/>
                <w:bCs w:val="1"/>
                <w:color w:val="auto"/>
              </w:rPr>
              <w:t xml:space="preserve"> Basic</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gridSpan w:val="3"/>
            <w:vMerge w:val="continue"/>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40" w:type="dxa"/>
            <w:vAlign w:val="bottom"/>
            <w:shd w:val="clear" w:color="auto" w:fill="DCE2EF"/>
          </w:tcPr>
          <w:p>
            <w:pPr>
              <w:spacing w:after="0"/>
              <w:rPr>
                <w:sz w:val="23"/>
                <w:szCs w:val="23"/>
                <w:color w:val="auto"/>
              </w:rPr>
            </w:pPr>
          </w:p>
        </w:tc>
        <w:tc>
          <w:tcPr>
            <w:tcW w:w="670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shd w:val="clear" w:color="auto" w:fill="DCE2E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DCE2EF"/>
          </w:tcPr>
          <w:p>
            <w:pPr>
              <w:spacing w:after="0"/>
              <w:rPr>
                <w:sz w:val="23"/>
                <w:szCs w:val="23"/>
                <w:color w:val="auto"/>
              </w:rPr>
            </w:pPr>
          </w:p>
        </w:tc>
        <w:tc>
          <w:tcPr>
            <w:tcW w:w="340" w:type="dxa"/>
            <w:vAlign w:val="bottom"/>
            <w:shd w:val="clear" w:color="auto" w:fill="DCE2E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DCE2EF"/>
          </w:tcPr>
          <w:p>
            <w:pPr>
              <w:spacing w:after="0"/>
              <w:rPr>
                <w:sz w:val="23"/>
                <w:szCs w:val="23"/>
                <w:color w:val="auto"/>
              </w:rPr>
            </w:pPr>
          </w:p>
        </w:tc>
        <w:tc>
          <w:tcPr>
            <w:tcW w:w="380" w:type="dxa"/>
            <w:vAlign w:val="bottom"/>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6700" w:type="dxa"/>
            <w:vAlign w:val="bottom"/>
            <w:gridSpan w:val="2"/>
          </w:tcPr>
          <w:p>
            <w:pPr>
              <w:ind w:left="340"/>
              <w:spacing w:after="0"/>
              <w:rPr>
                <w:sz w:val="20"/>
                <w:szCs w:val="20"/>
                <w:color w:val="auto"/>
              </w:rPr>
            </w:pPr>
            <w:r>
              <w:rPr>
                <w:rFonts w:ascii="Arial" w:cs="Arial" w:eastAsia="Arial" w:hAnsi="Arial"/>
                <w:sz w:val="18"/>
                <w:szCs w:val="18"/>
                <w:color w:val="auto"/>
              </w:rPr>
              <w:t>Income (loss) from discontinued operations</w:t>
            </w:r>
          </w:p>
        </w:tc>
        <w:tc>
          <w:tcPr>
            <w:tcW w:w="34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55"/>
        </w:trPr>
        <w:tc>
          <w:tcPr>
            <w:tcW w:w="40" w:type="dxa"/>
            <w:vAlign w:val="bottom"/>
            <w:tcBorders>
              <w:top w:val="single" w:sz="8" w:color="DCE2EF"/>
              <w:bottom w:val="single" w:sz="8" w:color="DCE2EF"/>
            </w:tcBorders>
            <w:shd w:val="clear" w:color="auto" w:fill="DCE2EF"/>
          </w:tcPr>
          <w:p>
            <w:pPr>
              <w:spacing w:after="0"/>
              <w:rPr>
                <w:sz w:val="22"/>
                <w:szCs w:val="22"/>
                <w:color w:val="auto"/>
              </w:rPr>
            </w:pPr>
          </w:p>
        </w:tc>
        <w:tc>
          <w:tcPr>
            <w:tcW w:w="6700" w:type="dxa"/>
            <w:vAlign w:val="bottom"/>
            <w:tcBorders>
              <w:top w:val="single" w:sz="8" w:color="DCE2EF"/>
              <w:bottom w:val="single" w:sz="8" w:color="DCE2EF"/>
            </w:tcBorders>
            <w:gridSpan w:val="2"/>
            <w:shd w:val="clear" w:color="auto" w:fill="DCE2EF"/>
          </w:tcPr>
          <w:p>
            <w:pPr>
              <w:ind w:left="34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bottom w:val="single" w:sz="8" w:color="auto"/>
            </w:tcBorders>
            <w:shd w:val="clear" w:color="auto" w:fill="DCE2E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DCE2EF"/>
          </w:tcPr>
          <w:p>
            <w:pPr>
              <w:jc w:val="right"/>
              <w:ind w:right="30"/>
              <w:spacing w:after="0"/>
              <w:rPr>
                <w:sz w:val="20"/>
                <w:szCs w:val="20"/>
                <w:color w:val="auto"/>
              </w:rPr>
            </w:pPr>
            <w:r>
              <w:rPr>
                <w:rFonts w:ascii="Arial" w:cs="Arial" w:eastAsia="Arial" w:hAnsi="Arial"/>
                <w:sz w:val="18"/>
                <w:szCs w:val="18"/>
                <w:color w:val="auto"/>
              </w:rPr>
              <w:t>1.91</w:t>
            </w:r>
          </w:p>
        </w:tc>
        <w:tc>
          <w:tcPr>
            <w:tcW w:w="100" w:type="dxa"/>
            <w:vAlign w:val="bottom"/>
            <w:tcBorders>
              <w:top w:val="single" w:sz="8" w:color="DCE2EF"/>
              <w:bottom w:val="single" w:sz="8" w:color="DCE2EF"/>
            </w:tcBorders>
            <w:shd w:val="clear" w:color="auto" w:fill="DCE2EF"/>
          </w:tcPr>
          <w:p>
            <w:pPr>
              <w:spacing w:after="0"/>
              <w:rPr>
                <w:sz w:val="22"/>
                <w:szCs w:val="22"/>
                <w:color w:val="auto"/>
              </w:rPr>
            </w:pPr>
          </w:p>
        </w:tc>
        <w:tc>
          <w:tcPr>
            <w:tcW w:w="340" w:type="dxa"/>
            <w:vAlign w:val="bottom"/>
            <w:tcBorders>
              <w:top w:val="single" w:sz="8" w:color="auto"/>
              <w:bottom w:val="single" w:sz="8" w:color="auto"/>
            </w:tcBorders>
            <w:shd w:val="clear" w:color="auto" w:fill="DCE2E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1.48</w:t>
            </w:r>
          </w:p>
        </w:tc>
        <w:tc>
          <w:tcPr>
            <w:tcW w:w="120" w:type="dxa"/>
            <w:vAlign w:val="bottom"/>
            <w:tcBorders>
              <w:top w:val="single" w:sz="8" w:color="DCE2EF"/>
              <w:bottom w:val="single" w:sz="8" w:color="DCE2EF"/>
            </w:tcBorders>
            <w:shd w:val="clear" w:color="auto" w:fill="DCE2EF"/>
          </w:tcPr>
          <w:p>
            <w:pPr>
              <w:spacing w:after="0"/>
              <w:rPr>
                <w:sz w:val="22"/>
                <w:szCs w:val="22"/>
                <w:color w:val="auto"/>
              </w:rPr>
            </w:pPr>
          </w:p>
        </w:tc>
        <w:tc>
          <w:tcPr>
            <w:tcW w:w="380" w:type="dxa"/>
            <w:vAlign w:val="bottom"/>
            <w:tcBorders>
              <w:top w:val="single" w:sz="8" w:color="auto"/>
              <w:bottom w:val="single" w:sz="8" w:color="auto"/>
            </w:tcBorders>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67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 xml:space="preserve">Net income per common share </w:t>
            </w:r>
            <w:r>
              <w:rPr>
                <w:rFonts w:ascii="Arial" w:cs="Arial" w:eastAsia="Arial" w:hAnsi="Arial"/>
                <w:sz w:val="18"/>
                <w:szCs w:val="18"/>
                <w:color w:val="auto"/>
              </w:rPr>
              <w:t>—</w:t>
            </w:r>
            <w:r>
              <w:rPr>
                <w:rFonts w:ascii="Arial" w:cs="Arial" w:eastAsia="Arial" w:hAnsi="Arial"/>
                <w:sz w:val="18"/>
                <w:szCs w:val="18"/>
                <w:b w:val="1"/>
                <w:bCs w:val="1"/>
                <w:color w:val="auto"/>
              </w:rPr>
              <w:t xml:space="preserve"> Diluted</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gridSpan w:val="3"/>
            <w:vMerge w:val="continue"/>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40" w:type="dxa"/>
            <w:vAlign w:val="bottom"/>
            <w:shd w:val="clear" w:color="auto" w:fill="DCE2EF"/>
          </w:tcPr>
          <w:p>
            <w:pPr>
              <w:spacing w:after="0"/>
              <w:rPr>
                <w:sz w:val="23"/>
                <w:szCs w:val="23"/>
                <w:color w:val="auto"/>
              </w:rPr>
            </w:pPr>
          </w:p>
        </w:tc>
        <w:tc>
          <w:tcPr>
            <w:tcW w:w="670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shd w:val="clear" w:color="auto" w:fill="DCE2E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DCE2EF"/>
          </w:tcPr>
          <w:p>
            <w:pPr>
              <w:spacing w:after="0"/>
              <w:rPr>
                <w:sz w:val="23"/>
                <w:szCs w:val="23"/>
                <w:color w:val="auto"/>
              </w:rPr>
            </w:pPr>
          </w:p>
        </w:tc>
        <w:tc>
          <w:tcPr>
            <w:tcW w:w="340" w:type="dxa"/>
            <w:vAlign w:val="bottom"/>
            <w:shd w:val="clear" w:color="auto" w:fill="DCE2E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DCE2EF"/>
          </w:tcPr>
          <w:p>
            <w:pPr>
              <w:spacing w:after="0"/>
              <w:rPr>
                <w:sz w:val="23"/>
                <w:szCs w:val="23"/>
                <w:color w:val="auto"/>
              </w:rPr>
            </w:pPr>
          </w:p>
        </w:tc>
        <w:tc>
          <w:tcPr>
            <w:tcW w:w="380" w:type="dxa"/>
            <w:vAlign w:val="bottom"/>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6700" w:type="dxa"/>
            <w:vAlign w:val="bottom"/>
            <w:gridSpan w:val="2"/>
          </w:tcPr>
          <w:p>
            <w:pPr>
              <w:ind w:left="340"/>
              <w:spacing w:after="0"/>
              <w:rPr>
                <w:sz w:val="20"/>
                <w:szCs w:val="20"/>
                <w:color w:val="auto"/>
              </w:rPr>
            </w:pPr>
            <w:r>
              <w:rPr>
                <w:rFonts w:ascii="Arial" w:cs="Arial" w:eastAsia="Arial" w:hAnsi="Arial"/>
                <w:sz w:val="18"/>
                <w:szCs w:val="18"/>
                <w:color w:val="auto"/>
              </w:rPr>
              <w:t>Income (loss) from discontinued operations</w:t>
            </w:r>
          </w:p>
        </w:tc>
        <w:tc>
          <w:tcPr>
            <w:tcW w:w="34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55"/>
        </w:trPr>
        <w:tc>
          <w:tcPr>
            <w:tcW w:w="40" w:type="dxa"/>
            <w:vAlign w:val="bottom"/>
            <w:tcBorders>
              <w:top w:val="single" w:sz="8" w:color="DCE2EF"/>
              <w:bottom w:val="single" w:sz="8" w:color="DCE2EF"/>
            </w:tcBorders>
            <w:shd w:val="clear" w:color="auto" w:fill="DCE2EF"/>
          </w:tcPr>
          <w:p>
            <w:pPr>
              <w:spacing w:after="0"/>
              <w:rPr>
                <w:sz w:val="22"/>
                <w:szCs w:val="22"/>
                <w:color w:val="auto"/>
              </w:rPr>
            </w:pPr>
          </w:p>
        </w:tc>
        <w:tc>
          <w:tcPr>
            <w:tcW w:w="6700" w:type="dxa"/>
            <w:vAlign w:val="bottom"/>
            <w:tcBorders>
              <w:top w:val="single" w:sz="8" w:color="DCE2EF"/>
              <w:bottom w:val="single" w:sz="8" w:color="DCE2EF"/>
            </w:tcBorders>
            <w:gridSpan w:val="2"/>
            <w:shd w:val="clear" w:color="auto" w:fill="DCE2EF"/>
          </w:tcPr>
          <w:p>
            <w:pPr>
              <w:ind w:left="34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bottom w:val="single" w:sz="8" w:color="auto"/>
            </w:tcBorders>
            <w:shd w:val="clear" w:color="auto" w:fill="DCE2E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DCE2EF"/>
          </w:tcPr>
          <w:p>
            <w:pPr>
              <w:jc w:val="right"/>
              <w:ind w:right="30"/>
              <w:spacing w:after="0"/>
              <w:rPr>
                <w:sz w:val="20"/>
                <w:szCs w:val="20"/>
                <w:color w:val="auto"/>
              </w:rPr>
            </w:pPr>
            <w:r>
              <w:rPr>
                <w:rFonts w:ascii="Arial" w:cs="Arial" w:eastAsia="Arial" w:hAnsi="Arial"/>
                <w:sz w:val="18"/>
                <w:szCs w:val="18"/>
                <w:color w:val="auto"/>
              </w:rPr>
              <w:t>1.90</w:t>
            </w:r>
          </w:p>
        </w:tc>
        <w:tc>
          <w:tcPr>
            <w:tcW w:w="100" w:type="dxa"/>
            <w:vAlign w:val="bottom"/>
            <w:tcBorders>
              <w:top w:val="single" w:sz="8" w:color="DCE2EF"/>
              <w:bottom w:val="single" w:sz="8" w:color="DCE2EF"/>
            </w:tcBorders>
            <w:shd w:val="clear" w:color="auto" w:fill="DCE2EF"/>
          </w:tcPr>
          <w:p>
            <w:pPr>
              <w:spacing w:after="0"/>
              <w:rPr>
                <w:sz w:val="22"/>
                <w:szCs w:val="22"/>
                <w:color w:val="auto"/>
              </w:rPr>
            </w:pPr>
          </w:p>
        </w:tc>
        <w:tc>
          <w:tcPr>
            <w:tcW w:w="340" w:type="dxa"/>
            <w:vAlign w:val="bottom"/>
            <w:tcBorders>
              <w:top w:val="single" w:sz="8" w:color="auto"/>
              <w:bottom w:val="single" w:sz="8" w:color="auto"/>
            </w:tcBorders>
            <w:shd w:val="clear" w:color="auto" w:fill="DCE2E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1.47</w:t>
            </w:r>
          </w:p>
        </w:tc>
        <w:tc>
          <w:tcPr>
            <w:tcW w:w="120" w:type="dxa"/>
            <w:vAlign w:val="bottom"/>
            <w:tcBorders>
              <w:top w:val="single" w:sz="8" w:color="DCE2EF"/>
              <w:bottom w:val="single" w:sz="8" w:color="DCE2EF"/>
            </w:tcBorders>
            <w:shd w:val="clear" w:color="auto" w:fill="DCE2EF"/>
          </w:tcPr>
          <w:p>
            <w:pPr>
              <w:spacing w:after="0"/>
              <w:rPr>
                <w:sz w:val="22"/>
                <w:szCs w:val="22"/>
                <w:color w:val="auto"/>
              </w:rPr>
            </w:pPr>
          </w:p>
        </w:tc>
        <w:tc>
          <w:tcPr>
            <w:tcW w:w="380" w:type="dxa"/>
            <w:vAlign w:val="bottom"/>
            <w:tcBorders>
              <w:top w:val="single" w:sz="8" w:color="auto"/>
              <w:bottom w:val="single" w:sz="8" w:color="auto"/>
            </w:tcBorders>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6740" w:type="dxa"/>
            <w:vAlign w:val="bottom"/>
            <w:gridSpan w:val="3"/>
            <w:vMerge w:val="restart"/>
          </w:tcPr>
          <w:p>
            <w:pPr>
              <w:ind w:left="40"/>
              <w:spacing w:after="0" w:line="198" w:lineRule="exact"/>
              <w:rPr>
                <w:sz w:val="20"/>
                <w:szCs w:val="20"/>
                <w:color w:val="auto"/>
              </w:rPr>
            </w:pPr>
            <w:r>
              <w:rPr>
                <w:rFonts w:ascii="Arial" w:cs="Arial" w:eastAsia="Arial" w:hAnsi="Arial"/>
                <w:sz w:val="18"/>
                <w:szCs w:val="18"/>
                <w:b w:val="1"/>
                <w:bCs w:val="1"/>
                <w:color w:val="auto"/>
              </w:rPr>
              <w:t>Weighted-average common and common</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740" w:type="dxa"/>
            <w:vAlign w:val="bottom"/>
            <w:gridSpan w:val="3"/>
            <w:vMerge w:val="continue"/>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6740" w:type="dxa"/>
            <w:vAlign w:val="bottom"/>
            <w:gridSpan w:val="3"/>
          </w:tcPr>
          <w:p>
            <w:pPr>
              <w:ind w:left="40"/>
              <w:spacing w:after="0"/>
              <w:rPr>
                <w:sz w:val="20"/>
                <w:szCs w:val="20"/>
                <w:color w:val="auto"/>
              </w:rPr>
            </w:pPr>
            <w:r>
              <w:rPr>
                <w:rFonts w:ascii="Arial" w:cs="Arial" w:eastAsia="Arial" w:hAnsi="Arial"/>
                <w:sz w:val="18"/>
                <w:szCs w:val="18"/>
                <w:b w:val="1"/>
                <w:bCs w:val="1"/>
                <w:color w:val="auto"/>
              </w:rPr>
              <w:t>equivalent shares outstanding</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40" w:type="dxa"/>
            <w:vAlign w:val="bottom"/>
            <w:shd w:val="clear" w:color="auto" w:fill="DCE2EF"/>
          </w:tcPr>
          <w:p>
            <w:pPr>
              <w:spacing w:after="0"/>
              <w:rPr>
                <w:sz w:val="23"/>
                <w:szCs w:val="23"/>
                <w:color w:val="auto"/>
              </w:rPr>
            </w:pPr>
          </w:p>
        </w:tc>
        <w:tc>
          <w:tcPr>
            <w:tcW w:w="670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DCE2EF"/>
          </w:tcPr>
          <w:p>
            <w:pPr>
              <w:spacing w:after="0"/>
              <w:rPr>
                <w:sz w:val="23"/>
                <w:szCs w:val="23"/>
                <w:color w:val="auto"/>
              </w:rPr>
            </w:pPr>
          </w:p>
        </w:tc>
        <w:tc>
          <w:tcPr>
            <w:tcW w:w="116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66.6</w:t>
            </w:r>
          </w:p>
        </w:tc>
        <w:tc>
          <w:tcPr>
            <w:tcW w:w="10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1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66.1</w:t>
            </w:r>
          </w:p>
        </w:tc>
        <w:tc>
          <w:tcPr>
            <w:tcW w:w="120" w:type="dxa"/>
            <w:vAlign w:val="bottom"/>
            <w:shd w:val="clear" w:color="auto" w:fill="DCE2EF"/>
          </w:tcPr>
          <w:p>
            <w:pPr>
              <w:spacing w:after="0"/>
              <w:rPr>
                <w:sz w:val="23"/>
                <w:szCs w:val="23"/>
                <w:color w:val="auto"/>
              </w:rPr>
            </w:pPr>
          </w:p>
        </w:tc>
        <w:tc>
          <w:tcPr>
            <w:tcW w:w="380" w:type="dxa"/>
            <w:vAlign w:val="bottom"/>
            <w:shd w:val="clear" w:color="auto" w:fill="DCE2EF"/>
          </w:tcPr>
          <w:p>
            <w:pPr>
              <w:spacing w:after="0"/>
              <w:rPr>
                <w:sz w:val="23"/>
                <w:szCs w:val="23"/>
                <w:color w:val="auto"/>
              </w:rPr>
            </w:pPr>
          </w:p>
        </w:tc>
        <w:tc>
          <w:tcPr>
            <w:tcW w:w="11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6700" w:type="dxa"/>
            <w:vAlign w:val="bottom"/>
            <w:gridSpan w:val="2"/>
          </w:tcPr>
          <w:p>
            <w:pPr>
              <w:ind w:left="34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bl>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25"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CONSOLIDATED STATEMENTS OF STOCKHOLDERS’ EQUITY</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5"/>
          </w:tcPr>
          <w:p>
            <w:pPr>
              <w:jc w:val="right"/>
              <w:ind w:right="188"/>
              <w:spacing w:after="0"/>
              <w:rPr>
                <w:sz w:val="20"/>
                <w:szCs w:val="20"/>
                <w:color w:val="auto"/>
              </w:rPr>
            </w:pPr>
            <w:r>
              <w:rPr>
                <w:rFonts w:ascii="Arial" w:cs="Arial" w:eastAsia="Arial" w:hAnsi="Arial"/>
                <w:sz w:val="14"/>
                <w:szCs w:val="14"/>
                <w:b w:val="1"/>
                <w:bCs w:val="1"/>
                <w:color w:val="auto"/>
              </w:rPr>
              <w:t>Years Ended October 31,</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264"/>
        </w:trPr>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6"/>
              </w:rPr>
              <w:t>2018</w:t>
            </w:r>
          </w:p>
        </w:tc>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6"/>
              </w:rPr>
              <w:t>2017</w:t>
            </w:r>
          </w:p>
        </w:tc>
        <w:tc>
          <w:tcPr>
            <w:tcW w:w="840" w:type="dxa"/>
            <w:vAlign w:val="bottom"/>
            <w:tcBorders>
              <w:bottom w:val="single" w:sz="8" w:color="auto"/>
            </w:tcBorders>
          </w:tcPr>
          <w:p>
            <w:pPr>
              <w:spacing w:after="0"/>
              <w:rPr>
                <w:sz w:val="22"/>
                <w:szCs w:val="22"/>
                <w:color w:val="auto"/>
              </w:rPr>
            </w:pPr>
          </w:p>
        </w:tc>
      </w:tr>
      <w:tr>
        <w:trPr>
          <w:trHeight w:val="224"/>
        </w:trPr>
        <w:tc>
          <w:tcPr>
            <w:tcW w:w="4700" w:type="dxa"/>
            <w:vAlign w:val="bottom"/>
            <w:gridSpan w:val="3"/>
          </w:tcPr>
          <w:p>
            <w:pPr>
              <w:ind w:left="4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940" w:type="dxa"/>
            <w:vAlign w:val="bottom"/>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18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Amount</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620" w:type="dxa"/>
            <w:vAlign w:val="bottom"/>
            <w:tcBorders>
              <w:top w:val="single" w:sz="8" w:color="auto"/>
              <w:bottom w:val="single" w:sz="8" w:color="DCE2EF"/>
            </w:tcBorders>
          </w:tcPr>
          <w:p>
            <w:pPr>
              <w:spacing w:after="0" w:line="20" w:lineRule="exact"/>
              <w:rPr>
                <w:sz w:val="1"/>
                <w:szCs w:val="1"/>
                <w:color w:val="auto"/>
              </w:rPr>
            </w:pPr>
          </w:p>
        </w:tc>
        <w:tc>
          <w:tcPr>
            <w:tcW w:w="4040" w:type="dxa"/>
            <w:vAlign w:val="bottom"/>
            <w:tcBorders>
              <w:bottom w:val="single" w:sz="8" w:color="DCE2E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64"/>
        </w:trPr>
        <w:tc>
          <w:tcPr>
            <w:tcW w:w="4700" w:type="dxa"/>
            <w:vAlign w:val="bottom"/>
            <w:gridSpan w:val="3"/>
            <w:shd w:val="clear" w:color="auto" w:fill="DCE2EF"/>
          </w:tcPr>
          <w:p>
            <w:pPr>
              <w:ind w:left="40"/>
              <w:spacing w:after="0"/>
              <w:rPr>
                <w:sz w:val="20"/>
                <w:szCs w:val="20"/>
                <w:color w:val="auto"/>
              </w:rPr>
            </w:pPr>
            <w:r>
              <w:rPr>
                <w:rFonts w:ascii="Arial" w:cs="Arial" w:eastAsia="Arial" w:hAnsi="Arial"/>
                <w:sz w:val="14"/>
                <w:szCs w:val="14"/>
                <w:b w:val="1"/>
                <w:bCs w:val="1"/>
                <w:color w:val="auto"/>
              </w:rPr>
              <w:t>Common Stock</w:t>
            </w:r>
          </w:p>
        </w:tc>
        <w:tc>
          <w:tcPr>
            <w:tcW w:w="94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200" w:type="dxa"/>
            <w:vAlign w:val="bottom"/>
            <w:shd w:val="clear" w:color="auto" w:fill="DCE2EF"/>
          </w:tcPr>
          <w:p>
            <w:pPr>
              <w:spacing w:after="0"/>
              <w:rPr>
                <w:sz w:val="22"/>
                <w:szCs w:val="22"/>
                <w:color w:val="auto"/>
              </w:rPr>
            </w:pPr>
          </w:p>
        </w:tc>
        <w:tc>
          <w:tcPr>
            <w:tcW w:w="86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92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80" w:type="dxa"/>
            <w:vAlign w:val="bottom"/>
            <w:shd w:val="clear" w:color="auto" w:fill="DCE2EF"/>
          </w:tcPr>
          <w:p>
            <w:pPr>
              <w:spacing w:after="0"/>
              <w:rPr>
                <w:sz w:val="22"/>
                <w:szCs w:val="22"/>
                <w:color w:val="auto"/>
              </w:rPr>
            </w:pPr>
          </w:p>
        </w:tc>
        <w:tc>
          <w:tcPr>
            <w:tcW w:w="84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92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80" w:type="dxa"/>
            <w:vAlign w:val="bottom"/>
            <w:shd w:val="clear" w:color="auto" w:fill="DCE2EF"/>
          </w:tcPr>
          <w:p>
            <w:pPr>
              <w:spacing w:after="0"/>
              <w:rPr>
                <w:sz w:val="22"/>
                <w:szCs w:val="22"/>
                <w:color w:val="auto"/>
              </w:rPr>
            </w:pPr>
          </w:p>
        </w:tc>
        <w:tc>
          <w:tcPr>
            <w:tcW w:w="840" w:type="dxa"/>
            <w:vAlign w:val="bottom"/>
            <w:shd w:val="clear" w:color="auto" w:fill="DCE2EF"/>
          </w:tcPr>
          <w:p>
            <w:pPr>
              <w:spacing w:after="0"/>
              <w:rPr>
                <w:sz w:val="22"/>
                <w:szCs w:val="22"/>
                <w:color w:val="auto"/>
              </w:rPr>
            </w:pPr>
          </w:p>
        </w:tc>
      </w:tr>
      <w:tr>
        <w:trPr>
          <w:trHeight w:val="266"/>
        </w:trPr>
        <w:tc>
          <w:tcPr>
            <w:tcW w:w="40" w:type="dxa"/>
            <w:vAlign w:val="bottom"/>
          </w:tcPr>
          <w:p>
            <w:pPr>
              <w:spacing w:after="0"/>
              <w:rPr>
                <w:sz w:val="23"/>
                <w:szCs w:val="23"/>
                <w:color w:val="auto"/>
              </w:rPr>
            </w:pPr>
          </w:p>
        </w:tc>
        <w:tc>
          <w:tcPr>
            <w:tcW w:w="4660" w:type="dxa"/>
            <w:vAlign w:val="bottom"/>
            <w:gridSpan w:val="2"/>
          </w:tcPr>
          <w:p>
            <w:pPr>
              <w:ind w:left="140"/>
              <w:spacing w:after="0"/>
              <w:rPr>
                <w:sz w:val="20"/>
                <w:szCs w:val="20"/>
                <w:color w:val="auto"/>
              </w:rPr>
            </w:pPr>
            <w:r>
              <w:rPr>
                <w:rFonts w:ascii="Arial" w:cs="Arial" w:eastAsia="Arial" w:hAnsi="Arial"/>
                <w:sz w:val="14"/>
                <w:szCs w:val="14"/>
                <w:color w:val="auto"/>
              </w:rPr>
              <w:t>Balance, beginning of year</w:t>
            </w:r>
          </w:p>
        </w:tc>
        <w:tc>
          <w:tcPr>
            <w:tcW w:w="940" w:type="dxa"/>
            <w:vAlign w:val="bottom"/>
          </w:tcPr>
          <w:p>
            <w:pPr>
              <w:jc w:val="right"/>
              <w:spacing w:after="0"/>
              <w:rPr>
                <w:sz w:val="20"/>
                <w:szCs w:val="20"/>
                <w:color w:val="auto"/>
              </w:rPr>
            </w:pPr>
            <w:r>
              <w:rPr>
                <w:rFonts w:ascii="Arial" w:cs="Arial" w:eastAsia="Arial" w:hAnsi="Arial"/>
                <w:sz w:val="14"/>
                <w:szCs w:val="14"/>
                <w:color w:val="auto"/>
              </w:rPr>
              <w:t>66.0</w:t>
            </w:r>
          </w:p>
        </w:tc>
        <w:tc>
          <w:tcPr>
            <w:tcW w:w="4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0.7</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65.5</w:t>
            </w:r>
          </w:p>
        </w:tc>
        <w:tc>
          <w:tcPr>
            <w:tcW w:w="3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0.7</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55.6</w:t>
            </w:r>
          </w:p>
        </w:tc>
        <w:tc>
          <w:tcPr>
            <w:tcW w:w="3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0.6</w:t>
            </w:r>
          </w:p>
        </w:tc>
      </w:tr>
      <w:tr>
        <w:trPr>
          <w:trHeight w:val="180"/>
        </w:trPr>
        <w:tc>
          <w:tcPr>
            <w:tcW w:w="40" w:type="dxa"/>
            <w:vAlign w:val="bottom"/>
            <w:shd w:val="clear" w:color="auto" w:fill="DCE2EF"/>
          </w:tcPr>
          <w:p>
            <w:pPr>
              <w:spacing w:after="0"/>
              <w:rPr>
                <w:sz w:val="15"/>
                <w:szCs w:val="15"/>
                <w:color w:val="auto"/>
              </w:rPr>
            </w:pPr>
          </w:p>
        </w:tc>
        <w:tc>
          <w:tcPr>
            <w:tcW w:w="4660" w:type="dxa"/>
            <w:vAlign w:val="bottom"/>
            <w:gridSpan w:val="2"/>
            <w:shd w:val="clear" w:color="auto" w:fill="DCE2EF"/>
          </w:tcPr>
          <w:p>
            <w:pPr>
              <w:ind w:left="140"/>
              <w:spacing w:after="0"/>
              <w:rPr>
                <w:sz w:val="20"/>
                <w:szCs w:val="20"/>
                <w:color w:val="auto"/>
              </w:rPr>
            </w:pPr>
            <w:r>
              <w:rPr>
                <w:rFonts w:ascii="Arial" w:cs="Arial" w:eastAsia="Arial" w:hAnsi="Arial"/>
                <w:sz w:val="14"/>
                <w:szCs w:val="14"/>
                <w:color w:val="auto"/>
              </w:rPr>
              <w:t>Stock issued under employee stock purchase and share-based</w:t>
            </w:r>
          </w:p>
        </w:tc>
        <w:tc>
          <w:tcPr>
            <w:tcW w:w="94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200" w:type="dxa"/>
            <w:vAlign w:val="bottom"/>
            <w:shd w:val="clear" w:color="auto" w:fill="DCE2EF"/>
          </w:tcPr>
          <w:p>
            <w:pPr>
              <w:spacing w:after="0"/>
              <w:rPr>
                <w:sz w:val="15"/>
                <w:szCs w:val="15"/>
                <w:color w:val="auto"/>
              </w:rPr>
            </w:pPr>
          </w:p>
        </w:tc>
        <w:tc>
          <w:tcPr>
            <w:tcW w:w="86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92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180" w:type="dxa"/>
            <w:vAlign w:val="bottom"/>
            <w:shd w:val="clear" w:color="auto" w:fill="DCE2EF"/>
          </w:tcPr>
          <w:p>
            <w:pPr>
              <w:spacing w:after="0"/>
              <w:rPr>
                <w:sz w:val="15"/>
                <w:szCs w:val="15"/>
                <w:color w:val="auto"/>
              </w:rPr>
            </w:pPr>
          </w:p>
        </w:tc>
        <w:tc>
          <w:tcPr>
            <w:tcW w:w="84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92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180" w:type="dxa"/>
            <w:vAlign w:val="bottom"/>
            <w:shd w:val="clear" w:color="auto" w:fill="DCE2EF"/>
          </w:tcPr>
          <w:p>
            <w:pPr>
              <w:spacing w:after="0"/>
              <w:rPr>
                <w:sz w:val="15"/>
                <w:szCs w:val="15"/>
                <w:color w:val="auto"/>
              </w:rPr>
            </w:pPr>
          </w:p>
        </w:tc>
        <w:tc>
          <w:tcPr>
            <w:tcW w:w="840" w:type="dxa"/>
            <w:vAlign w:val="bottom"/>
            <w:shd w:val="clear" w:color="auto" w:fill="DCE2EF"/>
          </w:tcPr>
          <w:p>
            <w:pPr>
              <w:spacing w:after="0"/>
              <w:rPr>
                <w:sz w:val="15"/>
                <w:szCs w:val="15"/>
                <w:color w:val="auto"/>
              </w:rPr>
            </w:pPr>
          </w:p>
        </w:tc>
      </w:tr>
      <w:tr>
        <w:trPr>
          <w:trHeight w:val="202"/>
        </w:trPr>
        <w:tc>
          <w:tcPr>
            <w:tcW w:w="40" w:type="dxa"/>
            <w:vAlign w:val="bottom"/>
            <w:shd w:val="clear" w:color="auto" w:fill="DCE2EF"/>
          </w:tcPr>
          <w:p>
            <w:pPr>
              <w:spacing w:after="0"/>
              <w:rPr>
                <w:sz w:val="17"/>
                <w:szCs w:val="17"/>
                <w:color w:val="auto"/>
              </w:rPr>
            </w:pPr>
          </w:p>
        </w:tc>
        <w:tc>
          <w:tcPr>
            <w:tcW w:w="4660" w:type="dxa"/>
            <w:vAlign w:val="bottom"/>
            <w:gridSpan w:val="2"/>
            <w:shd w:val="clear" w:color="auto" w:fill="DCE2EF"/>
          </w:tcPr>
          <w:p>
            <w:pPr>
              <w:ind w:left="140"/>
              <w:spacing w:after="0"/>
              <w:rPr>
                <w:sz w:val="20"/>
                <w:szCs w:val="20"/>
                <w:color w:val="auto"/>
              </w:rPr>
            </w:pPr>
            <w:r>
              <w:rPr>
                <w:rFonts w:ascii="Arial" w:cs="Arial" w:eastAsia="Arial" w:hAnsi="Arial"/>
                <w:sz w:val="14"/>
                <w:szCs w:val="14"/>
                <w:color w:val="auto"/>
              </w:rPr>
              <w:t>compensation plans</w:t>
            </w:r>
          </w:p>
        </w:tc>
        <w:tc>
          <w:tcPr>
            <w:tcW w:w="9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200" w:type="dxa"/>
            <w:vAlign w:val="bottom"/>
            <w:shd w:val="clear" w:color="auto" w:fill="DCE2EF"/>
          </w:tcPr>
          <w:p>
            <w:pPr>
              <w:spacing w:after="0"/>
              <w:rPr>
                <w:sz w:val="17"/>
                <w:szCs w:val="17"/>
                <w:color w:val="auto"/>
              </w:rPr>
            </w:pPr>
          </w:p>
        </w:tc>
        <w:tc>
          <w:tcPr>
            <w:tcW w:w="860" w:type="dxa"/>
            <w:vAlign w:val="bottom"/>
            <w:shd w:val="clear" w:color="auto" w:fill="DCE2E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DCE2E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80" w:type="dxa"/>
            <w:vAlign w:val="bottom"/>
            <w:shd w:val="clear" w:color="auto" w:fill="DCE2EF"/>
          </w:tcPr>
          <w:p>
            <w:pPr>
              <w:spacing w:after="0"/>
              <w:rPr>
                <w:sz w:val="17"/>
                <w:szCs w:val="17"/>
                <w:color w:val="auto"/>
              </w:rPr>
            </w:pPr>
          </w:p>
        </w:tc>
        <w:tc>
          <w:tcPr>
            <w:tcW w:w="84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DCE2E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80" w:type="dxa"/>
            <w:vAlign w:val="bottom"/>
            <w:shd w:val="clear" w:color="auto" w:fill="DCE2EF"/>
          </w:tcPr>
          <w:p>
            <w:pPr>
              <w:spacing w:after="0"/>
              <w:rPr>
                <w:sz w:val="17"/>
                <w:szCs w:val="17"/>
                <w:color w:val="auto"/>
              </w:rPr>
            </w:pPr>
          </w:p>
        </w:tc>
        <w:tc>
          <w:tcPr>
            <w:tcW w:w="84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w:t>
            </w:r>
          </w:p>
        </w:tc>
      </w:tr>
      <w:tr>
        <w:trPr>
          <w:trHeight w:val="266"/>
        </w:trPr>
        <w:tc>
          <w:tcPr>
            <w:tcW w:w="40" w:type="dxa"/>
            <w:vAlign w:val="bottom"/>
          </w:tcPr>
          <w:p>
            <w:pPr>
              <w:spacing w:after="0"/>
              <w:rPr>
                <w:sz w:val="23"/>
                <w:szCs w:val="23"/>
                <w:color w:val="auto"/>
              </w:rPr>
            </w:pPr>
          </w:p>
        </w:tc>
        <w:tc>
          <w:tcPr>
            <w:tcW w:w="4660" w:type="dxa"/>
            <w:vAlign w:val="bottom"/>
            <w:gridSpan w:val="2"/>
          </w:tcPr>
          <w:p>
            <w:pPr>
              <w:ind w:left="140"/>
              <w:spacing w:after="0"/>
              <w:rPr>
                <w:sz w:val="20"/>
                <w:szCs w:val="20"/>
                <w:color w:val="auto"/>
              </w:rPr>
            </w:pPr>
            <w:r>
              <w:rPr>
                <w:rFonts w:ascii="Arial" w:cs="Arial" w:eastAsia="Arial" w:hAnsi="Arial"/>
                <w:sz w:val="14"/>
                <w:szCs w:val="14"/>
                <w:color w:val="auto"/>
              </w:rPr>
              <w:t>Stock issued in GCA acquisition, net of shares withheld for taxes</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0.1</w:t>
            </w:r>
          </w:p>
        </w:tc>
      </w:tr>
      <w:tr>
        <w:trPr>
          <w:trHeight w:val="270"/>
        </w:trPr>
        <w:tc>
          <w:tcPr>
            <w:tcW w:w="40" w:type="dxa"/>
            <w:vAlign w:val="bottom"/>
            <w:shd w:val="clear" w:color="auto" w:fill="DCE2EF"/>
          </w:tcPr>
          <w:p>
            <w:pPr>
              <w:spacing w:after="0"/>
              <w:rPr>
                <w:sz w:val="23"/>
                <w:szCs w:val="23"/>
                <w:color w:val="auto"/>
              </w:rPr>
            </w:pPr>
          </w:p>
        </w:tc>
        <w:tc>
          <w:tcPr>
            <w:tcW w:w="4660" w:type="dxa"/>
            <w:vAlign w:val="bottom"/>
            <w:gridSpan w:val="2"/>
            <w:shd w:val="clear" w:color="auto" w:fill="DCE2EF"/>
          </w:tcPr>
          <w:p>
            <w:pPr>
              <w:ind w:left="140"/>
              <w:spacing w:after="0"/>
              <w:rPr>
                <w:sz w:val="20"/>
                <w:szCs w:val="20"/>
                <w:color w:val="auto"/>
              </w:rPr>
            </w:pPr>
            <w:r>
              <w:rPr>
                <w:rFonts w:ascii="Arial" w:cs="Arial" w:eastAsia="Arial" w:hAnsi="Arial"/>
                <w:sz w:val="14"/>
                <w:szCs w:val="14"/>
                <w:color w:val="auto"/>
              </w:rPr>
              <w:t>Repurchase of common stock</w:t>
            </w:r>
          </w:p>
        </w:tc>
        <w:tc>
          <w:tcPr>
            <w:tcW w:w="9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200" w:type="dxa"/>
            <w:vAlign w:val="bottom"/>
            <w:tcBorders>
              <w:bottom w:val="single" w:sz="8" w:color="auto"/>
            </w:tcBorders>
            <w:shd w:val="clear" w:color="auto" w:fill="DCE2EF"/>
          </w:tcPr>
          <w:p>
            <w:pPr>
              <w:spacing w:after="0"/>
              <w:rPr>
                <w:sz w:val="23"/>
                <w:szCs w:val="23"/>
                <w:color w:val="auto"/>
              </w:rPr>
            </w:pPr>
          </w:p>
        </w:tc>
        <w:tc>
          <w:tcPr>
            <w:tcW w:w="860" w:type="dxa"/>
            <w:vAlign w:val="bottom"/>
            <w:tcBorders>
              <w:bottom w:val="single" w:sz="8" w:color="auto"/>
            </w:tcBorders>
            <w:shd w:val="clear" w:color="auto" w:fill="DCE2E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DCE2EF"/>
          </w:tcPr>
          <w:p>
            <w:pPr>
              <w:spacing w:after="0"/>
              <w:rPr>
                <w:sz w:val="23"/>
                <w:szCs w:val="23"/>
                <w:color w:val="auto"/>
              </w:rPr>
            </w:pPr>
          </w:p>
        </w:tc>
        <w:tc>
          <w:tcPr>
            <w:tcW w:w="9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180" w:type="dxa"/>
            <w:vAlign w:val="bottom"/>
            <w:tcBorders>
              <w:bottom w:val="single" w:sz="8" w:color="auto"/>
            </w:tcBorders>
            <w:shd w:val="clear" w:color="auto" w:fill="DCE2EF"/>
          </w:tcPr>
          <w:p>
            <w:pPr>
              <w:spacing w:after="0"/>
              <w:rPr>
                <w:sz w:val="23"/>
                <w:szCs w:val="23"/>
                <w:color w:val="auto"/>
              </w:rPr>
            </w:pPr>
          </w:p>
        </w:tc>
        <w:tc>
          <w:tcPr>
            <w:tcW w:w="840" w:type="dxa"/>
            <w:vAlign w:val="bottom"/>
            <w:tcBorders>
              <w:bottom w:val="single" w:sz="8" w:color="auto"/>
            </w:tcBorders>
            <w:shd w:val="clear" w:color="auto" w:fill="DCE2E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DCE2EF"/>
          </w:tcPr>
          <w:p>
            <w:pPr>
              <w:spacing w:after="0"/>
              <w:rPr>
                <w:sz w:val="23"/>
                <w:szCs w:val="23"/>
                <w:color w:val="auto"/>
              </w:rPr>
            </w:pPr>
          </w:p>
        </w:tc>
        <w:tc>
          <w:tcPr>
            <w:tcW w:w="1020" w:type="dxa"/>
            <w:vAlign w:val="bottom"/>
            <w:tcBorders>
              <w:bottom w:val="single" w:sz="8" w:color="auto"/>
            </w:tcBorders>
            <w:gridSpan w:val="2"/>
            <w:shd w:val="clear" w:color="auto" w:fill="DCE2E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DCE2EF"/>
          </w:tcPr>
          <w:p>
            <w:pPr>
              <w:spacing w:after="0"/>
              <w:rPr>
                <w:sz w:val="23"/>
                <w:szCs w:val="23"/>
                <w:color w:val="auto"/>
              </w:rPr>
            </w:pPr>
          </w:p>
        </w:tc>
        <w:tc>
          <w:tcPr>
            <w:tcW w:w="180" w:type="dxa"/>
            <w:vAlign w:val="bottom"/>
            <w:tcBorders>
              <w:bottom w:val="single" w:sz="8" w:color="auto"/>
            </w:tcBorders>
            <w:shd w:val="clear" w:color="auto" w:fill="DCE2EF"/>
          </w:tcPr>
          <w:p>
            <w:pPr>
              <w:spacing w:after="0"/>
              <w:rPr>
                <w:sz w:val="23"/>
                <w:szCs w:val="23"/>
                <w:color w:val="auto"/>
              </w:rPr>
            </w:pPr>
          </w:p>
        </w:tc>
        <w:tc>
          <w:tcPr>
            <w:tcW w:w="840" w:type="dxa"/>
            <w:vAlign w:val="bottom"/>
            <w:tcBorders>
              <w:bottom w:val="single" w:sz="8" w:color="auto"/>
            </w:tcBorders>
            <w:shd w:val="clear" w:color="auto" w:fill="DCE2E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4"/>
                <w:szCs w:val="14"/>
                <w:color w:val="auto"/>
              </w:rPr>
              <w:t>Balance, end of year</w:t>
            </w:r>
          </w:p>
        </w:tc>
        <w:tc>
          <w:tcPr>
            <w:tcW w:w="940" w:type="dxa"/>
            <w:vAlign w:val="bottom"/>
          </w:tcPr>
          <w:p>
            <w:pPr>
              <w:jc w:val="right"/>
              <w:spacing w:after="0"/>
              <w:rPr>
                <w:sz w:val="20"/>
                <w:szCs w:val="20"/>
                <w:color w:val="auto"/>
              </w:rPr>
            </w:pPr>
            <w:r>
              <w:rPr>
                <w:rFonts w:ascii="Arial" w:cs="Arial" w:eastAsia="Arial" w:hAnsi="Arial"/>
                <w:sz w:val="14"/>
                <w:szCs w:val="14"/>
                <w:color w:val="auto"/>
              </w:rPr>
              <w:t>66.6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0.7</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66.0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0.7</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65.5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0.7</w:t>
            </w:r>
          </w:p>
        </w:tc>
      </w:tr>
      <w:tr>
        <w:trPr>
          <w:trHeight w:val="268"/>
        </w:trPr>
        <w:tc>
          <w:tcPr>
            <w:tcW w:w="4700" w:type="dxa"/>
            <w:vAlign w:val="bottom"/>
            <w:tcBorders>
              <w:top w:val="single" w:sz="8" w:color="DCE2EF"/>
            </w:tcBorders>
            <w:gridSpan w:val="3"/>
            <w:shd w:val="clear" w:color="auto" w:fill="DCE2EF"/>
          </w:tcPr>
          <w:p>
            <w:pPr>
              <w:ind w:left="40"/>
              <w:spacing w:after="0"/>
              <w:rPr>
                <w:sz w:val="20"/>
                <w:szCs w:val="20"/>
                <w:color w:val="auto"/>
              </w:rPr>
            </w:pPr>
            <w:r>
              <w:rPr>
                <w:rFonts w:ascii="Arial" w:cs="Arial" w:eastAsia="Arial" w:hAnsi="Arial"/>
                <w:sz w:val="14"/>
                <w:szCs w:val="14"/>
                <w:b w:val="1"/>
                <w:bCs w:val="1"/>
                <w:color w:val="auto"/>
              </w:rPr>
              <w:t>Additional Paid-in Capital</w:t>
            </w:r>
          </w:p>
        </w:tc>
        <w:tc>
          <w:tcPr>
            <w:tcW w:w="940" w:type="dxa"/>
            <w:vAlign w:val="bottom"/>
            <w:tcBorders>
              <w:top w:val="single" w:sz="8" w:color="auto"/>
            </w:tcBorders>
            <w:shd w:val="clear" w:color="auto" w:fill="DCE2EF"/>
          </w:tcPr>
          <w:p>
            <w:pPr>
              <w:spacing w:after="0"/>
              <w:rPr>
                <w:sz w:val="23"/>
                <w:szCs w:val="23"/>
                <w:color w:val="auto"/>
              </w:rPr>
            </w:pPr>
          </w:p>
        </w:tc>
        <w:tc>
          <w:tcPr>
            <w:tcW w:w="100" w:type="dxa"/>
            <w:vAlign w:val="bottom"/>
            <w:tcBorders>
              <w:top w:val="single" w:sz="8" w:color="auto"/>
            </w:tcBorders>
            <w:shd w:val="clear" w:color="auto" w:fill="DCE2EF"/>
          </w:tcPr>
          <w:p>
            <w:pPr>
              <w:spacing w:after="0"/>
              <w:rPr>
                <w:sz w:val="23"/>
                <w:szCs w:val="23"/>
                <w:color w:val="auto"/>
              </w:rPr>
            </w:pPr>
          </w:p>
        </w:tc>
        <w:tc>
          <w:tcPr>
            <w:tcW w:w="120" w:type="dxa"/>
            <w:vAlign w:val="bottom"/>
            <w:tcBorders>
              <w:top w:val="single" w:sz="8" w:color="DCE2EF"/>
            </w:tcBorders>
            <w:shd w:val="clear" w:color="auto" w:fill="DCE2EF"/>
          </w:tcPr>
          <w:p>
            <w:pPr>
              <w:spacing w:after="0"/>
              <w:rPr>
                <w:sz w:val="23"/>
                <w:szCs w:val="23"/>
                <w:color w:val="auto"/>
              </w:rPr>
            </w:pPr>
          </w:p>
        </w:tc>
        <w:tc>
          <w:tcPr>
            <w:tcW w:w="200" w:type="dxa"/>
            <w:vAlign w:val="bottom"/>
            <w:tcBorders>
              <w:top w:val="single" w:sz="8" w:color="auto"/>
            </w:tcBorders>
            <w:shd w:val="clear" w:color="auto" w:fill="DCE2EF"/>
          </w:tcPr>
          <w:p>
            <w:pPr>
              <w:spacing w:after="0"/>
              <w:rPr>
                <w:sz w:val="23"/>
                <w:szCs w:val="23"/>
                <w:color w:val="auto"/>
              </w:rPr>
            </w:pPr>
          </w:p>
        </w:tc>
        <w:tc>
          <w:tcPr>
            <w:tcW w:w="860" w:type="dxa"/>
            <w:vAlign w:val="bottom"/>
            <w:tcBorders>
              <w:top w:val="single" w:sz="8" w:color="auto"/>
            </w:tcBorders>
            <w:shd w:val="clear" w:color="auto" w:fill="DCE2EF"/>
          </w:tcPr>
          <w:p>
            <w:pPr>
              <w:spacing w:after="0"/>
              <w:rPr>
                <w:sz w:val="23"/>
                <w:szCs w:val="23"/>
                <w:color w:val="auto"/>
              </w:rPr>
            </w:pPr>
          </w:p>
        </w:tc>
        <w:tc>
          <w:tcPr>
            <w:tcW w:w="120" w:type="dxa"/>
            <w:vAlign w:val="bottom"/>
            <w:tcBorders>
              <w:top w:val="single" w:sz="8" w:color="DCE2EF"/>
            </w:tcBorders>
            <w:shd w:val="clear" w:color="auto" w:fill="DCE2EF"/>
          </w:tcPr>
          <w:p>
            <w:pPr>
              <w:spacing w:after="0"/>
              <w:rPr>
                <w:sz w:val="23"/>
                <w:szCs w:val="23"/>
                <w:color w:val="auto"/>
              </w:rPr>
            </w:pPr>
          </w:p>
        </w:tc>
        <w:tc>
          <w:tcPr>
            <w:tcW w:w="920" w:type="dxa"/>
            <w:vAlign w:val="bottom"/>
            <w:tcBorders>
              <w:top w:val="single" w:sz="8" w:color="auto"/>
            </w:tcBorders>
            <w:shd w:val="clear" w:color="auto" w:fill="DCE2EF"/>
          </w:tcPr>
          <w:p>
            <w:pPr>
              <w:spacing w:after="0"/>
              <w:rPr>
                <w:sz w:val="23"/>
                <w:szCs w:val="23"/>
                <w:color w:val="auto"/>
              </w:rPr>
            </w:pPr>
          </w:p>
        </w:tc>
        <w:tc>
          <w:tcPr>
            <w:tcW w:w="100" w:type="dxa"/>
            <w:vAlign w:val="bottom"/>
            <w:tcBorders>
              <w:top w:val="single" w:sz="8" w:color="auto"/>
            </w:tcBorders>
            <w:shd w:val="clear" w:color="auto" w:fill="DCE2EF"/>
          </w:tcPr>
          <w:p>
            <w:pPr>
              <w:spacing w:after="0"/>
              <w:rPr>
                <w:sz w:val="23"/>
                <w:szCs w:val="23"/>
                <w:color w:val="auto"/>
              </w:rPr>
            </w:pPr>
          </w:p>
        </w:tc>
        <w:tc>
          <w:tcPr>
            <w:tcW w:w="100" w:type="dxa"/>
            <w:vAlign w:val="bottom"/>
            <w:tcBorders>
              <w:top w:val="single" w:sz="8" w:color="DCE2EF"/>
            </w:tcBorders>
            <w:shd w:val="clear" w:color="auto" w:fill="DCE2EF"/>
          </w:tcPr>
          <w:p>
            <w:pPr>
              <w:spacing w:after="0"/>
              <w:rPr>
                <w:sz w:val="23"/>
                <w:szCs w:val="23"/>
                <w:color w:val="auto"/>
              </w:rPr>
            </w:pPr>
          </w:p>
        </w:tc>
        <w:tc>
          <w:tcPr>
            <w:tcW w:w="180" w:type="dxa"/>
            <w:vAlign w:val="bottom"/>
            <w:tcBorders>
              <w:top w:val="single" w:sz="8" w:color="auto"/>
            </w:tcBorders>
            <w:shd w:val="clear" w:color="auto" w:fill="DCE2EF"/>
          </w:tcPr>
          <w:p>
            <w:pPr>
              <w:spacing w:after="0"/>
              <w:rPr>
                <w:sz w:val="23"/>
                <w:szCs w:val="23"/>
                <w:color w:val="auto"/>
              </w:rPr>
            </w:pPr>
          </w:p>
        </w:tc>
        <w:tc>
          <w:tcPr>
            <w:tcW w:w="840" w:type="dxa"/>
            <w:vAlign w:val="bottom"/>
            <w:tcBorders>
              <w:top w:val="single" w:sz="8" w:color="auto"/>
            </w:tcBorders>
            <w:shd w:val="clear" w:color="auto" w:fill="DCE2EF"/>
          </w:tcPr>
          <w:p>
            <w:pPr>
              <w:spacing w:after="0"/>
              <w:rPr>
                <w:sz w:val="23"/>
                <w:szCs w:val="23"/>
                <w:color w:val="auto"/>
              </w:rPr>
            </w:pPr>
          </w:p>
        </w:tc>
        <w:tc>
          <w:tcPr>
            <w:tcW w:w="100" w:type="dxa"/>
            <w:vAlign w:val="bottom"/>
            <w:tcBorders>
              <w:top w:val="single" w:sz="8" w:color="DCE2EF"/>
            </w:tcBorders>
            <w:shd w:val="clear" w:color="auto" w:fill="DCE2EF"/>
          </w:tcPr>
          <w:p>
            <w:pPr>
              <w:spacing w:after="0"/>
              <w:rPr>
                <w:sz w:val="23"/>
                <w:szCs w:val="23"/>
                <w:color w:val="auto"/>
              </w:rPr>
            </w:pPr>
          </w:p>
        </w:tc>
        <w:tc>
          <w:tcPr>
            <w:tcW w:w="920" w:type="dxa"/>
            <w:vAlign w:val="bottom"/>
            <w:tcBorders>
              <w:top w:val="single" w:sz="8" w:color="auto"/>
            </w:tcBorders>
            <w:shd w:val="clear" w:color="auto" w:fill="DCE2EF"/>
          </w:tcPr>
          <w:p>
            <w:pPr>
              <w:spacing w:after="0"/>
              <w:rPr>
                <w:sz w:val="23"/>
                <w:szCs w:val="23"/>
                <w:color w:val="auto"/>
              </w:rPr>
            </w:pPr>
          </w:p>
        </w:tc>
        <w:tc>
          <w:tcPr>
            <w:tcW w:w="100" w:type="dxa"/>
            <w:vAlign w:val="bottom"/>
            <w:tcBorders>
              <w:top w:val="single" w:sz="8" w:color="auto"/>
            </w:tcBorders>
            <w:shd w:val="clear" w:color="auto" w:fill="DCE2EF"/>
          </w:tcPr>
          <w:p>
            <w:pPr>
              <w:spacing w:after="0"/>
              <w:rPr>
                <w:sz w:val="23"/>
                <w:szCs w:val="23"/>
                <w:color w:val="auto"/>
              </w:rPr>
            </w:pPr>
          </w:p>
        </w:tc>
        <w:tc>
          <w:tcPr>
            <w:tcW w:w="100" w:type="dxa"/>
            <w:vAlign w:val="bottom"/>
            <w:tcBorders>
              <w:top w:val="single" w:sz="8" w:color="DCE2EF"/>
            </w:tcBorders>
            <w:shd w:val="clear" w:color="auto" w:fill="DCE2EF"/>
          </w:tcPr>
          <w:p>
            <w:pPr>
              <w:spacing w:after="0"/>
              <w:rPr>
                <w:sz w:val="23"/>
                <w:szCs w:val="23"/>
                <w:color w:val="auto"/>
              </w:rPr>
            </w:pPr>
          </w:p>
        </w:tc>
        <w:tc>
          <w:tcPr>
            <w:tcW w:w="180" w:type="dxa"/>
            <w:vAlign w:val="bottom"/>
            <w:tcBorders>
              <w:top w:val="single" w:sz="8" w:color="auto"/>
            </w:tcBorders>
            <w:shd w:val="clear" w:color="auto" w:fill="DCE2EF"/>
          </w:tcPr>
          <w:p>
            <w:pPr>
              <w:spacing w:after="0"/>
              <w:rPr>
                <w:sz w:val="23"/>
                <w:szCs w:val="23"/>
                <w:color w:val="auto"/>
              </w:rPr>
            </w:pPr>
          </w:p>
        </w:tc>
        <w:tc>
          <w:tcPr>
            <w:tcW w:w="840" w:type="dxa"/>
            <w:vAlign w:val="bottom"/>
            <w:tcBorders>
              <w:top w:val="single" w:sz="8" w:color="auto"/>
            </w:tcBorders>
            <w:shd w:val="clear" w:color="auto" w:fill="DCE2EF"/>
          </w:tcPr>
          <w:p>
            <w:pPr>
              <w:spacing w:after="0"/>
              <w:rPr>
                <w:sz w:val="23"/>
                <w:szCs w:val="23"/>
                <w:color w:val="auto"/>
              </w:rPr>
            </w:pPr>
          </w:p>
        </w:tc>
      </w:tr>
      <w:tr>
        <w:trPr>
          <w:trHeight w:val="266"/>
        </w:trPr>
        <w:tc>
          <w:tcPr>
            <w:tcW w:w="40" w:type="dxa"/>
            <w:vAlign w:val="bottom"/>
          </w:tcPr>
          <w:p>
            <w:pPr>
              <w:spacing w:after="0"/>
              <w:rPr>
                <w:sz w:val="23"/>
                <w:szCs w:val="23"/>
                <w:color w:val="auto"/>
              </w:rPr>
            </w:pPr>
          </w:p>
        </w:tc>
        <w:tc>
          <w:tcPr>
            <w:tcW w:w="4660" w:type="dxa"/>
            <w:vAlign w:val="bottom"/>
            <w:gridSpan w:val="2"/>
          </w:tcPr>
          <w:p>
            <w:pPr>
              <w:ind w:left="140"/>
              <w:spacing w:after="0"/>
              <w:rPr>
                <w:sz w:val="20"/>
                <w:szCs w:val="20"/>
                <w:color w:val="auto"/>
              </w:rPr>
            </w:pPr>
            <w:r>
              <w:rPr>
                <w:rFonts w:ascii="Arial" w:cs="Arial" w:eastAsia="Arial" w:hAnsi="Arial"/>
                <w:sz w:val="14"/>
                <w:szCs w:val="14"/>
                <w:color w:val="auto"/>
              </w:rPr>
              <w:t>Balance, beginning of year</w:t>
            </w: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691.8</w:t>
            </w: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675.2</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248.6</w:t>
            </w:r>
          </w:p>
        </w:tc>
      </w:tr>
      <w:tr>
        <w:trPr>
          <w:trHeight w:val="180"/>
        </w:trPr>
        <w:tc>
          <w:tcPr>
            <w:tcW w:w="40" w:type="dxa"/>
            <w:vAlign w:val="bottom"/>
            <w:shd w:val="clear" w:color="auto" w:fill="DCE2EF"/>
          </w:tcPr>
          <w:p>
            <w:pPr>
              <w:spacing w:after="0"/>
              <w:rPr>
                <w:sz w:val="15"/>
                <w:szCs w:val="15"/>
                <w:color w:val="auto"/>
              </w:rPr>
            </w:pPr>
          </w:p>
        </w:tc>
        <w:tc>
          <w:tcPr>
            <w:tcW w:w="4660" w:type="dxa"/>
            <w:vAlign w:val="bottom"/>
            <w:gridSpan w:val="2"/>
            <w:shd w:val="clear" w:color="auto" w:fill="DCE2EF"/>
          </w:tcPr>
          <w:p>
            <w:pPr>
              <w:ind w:left="140"/>
              <w:spacing w:after="0"/>
              <w:rPr>
                <w:sz w:val="20"/>
                <w:szCs w:val="20"/>
                <w:color w:val="auto"/>
              </w:rPr>
            </w:pPr>
            <w:r>
              <w:rPr>
                <w:rFonts w:ascii="Arial" w:cs="Arial" w:eastAsia="Arial" w:hAnsi="Arial"/>
                <w:sz w:val="14"/>
                <w:szCs w:val="14"/>
                <w:color w:val="auto"/>
              </w:rPr>
              <w:t>Taxes withheld under employee stock purchase and share-based</w:t>
            </w:r>
          </w:p>
        </w:tc>
        <w:tc>
          <w:tcPr>
            <w:tcW w:w="94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200" w:type="dxa"/>
            <w:vAlign w:val="bottom"/>
            <w:shd w:val="clear" w:color="auto" w:fill="DCE2EF"/>
          </w:tcPr>
          <w:p>
            <w:pPr>
              <w:spacing w:after="0"/>
              <w:rPr>
                <w:sz w:val="15"/>
                <w:szCs w:val="15"/>
                <w:color w:val="auto"/>
              </w:rPr>
            </w:pPr>
          </w:p>
        </w:tc>
        <w:tc>
          <w:tcPr>
            <w:tcW w:w="86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92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180" w:type="dxa"/>
            <w:vAlign w:val="bottom"/>
            <w:shd w:val="clear" w:color="auto" w:fill="DCE2EF"/>
          </w:tcPr>
          <w:p>
            <w:pPr>
              <w:spacing w:after="0"/>
              <w:rPr>
                <w:sz w:val="15"/>
                <w:szCs w:val="15"/>
                <w:color w:val="auto"/>
              </w:rPr>
            </w:pPr>
          </w:p>
        </w:tc>
        <w:tc>
          <w:tcPr>
            <w:tcW w:w="84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92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180" w:type="dxa"/>
            <w:vAlign w:val="bottom"/>
            <w:shd w:val="clear" w:color="auto" w:fill="DCE2EF"/>
          </w:tcPr>
          <w:p>
            <w:pPr>
              <w:spacing w:after="0"/>
              <w:rPr>
                <w:sz w:val="15"/>
                <w:szCs w:val="15"/>
                <w:color w:val="auto"/>
              </w:rPr>
            </w:pPr>
          </w:p>
        </w:tc>
        <w:tc>
          <w:tcPr>
            <w:tcW w:w="840" w:type="dxa"/>
            <w:vAlign w:val="bottom"/>
            <w:shd w:val="clear" w:color="auto" w:fill="DCE2EF"/>
          </w:tcPr>
          <w:p>
            <w:pPr>
              <w:spacing w:after="0"/>
              <w:rPr>
                <w:sz w:val="15"/>
                <w:szCs w:val="15"/>
                <w:color w:val="auto"/>
              </w:rPr>
            </w:pPr>
          </w:p>
        </w:tc>
      </w:tr>
      <w:tr>
        <w:trPr>
          <w:trHeight w:val="202"/>
        </w:trPr>
        <w:tc>
          <w:tcPr>
            <w:tcW w:w="40" w:type="dxa"/>
            <w:vAlign w:val="bottom"/>
            <w:shd w:val="clear" w:color="auto" w:fill="DCE2EF"/>
          </w:tcPr>
          <w:p>
            <w:pPr>
              <w:spacing w:after="0"/>
              <w:rPr>
                <w:sz w:val="17"/>
                <w:szCs w:val="17"/>
                <w:color w:val="auto"/>
              </w:rPr>
            </w:pPr>
          </w:p>
        </w:tc>
        <w:tc>
          <w:tcPr>
            <w:tcW w:w="4660" w:type="dxa"/>
            <w:vAlign w:val="bottom"/>
            <w:gridSpan w:val="2"/>
            <w:shd w:val="clear" w:color="auto" w:fill="DCE2EF"/>
          </w:tcPr>
          <w:p>
            <w:pPr>
              <w:ind w:left="380"/>
              <w:spacing w:after="0"/>
              <w:rPr>
                <w:sz w:val="20"/>
                <w:szCs w:val="20"/>
                <w:color w:val="auto"/>
              </w:rPr>
            </w:pPr>
            <w:r>
              <w:rPr>
                <w:rFonts w:ascii="Arial" w:cs="Arial" w:eastAsia="Arial" w:hAnsi="Arial"/>
                <w:sz w:val="14"/>
                <w:szCs w:val="14"/>
                <w:color w:val="auto"/>
              </w:rPr>
              <w:t>compensation plans, net</w:t>
            </w:r>
          </w:p>
        </w:tc>
        <w:tc>
          <w:tcPr>
            <w:tcW w:w="94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200" w:type="dxa"/>
            <w:vAlign w:val="bottom"/>
            <w:shd w:val="clear" w:color="auto" w:fill="DCE2EF"/>
          </w:tcPr>
          <w:p>
            <w:pPr>
              <w:spacing w:after="0"/>
              <w:rPr>
                <w:sz w:val="17"/>
                <w:szCs w:val="17"/>
                <w:color w:val="auto"/>
              </w:rPr>
            </w:pPr>
          </w:p>
        </w:tc>
        <w:tc>
          <w:tcPr>
            <w:tcW w:w="860" w:type="dxa"/>
            <w:vAlign w:val="bottom"/>
            <w:shd w:val="clear" w:color="auto" w:fill="DCE2EF"/>
          </w:tcPr>
          <w:p>
            <w:pPr>
              <w:jc w:val="right"/>
              <w:ind w:right="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DCE2EF"/>
          </w:tcPr>
          <w:p>
            <w:pPr>
              <w:spacing w:after="0"/>
              <w:rPr>
                <w:sz w:val="17"/>
                <w:szCs w:val="17"/>
                <w:color w:val="auto"/>
              </w:rPr>
            </w:pPr>
          </w:p>
        </w:tc>
        <w:tc>
          <w:tcPr>
            <w:tcW w:w="92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80" w:type="dxa"/>
            <w:vAlign w:val="bottom"/>
            <w:shd w:val="clear" w:color="auto" w:fill="DCE2EF"/>
          </w:tcPr>
          <w:p>
            <w:pPr>
              <w:spacing w:after="0"/>
              <w:rPr>
                <w:sz w:val="17"/>
                <w:szCs w:val="17"/>
                <w:color w:val="auto"/>
              </w:rPr>
            </w:pPr>
          </w:p>
        </w:tc>
        <w:tc>
          <w:tcPr>
            <w:tcW w:w="8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DCE2EF"/>
          </w:tcPr>
          <w:p>
            <w:pPr>
              <w:spacing w:after="0"/>
              <w:rPr>
                <w:sz w:val="17"/>
                <w:szCs w:val="17"/>
                <w:color w:val="auto"/>
              </w:rPr>
            </w:pPr>
          </w:p>
        </w:tc>
        <w:tc>
          <w:tcPr>
            <w:tcW w:w="92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80" w:type="dxa"/>
            <w:vAlign w:val="bottom"/>
            <w:shd w:val="clear" w:color="auto" w:fill="DCE2EF"/>
          </w:tcPr>
          <w:p>
            <w:pPr>
              <w:spacing w:after="0"/>
              <w:rPr>
                <w:sz w:val="17"/>
                <w:szCs w:val="17"/>
                <w:color w:val="auto"/>
              </w:rPr>
            </w:pPr>
          </w:p>
        </w:tc>
        <w:tc>
          <w:tcPr>
            <w:tcW w:w="8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(0.1)</w:t>
            </w:r>
          </w:p>
        </w:tc>
      </w:tr>
      <w:tr>
        <w:trPr>
          <w:trHeight w:val="266"/>
        </w:trPr>
        <w:tc>
          <w:tcPr>
            <w:tcW w:w="40" w:type="dxa"/>
            <w:vAlign w:val="bottom"/>
          </w:tcPr>
          <w:p>
            <w:pPr>
              <w:spacing w:after="0"/>
              <w:rPr>
                <w:sz w:val="23"/>
                <w:szCs w:val="23"/>
                <w:color w:val="auto"/>
              </w:rPr>
            </w:pPr>
          </w:p>
        </w:tc>
        <w:tc>
          <w:tcPr>
            <w:tcW w:w="4660" w:type="dxa"/>
            <w:vAlign w:val="bottom"/>
            <w:gridSpan w:val="2"/>
          </w:tcPr>
          <w:p>
            <w:pPr>
              <w:ind w:left="140"/>
              <w:spacing w:after="0"/>
              <w:rPr>
                <w:sz w:val="20"/>
                <w:szCs w:val="20"/>
                <w:color w:val="auto"/>
              </w:rPr>
            </w:pPr>
            <w:r>
              <w:rPr>
                <w:rFonts w:ascii="Arial" w:cs="Arial" w:eastAsia="Arial" w:hAnsi="Arial"/>
                <w:sz w:val="14"/>
                <w:szCs w:val="14"/>
                <w:color w:val="auto"/>
              </w:rPr>
              <w:t>Share-based compensation expense</w:t>
            </w: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13.3</w:t>
            </w:r>
          </w:p>
        </w:tc>
      </w:tr>
      <w:tr>
        <w:trPr>
          <w:trHeight w:val="274"/>
        </w:trPr>
        <w:tc>
          <w:tcPr>
            <w:tcW w:w="40" w:type="dxa"/>
            <w:vAlign w:val="bottom"/>
            <w:shd w:val="clear" w:color="auto" w:fill="DCE2EF"/>
          </w:tcPr>
          <w:p>
            <w:pPr>
              <w:spacing w:after="0"/>
              <w:rPr>
                <w:sz w:val="23"/>
                <w:szCs w:val="23"/>
                <w:color w:val="auto"/>
              </w:rPr>
            </w:pPr>
          </w:p>
        </w:tc>
        <w:tc>
          <w:tcPr>
            <w:tcW w:w="4660" w:type="dxa"/>
            <w:vAlign w:val="bottom"/>
            <w:gridSpan w:val="2"/>
            <w:shd w:val="clear" w:color="auto" w:fill="DCE2EF"/>
          </w:tcPr>
          <w:p>
            <w:pPr>
              <w:ind w:left="140"/>
              <w:spacing w:after="0"/>
              <w:rPr>
                <w:sz w:val="20"/>
                <w:szCs w:val="20"/>
                <w:color w:val="auto"/>
              </w:rPr>
            </w:pPr>
            <w:r>
              <w:rPr>
                <w:rFonts w:ascii="Arial" w:cs="Arial" w:eastAsia="Arial" w:hAnsi="Arial"/>
                <w:sz w:val="14"/>
                <w:szCs w:val="14"/>
                <w:color w:val="auto"/>
              </w:rPr>
              <w:t>Stock issued in GCA acquisition, net of shares withheld for taxes</w:t>
            </w:r>
          </w:p>
        </w:tc>
        <w:tc>
          <w:tcPr>
            <w:tcW w:w="94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200" w:type="dxa"/>
            <w:vAlign w:val="bottom"/>
            <w:shd w:val="clear" w:color="auto" w:fill="DCE2EF"/>
          </w:tcPr>
          <w:p>
            <w:pPr>
              <w:spacing w:after="0"/>
              <w:rPr>
                <w:sz w:val="23"/>
                <w:szCs w:val="23"/>
                <w:color w:val="auto"/>
              </w:rPr>
            </w:pPr>
          </w:p>
        </w:tc>
        <w:tc>
          <w:tcPr>
            <w:tcW w:w="860" w:type="dxa"/>
            <w:vAlign w:val="bottom"/>
            <w:shd w:val="clear" w:color="auto" w:fill="DCE2E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DCE2EF"/>
          </w:tcPr>
          <w:p>
            <w:pPr>
              <w:spacing w:after="0"/>
              <w:rPr>
                <w:sz w:val="23"/>
                <w:szCs w:val="23"/>
                <w:color w:val="auto"/>
              </w:rPr>
            </w:pPr>
          </w:p>
        </w:tc>
        <w:tc>
          <w:tcPr>
            <w:tcW w:w="92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180" w:type="dxa"/>
            <w:vAlign w:val="bottom"/>
            <w:shd w:val="clear" w:color="auto" w:fill="DCE2EF"/>
          </w:tcPr>
          <w:p>
            <w:pPr>
              <w:spacing w:after="0"/>
              <w:rPr>
                <w:sz w:val="23"/>
                <w:szCs w:val="23"/>
                <w:color w:val="auto"/>
              </w:rPr>
            </w:pPr>
          </w:p>
        </w:tc>
        <w:tc>
          <w:tcPr>
            <w:tcW w:w="84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DCE2EF"/>
          </w:tcPr>
          <w:p>
            <w:pPr>
              <w:spacing w:after="0"/>
              <w:rPr>
                <w:sz w:val="23"/>
                <w:szCs w:val="23"/>
                <w:color w:val="auto"/>
              </w:rPr>
            </w:pPr>
          </w:p>
        </w:tc>
        <w:tc>
          <w:tcPr>
            <w:tcW w:w="92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180" w:type="dxa"/>
            <w:vAlign w:val="bottom"/>
            <w:shd w:val="clear" w:color="auto" w:fill="DCE2EF"/>
          </w:tcPr>
          <w:p>
            <w:pPr>
              <w:spacing w:after="0"/>
              <w:rPr>
                <w:sz w:val="23"/>
                <w:szCs w:val="23"/>
                <w:color w:val="auto"/>
              </w:rPr>
            </w:pPr>
          </w:p>
        </w:tc>
        <w:tc>
          <w:tcPr>
            <w:tcW w:w="84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421.3</w:t>
            </w:r>
          </w:p>
        </w:tc>
      </w:tr>
      <w:tr>
        <w:trPr>
          <w:trHeight w:val="266"/>
        </w:trPr>
        <w:tc>
          <w:tcPr>
            <w:tcW w:w="40" w:type="dxa"/>
            <w:vAlign w:val="bottom"/>
            <w:tcBorders>
              <w:bottom w:val="single" w:sz="8" w:color="DCE2EF"/>
            </w:tcBorders>
          </w:tcPr>
          <w:p>
            <w:pPr>
              <w:spacing w:after="0"/>
              <w:rPr>
                <w:sz w:val="23"/>
                <w:szCs w:val="23"/>
                <w:color w:val="auto"/>
              </w:rPr>
            </w:pPr>
          </w:p>
        </w:tc>
        <w:tc>
          <w:tcPr>
            <w:tcW w:w="4660" w:type="dxa"/>
            <w:vAlign w:val="bottom"/>
            <w:tcBorders>
              <w:bottom w:val="single" w:sz="8" w:color="DCE2EF"/>
            </w:tcBorders>
            <w:gridSpan w:val="2"/>
          </w:tcPr>
          <w:p>
            <w:pPr>
              <w:ind w:left="140"/>
              <w:spacing w:after="0"/>
              <w:rPr>
                <w:sz w:val="20"/>
                <w:szCs w:val="20"/>
                <w:color w:val="auto"/>
              </w:rPr>
            </w:pPr>
            <w:r>
              <w:rPr>
                <w:rFonts w:ascii="Arial" w:cs="Arial" w:eastAsia="Arial" w:hAnsi="Arial"/>
                <w:sz w:val="14"/>
                <w:szCs w:val="14"/>
                <w:color w:val="auto"/>
              </w:rPr>
              <w:t>Repurchase of common stock</w:t>
            </w:r>
          </w:p>
        </w:tc>
        <w:tc>
          <w:tcPr>
            <w:tcW w:w="940" w:type="dxa"/>
            <w:vAlign w:val="bottom"/>
            <w:tcBorders>
              <w:bottom w:val="single" w:sz="8" w:color="DCE2EF"/>
            </w:tcBorders>
          </w:tcPr>
          <w:p>
            <w:pPr>
              <w:spacing w:after="0"/>
              <w:rPr>
                <w:sz w:val="23"/>
                <w:szCs w:val="23"/>
                <w:color w:val="auto"/>
              </w:rPr>
            </w:pPr>
          </w:p>
        </w:tc>
        <w:tc>
          <w:tcPr>
            <w:tcW w:w="100" w:type="dxa"/>
            <w:vAlign w:val="bottom"/>
            <w:tcBorders>
              <w:bottom w:val="single" w:sz="8" w:color="DCE2EF"/>
            </w:tcBorders>
          </w:tcPr>
          <w:p>
            <w:pPr>
              <w:spacing w:after="0"/>
              <w:rPr>
                <w:sz w:val="23"/>
                <w:szCs w:val="23"/>
                <w:color w:val="auto"/>
              </w:rPr>
            </w:pPr>
          </w:p>
        </w:tc>
        <w:tc>
          <w:tcPr>
            <w:tcW w:w="120" w:type="dxa"/>
            <w:vAlign w:val="bottom"/>
            <w:tcBorders>
              <w:bottom w:val="single" w:sz="8" w:color="DCE2E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CE2EF"/>
            </w:tcBorders>
          </w:tcPr>
          <w:p>
            <w:pPr>
              <w:spacing w:after="0"/>
              <w:rPr>
                <w:sz w:val="23"/>
                <w:szCs w:val="23"/>
                <w:color w:val="auto"/>
              </w:rPr>
            </w:pPr>
          </w:p>
        </w:tc>
        <w:tc>
          <w:tcPr>
            <w:tcW w:w="920" w:type="dxa"/>
            <w:vAlign w:val="bottom"/>
            <w:tcBorders>
              <w:bottom w:val="single" w:sz="8" w:color="DCE2EF"/>
            </w:tcBorders>
          </w:tcPr>
          <w:p>
            <w:pPr>
              <w:spacing w:after="0"/>
              <w:rPr>
                <w:sz w:val="23"/>
                <w:szCs w:val="23"/>
                <w:color w:val="auto"/>
              </w:rPr>
            </w:pPr>
          </w:p>
        </w:tc>
        <w:tc>
          <w:tcPr>
            <w:tcW w:w="100" w:type="dxa"/>
            <w:vAlign w:val="bottom"/>
            <w:tcBorders>
              <w:bottom w:val="single" w:sz="8" w:color="DCE2EF"/>
            </w:tcBorders>
          </w:tcPr>
          <w:p>
            <w:pPr>
              <w:spacing w:after="0"/>
              <w:rPr>
                <w:sz w:val="23"/>
                <w:szCs w:val="23"/>
                <w:color w:val="auto"/>
              </w:rPr>
            </w:pPr>
          </w:p>
        </w:tc>
        <w:tc>
          <w:tcPr>
            <w:tcW w:w="100" w:type="dxa"/>
            <w:vAlign w:val="bottom"/>
            <w:tcBorders>
              <w:bottom w:val="single" w:sz="8" w:color="DCE2E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DCE2EF"/>
            </w:tcBorders>
          </w:tcPr>
          <w:p>
            <w:pPr>
              <w:spacing w:after="0"/>
              <w:rPr>
                <w:sz w:val="23"/>
                <w:szCs w:val="23"/>
                <w:color w:val="auto"/>
              </w:rPr>
            </w:pPr>
          </w:p>
        </w:tc>
        <w:tc>
          <w:tcPr>
            <w:tcW w:w="920" w:type="dxa"/>
            <w:vAlign w:val="bottom"/>
            <w:tcBorders>
              <w:bottom w:val="single" w:sz="8" w:color="DCE2EF"/>
            </w:tcBorders>
          </w:tcPr>
          <w:p>
            <w:pPr>
              <w:spacing w:after="0"/>
              <w:rPr>
                <w:sz w:val="23"/>
                <w:szCs w:val="23"/>
                <w:color w:val="auto"/>
              </w:rPr>
            </w:pPr>
          </w:p>
        </w:tc>
        <w:tc>
          <w:tcPr>
            <w:tcW w:w="100" w:type="dxa"/>
            <w:vAlign w:val="bottom"/>
            <w:tcBorders>
              <w:bottom w:val="single" w:sz="8" w:color="DCE2EF"/>
            </w:tcBorders>
          </w:tcPr>
          <w:p>
            <w:pPr>
              <w:spacing w:after="0"/>
              <w:rPr>
                <w:sz w:val="23"/>
                <w:szCs w:val="23"/>
                <w:color w:val="auto"/>
              </w:rPr>
            </w:pPr>
          </w:p>
        </w:tc>
        <w:tc>
          <w:tcPr>
            <w:tcW w:w="100" w:type="dxa"/>
            <w:vAlign w:val="bottom"/>
            <w:tcBorders>
              <w:bottom w:val="single" w:sz="8" w:color="DCE2E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w:t>
            </w:r>
          </w:p>
        </w:tc>
      </w:tr>
      <w:tr>
        <w:trPr>
          <w:trHeight w:val="254"/>
        </w:trPr>
        <w:tc>
          <w:tcPr>
            <w:tcW w:w="40" w:type="dxa"/>
            <w:vAlign w:val="bottom"/>
            <w:shd w:val="clear" w:color="auto" w:fill="DCE2EF"/>
          </w:tcPr>
          <w:p>
            <w:pPr>
              <w:spacing w:after="0"/>
              <w:rPr>
                <w:sz w:val="22"/>
                <w:szCs w:val="22"/>
                <w:color w:val="auto"/>
              </w:rPr>
            </w:pPr>
          </w:p>
        </w:tc>
        <w:tc>
          <w:tcPr>
            <w:tcW w:w="4660" w:type="dxa"/>
            <w:vAlign w:val="bottom"/>
            <w:gridSpan w:val="2"/>
            <w:shd w:val="clear" w:color="auto" w:fill="DCE2EF"/>
          </w:tcPr>
          <w:p>
            <w:pPr>
              <w:ind w:left="140"/>
              <w:spacing w:after="0"/>
              <w:rPr>
                <w:sz w:val="20"/>
                <w:szCs w:val="20"/>
                <w:color w:val="auto"/>
              </w:rPr>
            </w:pPr>
            <w:r>
              <w:rPr>
                <w:rFonts w:ascii="Arial" w:cs="Arial" w:eastAsia="Arial" w:hAnsi="Arial"/>
                <w:sz w:val="14"/>
                <w:szCs w:val="14"/>
                <w:color w:val="auto"/>
              </w:rPr>
              <w:t>Balance, end of year</w:t>
            </w:r>
          </w:p>
        </w:tc>
        <w:tc>
          <w:tcPr>
            <w:tcW w:w="94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200" w:type="dxa"/>
            <w:vAlign w:val="bottom"/>
            <w:tcBorders>
              <w:bottom w:val="single" w:sz="8" w:color="auto"/>
            </w:tcBorders>
            <w:shd w:val="clear" w:color="auto" w:fill="DCE2EF"/>
          </w:tcPr>
          <w:p>
            <w:pPr>
              <w:spacing w:after="0"/>
              <w:rPr>
                <w:sz w:val="22"/>
                <w:szCs w:val="22"/>
                <w:color w:val="auto"/>
              </w:rPr>
            </w:pPr>
          </w:p>
        </w:tc>
        <w:tc>
          <w:tcPr>
            <w:tcW w:w="860" w:type="dxa"/>
            <w:vAlign w:val="bottom"/>
            <w:tcBorders>
              <w:bottom w:val="single" w:sz="8" w:color="auto"/>
            </w:tcBorders>
            <w:shd w:val="clear" w:color="auto" w:fill="DCE2EF"/>
          </w:tcPr>
          <w:p>
            <w:pPr>
              <w:jc w:val="right"/>
              <w:ind w:right="48"/>
              <w:spacing w:after="0"/>
              <w:rPr>
                <w:sz w:val="20"/>
                <w:szCs w:val="20"/>
                <w:color w:val="auto"/>
              </w:rPr>
            </w:pPr>
            <w:r>
              <w:rPr>
                <w:rFonts w:ascii="Arial" w:cs="Arial" w:eastAsia="Arial" w:hAnsi="Arial"/>
                <w:sz w:val="14"/>
                <w:szCs w:val="14"/>
                <w:color w:val="auto"/>
              </w:rPr>
              <w:t>708.9</w:t>
            </w:r>
          </w:p>
        </w:tc>
        <w:tc>
          <w:tcPr>
            <w:tcW w:w="120" w:type="dxa"/>
            <w:vAlign w:val="bottom"/>
            <w:shd w:val="clear" w:color="auto" w:fill="DCE2EF"/>
          </w:tcPr>
          <w:p>
            <w:pPr>
              <w:spacing w:after="0"/>
              <w:rPr>
                <w:sz w:val="22"/>
                <w:szCs w:val="22"/>
                <w:color w:val="auto"/>
              </w:rPr>
            </w:pPr>
          </w:p>
        </w:tc>
        <w:tc>
          <w:tcPr>
            <w:tcW w:w="92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80" w:type="dxa"/>
            <w:vAlign w:val="bottom"/>
            <w:tcBorders>
              <w:bottom w:val="single" w:sz="8" w:color="auto"/>
            </w:tcBorders>
            <w:shd w:val="clear" w:color="auto" w:fill="DCE2EF"/>
          </w:tcPr>
          <w:p>
            <w:pPr>
              <w:spacing w:after="0"/>
              <w:rPr>
                <w:sz w:val="22"/>
                <w:szCs w:val="22"/>
                <w:color w:val="auto"/>
              </w:rPr>
            </w:pPr>
          </w:p>
        </w:tc>
        <w:tc>
          <w:tcPr>
            <w:tcW w:w="840" w:type="dxa"/>
            <w:vAlign w:val="bottom"/>
            <w:tcBorders>
              <w:bottom w:val="single" w:sz="8" w:color="auto"/>
            </w:tcBorders>
            <w:shd w:val="clear" w:color="auto" w:fill="DCE2EF"/>
          </w:tcPr>
          <w:p>
            <w:pPr>
              <w:jc w:val="right"/>
              <w:ind w:right="28"/>
              <w:spacing w:after="0"/>
              <w:rPr>
                <w:sz w:val="20"/>
                <w:szCs w:val="20"/>
                <w:color w:val="auto"/>
              </w:rPr>
            </w:pPr>
            <w:r>
              <w:rPr>
                <w:rFonts w:ascii="Arial" w:cs="Arial" w:eastAsia="Arial" w:hAnsi="Arial"/>
                <w:sz w:val="14"/>
                <w:szCs w:val="14"/>
                <w:color w:val="auto"/>
              </w:rPr>
              <w:t>691.8</w:t>
            </w:r>
          </w:p>
        </w:tc>
        <w:tc>
          <w:tcPr>
            <w:tcW w:w="100" w:type="dxa"/>
            <w:vAlign w:val="bottom"/>
            <w:shd w:val="clear" w:color="auto" w:fill="DCE2EF"/>
          </w:tcPr>
          <w:p>
            <w:pPr>
              <w:spacing w:after="0"/>
              <w:rPr>
                <w:sz w:val="22"/>
                <w:szCs w:val="22"/>
                <w:color w:val="auto"/>
              </w:rPr>
            </w:pPr>
          </w:p>
        </w:tc>
        <w:tc>
          <w:tcPr>
            <w:tcW w:w="92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80" w:type="dxa"/>
            <w:vAlign w:val="bottom"/>
            <w:tcBorders>
              <w:bottom w:val="single" w:sz="8" w:color="auto"/>
            </w:tcBorders>
            <w:shd w:val="clear" w:color="auto" w:fill="DCE2EF"/>
          </w:tcPr>
          <w:p>
            <w:pPr>
              <w:spacing w:after="0"/>
              <w:rPr>
                <w:sz w:val="22"/>
                <w:szCs w:val="22"/>
                <w:color w:val="auto"/>
              </w:rPr>
            </w:pPr>
          </w:p>
        </w:tc>
        <w:tc>
          <w:tcPr>
            <w:tcW w:w="840" w:type="dxa"/>
            <w:vAlign w:val="bottom"/>
            <w:tcBorders>
              <w:bottom w:val="single" w:sz="8" w:color="auto"/>
            </w:tcBorders>
            <w:shd w:val="clear" w:color="auto" w:fill="DCE2EF"/>
          </w:tcPr>
          <w:p>
            <w:pPr>
              <w:jc w:val="right"/>
              <w:ind w:right="28"/>
              <w:spacing w:after="0"/>
              <w:rPr>
                <w:sz w:val="20"/>
                <w:szCs w:val="20"/>
                <w:color w:val="auto"/>
              </w:rPr>
            </w:pPr>
            <w:r>
              <w:rPr>
                <w:rFonts w:ascii="Arial" w:cs="Arial" w:eastAsia="Arial" w:hAnsi="Arial"/>
                <w:sz w:val="14"/>
                <w:szCs w:val="14"/>
                <w:color w:val="auto"/>
              </w:rPr>
              <w:t>675.2</w:t>
            </w:r>
          </w:p>
        </w:tc>
      </w:tr>
      <w:tr>
        <w:trPr>
          <w:trHeight w:val="263"/>
        </w:trPr>
        <w:tc>
          <w:tcPr>
            <w:tcW w:w="470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 Other Comprehensive Loss, Net of Taxes</w:t>
            </w: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1"/>
        </w:trPr>
        <w:tc>
          <w:tcPr>
            <w:tcW w:w="40" w:type="dxa"/>
            <w:vAlign w:val="bottom"/>
            <w:shd w:val="clear" w:color="auto" w:fill="DCE2EF"/>
          </w:tcPr>
          <w:p>
            <w:pPr>
              <w:spacing w:after="0"/>
              <w:rPr>
                <w:sz w:val="23"/>
                <w:szCs w:val="23"/>
                <w:color w:val="auto"/>
              </w:rPr>
            </w:pPr>
          </w:p>
        </w:tc>
        <w:tc>
          <w:tcPr>
            <w:tcW w:w="4660" w:type="dxa"/>
            <w:vAlign w:val="bottom"/>
            <w:gridSpan w:val="2"/>
            <w:shd w:val="clear" w:color="auto" w:fill="DCE2EF"/>
          </w:tcPr>
          <w:p>
            <w:pPr>
              <w:ind w:left="140"/>
              <w:spacing w:after="0"/>
              <w:rPr>
                <w:sz w:val="20"/>
                <w:szCs w:val="20"/>
                <w:color w:val="auto"/>
              </w:rPr>
            </w:pPr>
            <w:r>
              <w:rPr>
                <w:rFonts w:ascii="Arial" w:cs="Arial" w:eastAsia="Arial" w:hAnsi="Arial"/>
                <w:sz w:val="14"/>
                <w:szCs w:val="14"/>
                <w:color w:val="auto"/>
              </w:rPr>
              <w:t>Balance, beginning of year</w:t>
            </w:r>
          </w:p>
        </w:tc>
        <w:tc>
          <w:tcPr>
            <w:tcW w:w="94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200" w:type="dxa"/>
            <w:vAlign w:val="bottom"/>
            <w:shd w:val="clear" w:color="auto" w:fill="DCE2EF"/>
          </w:tcPr>
          <w:p>
            <w:pPr>
              <w:spacing w:after="0"/>
              <w:rPr>
                <w:sz w:val="23"/>
                <w:szCs w:val="23"/>
                <w:color w:val="auto"/>
              </w:rPr>
            </w:pPr>
          </w:p>
        </w:tc>
        <w:tc>
          <w:tcPr>
            <w:tcW w:w="860" w:type="dxa"/>
            <w:vAlign w:val="bottom"/>
            <w:shd w:val="clear" w:color="auto" w:fill="DCE2EF"/>
          </w:tcPr>
          <w:p>
            <w:pPr>
              <w:jc w:val="right"/>
              <w:ind w:right="8"/>
              <w:spacing w:after="0"/>
              <w:rPr>
                <w:sz w:val="20"/>
                <w:szCs w:val="20"/>
                <w:color w:val="auto"/>
              </w:rPr>
            </w:pPr>
            <w:r>
              <w:rPr>
                <w:rFonts w:ascii="Arial" w:cs="Arial" w:eastAsia="Arial" w:hAnsi="Arial"/>
                <w:sz w:val="14"/>
                <w:szCs w:val="14"/>
                <w:color w:val="auto"/>
              </w:rPr>
              <w:t>(9.0)</w:t>
            </w:r>
          </w:p>
        </w:tc>
        <w:tc>
          <w:tcPr>
            <w:tcW w:w="120" w:type="dxa"/>
            <w:vAlign w:val="bottom"/>
            <w:shd w:val="clear" w:color="auto" w:fill="DCE2EF"/>
          </w:tcPr>
          <w:p>
            <w:pPr>
              <w:spacing w:after="0"/>
              <w:rPr>
                <w:sz w:val="23"/>
                <w:szCs w:val="23"/>
                <w:color w:val="auto"/>
              </w:rPr>
            </w:pPr>
          </w:p>
        </w:tc>
        <w:tc>
          <w:tcPr>
            <w:tcW w:w="92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180" w:type="dxa"/>
            <w:vAlign w:val="bottom"/>
            <w:shd w:val="clear" w:color="auto" w:fill="DCE2EF"/>
          </w:tcPr>
          <w:p>
            <w:pPr>
              <w:spacing w:after="0"/>
              <w:rPr>
                <w:sz w:val="23"/>
                <w:szCs w:val="23"/>
                <w:color w:val="auto"/>
              </w:rPr>
            </w:pPr>
          </w:p>
        </w:tc>
        <w:tc>
          <w:tcPr>
            <w:tcW w:w="8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(20.3)</w:t>
            </w:r>
          </w:p>
        </w:tc>
        <w:tc>
          <w:tcPr>
            <w:tcW w:w="100" w:type="dxa"/>
            <w:vAlign w:val="bottom"/>
            <w:shd w:val="clear" w:color="auto" w:fill="DCE2EF"/>
          </w:tcPr>
          <w:p>
            <w:pPr>
              <w:spacing w:after="0"/>
              <w:rPr>
                <w:sz w:val="23"/>
                <w:szCs w:val="23"/>
                <w:color w:val="auto"/>
              </w:rPr>
            </w:pPr>
          </w:p>
        </w:tc>
        <w:tc>
          <w:tcPr>
            <w:tcW w:w="92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180" w:type="dxa"/>
            <w:vAlign w:val="bottom"/>
            <w:shd w:val="clear" w:color="auto" w:fill="DCE2EF"/>
          </w:tcPr>
          <w:p>
            <w:pPr>
              <w:spacing w:after="0"/>
              <w:rPr>
                <w:sz w:val="23"/>
                <w:szCs w:val="23"/>
                <w:color w:val="auto"/>
              </w:rPr>
            </w:pPr>
          </w:p>
        </w:tc>
        <w:tc>
          <w:tcPr>
            <w:tcW w:w="8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(31.6)</w:t>
            </w:r>
          </w:p>
        </w:tc>
      </w:tr>
      <w:tr>
        <w:trPr>
          <w:trHeight w:val="266"/>
        </w:trPr>
        <w:tc>
          <w:tcPr>
            <w:tcW w:w="40" w:type="dxa"/>
            <w:vAlign w:val="bottom"/>
            <w:tcBorders>
              <w:bottom w:val="single" w:sz="8" w:color="DCE2EF"/>
            </w:tcBorders>
          </w:tcPr>
          <w:p>
            <w:pPr>
              <w:spacing w:after="0"/>
              <w:rPr>
                <w:sz w:val="23"/>
                <w:szCs w:val="23"/>
                <w:color w:val="auto"/>
              </w:rPr>
            </w:pPr>
          </w:p>
        </w:tc>
        <w:tc>
          <w:tcPr>
            <w:tcW w:w="4660" w:type="dxa"/>
            <w:vAlign w:val="bottom"/>
            <w:tcBorders>
              <w:bottom w:val="single" w:sz="8" w:color="DCE2EF"/>
            </w:tcBorders>
            <w:gridSpan w:val="2"/>
          </w:tcPr>
          <w:p>
            <w:pPr>
              <w:ind w:left="140"/>
              <w:spacing w:after="0"/>
              <w:rPr>
                <w:sz w:val="20"/>
                <w:szCs w:val="20"/>
                <w:color w:val="auto"/>
              </w:rPr>
            </w:pPr>
            <w:r>
              <w:rPr>
                <w:rFonts w:ascii="Arial" w:cs="Arial" w:eastAsia="Arial" w:hAnsi="Arial"/>
                <w:sz w:val="14"/>
                <w:szCs w:val="14"/>
                <w:color w:val="auto"/>
              </w:rPr>
              <w:t>Other comprehensive (loss) income</w:t>
            </w:r>
          </w:p>
        </w:tc>
        <w:tc>
          <w:tcPr>
            <w:tcW w:w="940" w:type="dxa"/>
            <w:vAlign w:val="bottom"/>
            <w:tcBorders>
              <w:bottom w:val="single" w:sz="8" w:color="DCE2EF"/>
            </w:tcBorders>
          </w:tcPr>
          <w:p>
            <w:pPr>
              <w:spacing w:after="0"/>
              <w:rPr>
                <w:sz w:val="23"/>
                <w:szCs w:val="23"/>
                <w:color w:val="auto"/>
              </w:rPr>
            </w:pPr>
          </w:p>
        </w:tc>
        <w:tc>
          <w:tcPr>
            <w:tcW w:w="100" w:type="dxa"/>
            <w:vAlign w:val="bottom"/>
            <w:tcBorders>
              <w:bottom w:val="single" w:sz="8" w:color="DCE2EF"/>
            </w:tcBorders>
          </w:tcPr>
          <w:p>
            <w:pPr>
              <w:spacing w:after="0"/>
              <w:rPr>
                <w:sz w:val="23"/>
                <w:szCs w:val="23"/>
                <w:color w:val="auto"/>
              </w:rPr>
            </w:pPr>
          </w:p>
        </w:tc>
        <w:tc>
          <w:tcPr>
            <w:tcW w:w="120" w:type="dxa"/>
            <w:vAlign w:val="bottom"/>
            <w:tcBorders>
              <w:bottom w:val="single" w:sz="8" w:color="DCE2E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(14.9)</w:t>
            </w:r>
          </w:p>
        </w:tc>
        <w:tc>
          <w:tcPr>
            <w:tcW w:w="120" w:type="dxa"/>
            <w:vAlign w:val="bottom"/>
            <w:tcBorders>
              <w:bottom w:val="single" w:sz="8" w:color="DCE2EF"/>
            </w:tcBorders>
          </w:tcPr>
          <w:p>
            <w:pPr>
              <w:spacing w:after="0"/>
              <w:rPr>
                <w:sz w:val="23"/>
                <w:szCs w:val="23"/>
                <w:color w:val="auto"/>
              </w:rPr>
            </w:pPr>
          </w:p>
        </w:tc>
        <w:tc>
          <w:tcPr>
            <w:tcW w:w="920" w:type="dxa"/>
            <w:vAlign w:val="bottom"/>
            <w:tcBorders>
              <w:bottom w:val="single" w:sz="8" w:color="DCE2EF"/>
            </w:tcBorders>
          </w:tcPr>
          <w:p>
            <w:pPr>
              <w:spacing w:after="0"/>
              <w:rPr>
                <w:sz w:val="23"/>
                <w:szCs w:val="23"/>
                <w:color w:val="auto"/>
              </w:rPr>
            </w:pPr>
          </w:p>
        </w:tc>
        <w:tc>
          <w:tcPr>
            <w:tcW w:w="100" w:type="dxa"/>
            <w:vAlign w:val="bottom"/>
            <w:tcBorders>
              <w:bottom w:val="single" w:sz="8" w:color="DCE2EF"/>
            </w:tcBorders>
          </w:tcPr>
          <w:p>
            <w:pPr>
              <w:spacing w:after="0"/>
              <w:rPr>
                <w:sz w:val="23"/>
                <w:szCs w:val="23"/>
                <w:color w:val="auto"/>
              </w:rPr>
            </w:pPr>
          </w:p>
        </w:tc>
        <w:tc>
          <w:tcPr>
            <w:tcW w:w="100" w:type="dxa"/>
            <w:vAlign w:val="bottom"/>
            <w:tcBorders>
              <w:bottom w:val="single" w:sz="8" w:color="DCE2E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w:t>
            </w:r>
          </w:p>
        </w:tc>
        <w:tc>
          <w:tcPr>
            <w:tcW w:w="100" w:type="dxa"/>
            <w:vAlign w:val="bottom"/>
            <w:tcBorders>
              <w:bottom w:val="single" w:sz="8" w:color="DCE2EF"/>
            </w:tcBorders>
          </w:tcPr>
          <w:p>
            <w:pPr>
              <w:spacing w:after="0"/>
              <w:rPr>
                <w:sz w:val="23"/>
                <w:szCs w:val="23"/>
                <w:color w:val="auto"/>
              </w:rPr>
            </w:pPr>
          </w:p>
        </w:tc>
        <w:tc>
          <w:tcPr>
            <w:tcW w:w="920" w:type="dxa"/>
            <w:vAlign w:val="bottom"/>
            <w:tcBorders>
              <w:bottom w:val="single" w:sz="8" w:color="DCE2EF"/>
            </w:tcBorders>
          </w:tcPr>
          <w:p>
            <w:pPr>
              <w:spacing w:after="0"/>
              <w:rPr>
                <w:sz w:val="23"/>
                <w:szCs w:val="23"/>
                <w:color w:val="auto"/>
              </w:rPr>
            </w:pPr>
          </w:p>
        </w:tc>
        <w:tc>
          <w:tcPr>
            <w:tcW w:w="100" w:type="dxa"/>
            <w:vAlign w:val="bottom"/>
            <w:tcBorders>
              <w:bottom w:val="single" w:sz="8" w:color="DCE2EF"/>
            </w:tcBorders>
          </w:tcPr>
          <w:p>
            <w:pPr>
              <w:spacing w:after="0"/>
              <w:rPr>
                <w:sz w:val="23"/>
                <w:szCs w:val="23"/>
                <w:color w:val="auto"/>
              </w:rPr>
            </w:pPr>
          </w:p>
        </w:tc>
        <w:tc>
          <w:tcPr>
            <w:tcW w:w="100" w:type="dxa"/>
            <w:vAlign w:val="bottom"/>
            <w:tcBorders>
              <w:bottom w:val="single" w:sz="8" w:color="DCE2E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w:t>
            </w:r>
          </w:p>
        </w:tc>
      </w:tr>
      <w:tr>
        <w:trPr>
          <w:trHeight w:val="254"/>
        </w:trPr>
        <w:tc>
          <w:tcPr>
            <w:tcW w:w="40" w:type="dxa"/>
            <w:vAlign w:val="bottom"/>
            <w:shd w:val="clear" w:color="auto" w:fill="DCE2EF"/>
          </w:tcPr>
          <w:p>
            <w:pPr>
              <w:spacing w:after="0"/>
              <w:rPr>
                <w:sz w:val="22"/>
                <w:szCs w:val="22"/>
                <w:color w:val="auto"/>
              </w:rPr>
            </w:pPr>
          </w:p>
        </w:tc>
        <w:tc>
          <w:tcPr>
            <w:tcW w:w="4660" w:type="dxa"/>
            <w:vAlign w:val="bottom"/>
            <w:gridSpan w:val="2"/>
            <w:shd w:val="clear" w:color="auto" w:fill="DCE2EF"/>
          </w:tcPr>
          <w:p>
            <w:pPr>
              <w:ind w:left="140"/>
              <w:spacing w:after="0"/>
              <w:rPr>
                <w:sz w:val="20"/>
                <w:szCs w:val="20"/>
                <w:color w:val="auto"/>
              </w:rPr>
            </w:pPr>
            <w:r>
              <w:rPr>
                <w:rFonts w:ascii="Arial" w:cs="Arial" w:eastAsia="Arial" w:hAnsi="Arial"/>
                <w:sz w:val="14"/>
                <w:szCs w:val="14"/>
                <w:color w:val="auto"/>
              </w:rPr>
              <w:t>Balance, end of year</w:t>
            </w:r>
          </w:p>
        </w:tc>
        <w:tc>
          <w:tcPr>
            <w:tcW w:w="94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200" w:type="dxa"/>
            <w:vAlign w:val="bottom"/>
            <w:tcBorders>
              <w:bottom w:val="single" w:sz="8" w:color="auto"/>
            </w:tcBorders>
            <w:shd w:val="clear" w:color="auto" w:fill="DCE2EF"/>
          </w:tcPr>
          <w:p>
            <w:pPr>
              <w:spacing w:after="0"/>
              <w:rPr>
                <w:sz w:val="22"/>
                <w:szCs w:val="22"/>
                <w:color w:val="auto"/>
              </w:rPr>
            </w:pPr>
          </w:p>
        </w:tc>
        <w:tc>
          <w:tcPr>
            <w:tcW w:w="860" w:type="dxa"/>
            <w:vAlign w:val="bottom"/>
            <w:tcBorders>
              <w:bottom w:val="single" w:sz="8" w:color="auto"/>
            </w:tcBorders>
            <w:shd w:val="clear" w:color="auto" w:fill="DCE2EF"/>
          </w:tcPr>
          <w:p>
            <w:pPr>
              <w:jc w:val="right"/>
              <w:ind w:right="8"/>
              <w:spacing w:after="0"/>
              <w:rPr>
                <w:sz w:val="20"/>
                <w:szCs w:val="20"/>
                <w:color w:val="auto"/>
              </w:rPr>
            </w:pPr>
            <w:r>
              <w:rPr>
                <w:rFonts w:ascii="Arial" w:cs="Arial" w:eastAsia="Arial" w:hAnsi="Arial"/>
                <w:sz w:val="14"/>
                <w:szCs w:val="14"/>
                <w:color w:val="auto"/>
              </w:rPr>
              <w:t>(23.9)</w:t>
            </w:r>
          </w:p>
        </w:tc>
        <w:tc>
          <w:tcPr>
            <w:tcW w:w="120" w:type="dxa"/>
            <w:vAlign w:val="bottom"/>
            <w:shd w:val="clear" w:color="auto" w:fill="DCE2EF"/>
          </w:tcPr>
          <w:p>
            <w:pPr>
              <w:spacing w:after="0"/>
              <w:rPr>
                <w:sz w:val="22"/>
                <w:szCs w:val="22"/>
                <w:color w:val="auto"/>
              </w:rPr>
            </w:pPr>
          </w:p>
        </w:tc>
        <w:tc>
          <w:tcPr>
            <w:tcW w:w="92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80" w:type="dxa"/>
            <w:vAlign w:val="bottom"/>
            <w:tcBorders>
              <w:bottom w:val="single" w:sz="8" w:color="auto"/>
            </w:tcBorders>
            <w:shd w:val="clear" w:color="auto" w:fill="DCE2EF"/>
          </w:tcPr>
          <w:p>
            <w:pPr>
              <w:spacing w:after="0"/>
              <w:rPr>
                <w:sz w:val="22"/>
                <w:szCs w:val="22"/>
                <w:color w:val="auto"/>
              </w:rPr>
            </w:pPr>
          </w:p>
        </w:tc>
        <w:tc>
          <w:tcPr>
            <w:tcW w:w="8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(9.0)</w:t>
            </w:r>
          </w:p>
        </w:tc>
        <w:tc>
          <w:tcPr>
            <w:tcW w:w="100" w:type="dxa"/>
            <w:vAlign w:val="bottom"/>
            <w:shd w:val="clear" w:color="auto" w:fill="DCE2EF"/>
          </w:tcPr>
          <w:p>
            <w:pPr>
              <w:spacing w:after="0"/>
              <w:rPr>
                <w:sz w:val="22"/>
                <w:szCs w:val="22"/>
                <w:color w:val="auto"/>
              </w:rPr>
            </w:pPr>
          </w:p>
        </w:tc>
        <w:tc>
          <w:tcPr>
            <w:tcW w:w="92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80" w:type="dxa"/>
            <w:vAlign w:val="bottom"/>
            <w:tcBorders>
              <w:bottom w:val="single" w:sz="8" w:color="auto"/>
            </w:tcBorders>
            <w:shd w:val="clear" w:color="auto" w:fill="DCE2EF"/>
          </w:tcPr>
          <w:p>
            <w:pPr>
              <w:spacing w:after="0"/>
              <w:rPr>
                <w:sz w:val="22"/>
                <w:szCs w:val="22"/>
                <w:color w:val="auto"/>
              </w:rPr>
            </w:pPr>
          </w:p>
        </w:tc>
        <w:tc>
          <w:tcPr>
            <w:tcW w:w="8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(20.3)</w:t>
            </w:r>
          </w:p>
        </w:tc>
      </w:tr>
      <w:tr>
        <w:trPr>
          <w:trHeight w:val="263"/>
        </w:trPr>
        <w:tc>
          <w:tcPr>
            <w:tcW w:w="4700" w:type="dxa"/>
            <w:vAlign w:val="bottom"/>
            <w:gridSpan w:val="3"/>
          </w:tcPr>
          <w:p>
            <w:pPr>
              <w:ind w:left="40"/>
              <w:spacing w:after="0"/>
              <w:rPr>
                <w:sz w:val="20"/>
                <w:szCs w:val="20"/>
                <w:color w:val="auto"/>
              </w:rPr>
            </w:pPr>
            <w:r>
              <w:rPr>
                <w:rFonts w:ascii="Arial" w:cs="Arial" w:eastAsia="Arial" w:hAnsi="Arial"/>
                <w:sz w:val="14"/>
                <w:szCs w:val="14"/>
                <w:b w:val="1"/>
                <w:bCs w:val="1"/>
                <w:color w:val="auto"/>
              </w:rPr>
              <w:t>Retained Earnings</w:t>
            </w: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1"/>
        </w:trPr>
        <w:tc>
          <w:tcPr>
            <w:tcW w:w="40" w:type="dxa"/>
            <w:vAlign w:val="bottom"/>
            <w:shd w:val="clear" w:color="auto" w:fill="DCE2EF"/>
          </w:tcPr>
          <w:p>
            <w:pPr>
              <w:spacing w:after="0"/>
              <w:rPr>
                <w:sz w:val="23"/>
                <w:szCs w:val="23"/>
                <w:color w:val="auto"/>
              </w:rPr>
            </w:pPr>
          </w:p>
        </w:tc>
        <w:tc>
          <w:tcPr>
            <w:tcW w:w="4660" w:type="dxa"/>
            <w:vAlign w:val="bottom"/>
            <w:gridSpan w:val="2"/>
            <w:shd w:val="clear" w:color="auto" w:fill="DCE2EF"/>
          </w:tcPr>
          <w:p>
            <w:pPr>
              <w:ind w:left="140"/>
              <w:spacing w:after="0"/>
              <w:rPr>
                <w:sz w:val="20"/>
                <w:szCs w:val="20"/>
                <w:color w:val="auto"/>
              </w:rPr>
            </w:pPr>
            <w:r>
              <w:rPr>
                <w:rFonts w:ascii="Arial" w:cs="Arial" w:eastAsia="Arial" w:hAnsi="Arial"/>
                <w:sz w:val="14"/>
                <w:szCs w:val="14"/>
                <w:color w:val="auto"/>
              </w:rPr>
              <w:t>Balance, beginning of year</w:t>
            </w:r>
          </w:p>
        </w:tc>
        <w:tc>
          <w:tcPr>
            <w:tcW w:w="94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200" w:type="dxa"/>
            <w:vAlign w:val="bottom"/>
            <w:shd w:val="clear" w:color="auto" w:fill="DCE2EF"/>
          </w:tcPr>
          <w:p>
            <w:pPr>
              <w:spacing w:after="0"/>
              <w:rPr>
                <w:sz w:val="23"/>
                <w:szCs w:val="23"/>
                <w:color w:val="auto"/>
              </w:rPr>
            </w:pPr>
          </w:p>
        </w:tc>
        <w:tc>
          <w:tcPr>
            <w:tcW w:w="860" w:type="dxa"/>
            <w:vAlign w:val="bottom"/>
            <w:shd w:val="clear" w:color="auto" w:fill="DCE2EF"/>
          </w:tcPr>
          <w:p>
            <w:pPr>
              <w:jc w:val="right"/>
              <w:ind w:right="48"/>
              <w:spacing w:after="0"/>
              <w:rPr>
                <w:sz w:val="20"/>
                <w:szCs w:val="20"/>
                <w:color w:val="auto"/>
              </w:rPr>
            </w:pPr>
            <w:r>
              <w:rPr>
                <w:rFonts w:ascii="Arial" w:cs="Arial" w:eastAsia="Arial" w:hAnsi="Arial"/>
                <w:sz w:val="14"/>
                <w:szCs w:val="14"/>
                <w:color w:val="auto"/>
              </w:rPr>
              <w:t>771.2</w:t>
            </w:r>
          </w:p>
        </w:tc>
        <w:tc>
          <w:tcPr>
            <w:tcW w:w="120" w:type="dxa"/>
            <w:vAlign w:val="bottom"/>
            <w:shd w:val="clear" w:color="auto" w:fill="DCE2EF"/>
          </w:tcPr>
          <w:p>
            <w:pPr>
              <w:spacing w:after="0"/>
              <w:rPr>
                <w:sz w:val="23"/>
                <w:szCs w:val="23"/>
                <w:color w:val="auto"/>
              </w:rPr>
            </w:pPr>
          </w:p>
        </w:tc>
        <w:tc>
          <w:tcPr>
            <w:tcW w:w="92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180" w:type="dxa"/>
            <w:vAlign w:val="bottom"/>
            <w:shd w:val="clear" w:color="auto" w:fill="DCE2EF"/>
          </w:tcPr>
          <w:p>
            <w:pPr>
              <w:spacing w:after="0"/>
              <w:rPr>
                <w:sz w:val="23"/>
                <w:szCs w:val="23"/>
                <w:color w:val="auto"/>
              </w:rPr>
            </w:pPr>
          </w:p>
        </w:tc>
        <w:tc>
          <w:tcPr>
            <w:tcW w:w="84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720.1</w:t>
            </w:r>
          </w:p>
        </w:tc>
        <w:tc>
          <w:tcPr>
            <w:tcW w:w="100" w:type="dxa"/>
            <w:vAlign w:val="bottom"/>
            <w:shd w:val="clear" w:color="auto" w:fill="DCE2EF"/>
          </w:tcPr>
          <w:p>
            <w:pPr>
              <w:spacing w:after="0"/>
              <w:rPr>
                <w:sz w:val="23"/>
                <w:szCs w:val="23"/>
                <w:color w:val="auto"/>
              </w:rPr>
            </w:pPr>
          </w:p>
        </w:tc>
        <w:tc>
          <w:tcPr>
            <w:tcW w:w="92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180" w:type="dxa"/>
            <w:vAlign w:val="bottom"/>
            <w:shd w:val="clear" w:color="auto" w:fill="DCE2EF"/>
          </w:tcPr>
          <w:p>
            <w:pPr>
              <w:spacing w:after="0"/>
              <w:rPr>
                <w:sz w:val="23"/>
                <w:szCs w:val="23"/>
                <w:color w:val="auto"/>
              </w:rPr>
            </w:pPr>
          </w:p>
        </w:tc>
        <w:tc>
          <w:tcPr>
            <w:tcW w:w="84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756.4</w:t>
            </w:r>
          </w:p>
        </w:tc>
      </w:tr>
      <w:tr>
        <w:trPr>
          <w:trHeight w:val="266"/>
        </w:trPr>
        <w:tc>
          <w:tcPr>
            <w:tcW w:w="40" w:type="dxa"/>
            <w:vAlign w:val="bottom"/>
          </w:tcPr>
          <w:p>
            <w:pPr>
              <w:spacing w:after="0"/>
              <w:rPr>
                <w:sz w:val="23"/>
                <w:szCs w:val="23"/>
                <w:color w:val="auto"/>
              </w:rPr>
            </w:pPr>
          </w:p>
        </w:tc>
        <w:tc>
          <w:tcPr>
            <w:tcW w:w="4660" w:type="dxa"/>
            <w:vAlign w:val="bottom"/>
            <w:gridSpan w:val="2"/>
          </w:tcPr>
          <w:p>
            <w:pPr>
              <w:ind w:left="140"/>
              <w:spacing w:after="0"/>
              <w:rPr>
                <w:sz w:val="20"/>
                <w:szCs w:val="20"/>
                <w:color w:val="auto"/>
              </w:rPr>
            </w:pPr>
            <w:r>
              <w:rPr>
                <w:rFonts w:ascii="Arial" w:cs="Arial" w:eastAsia="Arial" w:hAnsi="Arial"/>
                <w:sz w:val="14"/>
                <w:szCs w:val="14"/>
                <w:color w:val="auto"/>
              </w:rPr>
              <w:t>Net income</w:t>
            </w: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127.4</w:t>
            </w: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97.8</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3.8</w:t>
            </w:r>
          </w:p>
        </w:tc>
      </w:tr>
      <w:tr>
        <w:trPr>
          <w:trHeight w:val="274"/>
        </w:trPr>
        <w:tc>
          <w:tcPr>
            <w:tcW w:w="40" w:type="dxa"/>
            <w:vAlign w:val="bottom"/>
            <w:shd w:val="clear" w:color="auto" w:fill="DCE2EF"/>
          </w:tcPr>
          <w:p>
            <w:pPr>
              <w:spacing w:after="0"/>
              <w:rPr>
                <w:sz w:val="23"/>
                <w:szCs w:val="23"/>
                <w:color w:val="auto"/>
              </w:rPr>
            </w:pPr>
          </w:p>
        </w:tc>
        <w:tc>
          <w:tcPr>
            <w:tcW w:w="4660" w:type="dxa"/>
            <w:vAlign w:val="bottom"/>
            <w:gridSpan w:val="2"/>
            <w:shd w:val="clear" w:color="auto" w:fill="DCE2EF"/>
          </w:tcPr>
          <w:p>
            <w:pPr>
              <w:ind w:left="140"/>
              <w:spacing w:after="0"/>
              <w:rPr>
                <w:sz w:val="20"/>
                <w:szCs w:val="20"/>
                <w:color w:val="auto"/>
              </w:rPr>
            </w:pPr>
            <w:r>
              <w:rPr>
                <w:rFonts w:ascii="Arial" w:cs="Arial" w:eastAsia="Arial" w:hAnsi="Arial"/>
                <w:sz w:val="14"/>
                <w:szCs w:val="14"/>
                <w:color w:val="auto"/>
              </w:rPr>
              <w:t>Dividends</w:t>
            </w:r>
          </w:p>
        </w:tc>
        <w:tc>
          <w:tcPr>
            <w:tcW w:w="94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200" w:type="dxa"/>
            <w:vAlign w:val="bottom"/>
            <w:shd w:val="clear" w:color="auto" w:fill="DCE2EF"/>
          </w:tcPr>
          <w:p>
            <w:pPr>
              <w:spacing w:after="0"/>
              <w:rPr>
                <w:sz w:val="23"/>
                <w:szCs w:val="23"/>
                <w:color w:val="auto"/>
              </w:rPr>
            </w:pPr>
          </w:p>
        </w:tc>
        <w:tc>
          <w:tcPr>
            <w:tcW w:w="860" w:type="dxa"/>
            <w:vAlign w:val="bottom"/>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92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180" w:type="dxa"/>
            <w:vAlign w:val="bottom"/>
            <w:shd w:val="clear" w:color="auto" w:fill="DCE2EF"/>
          </w:tcPr>
          <w:p>
            <w:pPr>
              <w:spacing w:after="0"/>
              <w:rPr>
                <w:sz w:val="23"/>
                <w:szCs w:val="23"/>
                <w:color w:val="auto"/>
              </w:rPr>
            </w:pPr>
          </w:p>
        </w:tc>
        <w:tc>
          <w:tcPr>
            <w:tcW w:w="84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92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180" w:type="dxa"/>
            <w:vAlign w:val="bottom"/>
            <w:shd w:val="clear" w:color="auto" w:fill="DCE2EF"/>
          </w:tcPr>
          <w:p>
            <w:pPr>
              <w:spacing w:after="0"/>
              <w:rPr>
                <w:sz w:val="23"/>
                <w:szCs w:val="23"/>
                <w:color w:val="auto"/>
              </w:rPr>
            </w:pPr>
          </w:p>
        </w:tc>
        <w:tc>
          <w:tcPr>
            <w:tcW w:w="840" w:type="dxa"/>
            <w:vAlign w:val="bottom"/>
            <w:shd w:val="clear" w:color="auto" w:fill="DCE2EF"/>
          </w:tcPr>
          <w:p>
            <w:pPr>
              <w:spacing w:after="0"/>
              <w:rPr>
                <w:sz w:val="23"/>
                <w:szCs w:val="23"/>
                <w:color w:val="auto"/>
              </w:rPr>
            </w:pPr>
          </w:p>
        </w:tc>
      </w:tr>
      <w:tr>
        <w:trPr>
          <w:trHeight w:val="266"/>
        </w:trPr>
        <w:tc>
          <w:tcPr>
            <w:tcW w:w="40" w:type="dxa"/>
            <w:vAlign w:val="bottom"/>
          </w:tcPr>
          <w:p>
            <w:pPr>
              <w:spacing w:after="0"/>
              <w:rPr>
                <w:sz w:val="23"/>
                <w:szCs w:val="23"/>
                <w:color w:val="auto"/>
              </w:rPr>
            </w:pPr>
          </w:p>
        </w:tc>
        <w:tc>
          <w:tcPr>
            <w:tcW w:w="4660" w:type="dxa"/>
            <w:vAlign w:val="bottom"/>
            <w:gridSpan w:val="2"/>
          </w:tcPr>
          <w:p>
            <w:pPr>
              <w:ind w:left="240"/>
              <w:spacing w:after="0"/>
              <w:rPr>
                <w:sz w:val="20"/>
                <w:szCs w:val="20"/>
                <w:color w:val="auto"/>
              </w:rPr>
            </w:pPr>
            <w:r>
              <w:rPr>
                <w:rFonts w:ascii="Arial" w:cs="Arial" w:eastAsia="Arial" w:hAnsi="Arial"/>
                <w:sz w:val="14"/>
                <w:szCs w:val="14"/>
                <w:color w:val="auto"/>
              </w:rPr>
              <w:t>Common stock ($0.720, $0.700, and $0.680 per share)</w:t>
            </w: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(47.7)</w:t>
            </w: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(46.0)</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(39.5)</w:t>
            </w:r>
          </w:p>
        </w:tc>
      </w:tr>
      <w:tr>
        <w:trPr>
          <w:trHeight w:val="274"/>
        </w:trPr>
        <w:tc>
          <w:tcPr>
            <w:tcW w:w="40" w:type="dxa"/>
            <w:vAlign w:val="bottom"/>
            <w:shd w:val="clear" w:color="auto" w:fill="DCE2EF"/>
          </w:tcPr>
          <w:p>
            <w:pPr>
              <w:spacing w:after="0"/>
              <w:rPr>
                <w:sz w:val="23"/>
                <w:szCs w:val="23"/>
                <w:color w:val="auto"/>
              </w:rPr>
            </w:pPr>
          </w:p>
        </w:tc>
        <w:tc>
          <w:tcPr>
            <w:tcW w:w="4660" w:type="dxa"/>
            <w:vAlign w:val="bottom"/>
            <w:gridSpan w:val="2"/>
            <w:shd w:val="clear" w:color="auto" w:fill="DCE2EF"/>
          </w:tcPr>
          <w:p>
            <w:pPr>
              <w:ind w:left="240"/>
              <w:spacing w:after="0"/>
              <w:rPr>
                <w:sz w:val="20"/>
                <w:szCs w:val="20"/>
                <w:color w:val="auto"/>
              </w:rPr>
            </w:pPr>
            <w:r>
              <w:rPr>
                <w:rFonts w:ascii="Arial" w:cs="Arial" w:eastAsia="Arial" w:hAnsi="Arial"/>
                <w:sz w:val="14"/>
                <w:szCs w:val="14"/>
                <w:color w:val="auto"/>
              </w:rPr>
              <w:t>Stock issued under share-based compensation plans</w:t>
            </w:r>
          </w:p>
        </w:tc>
        <w:tc>
          <w:tcPr>
            <w:tcW w:w="94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200" w:type="dxa"/>
            <w:vAlign w:val="bottom"/>
            <w:shd w:val="clear" w:color="auto" w:fill="DCE2EF"/>
          </w:tcPr>
          <w:p>
            <w:pPr>
              <w:spacing w:after="0"/>
              <w:rPr>
                <w:sz w:val="23"/>
                <w:szCs w:val="23"/>
                <w:color w:val="auto"/>
              </w:rPr>
            </w:pPr>
          </w:p>
        </w:tc>
        <w:tc>
          <w:tcPr>
            <w:tcW w:w="860" w:type="dxa"/>
            <w:vAlign w:val="bottom"/>
            <w:shd w:val="clear" w:color="auto" w:fill="DCE2EF"/>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DCE2EF"/>
          </w:tcPr>
          <w:p>
            <w:pPr>
              <w:spacing w:after="0"/>
              <w:rPr>
                <w:sz w:val="23"/>
                <w:szCs w:val="23"/>
                <w:color w:val="auto"/>
              </w:rPr>
            </w:pPr>
          </w:p>
        </w:tc>
        <w:tc>
          <w:tcPr>
            <w:tcW w:w="92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180" w:type="dxa"/>
            <w:vAlign w:val="bottom"/>
            <w:shd w:val="clear" w:color="auto" w:fill="DCE2EF"/>
          </w:tcPr>
          <w:p>
            <w:pPr>
              <w:spacing w:after="0"/>
              <w:rPr>
                <w:sz w:val="23"/>
                <w:szCs w:val="23"/>
                <w:color w:val="auto"/>
              </w:rPr>
            </w:pPr>
          </w:p>
        </w:tc>
        <w:tc>
          <w:tcPr>
            <w:tcW w:w="8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DCE2EF"/>
          </w:tcPr>
          <w:p>
            <w:pPr>
              <w:spacing w:after="0"/>
              <w:rPr>
                <w:sz w:val="23"/>
                <w:szCs w:val="23"/>
                <w:color w:val="auto"/>
              </w:rPr>
            </w:pPr>
          </w:p>
        </w:tc>
        <w:tc>
          <w:tcPr>
            <w:tcW w:w="92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180" w:type="dxa"/>
            <w:vAlign w:val="bottom"/>
            <w:shd w:val="clear" w:color="auto" w:fill="DCE2EF"/>
          </w:tcPr>
          <w:p>
            <w:pPr>
              <w:spacing w:after="0"/>
              <w:rPr>
                <w:sz w:val="23"/>
                <w:szCs w:val="23"/>
                <w:color w:val="auto"/>
              </w:rPr>
            </w:pPr>
          </w:p>
        </w:tc>
        <w:tc>
          <w:tcPr>
            <w:tcW w:w="8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(0.6)</w:t>
            </w:r>
          </w:p>
        </w:tc>
      </w:tr>
      <w:tr>
        <w:trPr>
          <w:trHeight w:val="176"/>
        </w:trPr>
        <w:tc>
          <w:tcPr>
            <w:tcW w:w="40" w:type="dxa"/>
            <w:vAlign w:val="bottom"/>
          </w:tcPr>
          <w:p>
            <w:pPr>
              <w:spacing w:after="0"/>
              <w:rPr>
                <w:sz w:val="15"/>
                <w:szCs w:val="15"/>
                <w:color w:val="auto"/>
              </w:rPr>
            </w:pPr>
          </w:p>
        </w:tc>
        <w:tc>
          <w:tcPr>
            <w:tcW w:w="4660" w:type="dxa"/>
            <w:vAlign w:val="bottom"/>
            <w:gridSpan w:val="2"/>
          </w:tcPr>
          <w:p>
            <w:pPr>
              <w:ind w:left="240"/>
              <w:spacing w:after="0"/>
              <w:rPr>
                <w:sz w:val="20"/>
                <w:szCs w:val="20"/>
                <w:color w:val="auto"/>
              </w:rPr>
            </w:pPr>
            <w:r>
              <w:rPr>
                <w:rFonts w:ascii="Arial" w:cs="Arial" w:eastAsia="Arial" w:hAnsi="Arial"/>
                <w:sz w:val="14"/>
                <w:szCs w:val="14"/>
                <w:color w:val="auto"/>
              </w:rPr>
              <w:t>Cumulative effect adjustment for adoption of Accounting Standards</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98"/>
        </w:trPr>
        <w:tc>
          <w:tcPr>
            <w:tcW w:w="40" w:type="dxa"/>
            <w:vAlign w:val="bottom"/>
            <w:tcBorders>
              <w:bottom w:val="single" w:sz="8" w:color="DCE2EF"/>
            </w:tcBorders>
          </w:tcPr>
          <w:p>
            <w:pPr>
              <w:spacing w:after="0"/>
              <w:rPr>
                <w:sz w:val="17"/>
                <w:szCs w:val="17"/>
                <w:color w:val="auto"/>
              </w:rPr>
            </w:pPr>
          </w:p>
        </w:tc>
        <w:tc>
          <w:tcPr>
            <w:tcW w:w="4660" w:type="dxa"/>
            <w:vAlign w:val="bottom"/>
            <w:tcBorders>
              <w:bottom w:val="single" w:sz="8" w:color="DCE2EF"/>
            </w:tcBorders>
            <w:gridSpan w:val="2"/>
          </w:tcPr>
          <w:p>
            <w:pPr>
              <w:ind w:left="400"/>
              <w:spacing w:after="0"/>
              <w:rPr>
                <w:sz w:val="20"/>
                <w:szCs w:val="20"/>
                <w:color w:val="auto"/>
              </w:rPr>
            </w:pPr>
            <w:r>
              <w:rPr>
                <w:rFonts w:ascii="Arial" w:cs="Arial" w:eastAsia="Arial" w:hAnsi="Arial"/>
                <w:sz w:val="14"/>
                <w:szCs w:val="14"/>
                <w:color w:val="auto"/>
              </w:rPr>
              <w:t>Update 2014-09</w:t>
            </w:r>
          </w:p>
        </w:tc>
        <w:tc>
          <w:tcPr>
            <w:tcW w:w="940" w:type="dxa"/>
            <w:vAlign w:val="bottom"/>
            <w:tcBorders>
              <w:bottom w:val="single" w:sz="8" w:color="DCE2EF"/>
            </w:tcBorders>
          </w:tcPr>
          <w:p>
            <w:pPr>
              <w:spacing w:after="0"/>
              <w:rPr>
                <w:sz w:val="17"/>
                <w:szCs w:val="17"/>
                <w:color w:val="auto"/>
              </w:rPr>
            </w:pPr>
          </w:p>
        </w:tc>
        <w:tc>
          <w:tcPr>
            <w:tcW w:w="100" w:type="dxa"/>
            <w:vAlign w:val="bottom"/>
            <w:tcBorders>
              <w:bottom w:val="single" w:sz="8" w:color="DCE2EF"/>
            </w:tcBorders>
          </w:tcPr>
          <w:p>
            <w:pPr>
              <w:spacing w:after="0"/>
              <w:rPr>
                <w:sz w:val="17"/>
                <w:szCs w:val="17"/>
                <w:color w:val="auto"/>
              </w:rPr>
            </w:pPr>
          </w:p>
        </w:tc>
        <w:tc>
          <w:tcPr>
            <w:tcW w:w="120" w:type="dxa"/>
            <w:vAlign w:val="bottom"/>
            <w:tcBorders>
              <w:bottom w:val="single" w:sz="8" w:color="DCE2E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w:t>
            </w:r>
          </w:p>
        </w:tc>
        <w:tc>
          <w:tcPr>
            <w:tcW w:w="120" w:type="dxa"/>
            <w:vAlign w:val="bottom"/>
            <w:tcBorders>
              <w:bottom w:val="single" w:sz="8" w:color="DCE2EF"/>
            </w:tcBorders>
          </w:tcPr>
          <w:p>
            <w:pPr>
              <w:spacing w:after="0"/>
              <w:rPr>
                <w:sz w:val="17"/>
                <w:szCs w:val="17"/>
                <w:color w:val="auto"/>
              </w:rPr>
            </w:pPr>
          </w:p>
        </w:tc>
        <w:tc>
          <w:tcPr>
            <w:tcW w:w="920" w:type="dxa"/>
            <w:vAlign w:val="bottom"/>
            <w:tcBorders>
              <w:bottom w:val="single" w:sz="8" w:color="DCE2EF"/>
            </w:tcBorders>
          </w:tcPr>
          <w:p>
            <w:pPr>
              <w:spacing w:after="0"/>
              <w:rPr>
                <w:sz w:val="17"/>
                <w:szCs w:val="17"/>
                <w:color w:val="auto"/>
              </w:rPr>
            </w:pPr>
          </w:p>
        </w:tc>
        <w:tc>
          <w:tcPr>
            <w:tcW w:w="100" w:type="dxa"/>
            <w:vAlign w:val="bottom"/>
            <w:tcBorders>
              <w:bottom w:val="single" w:sz="8" w:color="DCE2EF"/>
            </w:tcBorders>
          </w:tcPr>
          <w:p>
            <w:pPr>
              <w:spacing w:after="0"/>
              <w:rPr>
                <w:sz w:val="17"/>
                <w:szCs w:val="17"/>
                <w:color w:val="auto"/>
              </w:rPr>
            </w:pPr>
          </w:p>
        </w:tc>
        <w:tc>
          <w:tcPr>
            <w:tcW w:w="100" w:type="dxa"/>
            <w:vAlign w:val="bottom"/>
            <w:tcBorders>
              <w:bottom w:val="single" w:sz="8" w:color="DCE2E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DCE2EF"/>
            </w:tcBorders>
          </w:tcPr>
          <w:p>
            <w:pPr>
              <w:spacing w:after="0"/>
              <w:rPr>
                <w:sz w:val="17"/>
                <w:szCs w:val="17"/>
                <w:color w:val="auto"/>
              </w:rPr>
            </w:pPr>
          </w:p>
        </w:tc>
        <w:tc>
          <w:tcPr>
            <w:tcW w:w="920" w:type="dxa"/>
            <w:vAlign w:val="bottom"/>
            <w:tcBorders>
              <w:bottom w:val="single" w:sz="8" w:color="DCE2EF"/>
            </w:tcBorders>
          </w:tcPr>
          <w:p>
            <w:pPr>
              <w:spacing w:after="0"/>
              <w:rPr>
                <w:sz w:val="17"/>
                <w:szCs w:val="17"/>
                <w:color w:val="auto"/>
              </w:rPr>
            </w:pPr>
          </w:p>
        </w:tc>
        <w:tc>
          <w:tcPr>
            <w:tcW w:w="100" w:type="dxa"/>
            <w:vAlign w:val="bottom"/>
            <w:tcBorders>
              <w:bottom w:val="single" w:sz="8" w:color="DCE2EF"/>
            </w:tcBorders>
          </w:tcPr>
          <w:p>
            <w:pPr>
              <w:spacing w:after="0"/>
              <w:rPr>
                <w:sz w:val="17"/>
                <w:szCs w:val="17"/>
                <w:color w:val="auto"/>
              </w:rPr>
            </w:pPr>
          </w:p>
        </w:tc>
        <w:tc>
          <w:tcPr>
            <w:tcW w:w="100" w:type="dxa"/>
            <w:vAlign w:val="bottom"/>
            <w:tcBorders>
              <w:bottom w:val="single" w:sz="8" w:color="DCE2E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40" w:type="dxa"/>
            <w:vAlign w:val="bottom"/>
            <w:shd w:val="clear" w:color="auto" w:fill="DCE2EF"/>
          </w:tcPr>
          <w:p>
            <w:pPr>
              <w:spacing w:after="0"/>
              <w:rPr>
                <w:sz w:val="21"/>
                <w:szCs w:val="21"/>
                <w:color w:val="auto"/>
              </w:rPr>
            </w:pPr>
          </w:p>
        </w:tc>
        <w:tc>
          <w:tcPr>
            <w:tcW w:w="4660" w:type="dxa"/>
            <w:vAlign w:val="bottom"/>
            <w:gridSpan w:val="2"/>
            <w:shd w:val="clear" w:color="auto" w:fill="DCE2EF"/>
          </w:tcPr>
          <w:p>
            <w:pPr>
              <w:ind w:left="120"/>
              <w:spacing w:after="0"/>
              <w:rPr>
                <w:sz w:val="20"/>
                <w:szCs w:val="20"/>
                <w:color w:val="auto"/>
              </w:rPr>
            </w:pPr>
            <w:r>
              <w:rPr>
                <w:rFonts w:ascii="Arial" w:cs="Arial" w:eastAsia="Arial" w:hAnsi="Arial"/>
                <w:sz w:val="14"/>
                <w:szCs w:val="14"/>
                <w:color w:val="auto"/>
              </w:rPr>
              <w:t>Balance, end of year</w:t>
            </w:r>
          </w:p>
        </w:tc>
        <w:tc>
          <w:tcPr>
            <w:tcW w:w="940" w:type="dxa"/>
            <w:vAlign w:val="bottom"/>
            <w:shd w:val="clear" w:color="auto" w:fill="DCE2EF"/>
          </w:tcPr>
          <w:p>
            <w:pPr>
              <w:spacing w:after="0"/>
              <w:rPr>
                <w:sz w:val="21"/>
                <w:szCs w:val="21"/>
                <w:color w:val="auto"/>
              </w:rPr>
            </w:pPr>
          </w:p>
        </w:tc>
        <w:tc>
          <w:tcPr>
            <w:tcW w:w="100" w:type="dxa"/>
            <w:vAlign w:val="bottom"/>
            <w:shd w:val="clear" w:color="auto" w:fill="DCE2EF"/>
          </w:tcPr>
          <w:p>
            <w:pPr>
              <w:spacing w:after="0"/>
              <w:rPr>
                <w:sz w:val="21"/>
                <w:szCs w:val="21"/>
                <w:color w:val="auto"/>
              </w:rPr>
            </w:pPr>
          </w:p>
        </w:tc>
        <w:tc>
          <w:tcPr>
            <w:tcW w:w="120" w:type="dxa"/>
            <w:vAlign w:val="bottom"/>
            <w:shd w:val="clear" w:color="auto" w:fill="DCE2EF"/>
          </w:tcPr>
          <w:p>
            <w:pPr>
              <w:spacing w:after="0"/>
              <w:rPr>
                <w:sz w:val="21"/>
                <w:szCs w:val="21"/>
                <w:color w:val="auto"/>
              </w:rPr>
            </w:pPr>
          </w:p>
        </w:tc>
        <w:tc>
          <w:tcPr>
            <w:tcW w:w="200" w:type="dxa"/>
            <w:vAlign w:val="bottom"/>
            <w:tcBorders>
              <w:bottom w:val="single" w:sz="8" w:color="auto"/>
            </w:tcBorders>
            <w:shd w:val="clear" w:color="auto" w:fill="DCE2EF"/>
          </w:tcPr>
          <w:p>
            <w:pPr>
              <w:spacing w:after="0"/>
              <w:rPr>
                <w:sz w:val="21"/>
                <w:szCs w:val="21"/>
                <w:color w:val="auto"/>
              </w:rPr>
            </w:pPr>
          </w:p>
        </w:tc>
        <w:tc>
          <w:tcPr>
            <w:tcW w:w="860" w:type="dxa"/>
            <w:vAlign w:val="bottom"/>
            <w:tcBorders>
              <w:bottom w:val="single" w:sz="8" w:color="auto"/>
            </w:tcBorders>
            <w:shd w:val="clear" w:color="auto" w:fill="DCE2EF"/>
          </w:tcPr>
          <w:p>
            <w:pPr>
              <w:jc w:val="right"/>
              <w:ind w:right="48"/>
              <w:spacing w:after="0"/>
              <w:rPr>
                <w:sz w:val="20"/>
                <w:szCs w:val="20"/>
                <w:color w:val="auto"/>
              </w:rPr>
            </w:pPr>
            <w:r>
              <w:rPr>
                <w:rFonts w:ascii="Arial" w:cs="Arial" w:eastAsia="Arial" w:hAnsi="Arial"/>
                <w:sz w:val="14"/>
                <w:szCs w:val="14"/>
                <w:color w:val="auto"/>
              </w:rPr>
              <w:t>856.3</w:t>
            </w:r>
          </w:p>
        </w:tc>
        <w:tc>
          <w:tcPr>
            <w:tcW w:w="120" w:type="dxa"/>
            <w:vAlign w:val="bottom"/>
            <w:shd w:val="clear" w:color="auto" w:fill="DCE2EF"/>
          </w:tcPr>
          <w:p>
            <w:pPr>
              <w:spacing w:after="0"/>
              <w:rPr>
                <w:sz w:val="21"/>
                <w:szCs w:val="21"/>
                <w:color w:val="auto"/>
              </w:rPr>
            </w:pPr>
          </w:p>
        </w:tc>
        <w:tc>
          <w:tcPr>
            <w:tcW w:w="920" w:type="dxa"/>
            <w:vAlign w:val="bottom"/>
            <w:shd w:val="clear" w:color="auto" w:fill="DCE2EF"/>
          </w:tcPr>
          <w:p>
            <w:pPr>
              <w:spacing w:after="0"/>
              <w:rPr>
                <w:sz w:val="21"/>
                <w:szCs w:val="21"/>
                <w:color w:val="auto"/>
              </w:rPr>
            </w:pPr>
          </w:p>
        </w:tc>
        <w:tc>
          <w:tcPr>
            <w:tcW w:w="100" w:type="dxa"/>
            <w:vAlign w:val="bottom"/>
            <w:shd w:val="clear" w:color="auto" w:fill="DCE2EF"/>
          </w:tcPr>
          <w:p>
            <w:pPr>
              <w:spacing w:after="0"/>
              <w:rPr>
                <w:sz w:val="21"/>
                <w:szCs w:val="21"/>
                <w:color w:val="auto"/>
              </w:rPr>
            </w:pPr>
          </w:p>
        </w:tc>
        <w:tc>
          <w:tcPr>
            <w:tcW w:w="100" w:type="dxa"/>
            <w:vAlign w:val="bottom"/>
            <w:shd w:val="clear" w:color="auto" w:fill="DCE2EF"/>
          </w:tcPr>
          <w:p>
            <w:pPr>
              <w:spacing w:after="0"/>
              <w:rPr>
                <w:sz w:val="21"/>
                <w:szCs w:val="21"/>
                <w:color w:val="auto"/>
              </w:rPr>
            </w:pPr>
          </w:p>
        </w:tc>
        <w:tc>
          <w:tcPr>
            <w:tcW w:w="180" w:type="dxa"/>
            <w:vAlign w:val="bottom"/>
            <w:tcBorders>
              <w:bottom w:val="single" w:sz="8" w:color="auto"/>
            </w:tcBorders>
            <w:shd w:val="clear" w:color="auto" w:fill="DCE2EF"/>
          </w:tcPr>
          <w:p>
            <w:pPr>
              <w:spacing w:after="0"/>
              <w:rPr>
                <w:sz w:val="21"/>
                <w:szCs w:val="21"/>
                <w:color w:val="auto"/>
              </w:rPr>
            </w:pPr>
          </w:p>
        </w:tc>
        <w:tc>
          <w:tcPr>
            <w:tcW w:w="840" w:type="dxa"/>
            <w:vAlign w:val="bottom"/>
            <w:tcBorders>
              <w:bottom w:val="single" w:sz="8" w:color="auto"/>
            </w:tcBorders>
            <w:shd w:val="clear" w:color="auto" w:fill="DCE2EF"/>
          </w:tcPr>
          <w:p>
            <w:pPr>
              <w:jc w:val="right"/>
              <w:ind w:right="28"/>
              <w:spacing w:after="0"/>
              <w:rPr>
                <w:sz w:val="20"/>
                <w:szCs w:val="20"/>
                <w:color w:val="auto"/>
              </w:rPr>
            </w:pPr>
            <w:r>
              <w:rPr>
                <w:rFonts w:ascii="Arial" w:cs="Arial" w:eastAsia="Arial" w:hAnsi="Arial"/>
                <w:sz w:val="14"/>
                <w:szCs w:val="14"/>
                <w:color w:val="auto"/>
              </w:rPr>
              <w:t>771.2</w:t>
            </w:r>
          </w:p>
        </w:tc>
        <w:tc>
          <w:tcPr>
            <w:tcW w:w="100" w:type="dxa"/>
            <w:vAlign w:val="bottom"/>
            <w:shd w:val="clear" w:color="auto" w:fill="DCE2EF"/>
          </w:tcPr>
          <w:p>
            <w:pPr>
              <w:spacing w:after="0"/>
              <w:rPr>
                <w:sz w:val="21"/>
                <w:szCs w:val="21"/>
                <w:color w:val="auto"/>
              </w:rPr>
            </w:pPr>
          </w:p>
        </w:tc>
        <w:tc>
          <w:tcPr>
            <w:tcW w:w="920" w:type="dxa"/>
            <w:vAlign w:val="bottom"/>
            <w:shd w:val="clear" w:color="auto" w:fill="DCE2EF"/>
          </w:tcPr>
          <w:p>
            <w:pPr>
              <w:spacing w:after="0"/>
              <w:rPr>
                <w:sz w:val="21"/>
                <w:szCs w:val="21"/>
                <w:color w:val="auto"/>
              </w:rPr>
            </w:pPr>
          </w:p>
        </w:tc>
        <w:tc>
          <w:tcPr>
            <w:tcW w:w="100" w:type="dxa"/>
            <w:vAlign w:val="bottom"/>
            <w:shd w:val="clear" w:color="auto" w:fill="DCE2EF"/>
          </w:tcPr>
          <w:p>
            <w:pPr>
              <w:spacing w:after="0"/>
              <w:rPr>
                <w:sz w:val="21"/>
                <w:szCs w:val="21"/>
                <w:color w:val="auto"/>
              </w:rPr>
            </w:pPr>
          </w:p>
        </w:tc>
        <w:tc>
          <w:tcPr>
            <w:tcW w:w="100" w:type="dxa"/>
            <w:vAlign w:val="bottom"/>
            <w:shd w:val="clear" w:color="auto" w:fill="DCE2EF"/>
          </w:tcPr>
          <w:p>
            <w:pPr>
              <w:spacing w:after="0"/>
              <w:rPr>
                <w:sz w:val="21"/>
                <w:szCs w:val="21"/>
                <w:color w:val="auto"/>
              </w:rPr>
            </w:pPr>
          </w:p>
        </w:tc>
        <w:tc>
          <w:tcPr>
            <w:tcW w:w="180" w:type="dxa"/>
            <w:vAlign w:val="bottom"/>
            <w:tcBorders>
              <w:bottom w:val="single" w:sz="8" w:color="auto"/>
            </w:tcBorders>
            <w:shd w:val="clear" w:color="auto" w:fill="DCE2EF"/>
          </w:tcPr>
          <w:p>
            <w:pPr>
              <w:spacing w:after="0"/>
              <w:rPr>
                <w:sz w:val="21"/>
                <w:szCs w:val="21"/>
                <w:color w:val="auto"/>
              </w:rPr>
            </w:pPr>
          </w:p>
        </w:tc>
        <w:tc>
          <w:tcPr>
            <w:tcW w:w="840" w:type="dxa"/>
            <w:vAlign w:val="bottom"/>
            <w:tcBorders>
              <w:bottom w:val="single" w:sz="8" w:color="auto"/>
            </w:tcBorders>
            <w:shd w:val="clear" w:color="auto" w:fill="DCE2EF"/>
          </w:tcPr>
          <w:p>
            <w:pPr>
              <w:jc w:val="right"/>
              <w:ind w:right="28"/>
              <w:spacing w:after="0"/>
              <w:rPr>
                <w:sz w:val="20"/>
                <w:szCs w:val="20"/>
                <w:color w:val="auto"/>
              </w:rPr>
            </w:pPr>
            <w:r>
              <w:rPr>
                <w:rFonts w:ascii="Arial" w:cs="Arial" w:eastAsia="Arial" w:hAnsi="Arial"/>
                <w:sz w:val="14"/>
                <w:szCs w:val="14"/>
                <w:color w:val="auto"/>
              </w:rPr>
              <w:t>720.1</w:t>
            </w:r>
          </w:p>
        </w:tc>
      </w:tr>
      <w:tr>
        <w:trPr>
          <w:trHeight w:val="241"/>
        </w:trPr>
        <w:tc>
          <w:tcPr>
            <w:tcW w:w="470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 Stockholders’ Equity</w:t>
            </w:r>
          </w:p>
        </w:tc>
        <w:tc>
          <w:tcPr>
            <w:tcW w:w="940" w:type="dxa"/>
            <w:vAlign w:val="bottom"/>
          </w:tcPr>
          <w:p>
            <w:pPr>
              <w:spacing w:after="0"/>
              <w:rPr>
                <w:sz w:val="20"/>
                <w:szCs w:val="20"/>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1,542.0</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1,454.6</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1,375.7</w:t>
            </w:r>
          </w:p>
        </w:tc>
      </w:tr>
      <w:tr>
        <w:trPr>
          <w:trHeight w:val="20"/>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79"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CONSOLIDATED STATEMENTS OF CASH FLOWS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6"/>
          </w:tcPr>
          <w:p>
            <w:pPr>
              <w:jc w:val="right"/>
              <w:ind w:right="188"/>
              <w:spacing w:after="0"/>
              <w:rPr>
                <w:sz w:val="20"/>
                <w:szCs w:val="20"/>
                <w:color w:val="auto"/>
              </w:rPr>
            </w:pPr>
            <w:r>
              <w:rPr>
                <w:rFonts w:ascii="Arial" w:cs="Arial" w:eastAsia="Arial" w:hAnsi="Arial"/>
                <w:sz w:val="14"/>
                <w:szCs w:val="14"/>
                <w:b w:val="1"/>
                <w:bCs w:val="1"/>
                <w:color w:val="auto"/>
              </w:rPr>
              <w:t>Years Ended October 31,</w:t>
            </w:r>
          </w:p>
        </w:tc>
        <w:tc>
          <w:tcPr>
            <w:tcW w:w="1040" w:type="dxa"/>
            <w:vAlign w:val="bottom"/>
            <w:tcBorders>
              <w:bottom w:val="single" w:sz="8" w:color="auto"/>
            </w:tcBorders>
          </w:tcPr>
          <w:p>
            <w:pPr>
              <w:spacing w:after="0"/>
              <w:rPr>
                <w:sz w:val="17"/>
                <w:szCs w:val="17"/>
                <w:color w:val="auto"/>
              </w:rPr>
            </w:pPr>
          </w:p>
        </w:tc>
      </w:tr>
      <w:tr>
        <w:trPr>
          <w:trHeight w:val="224"/>
        </w:trPr>
        <w:tc>
          <w:tcPr>
            <w:tcW w:w="7080" w:type="dxa"/>
            <w:vAlign w:val="bottom"/>
            <w:gridSpan w:val="3"/>
          </w:tcPr>
          <w:p>
            <w:pPr>
              <w:ind w:left="4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20" w:type="dxa"/>
            <w:vAlign w:val="bottom"/>
          </w:tcPr>
          <w:p>
            <w:pPr>
              <w:spacing w:after="0"/>
              <w:rPr>
                <w:sz w:val="19"/>
                <w:szCs w:val="19"/>
                <w:color w:val="auto"/>
              </w:rPr>
            </w:pPr>
          </w:p>
        </w:tc>
        <w:tc>
          <w:tcPr>
            <w:tcW w:w="1020" w:type="dxa"/>
            <w:vAlign w:val="bottom"/>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48"/>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620" w:type="dxa"/>
            <w:vAlign w:val="bottom"/>
            <w:tcBorders>
              <w:top w:val="single" w:sz="8" w:color="auto"/>
              <w:bottom w:val="single" w:sz="8" w:color="DCE2EF"/>
            </w:tcBorders>
          </w:tcPr>
          <w:p>
            <w:pPr>
              <w:spacing w:after="0" w:line="20" w:lineRule="exact"/>
              <w:rPr>
                <w:sz w:val="1"/>
                <w:szCs w:val="1"/>
                <w:color w:val="auto"/>
              </w:rPr>
            </w:pPr>
          </w:p>
        </w:tc>
        <w:tc>
          <w:tcPr>
            <w:tcW w:w="642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64"/>
        </w:trPr>
        <w:tc>
          <w:tcPr>
            <w:tcW w:w="7080" w:type="dxa"/>
            <w:vAlign w:val="bottom"/>
            <w:gridSpan w:val="3"/>
            <w:shd w:val="clear" w:color="auto" w:fill="DCE2E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320" w:type="dxa"/>
            <w:vAlign w:val="bottom"/>
            <w:shd w:val="clear" w:color="auto" w:fill="DCE2EF"/>
          </w:tcPr>
          <w:p>
            <w:pPr>
              <w:spacing w:after="0"/>
              <w:rPr>
                <w:sz w:val="22"/>
                <w:szCs w:val="22"/>
                <w:color w:val="auto"/>
              </w:rPr>
            </w:pPr>
          </w:p>
        </w:tc>
        <w:tc>
          <w:tcPr>
            <w:tcW w:w="1020" w:type="dxa"/>
            <w:vAlign w:val="bottom"/>
            <w:shd w:val="clear" w:color="auto" w:fill="DCE2EF"/>
          </w:tcPr>
          <w:p>
            <w:pPr>
              <w:spacing w:after="0"/>
              <w:rPr>
                <w:sz w:val="22"/>
                <w:szCs w:val="22"/>
                <w:color w:val="auto"/>
              </w:rPr>
            </w:pPr>
          </w:p>
        </w:tc>
        <w:tc>
          <w:tcPr>
            <w:tcW w:w="6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320" w:type="dxa"/>
            <w:vAlign w:val="bottom"/>
            <w:shd w:val="clear" w:color="auto" w:fill="DCE2EF"/>
          </w:tcPr>
          <w:p>
            <w:pPr>
              <w:spacing w:after="0"/>
              <w:rPr>
                <w:sz w:val="22"/>
                <w:szCs w:val="22"/>
                <w:color w:val="auto"/>
              </w:rPr>
            </w:pPr>
          </w:p>
        </w:tc>
        <w:tc>
          <w:tcPr>
            <w:tcW w:w="104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320" w:type="dxa"/>
            <w:vAlign w:val="bottom"/>
            <w:shd w:val="clear" w:color="auto" w:fill="DCE2EF"/>
          </w:tcPr>
          <w:p>
            <w:pPr>
              <w:spacing w:after="0"/>
              <w:rPr>
                <w:sz w:val="22"/>
                <w:szCs w:val="22"/>
                <w:color w:val="auto"/>
              </w:rPr>
            </w:pPr>
          </w:p>
        </w:tc>
        <w:tc>
          <w:tcPr>
            <w:tcW w:w="1040" w:type="dxa"/>
            <w:vAlign w:val="bottom"/>
            <w:shd w:val="clear" w:color="auto" w:fill="DCE2EF"/>
          </w:tcPr>
          <w:p>
            <w:pPr>
              <w:spacing w:after="0"/>
              <w:rPr>
                <w:sz w:val="22"/>
                <w:szCs w:val="22"/>
                <w:color w:val="auto"/>
              </w:rPr>
            </w:pPr>
          </w:p>
        </w:tc>
      </w:tr>
      <w:tr>
        <w:trPr>
          <w:trHeight w:val="266"/>
        </w:trPr>
        <w:tc>
          <w:tcPr>
            <w:tcW w:w="7080" w:type="dxa"/>
            <w:vAlign w:val="bottom"/>
            <w:gridSpan w:val="3"/>
          </w:tcPr>
          <w:p>
            <w:pPr>
              <w:ind w:left="40"/>
              <w:spacing w:after="0"/>
              <w:rPr>
                <w:sz w:val="20"/>
                <w:szCs w:val="20"/>
                <w:color w:val="auto"/>
              </w:rPr>
            </w:pPr>
            <w:r>
              <w:rPr>
                <w:rFonts w:ascii="Arial" w:cs="Arial" w:eastAsia="Arial" w:hAnsi="Arial"/>
                <w:sz w:val="14"/>
                <w:szCs w:val="14"/>
                <w:color w:val="auto"/>
              </w:rPr>
              <w:t>Net income</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127.4</w:t>
            </w:r>
          </w:p>
        </w:tc>
        <w:tc>
          <w:tcPr>
            <w:tcW w:w="5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97.8</w:t>
            </w:r>
          </w:p>
        </w:tc>
        <w:tc>
          <w:tcPr>
            <w:tcW w:w="100" w:type="dxa"/>
            <w:vAlign w:val="bottom"/>
          </w:tcPr>
          <w:p>
            <w:pPr>
              <w:spacing w:after="0"/>
              <w:rPr>
                <w:sz w:val="23"/>
                <w:szCs w:val="23"/>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3.8</w:t>
            </w:r>
          </w:p>
        </w:tc>
      </w:tr>
      <w:tr>
        <w:trPr>
          <w:trHeight w:val="270"/>
        </w:trPr>
        <w:tc>
          <w:tcPr>
            <w:tcW w:w="708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Loss (income) from discontinued operations, net of taxes</w:t>
            </w:r>
          </w:p>
        </w:tc>
        <w:tc>
          <w:tcPr>
            <w:tcW w:w="320" w:type="dxa"/>
            <w:vAlign w:val="bottom"/>
            <w:tcBorders>
              <w:bottom w:val="single" w:sz="8" w:color="auto"/>
            </w:tcBorders>
            <w:shd w:val="clear" w:color="auto" w:fill="DCE2EF"/>
          </w:tcPr>
          <w:p>
            <w:pPr>
              <w:spacing w:after="0"/>
              <w:rPr>
                <w:sz w:val="23"/>
                <w:szCs w:val="23"/>
                <w:color w:val="auto"/>
              </w:rPr>
            </w:pPr>
          </w:p>
        </w:tc>
        <w:tc>
          <w:tcPr>
            <w:tcW w:w="10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0.1</w:t>
            </w:r>
          </w:p>
        </w:tc>
        <w:tc>
          <w:tcPr>
            <w:tcW w:w="60" w:type="dxa"/>
            <w:vAlign w:val="bottom"/>
            <w:tcBorders>
              <w:bottom w:val="single" w:sz="8" w:color="auto"/>
            </w:tcBorders>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320" w:type="dxa"/>
            <w:vAlign w:val="bottom"/>
            <w:tcBorders>
              <w:bottom w:val="single" w:sz="8" w:color="auto"/>
            </w:tcBorders>
            <w:shd w:val="clear" w:color="auto" w:fill="DCE2EF"/>
          </w:tcPr>
          <w:p>
            <w:pPr>
              <w:spacing w:after="0"/>
              <w:rPr>
                <w:sz w:val="23"/>
                <w:szCs w:val="23"/>
                <w:color w:val="auto"/>
              </w:rPr>
            </w:pPr>
          </w:p>
        </w:tc>
        <w:tc>
          <w:tcPr>
            <w:tcW w:w="10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DCE2EF"/>
          </w:tcPr>
          <w:p>
            <w:pPr>
              <w:spacing w:after="0"/>
              <w:rPr>
                <w:sz w:val="23"/>
                <w:szCs w:val="23"/>
                <w:color w:val="auto"/>
              </w:rPr>
            </w:pPr>
          </w:p>
        </w:tc>
        <w:tc>
          <w:tcPr>
            <w:tcW w:w="320" w:type="dxa"/>
            <w:vAlign w:val="bottom"/>
            <w:tcBorders>
              <w:bottom w:val="single" w:sz="8" w:color="auto"/>
            </w:tcBorders>
            <w:shd w:val="clear" w:color="auto" w:fill="DCE2EF"/>
          </w:tcPr>
          <w:p>
            <w:pPr>
              <w:spacing w:after="0"/>
              <w:rPr>
                <w:sz w:val="23"/>
                <w:szCs w:val="23"/>
                <w:color w:val="auto"/>
              </w:rPr>
            </w:pPr>
          </w:p>
        </w:tc>
        <w:tc>
          <w:tcPr>
            <w:tcW w:w="1040" w:type="dxa"/>
            <w:vAlign w:val="bottom"/>
            <w:tcBorders>
              <w:bottom w:val="single" w:sz="8" w:color="auto"/>
            </w:tcBorders>
            <w:shd w:val="clear" w:color="auto" w:fill="DCE2EF"/>
          </w:tcPr>
          <w:p>
            <w:pPr>
              <w:jc w:val="right"/>
              <w:ind w:right="28"/>
              <w:spacing w:after="0"/>
              <w:rPr>
                <w:sz w:val="20"/>
                <w:szCs w:val="20"/>
                <w:color w:val="auto"/>
              </w:rPr>
            </w:pPr>
            <w:r>
              <w:rPr>
                <w:rFonts w:ascii="Arial" w:cs="Arial" w:eastAsia="Arial" w:hAnsi="Arial"/>
                <w:sz w:val="14"/>
                <w:szCs w:val="14"/>
                <w:color w:val="auto"/>
              </w:rPr>
              <w:t>74.3</w:t>
            </w:r>
          </w:p>
        </w:tc>
      </w:tr>
      <w:tr>
        <w:trPr>
          <w:trHeight w:val="250"/>
        </w:trPr>
        <w:tc>
          <w:tcPr>
            <w:tcW w:w="7080" w:type="dxa"/>
            <w:vAlign w:val="bottom"/>
            <w:gridSpan w:val="3"/>
          </w:tcPr>
          <w:p>
            <w:pPr>
              <w:ind w:left="40"/>
              <w:spacing w:after="0"/>
              <w:rPr>
                <w:sz w:val="20"/>
                <w:szCs w:val="20"/>
                <w:color w:val="auto"/>
              </w:rPr>
            </w:pPr>
            <w:r>
              <w:rPr>
                <w:rFonts w:ascii="Arial" w:cs="Arial" w:eastAsia="Arial" w:hAnsi="Arial"/>
                <w:sz w:val="14"/>
                <w:szCs w:val="14"/>
                <w:color w:val="auto"/>
              </w:rPr>
              <w:t>Income from continuing operations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127.5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78.1</w:t>
            </w:r>
          </w:p>
        </w:tc>
      </w:tr>
      <w:tr>
        <w:trPr>
          <w:trHeight w:val="178"/>
        </w:trPr>
        <w:tc>
          <w:tcPr>
            <w:tcW w:w="7080" w:type="dxa"/>
            <w:vAlign w:val="bottom"/>
            <w:gridSpan w:val="3"/>
            <w:shd w:val="clear" w:color="auto" w:fill="DCE2EF"/>
          </w:tcPr>
          <w:p>
            <w:pPr>
              <w:ind w:left="40"/>
              <w:spacing w:after="0"/>
              <w:rPr>
                <w:sz w:val="20"/>
                <w:szCs w:val="20"/>
                <w:color w:val="auto"/>
              </w:rPr>
            </w:pPr>
            <w:r>
              <w:rPr>
                <w:rFonts w:ascii="Arial" w:cs="Arial" w:eastAsia="Arial" w:hAnsi="Arial"/>
                <w:sz w:val="14"/>
                <w:szCs w:val="14"/>
                <w:b w:val="1"/>
                <w:bCs w:val="1"/>
                <w:color w:val="auto"/>
              </w:rPr>
              <w:t>Adjustments to reconcile income from continuing operations to net cash provided by operating</w:t>
            </w:r>
          </w:p>
        </w:tc>
        <w:tc>
          <w:tcPr>
            <w:tcW w:w="320" w:type="dxa"/>
            <w:vAlign w:val="bottom"/>
            <w:shd w:val="clear" w:color="auto" w:fill="DCE2EF"/>
          </w:tcPr>
          <w:p>
            <w:pPr>
              <w:spacing w:after="0"/>
              <w:rPr>
                <w:sz w:val="15"/>
                <w:szCs w:val="15"/>
                <w:color w:val="auto"/>
              </w:rPr>
            </w:pPr>
          </w:p>
        </w:tc>
        <w:tc>
          <w:tcPr>
            <w:tcW w:w="1020" w:type="dxa"/>
            <w:vAlign w:val="bottom"/>
            <w:shd w:val="clear" w:color="auto" w:fill="DCE2EF"/>
          </w:tcPr>
          <w:p>
            <w:pPr>
              <w:spacing w:after="0"/>
              <w:rPr>
                <w:sz w:val="15"/>
                <w:szCs w:val="15"/>
                <w:color w:val="auto"/>
              </w:rPr>
            </w:pPr>
          </w:p>
        </w:tc>
        <w:tc>
          <w:tcPr>
            <w:tcW w:w="6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320" w:type="dxa"/>
            <w:vAlign w:val="bottom"/>
            <w:shd w:val="clear" w:color="auto" w:fill="DCE2EF"/>
          </w:tcPr>
          <w:p>
            <w:pPr>
              <w:spacing w:after="0"/>
              <w:rPr>
                <w:sz w:val="15"/>
                <w:szCs w:val="15"/>
                <w:color w:val="auto"/>
              </w:rPr>
            </w:pPr>
          </w:p>
        </w:tc>
        <w:tc>
          <w:tcPr>
            <w:tcW w:w="104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320" w:type="dxa"/>
            <w:vAlign w:val="bottom"/>
            <w:shd w:val="clear" w:color="auto" w:fill="DCE2EF"/>
          </w:tcPr>
          <w:p>
            <w:pPr>
              <w:spacing w:after="0"/>
              <w:rPr>
                <w:sz w:val="15"/>
                <w:szCs w:val="15"/>
                <w:color w:val="auto"/>
              </w:rPr>
            </w:pPr>
          </w:p>
        </w:tc>
        <w:tc>
          <w:tcPr>
            <w:tcW w:w="1040" w:type="dxa"/>
            <w:vAlign w:val="bottom"/>
            <w:shd w:val="clear" w:color="auto" w:fill="DCE2EF"/>
          </w:tcPr>
          <w:p>
            <w:pPr>
              <w:spacing w:after="0"/>
              <w:rPr>
                <w:sz w:val="15"/>
                <w:szCs w:val="15"/>
                <w:color w:val="auto"/>
              </w:rPr>
            </w:pPr>
          </w:p>
        </w:tc>
      </w:tr>
      <w:tr>
        <w:trPr>
          <w:trHeight w:val="204"/>
        </w:trPr>
        <w:tc>
          <w:tcPr>
            <w:tcW w:w="40" w:type="dxa"/>
            <w:vAlign w:val="bottom"/>
            <w:shd w:val="clear" w:color="auto" w:fill="DCE2EF"/>
          </w:tcPr>
          <w:p>
            <w:pPr>
              <w:spacing w:after="0"/>
              <w:rPr>
                <w:sz w:val="17"/>
                <w:szCs w:val="17"/>
                <w:color w:val="auto"/>
              </w:rPr>
            </w:pPr>
          </w:p>
        </w:tc>
        <w:tc>
          <w:tcPr>
            <w:tcW w:w="7040" w:type="dxa"/>
            <w:vAlign w:val="bottom"/>
            <w:gridSpan w:val="2"/>
            <w:shd w:val="clear" w:color="auto" w:fill="DCE2EF"/>
          </w:tcPr>
          <w:p>
            <w:pPr>
              <w:ind w:left="160"/>
              <w:spacing w:after="0"/>
              <w:rPr>
                <w:sz w:val="20"/>
                <w:szCs w:val="20"/>
                <w:color w:val="auto"/>
              </w:rPr>
            </w:pPr>
            <w:r>
              <w:rPr>
                <w:rFonts w:ascii="Arial" w:cs="Arial" w:eastAsia="Arial" w:hAnsi="Arial"/>
                <w:sz w:val="14"/>
                <w:szCs w:val="14"/>
                <w:b w:val="1"/>
                <w:bCs w:val="1"/>
                <w:color w:val="auto"/>
              </w:rPr>
              <w:t>activities of continuing operations</w:t>
            </w:r>
          </w:p>
        </w:tc>
        <w:tc>
          <w:tcPr>
            <w:tcW w:w="320" w:type="dxa"/>
            <w:vAlign w:val="bottom"/>
            <w:shd w:val="clear" w:color="auto" w:fill="DCE2EF"/>
          </w:tcPr>
          <w:p>
            <w:pPr>
              <w:spacing w:after="0"/>
              <w:rPr>
                <w:sz w:val="17"/>
                <w:szCs w:val="17"/>
                <w:color w:val="auto"/>
              </w:rPr>
            </w:pPr>
          </w:p>
        </w:tc>
        <w:tc>
          <w:tcPr>
            <w:tcW w:w="1020" w:type="dxa"/>
            <w:vAlign w:val="bottom"/>
            <w:shd w:val="clear" w:color="auto" w:fill="DCE2EF"/>
          </w:tcPr>
          <w:p>
            <w:pPr>
              <w:spacing w:after="0"/>
              <w:rPr>
                <w:sz w:val="17"/>
                <w:szCs w:val="17"/>
                <w:color w:val="auto"/>
              </w:rPr>
            </w:pPr>
          </w:p>
        </w:tc>
        <w:tc>
          <w:tcPr>
            <w:tcW w:w="6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04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040" w:type="dxa"/>
            <w:vAlign w:val="bottom"/>
            <w:shd w:val="clear" w:color="auto" w:fill="DCE2EF"/>
          </w:tcPr>
          <w:p>
            <w:pPr>
              <w:spacing w:after="0"/>
              <w:rPr>
                <w:sz w:val="17"/>
                <w:szCs w:val="17"/>
                <w:color w:val="auto"/>
              </w:rPr>
            </w:pPr>
          </w:p>
        </w:tc>
      </w:tr>
      <w:tr>
        <w:trPr>
          <w:trHeight w:val="266"/>
        </w:trPr>
        <w:tc>
          <w:tcPr>
            <w:tcW w:w="7080" w:type="dxa"/>
            <w:vAlign w:val="bottom"/>
            <w:gridSpan w:val="3"/>
          </w:tcPr>
          <w:p>
            <w:pPr>
              <w:ind w:left="4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107.4</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112.5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70.1</w:t>
            </w:r>
          </w:p>
        </w:tc>
      </w:tr>
      <w:tr>
        <w:trPr>
          <w:trHeight w:val="274"/>
        </w:trPr>
        <w:tc>
          <w:tcPr>
            <w:tcW w:w="708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Proceeds from termination of interest rate swaps</w:t>
            </w:r>
          </w:p>
        </w:tc>
        <w:tc>
          <w:tcPr>
            <w:tcW w:w="320" w:type="dxa"/>
            <w:vAlign w:val="bottom"/>
            <w:shd w:val="clear" w:color="auto" w:fill="DCE2EF"/>
          </w:tcPr>
          <w:p>
            <w:pPr>
              <w:spacing w:after="0"/>
              <w:rPr>
                <w:sz w:val="23"/>
                <w:szCs w:val="23"/>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320" w:type="dxa"/>
            <w:vAlign w:val="bottom"/>
            <w:shd w:val="clear" w:color="auto" w:fill="DCE2EF"/>
          </w:tcPr>
          <w:p>
            <w:pPr>
              <w:spacing w:after="0"/>
              <w:rPr>
                <w:sz w:val="23"/>
                <w:szCs w:val="23"/>
                <w:color w:val="auto"/>
              </w:rPr>
            </w:pPr>
          </w:p>
        </w:tc>
        <w:tc>
          <w:tcPr>
            <w:tcW w:w="104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25.9</w:t>
            </w:r>
          </w:p>
        </w:tc>
        <w:tc>
          <w:tcPr>
            <w:tcW w:w="100" w:type="dxa"/>
            <w:vAlign w:val="bottom"/>
            <w:shd w:val="clear" w:color="auto" w:fill="DCE2EF"/>
          </w:tcPr>
          <w:p>
            <w:pPr>
              <w:spacing w:after="0"/>
              <w:rPr>
                <w:sz w:val="23"/>
                <w:szCs w:val="23"/>
                <w:color w:val="auto"/>
              </w:rPr>
            </w:pPr>
          </w:p>
        </w:tc>
        <w:tc>
          <w:tcPr>
            <w:tcW w:w="320" w:type="dxa"/>
            <w:vAlign w:val="bottom"/>
            <w:shd w:val="clear" w:color="auto" w:fill="DCE2EF"/>
          </w:tcPr>
          <w:p>
            <w:pPr>
              <w:spacing w:after="0"/>
              <w:rPr>
                <w:sz w:val="23"/>
                <w:szCs w:val="23"/>
                <w:color w:val="auto"/>
              </w:rPr>
            </w:pPr>
          </w:p>
        </w:tc>
        <w:tc>
          <w:tcPr>
            <w:tcW w:w="104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w:t>
            </w:r>
          </w:p>
        </w:tc>
      </w:tr>
      <w:tr>
        <w:trPr>
          <w:trHeight w:val="266"/>
        </w:trPr>
        <w:tc>
          <w:tcPr>
            <w:tcW w:w="7080" w:type="dxa"/>
            <w:vAlign w:val="bottom"/>
            <w:gridSpan w:val="3"/>
          </w:tcPr>
          <w:p>
            <w:pPr>
              <w:ind w:left="40"/>
              <w:spacing w:after="0"/>
              <w:rPr>
                <w:sz w:val="20"/>
                <w:szCs w:val="20"/>
                <w:color w:val="auto"/>
              </w:rPr>
            </w:pPr>
            <w:r>
              <w:rPr>
                <w:rFonts w:ascii="Arial" w:cs="Arial" w:eastAsia="Arial" w:hAnsi="Arial"/>
                <w:sz w:val="14"/>
                <w:szCs w:val="14"/>
                <w:color w:val="auto"/>
              </w:rPr>
              <w:t>Impairment loss (recovery)</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(18.5)</w:t>
            </w:r>
          </w:p>
        </w:tc>
      </w:tr>
      <w:tr>
        <w:trPr>
          <w:trHeight w:val="274"/>
        </w:trPr>
        <w:tc>
          <w:tcPr>
            <w:tcW w:w="708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Deferred income taxes</w:t>
            </w:r>
          </w:p>
        </w:tc>
        <w:tc>
          <w:tcPr>
            <w:tcW w:w="320" w:type="dxa"/>
            <w:vAlign w:val="bottom"/>
            <w:shd w:val="clear" w:color="auto" w:fill="DCE2EF"/>
          </w:tcPr>
          <w:p>
            <w:pPr>
              <w:spacing w:after="0"/>
              <w:rPr>
                <w:sz w:val="23"/>
                <w:szCs w:val="23"/>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9.7</w:t>
            </w:r>
          </w:p>
        </w:tc>
        <w:tc>
          <w:tcPr>
            <w:tcW w:w="60" w:type="dxa"/>
            <w:vAlign w:val="bottom"/>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320" w:type="dxa"/>
            <w:vAlign w:val="bottom"/>
            <w:shd w:val="clear" w:color="auto" w:fill="DCE2EF"/>
          </w:tcPr>
          <w:p>
            <w:pPr>
              <w:spacing w:after="0"/>
              <w:rPr>
                <w:sz w:val="23"/>
                <w:szCs w:val="23"/>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(23.7)</w:t>
            </w:r>
          </w:p>
        </w:tc>
        <w:tc>
          <w:tcPr>
            <w:tcW w:w="100" w:type="dxa"/>
            <w:vAlign w:val="bottom"/>
            <w:shd w:val="clear" w:color="auto" w:fill="DCE2EF"/>
          </w:tcPr>
          <w:p>
            <w:pPr>
              <w:spacing w:after="0"/>
              <w:rPr>
                <w:sz w:val="23"/>
                <w:szCs w:val="23"/>
                <w:color w:val="auto"/>
              </w:rPr>
            </w:pPr>
          </w:p>
        </w:tc>
        <w:tc>
          <w:tcPr>
            <w:tcW w:w="320" w:type="dxa"/>
            <w:vAlign w:val="bottom"/>
            <w:shd w:val="clear" w:color="auto" w:fill="DCE2EF"/>
          </w:tcPr>
          <w:p>
            <w:pPr>
              <w:spacing w:after="0"/>
              <w:rPr>
                <w:sz w:val="23"/>
                <w:szCs w:val="23"/>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(6.1)</w:t>
            </w:r>
          </w:p>
        </w:tc>
      </w:tr>
      <w:tr>
        <w:trPr>
          <w:trHeight w:val="266"/>
        </w:trPr>
        <w:tc>
          <w:tcPr>
            <w:tcW w:w="7080" w:type="dxa"/>
            <w:vAlign w:val="bottom"/>
            <w:gridSpan w:val="3"/>
          </w:tcPr>
          <w:p>
            <w:pPr>
              <w:ind w:left="40"/>
              <w:spacing w:after="0"/>
              <w:rPr>
                <w:sz w:val="20"/>
                <w:szCs w:val="20"/>
                <w:color w:val="auto"/>
              </w:rPr>
            </w:pPr>
            <w:r>
              <w:rPr>
                <w:rFonts w:ascii="Arial" w:cs="Arial" w:eastAsia="Arial" w:hAnsi="Arial"/>
                <w:sz w:val="14"/>
                <w:szCs w:val="14"/>
                <w:color w:val="auto"/>
              </w:rPr>
              <w:t>Share-based compensation expense</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17.5</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13.3</w:t>
            </w:r>
          </w:p>
        </w:tc>
      </w:tr>
      <w:tr>
        <w:trPr>
          <w:trHeight w:val="274"/>
        </w:trPr>
        <w:tc>
          <w:tcPr>
            <w:tcW w:w="708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Provision for bad debt</w:t>
            </w:r>
          </w:p>
        </w:tc>
        <w:tc>
          <w:tcPr>
            <w:tcW w:w="320" w:type="dxa"/>
            <w:vAlign w:val="bottom"/>
            <w:shd w:val="clear" w:color="auto" w:fill="DCE2EF"/>
          </w:tcPr>
          <w:p>
            <w:pPr>
              <w:spacing w:after="0"/>
              <w:rPr>
                <w:sz w:val="23"/>
                <w:szCs w:val="23"/>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6.7</w:t>
            </w:r>
          </w:p>
        </w:tc>
        <w:tc>
          <w:tcPr>
            <w:tcW w:w="60" w:type="dxa"/>
            <w:vAlign w:val="bottom"/>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320" w:type="dxa"/>
            <w:vAlign w:val="bottom"/>
            <w:shd w:val="clear" w:color="auto" w:fill="DCE2EF"/>
          </w:tcPr>
          <w:p>
            <w:pPr>
              <w:spacing w:after="0"/>
              <w:rPr>
                <w:sz w:val="23"/>
                <w:szCs w:val="23"/>
                <w:color w:val="auto"/>
              </w:rPr>
            </w:pPr>
          </w:p>
        </w:tc>
        <w:tc>
          <w:tcPr>
            <w:tcW w:w="104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6.4</w:t>
            </w:r>
          </w:p>
        </w:tc>
        <w:tc>
          <w:tcPr>
            <w:tcW w:w="100" w:type="dxa"/>
            <w:vAlign w:val="bottom"/>
            <w:shd w:val="clear" w:color="auto" w:fill="DCE2EF"/>
          </w:tcPr>
          <w:p>
            <w:pPr>
              <w:spacing w:after="0"/>
              <w:rPr>
                <w:sz w:val="23"/>
                <w:szCs w:val="23"/>
                <w:color w:val="auto"/>
              </w:rPr>
            </w:pPr>
          </w:p>
        </w:tc>
        <w:tc>
          <w:tcPr>
            <w:tcW w:w="320" w:type="dxa"/>
            <w:vAlign w:val="bottom"/>
            <w:shd w:val="clear" w:color="auto" w:fill="DCE2EF"/>
          </w:tcPr>
          <w:p>
            <w:pPr>
              <w:spacing w:after="0"/>
              <w:rPr>
                <w:sz w:val="23"/>
                <w:szCs w:val="23"/>
                <w:color w:val="auto"/>
              </w:rPr>
            </w:pPr>
          </w:p>
        </w:tc>
        <w:tc>
          <w:tcPr>
            <w:tcW w:w="104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4.1</w:t>
            </w:r>
          </w:p>
        </w:tc>
      </w:tr>
      <w:tr>
        <w:trPr>
          <w:trHeight w:val="266"/>
        </w:trPr>
        <w:tc>
          <w:tcPr>
            <w:tcW w:w="7080" w:type="dxa"/>
            <w:vAlign w:val="bottom"/>
            <w:gridSpan w:val="3"/>
          </w:tcPr>
          <w:p>
            <w:pPr>
              <w:ind w:left="40"/>
              <w:spacing w:after="0"/>
              <w:rPr>
                <w:sz w:val="20"/>
                <w:szCs w:val="20"/>
                <w:color w:val="auto"/>
              </w:rPr>
            </w:pPr>
            <w:r>
              <w:rPr>
                <w:rFonts w:ascii="Arial" w:cs="Arial" w:eastAsia="Arial" w:hAnsi="Arial"/>
                <w:sz w:val="14"/>
                <w:szCs w:val="14"/>
                <w:color w:val="auto"/>
              </w:rPr>
              <w:t>Discount accretion on insurance claims</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0.8</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0.2</w:t>
            </w:r>
          </w:p>
        </w:tc>
      </w:tr>
      <w:tr>
        <w:trPr>
          <w:trHeight w:val="274"/>
        </w:trPr>
        <w:tc>
          <w:tcPr>
            <w:tcW w:w="708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(Gain) loss on sale of assets</w:t>
            </w:r>
          </w:p>
        </w:tc>
        <w:tc>
          <w:tcPr>
            <w:tcW w:w="320" w:type="dxa"/>
            <w:vAlign w:val="bottom"/>
            <w:shd w:val="clear" w:color="auto" w:fill="DCE2EF"/>
          </w:tcPr>
          <w:p>
            <w:pPr>
              <w:spacing w:after="0"/>
              <w:rPr>
                <w:sz w:val="23"/>
                <w:szCs w:val="23"/>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(0.6)</w:t>
            </w:r>
          </w:p>
        </w:tc>
        <w:tc>
          <w:tcPr>
            <w:tcW w:w="60" w:type="dxa"/>
            <w:vAlign w:val="bottom"/>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320" w:type="dxa"/>
            <w:vAlign w:val="bottom"/>
            <w:shd w:val="clear" w:color="auto" w:fill="DCE2EF"/>
          </w:tcPr>
          <w:p>
            <w:pPr>
              <w:spacing w:after="0"/>
              <w:rPr>
                <w:sz w:val="23"/>
                <w:szCs w:val="23"/>
                <w:color w:val="auto"/>
              </w:rPr>
            </w:pPr>
          </w:p>
        </w:tc>
        <w:tc>
          <w:tcPr>
            <w:tcW w:w="104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0.5</w:t>
            </w:r>
          </w:p>
        </w:tc>
        <w:tc>
          <w:tcPr>
            <w:tcW w:w="100" w:type="dxa"/>
            <w:vAlign w:val="bottom"/>
            <w:shd w:val="clear" w:color="auto" w:fill="DCE2EF"/>
          </w:tcPr>
          <w:p>
            <w:pPr>
              <w:spacing w:after="0"/>
              <w:rPr>
                <w:sz w:val="23"/>
                <w:szCs w:val="23"/>
                <w:color w:val="auto"/>
              </w:rPr>
            </w:pPr>
          </w:p>
        </w:tc>
        <w:tc>
          <w:tcPr>
            <w:tcW w:w="320" w:type="dxa"/>
            <w:vAlign w:val="bottom"/>
            <w:shd w:val="clear" w:color="auto" w:fill="DCE2EF"/>
          </w:tcPr>
          <w:p>
            <w:pPr>
              <w:spacing w:after="0"/>
              <w:rPr>
                <w:sz w:val="23"/>
                <w:szCs w:val="23"/>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(2.7)</w:t>
            </w:r>
          </w:p>
        </w:tc>
      </w:tr>
      <w:tr>
        <w:trPr>
          <w:trHeight w:val="266"/>
        </w:trPr>
        <w:tc>
          <w:tcPr>
            <w:tcW w:w="7080" w:type="dxa"/>
            <w:vAlign w:val="bottom"/>
            <w:gridSpan w:val="3"/>
          </w:tcPr>
          <w:p>
            <w:pPr>
              <w:ind w:left="40"/>
              <w:spacing w:after="0"/>
              <w:rPr>
                <w:sz w:val="20"/>
                <w:szCs w:val="20"/>
                <w:color w:val="auto"/>
              </w:rPr>
            </w:pPr>
            <w:r>
              <w:rPr>
                <w:rFonts w:ascii="Arial" w:cs="Arial" w:eastAsia="Arial" w:hAnsi="Arial"/>
                <w:sz w:val="14"/>
                <w:szCs w:val="14"/>
                <w:color w:val="auto"/>
              </w:rPr>
              <w:t>Income from unconsolidated affiliates</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274"/>
        </w:trPr>
        <w:tc>
          <w:tcPr>
            <w:tcW w:w="708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Distributions from unconsolidated affiliates</w:t>
            </w:r>
          </w:p>
        </w:tc>
        <w:tc>
          <w:tcPr>
            <w:tcW w:w="320" w:type="dxa"/>
            <w:vAlign w:val="bottom"/>
            <w:shd w:val="clear" w:color="auto" w:fill="DCE2EF"/>
          </w:tcPr>
          <w:p>
            <w:pPr>
              <w:spacing w:after="0"/>
              <w:rPr>
                <w:sz w:val="23"/>
                <w:szCs w:val="23"/>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5.4</w:t>
            </w:r>
          </w:p>
        </w:tc>
        <w:tc>
          <w:tcPr>
            <w:tcW w:w="60" w:type="dxa"/>
            <w:vAlign w:val="bottom"/>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320" w:type="dxa"/>
            <w:vAlign w:val="bottom"/>
            <w:shd w:val="clear" w:color="auto" w:fill="DCE2EF"/>
          </w:tcPr>
          <w:p>
            <w:pPr>
              <w:spacing w:after="0"/>
              <w:rPr>
                <w:sz w:val="23"/>
                <w:szCs w:val="23"/>
                <w:color w:val="auto"/>
              </w:rPr>
            </w:pPr>
          </w:p>
        </w:tc>
        <w:tc>
          <w:tcPr>
            <w:tcW w:w="104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DCE2EF"/>
          </w:tcPr>
          <w:p>
            <w:pPr>
              <w:spacing w:after="0"/>
              <w:rPr>
                <w:sz w:val="23"/>
                <w:szCs w:val="23"/>
                <w:color w:val="auto"/>
              </w:rPr>
            </w:pPr>
          </w:p>
        </w:tc>
        <w:tc>
          <w:tcPr>
            <w:tcW w:w="320" w:type="dxa"/>
            <w:vAlign w:val="bottom"/>
            <w:shd w:val="clear" w:color="auto" w:fill="DCE2EF"/>
          </w:tcPr>
          <w:p>
            <w:pPr>
              <w:spacing w:after="0"/>
              <w:rPr>
                <w:sz w:val="23"/>
                <w:szCs w:val="23"/>
                <w:color w:val="auto"/>
              </w:rPr>
            </w:pPr>
          </w:p>
        </w:tc>
        <w:tc>
          <w:tcPr>
            <w:tcW w:w="104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5.7</w:t>
            </w:r>
          </w:p>
        </w:tc>
      </w:tr>
      <w:tr>
        <w:trPr>
          <w:trHeight w:val="266"/>
        </w:trPr>
        <w:tc>
          <w:tcPr>
            <w:tcW w:w="7080" w:type="dxa"/>
            <w:vAlign w:val="bottom"/>
            <w:gridSpan w:val="3"/>
          </w:tcPr>
          <w:p>
            <w:pPr>
              <w:ind w:left="40"/>
              <w:spacing w:after="0"/>
              <w:rPr>
                <w:sz w:val="20"/>
                <w:szCs w:val="20"/>
                <w:color w:val="auto"/>
              </w:rPr>
            </w:pPr>
            <w:r>
              <w:rPr>
                <w:rFonts w:ascii="Arial" w:cs="Arial" w:eastAsia="Arial" w:hAnsi="Arial"/>
                <w:sz w:val="14"/>
                <w:szCs w:val="14"/>
                <w:color w:val="auto"/>
              </w:rPr>
              <w:t>Changes in operating assets and liabilities, net of effects of acquisitions</w:t>
            </w: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4"/>
        </w:trPr>
        <w:tc>
          <w:tcPr>
            <w:tcW w:w="40" w:type="dxa"/>
            <w:vAlign w:val="bottom"/>
            <w:shd w:val="clear" w:color="auto" w:fill="DCE2EF"/>
          </w:tcPr>
          <w:p>
            <w:pPr>
              <w:spacing w:after="0"/>
              <w:rPr>
                <w:sz w:val="23"/>
                <w:szCs w:val="23"/>
                <w:color w:val="auto"/>
              </w:rPr>
            </w:pPr>
          </w:p>
        </w:tc>
        <w:tc>
          <w:tcPr>
            <w:tcW w:w="7040" w:type="dxa"/>
            <w:vAlign w:val="bottom"/>
            <w:gridSpan w:val="2"/>
            <w:shd w:val="clear" w:color="auto" w:fill="DCE2EF"/>
          </w:tcPr>
          <w:p>
            <w:pPr>
              <w:ind w:left="340"/>
              <w:spacing w:after="0"/>
              <w:rPr>
                <w:sz w:val="20"/>
                <w:szCs w:val="20"/>
                <w:color w:val="auto"/>
              </w:rPr>
            </w:pPr>
            <w:r>
              <w:rPr>
                <w:rFonts w:ascii="Arial" w:cs="Arial" w:eastAsia="Arial" w:hAnsi="Arial"/>
                <w:sz w:val="14"/>
                <w:szCs w:val="14"/>
                <w:color w:val="auto"/>
              </w:rPr>
              <w:t>Trade accounts receivable and costs incurred in excess of amounts billed</w:t>
            </w:r>
          </w:p>
        </w:tc>
        <w:tc>
          <w:tcPr>
            <w:tcW w:w="320" w:type="dxa"/>
            <w:vAlign w:val="bottom"/>
            <w:shd w:val="clear" w:color="auto" w:fill="DCE2EF"/>
          </w:tcPr>
          <w:p>
            <w:pPr>
              <w:spacing w:after="0"/>
              <w:rPr>
                <w:sz w:val="23"/>
                <w:szCs w:val="23"/>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(78.3)</w:t>
            </w:r>
          </w:p>
        </w:tc>
        <w:tc>
          <w:tcPr>
            <w:tcW w:w="60" w:type="dxa"/>
            <w:vAlign w:val="bottom"/>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320" w:type="dxa"/>
            <w:vAlign w:val="bottom"/>
            <w:shd w:val="clear" w:color="auto" w:fill="DCE2EF"/>
          </w:tcPr>
          <w:p>
            <w:pPr>
              <w:spacing w:after="0"/>
              <w:rPr>
                <w:sz w:val="23"/>
                <w:szCs w:val="23"/>
                <w:color w:val="auto"/>
              </w:rPr>
            </w:pPr>
          </w:p>
        </w:tc>
        <w:tc>
          <w:tcPr>
            <w:tcW w:w="104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DCE2EF"/>
          </w:tcPr>
          <w:p>
            <w:pPr>
              <w:spacing w:after="0"/>
              <w:rPr>
                <w:sz w:val="23"/>
                <w:szCs w:val="23"/>
                <w:color w:val="auto"/>
              </w:rPr>
            </w:pPr>
          </w:p>
        </w:tc>
        <w:tc>
          <w:tcPr>
            <w:tcW w:w="320" w:type="dxa"/>
            <w:vAlign w:val="bottom"/>
            <w:shd w:val="clear" w:color="auto" w:fill="DCE2EF"/>
          </w:tcPr>
          <w:p>
            <w:pPr>
              <w:spacing w:after="0"/>
              <w:rPr>
                <w:sz w:val="23"/>
                <w:szCs w:val="23"/>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(115.7)</w:t>
            </w:r>
          </w:p>
        </w:tc>
      </w:tr>
      <w:tr>
        <w:trPr>
          <w:trHeight w:val="266"/>
        </w:trPr>
        <w:tc>
          <w:tcPr>
            <w:tcW w:w="40" w:type="dxa"/>
            <w:vAlign w:val="bottom"/>
          </w:tcPr>
          <w:p>
            <w:pPr>
              <w:spacing w:after="0"/>
              <w:rPr>
                <w:sz w:val="23"/>
                <w:szCs w:val="23"/>
                <w:color w:val="auto"/>
              </w:rPr>
            </w:pPr>
          </w:p>
        </w:tc>
        <w:tc>
          <w:tcPr>
            <w:tcW w:w="7040" w:type="dxa"/>
            <w:vAlign w:val="bottom"/>
            <w:gridSpan w:val="2"/>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(13.2)</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274"/>
        </w:trPr>
        <w:tc>
          <w:tcPr>
            <w:tcW w:w="40" w:type="dxa"/>
            <w:vAlign w:val="bottom"/>
            <w:shd w:val="clear" w:color="auto" w:fill="DCE2EF"/>
          </w:tcPr>
          <w:p>
            <w:pPr>
              <w:spacing w:after="0"/>
              <w:rPr>
                <w:sz w:val="23"/>
                <w:szCs w:val="23"/>
                <w:color w:val="auto"/>
              </w:rPr>
            </w:pPr>
          </w:p>
        </w:tc>
        <w:tc>
          <w:tcPr>
            <w:tcW w:w="7040" w:type="dxa"/>
            <w:vAlign w:val="bottom"/>
            <w:gridSpan w:val="2"/>
            <w:shd w:val="clear" w:color="auto" w:fill="DCE2EF"/>
          </w:tcPr>
          <w:p>
            <w:pPr>
              <w:ind w:left="340"/>
              <w:spacing w:after="0"/>
              <w:rPr>
                <w:sz w:val="20"/>
                <w:szCs w:val="20"/>
                <w:color w:val="auto"/>
              </w:rPr>
            </w:pPr>
            <w:r>
              <w:rPr>
                <w:rFonts w:ascii="Arial" w:cs="Arial" w:eastAsia="Arial" w:hAnsi="Arial"/>
                <w:sz w:val="14"/>
                <w:szCs w:val="14"/>
                <w:color w:val="auto"/>
              </w:rPr>
              <w:t>Other noncurrent assets</w:t>
            </w:r>
          </w:p>
        </w:tc>
        <w:tc>
          <w:tcPr>
            <w:tcW w:w="320" w:type="dxa"/>
            <w:vAlign w:val="bottom"/>
            <w:shd w:val="clear" w:color="auto" w:fill="DCE2EF"/>
          </w:tcPr>
          <w:p>
            <w:pPr>
              <w:spacing w:after="0"/>
              <w:rPr>
                <w:sz w:val="23"/>
                <w:szCs w:val="23"/>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4.5</w:t>
            </w:r>
          </w:p>
        </w:tc>
        <w:tc>
          <w:tcPr>
            <w:tcW w:w="60" w:type="dxa"/>
            <w:vAlign w:val="bottom"/>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320" w:type="dxa"/>
            <w:vAlign w:val="bottom"/>
            <w:shd w:val="clear" w:color="auto" w:fill="DCE2EF"/>
          </w:tcPr>
          <w:p>
            <w:pPr>
              <w:spacing w:after="0"/>
              <w:rPr>
                <w:sz w:val="23"/>
                <w:szCs w:val="23"/>
                <w:color w:val="auto"/>
              </w:rPr>
            </w:pPr>
          </w:p>
        </w:tc>
        <w:tc>
          <w:tcPr>
            <w:tcW w:w="104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DCE2EF"/>
          </w:tcPr>
          <w:p>
            <w:pPr>
              <w:spacing w:after="0"/>
              <w:rPr>
                <w:sz w:val="23"/>
                <w:szCs w:val="23"/>
                <w:color w:val="auto"/>
              </w:rPr>
            </w:pPr>
          </w:p>
        </w:tc>
        <w:tc>
          <w:tcPr>
            <w:tcW w:w="320" w:type="dxa"/>
            <w:vAlign w:val="bottom"/>
            <w:shd w:val="clear" w:color="auto" w:fill="DCE2EF"/>
          </w:tcPr>
          <w:p>
            <w:pPr>
              <w:spacing w:after="0"/>
              <w:rPr>
                <w:sz w:val="23"/>
                <w:szCs w:val="23"/>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(7.6)</w:t>
            </w:r>
          </w:p>
        </w:tc>
      </w:tr>
      <w:tr>
        <w:trPr>
          <w:trHeight w:val="266"/>
        </w:trPr>
        <w:tc>
          <w:tcPr>
            <w:tcW w:w="40" w:type="dxa"/>
            <w:vAlign w:val="bottom"/>
          </w:tcPr>
          <w:p>
            <w:pPr>
              <w:spacing w:after="0"/>
              <w:rPr>
                <w:sz w:val="23"/>
                <w:szCs w:val="23"/>
                <w:color w:val="auto"/>
              </w:rPr>
            </w:pPr>
          </w:p>
        </w:tc>
        <w:tc>
          <w:tcPr>
            <w:tcW w:w="7040" w:type="dxa"/>
            <w:vAlign w:val="bottom"/>
            <w:gridSpan w:val="2"/>
          </w:tcPr>
          <w:p>
            <w:pPr>
              <w:ind w:left="340"/>
              <w:spacing w:after="0"/>
              <w:rPr>
                <w:sz w:val="20"/>
                <w:szCs w:val="20"/>
                <w:color w:val="auto"/>
              </w:rPr>
            </w:pPr>
            <w:r>
              <w:rPr>
                <w:rFonts w:ascii="Arial" w:cs="Arial" w:eastAsia="Arial" w:hAnsi="Arial"/>
                <w:sz w:val="14"/>
                <w:szCs w:val="14"/>
                <w:color w:val="auto"/>
              </w:rPr>
              <w:t>Trade accounts payable and other accrued liabilities</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85.8</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74.4</w:t>
            </w:r>
          </w:p>
        </w:tc>
      </w:tr>
      <w:tr>
        <w:trPr>
          <w:trHeight w:val="274"/>
        </w:trPr>
        <w:tc>
          <w:tcPr>
            <w:tcW w:w="40" w:type="dxa"/>
            <w:vAlign w:val="bottom"/>
            <w:shd w:val="clear" w:color="auto" w:fill="DCE2EF"/>
          </w:tcPr>
          <w:p>
            <w:pPr>
              <w:spacing w:after="0"/>
              <w:rPr>
                <w:sz w:val="23"/>
                <w:szCs w:val="23"/>
                <w:color w:val="auto"/>
              </w:rPr>
            </w:pPr>
          </w:p>
        </w:tc>
        <w:tc>
          <w:tcPr>
            <w:tcW w:w="7040" w:type="dxa"/>
            <w:vAlign w:val="bottom"/>
            <w:gridSpan w:val="2"/>
            <w:shd w:val="clear" w:color="auto" w:fill="DCE2EF"/>
          </w:tcPr>
          <w:p>
            <w:pPr>
              <w:ind w:left="340"/>
              <w:spacing w:after="0"/>
              <w:rPr>
                <w:sz w:val="20"/>
                <w:szCs w:val="20"/>
                <w:color w:val="auto"/>
              </w:rPr>
            </w:pPr>
            <w:r>
              <w:rPr>
                <w:rFonts w:ascii="Arial" w:cs="Arial" w:eastAsia="Arial" w:hAnsi="Arial"/>
                <w:sz w:val="14"/>
                <w:szCs w:val="14"/>
                <w:color w:val="auto"/>
              </w:rPr>
              <w:t>Insurance claims</w:t>
            </w:r>
          </w:p>
        </w:tc>
        <w:tc>
          <w:tcPr>
            <w:tcW w:w="320" w:type="dxa"/>
            <w:vAlign w:val="bottom"/>
            <w:shd w:val="clear" w:color="auto" w:fill="DCE2EF"/>
          </w:tcPr>
          <w:p>
            <w:pPr>
              <w:spacing w:after="0"/>
              <w:rPr>
                <w:sz w:val="23"/>
                <w:szCs w:val="23"/>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3.9</w:t>
            </w:r>
          </w:p>
        </w:tc>
        <w:tc>
          <w:tcPr>
            <w:tcW w:w="60" w:type="dxa"/>
            <w:vAlign w:val="bottom"/>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320" w:type="dxa"/>
            <w:vAlign w:val="bottom"/>
            <w:shd w:val="clear" w:color="auto" w:fill="DCE2EF"/>
          </w:tcPr>
          <w:p>
            <w:pPr>
              <w:spacing w:after="0"/>
              <w:rPr>
                <w:sz w:val="23"/>
                <w:szCs w:val="23"/>
                <w:color w:val="auto"/>
              </w:rPr>
            </w:pPr>
          </w:p>
        </w:tc>
        <w:tc>
          <w:tcPr>
            <w:tcW w:w="104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DCE2EF"/>
          </w:tcPr>
          <w:p>
            <w:pPr>
              <w:spacing w:after="0"/>
              <w:rPr>
                <w:sz w:val="23"/>
                <w:szCs w:val="23"/>
                <w:color w:val="auto"/>
              </w:rPr>
            </w:pPr>
          </w:p>
        </w:tc>
        <w:tc>
          <w:tcPr>
            <w:tcW w:w="320" w:type="dxa"/>
            <w:vAlign w:val="bottom"/>
            <w:shd w:val="clear" w:color="auto" w:fill="DCE2EF"/>
          </w:tcPr>
          <w:p>
            <w:pPr>
              <w:spacing w:after="0"/>
              <w:rPr>
                <w:sz w:val="23"/>
                <w:szCs w:val="23"/>
                <w:color w:val="auto"/>
              </w:rPr>
            </w:pPr>
          </w:p>
        </w:tc>
        <w:tc>
          <w:tcPr>
            <w:tcW w:w="104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33.5</w:t>
            </w:r>
          </w:p>
        </w:tc>
      </w:tr>
      <w:tr>
        <w:trPr>
          <w:trHeight w:val="266"/>
        </w:trPr>
        <w:tc>
          <w:tcPr>
            <w:tcW w:w="40" w:type="dxa"/>
            <w:vAlign w:val="bottom"/>
          </w:tcPr>
          <w:p>
            <w:pPr>
              <w:spacing w:after="0"/>
              <w:rPr>
                <w:sz w:val="23"/>
                <w:szCs w:val="23"/>
                <w:color w:val="auto"/>
              </w:rPr>
            </w:pPr>
          </w:p>
        </w:tc>
        <w:tc>
          <w:tcPr>
            <w:tcW w:w="7040" w:type="dxa"/>
            <w:vAlign w:val="bottom"/>
            <w:gridSpan w:val="2"/>
          </w:tcPr>
          <w:p>
            <w:pPr>
              <w:ind w:left="340"/>
              <w:spacing w:after="0"/>
              <w:rPr>
                <w:sz w:val="20"/>
                <w:szCs w:val="20"/>
                <w:color w:val="auto"/>
              </w:rPr>
            </w:pPr>
            <w:r>
              <w:rPr>
                <w:rFonts w:ascii="Arial" w:cs="Arial" w:eastAsia="Arial" w:hAnsi="Arial"/>
                <w:sz w:val="14"/>
                <w:szCs w:val="14"/>
                <w:color w:val="auto"/>
              </w:rPr>
              <w:t>Income taxes payable</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(22.5)</w:t>
            </w:r>
          </w:p>
        </w:tc>
      </w:tr>
      <w:tr>
        <w:trPr>
          <w:trHeight w:val="270"/>
        </w:trPr>
        <w:tc>
          <w:tcPr>
            <w:tcW w:w="40" w:type="dxa"/>
            <w:vAlign w:val="bottom"/>
            <w:shd w:val="clear" w:color="auto" w:fill="DCE2EF"/>
          </w:tcPr>
          <w:p>
            <w:pPr>
              <w:spacing w:after="0"/>
              <w:rPr>
                <w:sz w:val="23"/>
                <w:szCs w:val="23"/>
                <w:color w:val="auto"/>
              </w:rPr>
            </w:pPr>
          </w:p>
        </w:tc>
        <w:tc>
          <w:tcPr>
            <w:tcW w:w="7040" w:type="dxa"/>
            <w:vAlign w:val="bottom"/>
            <w:gridSpan w:val="2"/>
            <w:shd w:val="clear" w:color="auto" w:fill="DCE2EF"/>
          </w:tcPr>
          <w:p>
            <w:pPr>
              <w:ind w:left="340"/>
              <w:spacing w:after="0"/>
              <w:rPr>
                <w:sz w:val="20"/>
                <w:szCs w:val="20"/>
                <w:color w:val="auto"/>
              </w:rPr>
            </w:pPr>
            <w:r>
              <w:rPr>
                <w:rFonts w:ascii="Arial" w:cs="Arial" w:eastAsia="Arial" w:hAnsi="Arial"/>
                <w:sz w:val="14"/>
                <w:szCs w:val="14"/>
                <w:color w:val="auto"/>
              </w:rPr>
              <w:t>Other noncurrent liabilities</w:t>
            </w:r>
          </w:p>
        </w:tc>
        <w:tc>
          <w:tcPr>
            <w:tcW w:w="320" w:type="dxa"/>
            <w:vAlign w:val="bottom"/>
            <w:tcBorders>
              <w:bottom w:val="single" w:sz="8" w:color="auto"/>
            </w:tcBorders>
            <w:shd w:val="clear" w:color="auto" w:fill="DCE2EF"/>
          </w:tcPr>
          <w:p>
            <w:pPr>
              <w:spacing w:after="0"/>
              <w:rPr>
                <w:sz w:val="23"/>
                <w:szCs w:val="23"/>
                <w:color w:val="auto"/>
              </w:rPr>
            </w:pPr>
          </w:p>
        </w:tc>
        <w:tc>
          <w:tcPr>
            <w:tcW w:w="10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(14.4)</w:t>
            </w:r>
          </w:p>
        </w:tc>
        <w:tc>
          <w:tcPr>
            <w:tcW w:w="60" w:type="dxa"/>
            <w:vAlign w:val="bottom"/>
            <w:tcBorders>
              <w:bottom w:val="single" w:sz="8" w:color="auto"/>
            </w:tcBorders>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320" w:type="dxa"/>
            <w:vAlign w:val="bottom"/>
            <w:tcBorders>
              <w:bottom w:val="single" w:sz="8" w:color="auto"/>
            </w:tcBorders>
            <w:shd w:val="clear" w:color="auto" w:fill="DCE2EF"/>
          </w:tcPr>
          <w:p>
            <w:pPr>
              <w:spacing w:after="0"/>
              <w:rPr>
                <w:sz w:val="23"/>
                <w:szCs w:val="23"/>
                <w:color w:val="auto"/>
              </w:rPr>
            </w:pPr>
          </w:p>
        </w:tc>
        <w:tc>
          <w:tcPr>
            <w:tcW w:w="10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DCE2EF"/>
          </w:tcPr>
          <w:p>
            <w:pPr>
              <w:spacing w:after="0"/>
              <w:rPr>
                <w:sz w:val="23"/>
                <w:szCs w:val="23"/>
                <w:color w:val="auto"/>
              </w:rPr>
            </w:pPr>
          </w:p>
        </w:tc>
        <w:tc>
          <w:tcPr>
            <w:tcW w:w="320" w:type="dxa"/>
            <w:vAlign w:val="bottom"/>
            <w:tcBorders>
              <w:bottom w:val="single" w:sz="8" w:color="auto"/>
            </w:tcBorders>
            <w:shd w:val="clear" w:color="auto" w:fill="DCE2EF"/>
          </w:tcPr>
          <w:p>
            <w:pPr>
              <w:spacing w:after="0"/>
              <w:rPr>
                <w:sz w:val="23"/>
                <w:szCs w:val="23"/>
                <w:color w:val="auto"/>
              </w:rPr>
            </w:pPr>
          </w:p>
        </w:tc>
        <w:tc>
          <w:tcPr>
            <w:tcW w:w="1040" w:type="dxa"/>
            <w:vAlign w:val="bottom"/>
            <w:tcBorders>
              <w:bottom w:val="single" w:sz="8" w:color="auto"/>
            </w:tcBorders>
            <w:shd w:val="clear" w:color="auto" w:fill="DCE2EF"/>
          </w:tcPr>
          <w:p>
            <w:pPr>
              <w:jc w:val="right"/>
              <w:ind w:right="28"/>
              <w:spacing w:after="0"/>
              <w:rPr>
                <w:sz w:val="20"/>
                <w:szCs w:val="20"/>
                <w:color w:val="auto"/>
              </w:rPr>
            </w:pPr>
            <w:r>
              <w:rPr>
                <w:rFonts w:ascii="Arial" w:cs="Arial" w:eastAsia="Arial" w:hAnsi="Arial"/>
                <w:sz w:val="14"/>
                <w:szCs w:val="14"/>
                <w:color w:val="auto"/>
              </w:rPr>
              <w:t>6.0</w:t>
            </w:r>
          </w:p>
        </w:tc>
      </w:tr>
      <w:tr>
        <w:trPr>
          <w:trHeight w:val="250"/>
        </w:trPr>
        <w:tc>
          <w:tcPr>
            <w:tcW w:w="7080" w:type="dxa"/>
            <w:vAlign w:val="bottom"/>
            <w:tcBorders>
              <w:bottom w:val="single" w:sz="8" w:color="DCE2EF"/>
            </w:tcBorders>
            <w:gridSpan w:val="3"/>
          </w:tcPr>
          <w:p>
            <w:pPr>
              <w:ind w:left="40"/>
              <w:spacing w:after="0"/>
              <w:rPr>
                <w:sz w:val="20"/>
                <w:szCs w:val="20"/>
                <w:color w:val="auto"/>
              </w:rPr>
            </w:pPr>
            <w:r>
              <w:rPr>
                <w:rFonts w:ascii="Arial" w:cs="Arial" w:eastAsia="Arial" w:hAnsi="Arial"/>
                <w:sz w:val="14"/>
                <w:szCs w:val="14"/>
                <w:color w:val="auto"/>
              </w:rPr>
              <w:t>Total adjustments</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135.3</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DCE2E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203.7</w:t>
            </w:r>
          </w:p>
        </w:tc>
        <w:tc>
          <w:tcPr>
            <w:tcW w:w="100" w:type="dxa"/>
            <w:vAlign w:val="bottom"/>
            <w:tcBorders>
              <w:bottom w:val="single" w:sz="8" w:color="DCE2E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23.6</w:t>
            </w:r>
          </w:p>
        </w:tc>
      </w:tr>
      <w:tr>
        <w:trPr>
          <w:trHeight w:val="254"/>
        </w:trPr>
        <w:tc>
          <w:tcPr>
            <w:tcW w:w="708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Net cash provided by operating activities of continuing operations</w:t>
            </w:r>
          </w:p>
        </w:tc>
        <w:tc>
          <w:tcPr>
            <w:tcW w:w="320" w:type="dxa"/>
            <w:vAlign w:val="bottom"/>
            <w:shd w:val="clear" w:color="auto" w:fill="DCE2EF"/>
          </w:tcPr>
          <w:p>
            <w:pPr>
              <w:spacing w:after="0"/>
              <w:rPr>
                <w:sz w:val="22"/>
                <w:szCs w:val="22"/>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262.8</w:t>
            </w:r>
          </w:p>
        </w:tc>
        <w:tc>
          <w:tcPr>
            <w:tcW w:w="6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320" w:type="dxa"/>
            <w:vAlign w:val="bottom"/>
            <w:shd w:val="clear" w:color="auto" w:fill="DCE2EF"/>
          </w:tcPr>
          <w:p>
            <w:pPr>
              <w:spacing w:after="0"/>
              <w:rPr>
                <w:sz w:val="22"/>
                <w:szCs w:val="22"/>
                <w:color w:val="auto"/>
              </w:rPr>
            </w:pPr>
          </w:p>
        </w:tc>
        <w:tc>
          <w:tcPr>
            <w:tcW w:w="104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299.7</w:t>
            </w:r>
          </w:p>
        </w:tc>
        <w:tc>
          <w:tcPr>
            <w:tcW w:w="100" w:type="dxa"/>
            <w:vAlign w:val="bottom"/>
            <w:shd w:val="clear" w:color="auto" w:fill="DCE2EF"/>
          </w:tcPr>
          <w:p>
            <w:pPr>
              <w:spacing w:after="0"/>
              <w:rPr>
                <w:sz w:val="22"/>
                <w:szCs w:val="22"/>
                <w:color w:val="auto"/>
              </w:rPr>
            </w:pPr>
          </w:p>
        </w:tc>
        <w:tc>
          <w:tcPr>
            <w:tcW w:w="320" w:type="dxa"/>
            <w:vAlign w:val="bottom"/>
            <w:shd w:val="clear" w:color="auto" w:fill="DCE2EF"/>
          </w:tcPr>
          <w:p>
            <w:pPr>
              <w:spacing w:after="0"/>
              <w:rPr>
                <w:sz w:val="22"/>
                <w:szCs w:val="22"/>
                <w:color w:val="auto"/>
              </w:rPr>
            </w:pPr>
          </w:p>
        </w:tc>
        <w:tc>
          <w:tcPr>
            <w:tcW w:w="104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101.7</w:t>
            </w:r>
          </w:p>
        </w:tc>
      </w:tr>
      <w:tr>
        <w:trPr>
          <w:trHeight w:val="266"/>
        </w:trPr>
        <w:tc>
          <w:tcPr>
            <w:tcW w:w="7080" w:type="dxa"/>
            <w:vAlign w:val="bottom"/>
            <w:tcBorders>
              <w:bottom w:val="single" w:sz="8" w:color="DCE2EF"/>
            </w:tcBorders>
            <w:gridSpan w:val="3"/>
          </w:tcPr>
          <w:p>
            <w:pPr>
              <w:ind w:left="40"/>
              <w:spacing w:after="0"/>
              <w:rPr>
                <w:sz w:val="20"/>
                <w:szCs w:val="20"/>
                <w:color w:val="auto"/>
              </w:rPr>
            </w:pPr>
            <w:r>
              <w:rPr>
                <w:rFonts w:ascii="Arial" w:cs="Arial" w:eastAsia="Arial" w:hAnsi="Arial"/>
                <w:sz w:val="14"/>
                <w:szCs w:val="14"/>
                <w:color w:val="auto"/>
              </w:rPr>
              <w:t>Net cash (used in) provided by operating activities of discontinued operations</w:t>
            </w: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DCE2E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21.2</w:t>
            </w:r>
          </w:p>
        </w:tc>
        <w:tc>
          <w:tcPr>
            <w:tcW w:w="100" w:type="dxa"/>
            <w:vAlign w:val="bottom"/>
            <w:tcBorders>
              <w:bottom w:val="single" w:sz="8" w:color="DCE2E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(96.1)</w:t>
            </w:r>
          </w:p>
        </w:tc>
      </w:tr>
      <w:tr>
        <w:trPr>
          <w:trHeight w:val="254"/>
        </w:trPr>
        <w:tc>
          <w:tcPr>
            <w:tcW w:w="7080" w:type="dxa"/>
            <w:vAlign w:val="bottom"/>
            <w:gridSpan w:val="3"/>
            <w:shd w:val="clear" w:color="auto" w:fill="DCE2EF"/>
          </w:tcPr>
          <w:p>
            <w:pPr>
              <w:ind w:left="40"/>
              <w:spacing w:after="0"/>
              <w:rPr>
                <w:sz w:val="20"/>
                <w:szCs w:val="20"/>
                <w:color w:val="auto"/>
              </w:rPr>
            </w:pPr>
            <w:r>
              <w:rPr>
                <w:rFonts w:ascii="Arial" w:cs="Arial" w:eastAsia="Arial" w:hAnsi="Arial"/>
                <w:sz w:val="14"/>
                <w:szCs w:val="14"/>
                <w:b w:val="1"/>
                <w:bCs w:val="1"/>
                <w:color w:val="auto"/>
              </w:rPr>
              <w:t>Net cash provided by operating activities</w:t>
            </w:r>
          </w:p>
        </w:tc>
        <w:tc>
          <w:tcPr>
            <w:tcW w:w="320" w:type="dxa"/>
            <w:vAlign w:val="bottom"/>
            <w:tcBorders>
              <w:bottom w:val="single" w:sz="8" w:color="auto"/>
            </w:tcBorders>
            <w:shd w:val="clear" w:color="auto" w:fill="DCE2EF"/>
          </w:tcPr>
          <w:p>
            <w:pPr>
              <w:spacing w:after="0"/>
              <w:rPr>
                <w:sz w:val="22"/>
                <w:szCs w:val="22"/>
                <w:color w:val="auto"/>
              </w:rPr>
            </w:pPr>
          </w:p>
        </w:tc>
        <w:tc>
          <w:tcPr>
            <w:tcW w:w="10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262.7</w:t>
            </w:r>
          </w:p>
        </w:tc>
        <w:tc>
          <w:tcPr>
            <w:tcW w:w="60" w:type="dxa"/>
            <w:vAlign w:val="bottom"/>
            <w:tcBorders>
              <w:bottom w:val="single" w:sz="8" w:color="auto"/>
            </w:tcBorders>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320" w:type="dxa"/>
            <w:vAlign w:val="bottom"/>
            <w:tcBorders>
              <w:bottom w:val="single" w:sz="8" w:color="auto"/>
            </w:tcBorders>
            <w:shd w:val="clear" w:color="auto" w:fill="DCE2EF"/>
          </w:tcPr>
          <w:p>
            <w:pPr>
              <w:spacing w:after="0"/>
              <w:rPr>
                <w:sz w:val="22"/>
                <w:szCs w:val="22"/>
                <w:color w:val="auto"/>
              </w:rPr>
            </w:pPr>
          </w:p>
        </w:tc>
        <w:tc>
          <w:tcPr>
            <w:tcW w:w="1040" w:type="dxa"/>
            <w:vAlign w:val="bottom"/>
            <w:tcBorders>
              <w:bottom w:val="single" w:sz="8" w:color="auto"/>
            </w:tcBorders>
            <w:shd w:val="clear" w:color="auto" w:fill="DCE2EF"/>
          </w:tcPr>
          <w:p>
            <w:pPr>
              <w:jc w:val="right"/>
              <w:ind w:right="28"/>
              <w:spacing w:after="0"/>
              <w:rPr>
                <w:sz w:val="20"/>
                <w:szCs w:val="20"/>
                <w:color w:val="auto"/>
              </w:rPr>
            </w:pPr>
            <w:r>
              <w:rPr>
                <w:rFonts w:ascii="Arial" w:cs="Arial" w:eastAsia="Arial" w:hAnsi="Arial"/>
                <w:sz w:val="14"/>
                <w:szCs w:val="14"/>
                <w:color w:val="auto"/>
              </w:rPr>
              <w:t>320.9</w:t>
            </w:r>
          </w:p>
        </w:tc>
        <w:tc>
          <w:tcPr>
            <w:tcW w:w="100" w:type="dxa"/>
            <w:vAlign w:val="bottom"/>
            <w:shd w:val="clear" w:color="auto" w:fill="DCE2EF"/>
          </w:tcPr>
          <w:p>
            <w:pPr>
              <w:spacing w:after="0"/>
              <w:rPr>
                <w:sz w:val="22"/>
                <w:szCs w:val="22"/>
                <w:color w:val="auto"/>
              </w:rPr>
            </w:pPr>
          </w:p>
        </w:tc>
        <w:tc>
          <w:tcPr>
            <w:tcW w:w="320" w:type="dxa"/>
            <w:vAlign w:val="bottom"/>
            <w:tcBorders>
              <w:bottom w:val="single" w:sz="8" w:color="auto"/>
            </w:tcBorders>
            <w:shd w:val="clear" w:color="auto" w:fill="DCE2EF"/>
          </w:tcPr>
          <w:p>
            <w:pPr>
              <w:spacing w:after="0"/>
              <w:rPr>
                <w:sz w:val="22"/>
                <w:szCs w:val="22"/>
                <w:color w:val="auto"/>
              </w:rPr>
            </w:pPr>
          </w:p>
        </w:tc>
        <w:tc>
          <w:tcPr>
            <w:tcW w:w="1040" w:type="dxa"/>
            <w:vAlign w:val="bottom"/>
            <w:tcBorders>
              <w:bottom w:val="single" w:sz="8" w:color="auto"/>
            </w:tcBorders>
            <w:shd w:val="clear" w:color="auto" w:fill="DCE2EF"/>
          </w:tcPr>
          <w:p>
            <w:pPr>
              <w:jc w:val="right"/>
              <w:ind w:right="28"/>
              <w:spacing w:after="0"/>
              <w:rPr>
                <w:sz w:val="20"/>
                <w:szCs w:val="20"/>
                <w:color w:val="auto"/>
              </w:rPr>
            </w:pPr>
            <w:r>
              <w:rPr>
                <w:rFonts w:ascii="Arial" w:cs="Arial" w:eastAsia="Arial" w:hAnsi="Arial"/>
                <w:sz w:val="14"/>
                <w:szCs w:val="14"/>
                <w:color w:val="auto"/>
              </w:rPr>
              <w:t>5.6</w:t>
            </w:r>
          </w:p>
        </w:tc>
      </w:tr>
      <w:tr>
        <w:trPr>
          <w:trHeight w:val="263"/>
        </w:trPr>
        <w:tc>
          <w:tcPr>
            <w:tcW w:w="7080" w:type="dxa"/>
            <w:vAlign w:val="bottom"/>
            <w:gridSpan w:val="3"/>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1"/>
        </w:trPr>
        <w:tc>
          <w:tcPr>
            <w:tcW w:w="708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Additions to property, plant and equipment</w:t>
            </w:r>
          </w:p>
        </w:tc>
        <w:tc>
          <w:tcPr>
            <w:tcW w:w="320" w:type="dxa"/>
            <w:vAlign w:val="bottom"/>
            <w:shd w:val="clear" w:color="auto" w:fill="DCE2EF"/>
          </w:tcPr>
          <w:p>
            <w:pPr>
              <w:spacing w:after="0"/>
              <w:rPr>
                <w:sz w:val="23"/>
                <w:szCs w:val="23"/>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(59.6)</w:t>
            </w:r>
          </w:p>
        </w:tc>
        <w:tc>
          <w:tcPr>
            <w:tcW w:w="60" w:type="dxa"/>
            <w:vAlign w:val="bottom"/>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320" w:type="dxa"/>
            <w:vAlign w:val="bottom"/>
            <w:shd w:val="clear" w:color="auto" w:fill="DCE2EF"/>
          </w:tcPr>
          <w:p>
            <w:pPr>
              <w:spacing w:after="0"/>
              <w:rPr>
                <w:sz w:val="23"/>
                <w:szCs w:val="23"/>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(50.9)</w:t>
            </w:r>
          </w:p>
        </w:tc>
        <w:tc>
          <w:tcPr>
            <w:tcW w:w="100" w:type="dxa"/>
            <w:vAlign w:val="bottom"/>
            <w:shd w:val="clear" w:color="auto" w:fill="DCE2EF"/>
          </w:tcPr>
          <w:p>
            <w:pPr>
              <w:spacing w:after="0"/>
              <w:rPr>
                <w:sz w:val="23"/>
                <w:szCs w:val="23"/>
                <w:color w:val="auto"/>
              </w:rPr>
            </w:pPr>
          </w:p>
        </w:tc>
        <w:tc>
          <w:tcPr>
            <w:tcW w:w="320" w:type="dxa"/>
            <w:vAlign w:val="bottom"/>
            <w:shd w:val="clear" w:color="auto" w:fill="DCE2EF"/>
          </w:tcPr>
          <w:p>
            <w:pPr>
              <w:spacing w:after="0"/>
              <w:rPr>
                <w:sz w:val="23"/>
                <w:szCs w:val="23"/>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(57.2)</w:t>
            </w:r>
          </w:p>
        </w:tc>
      </w:tr>
      <w:tr>
        <w:trPr>
          <w:trHeight w:val="266"/>
        </w:trPr>
        <w:tc>
          <w:tcPr>
            <w:tcW w:w="7080" w:type="dxa"/>
            <w:vAlign w:val="bottom"/>
            <w:gridSpan w:val="3"/>
          </w:tcPr>
          <w:p>
            <w:pPr>
              <w:ind w:left="40"/>
              <w:spacing w:after="0"/>
              <w:rPr>
                <w:sz w:val="20"/>
                <w:szCs w:val="20"/>
                <w:color w:val="auto"/>
              </w:rPr>
            </w:pPr>
            <w:r>
              <w:rPr>
                <w:rFonts w:ascii="Arial" w:cs="Arial" w:eastAsia="Arial" w:hAnsi="Arial"/>
                <w:sz w:val="14"/>
                <w:szCs w:val="14"/>
                <w:color w:val="auto"/>
              </w:rPr>
              <w:t>Proceeds from sale of assets</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4.0</w:t>
            </w:r>
          </w:p>
        </w:tc>
      </w:tr>
      <w:tr>
        <w:trPr>
          <w:trHeight w:val="274"/>
        </w:trPr>
        <w:tc>
          <w:tcPr>
            <w:tcW w:w="708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(Adjustments to) and proceeds from sale of business</w:t>
            </w:r>
          </w:p>
        </w:tc>
        <w:tc>
          <w:tcPr>
            <w:tcW w:w="320" w:type="dxa"/>
            <w:vAlign w:val="bottom"/>
            <w:shd w:val="clear" w:color="auto" w:fill="DCE2EF"/>
          </w:tcPr>
          <w:p>
            <w:pPr>
              <w:spacing w:after="0"/>
              <w:rPr>
                <w:sz w:val="23"/>
                <w:szCs w:val="23"/>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320" w:type="dxa"/>
            <w:vAlign w:val="bottom"/>
            <w:shd w:val="clear" w:color="auto" w:fill="DCE2EF"/>
          </w:tcPr>
          <w:p>
            <w:pPr>
              <w:spacing w:after="0"/>
              <w:rPr>
                <w:sz w:val="23"/>
                <w:szCs w:val="23"/>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DCE2EF"/>
          </w:tcPr>
          <w:p>
            <w:pPr>
              <w:spacing w:after="0"/>
              <w:rPr>
                <w:sz w:val="23"/>
                <w:szCs w:val="23"/>
                <w:color w:val="auto"/>
              </w:rPr>
            </w:pPr>
          </w:p>
        </w:tc>
        <w:tc>
          <w:tcPr>
            <w:tcW w:w="320" w:type="dxa"/>
            <w:vAlign w:val="bottom"/>
            <w:shd w:val="clear" w:color="auto" w:fill="DCE2EF"/>
          </w:tcPr>
          <w:p>
            <w:pPr>
              <w:spacing w:after="0"/>
              <w:rPr>
                <w:sz w:val="23"/>
                <w:szCs w:val="23"/>
                <w:color w:val="auto"/>
              </w:rPr>
            </w:pPr>
          </w:p>
        </w:tc>
        <w:tc>
          <w:tcPr>
            <w:tcW w:w="104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35.5</w:t>
            </w:r>
          </w:p>
        </w:tc>
      </w:tr>
      <w:tr>
        <w:trPr>
          <w:trHeight w:val="266"/>
        </w:trPr>
        <w:tc>
          <w:tcPr>
            <w:tcW w:w="7080" w:type="dxa"/>
            <w:vAlign w:val="bottom"/>
            <w:gridSpan w:val="3"/>
          </w:tcPr>
          <w:p>
            <w:pPr>
              <w:ind w:left="40"/>
              <w:spacing w:after="0"/>
              <w:rPr>
                <w:sz w:val="20"/>
                <w:szCs w:val="20"/>
                <w:color w:val="auto"/>
              </w:rPr>
            </w:pPr>
            <w:r>
              <w:rPr>
                <w:rFonts w:ascii="Arial" w:cs="Arial" w:eastAsia="Arial" w:hAnsi="Arial"/>
                <w:sz w:val="14"/>
                <w:szCs w:val="14"/>
                <w:color w:val="auto"/>
              </w:rPr>
              <w:t>Purchase of businesses, net of cash acquired</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(853.6)</w:t>
            </w:r>
          </w:p>
        </w:tc>
      </w:tr>
      <w:tr>
        <w:trPr>
          <w:trHeight w:val="274"/>
        </w:trPr>
        <w:tc>
          <w:tcPr>
            <w:tcW w:w="708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Proceeds from redemption of auction rate security</w:t>
            </w:r>
          </w:p>
        </w:tc>
        <w:tc>
          <w:tcPr>
            <w:tcW w:w="320" w:type="dxa"/>
            <w:vAlign w:val="bottom"/>
            <w:shd w:val="clear" w:color="auto" w:fill="DCE2EF"/>
          </w:tcPr>
          <w:p>
            <w:pPr>
              <w:spacing w:after="0"/>
              <w:rPr>
                <w:sz w:val="23"/>
                <w:szCs w:val="23"/>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320" w:type="dxa"/>
            <w:vAlign w:val="bottom"/>
            <w:shd w:val="clear" w:color="auto" w:fill="DCE2EF"/>
          </w:tcPr>
          <w:p>
            <w:pPr>
              <w:spacing w:after="0"/>
              <w:rPr>
                <w:sz w:val="23"/>
                <w:szCs w:val="23"/>
                <w:color w:val="auto"/>
              </w:rPr>
            </w:pPr>
          </w:p>
        </w:tc>
        <w:tc>
          <w:tcPr>
            <w:tcW w:w="104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DCE2EF"/>
          </w:tcPr>
          <w:p>
            <w:pPr>
              <w:spacing w:after="0"/>
              <w:rPr>
                <w:sz w:val="23"/>
                <w:szCs w:val="23"/>
                <w:color w:val="auto"/>
              </w:rPr>
            </w:pPr>
          </w:p>
        </w:tc>
        <w:tc>
          <w:tcPr>
            <w:tcW w:w="320" w:type="dxa"/>
            <w:vAlign w:val="bottom"/>
            <w:shd w:val="clear" w:color="auto" w:fill="DCE2EF"/>
          </w:tcPr>
          <w:p>
            <w:pPr>
              <w:spacing w:after="0"/>
              <w:rPr>
                <w:sz w:val="23"/>
                <w:szCs w:val="23"/>
                <w:color w:val="auto"/>
              </w:rPr>
            </w:pPr>
          </w:p>
        </w:tc>
        <w:tc>
          <w:tcPr>
            <w:tcW w:w="104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w:t>
            </w:r>
          </w:p>
        </w:tc>
      </w:tr>
      <w:tr>
        <w:trPr>
          <w:trHeight w:val="266"/>
        </w:trPr>
        <w:tc>
          <w:tcPr>
            <w:tcW w:w="7080" w:type="dxa"/>
            <w:vAlign w:val="bottom"/>
            <w:tcBorders>
              <w:bottom w:val="single" w:sz="8" w:color="DCE2EF"/>
            </w:tcBorders>
            <w:gridSpan w:val="3"/>
          </w:tcPr>
          <w:p>
            <w:pPr>
              <w:ind w:left="40"/>
              <w:spacing w:after="0"/>
              <w:rPr>
                <w:sz w:val="20"/>
                <w:szCs w:val="20"/>
                <w:color w:val="auto"/>
              </w:rPr>
            </w:pPr>
            <w:r>
              <w:rPr>
                <w:rFonts w:ascii="Arial" w:cs="Arial" w:eastAsia="Arial" w:hAnsi="Arial"/>
                <w:sz w:val="14"/>
                <w:szCs w:val="14"/>
                <w:color w:val="auto"/>
              </w:rPr>
              <w:t>Investments in unconsolidated affiliates</w:t>
            </w: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DCE2E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00" w:type="dxa"/>
            <w:vAlign w:val="bottom"/>
            <w:tcBorders>
              <w:bottom w:val="single" w:sz="8" w:color="DCE2E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r>
      <w:tr>
        <w:trPr>
          <w:trHeight w:val="254"/>
        </w:trPr>
        <w:tc>
          <w:tcPr>
            <w:tcW w:w="7080" w:type="dxa"/>
            <w:vAlign w:val="bottom"/>
            <w:gridSpan w:val="3"/>
            <w:shd w:val="clear" w:color="auto" w:fill="DCE2EF"/>
          </w:tcPr>
          <w:p>
            <w:pPr>
              <w:ind w:left="40"/>
              <w:spacing w:after="0"/>
              <w:rPr>
                <w:sz w:val="20"/>
                <w:szCs w:val="20"/>
                <w:color w:val="auto"/>
              </w:rPr>
            </w:pPr>
            <w:r>
              <w:rPr>
                <w:rFonts w:ascii="Arial" w:cs="Arial" w:eastAsia="Arial" w:hAnsi="Arial"/>
                <w:sz w:val="14"/>
                <w:szCs w:val="14"/>
                <w:b w:val="1"/>
                <w:bCs w:val="1"/>
                <w:color w:val="auto"/>
              </w:rPr>
              <w:t>Net cash used in investing activities</w:t>
            </w:r>
          </w:p>
        </w:tc>
        <w:tc>
          <w:tcPr>
            <w:tcW w:w="320" w:type="dxa"/>
            <w:vAlign w:val="bottom"/>
            <w:tcBorders>
              <w:bottom w:val="single" w:sz="8" w:color="auto"/>
            </w:tcBorders>
            <w:shd w:val="clear" w:color="auto" w:fill="DCE2EF"/>
          </w:tcPr>
          <w:p>
            <w:pPr>
              <w:spacing w:after="0"/>
              <w:rPr>
                <w:sz w:val="22"/>
                <w:szCs w:val="22"/>
                <w:color w:val="auto"/>
              </w:rPr>
            </w:pPr>
          </w:p>
        </w:tc>
        <w:tc>
          <w:tcPr>
            <w:tcW w:w="10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(58.3)</w:t>
            </w:r>
          </w:p>
        </w:tc>
        <w:tc>
          <w:tcPr>
            <w:tcW w:w="60" w:type="dxa"/>
            <w:vAlign w:val="bottom"/>
            <w:tcBorders>
              <w:bottom w:val="single" w:sz="8" w:color="auto"/>
            </w:tcBorders>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320" w:type="dxa"/>
            <w:vAlign w:val="bottom"/>
            <w:tcBorders>
              <w:bottom w:val="single" w:sz="8" w:color="auto"/>
            </w:tcBorders>
            <w:shd w:val="clear" w:color="auto" w:fill="DCE2EF"/>
          </w:tcPr>
          <w:p>
            <w:pPr>
              <w:spacing w:after="0"/>
              <w:rPr>
                <w:sz w:val="22"/>
                <w:szCs w:val="22"/>
                <w:color w:val="auto"/>
              </w:rPr>
            </w:pPr>
          </w:p>
        </w:tc>
        <w:tc>
          <w:tcPr>
            <w:tcW w:w="10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(48.1)</w:t>
            </w:r>
          </w:p>
        </w:tc>
        <w:tc>
          <w:tcPr>
            <w:tcW w:w="100" w:type="dxa"/>
            <w:vAlign w:val="bottom"/>
            <w:shd w:val="clear" w:color="auto" w:fill="DCE2EF"/>
          </w:tcPr>
          <w:p>
            <w:pPr>
              <w:spacing w:after="0"/>
              <w:rPr>
                <w:sz w:val="22"/>
                <w:szCs w:val="22"/>
                <w:color w:val="auto"/>
              </w:rPr>
            </w:pPr>
          </w:p>
        </w:tc>
        <w:tc>
          <w:tcPr>
            <w:tcW w:w="320" w:type="dxa"/>
            <w:vAlign w:val="bottom"/>
            <w:tcBorders>
              <w:bottom w:val="single" w:sz="8" w:color="auto"/>
            </w:tcBorders>
            <w:shd w:val="clear" w:color="auto" w:fill="DCE2EF"/>
          </w:tcPr>
          <w:p>
            <w:pPr>
              <w:spacing w:after="0"/>
              <w:rPr>
                <w:sz w:val="22"/>
                <w:szCs w:val="22"/>
                <w:color w:val="auto"/>
              </w:rPr>
            </w:pPr>
          </w:p>
        </w:tc>
        <w:tc>
          <w:tcPr>
            <w:tcW w:w="10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(871.8)</w:t>
            </w:r>
          </w:p>
        </w:tc>
      </w:tr>
      <w:tr>
        <w:trPr>
          <w:trHeight w:val="263"/>
        </w:trPr>
        <w:tc>
          <w:tcPr>
            <w:tcW w:w="7080" w:type="dxa"/>
            <w:vAlign w:val="bottom"/>
            <w:gridSpan w:val="3"/>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1"/>
        </w:trPr>
        <w:tc>
          <w:tcPr>
            <w:tcW w:w="708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Taxes withheld from issuance of share-based compensation awards, net</w:t>
            </w:r>
          </w:p>
        </w:tc>
        <w:tc>
          <w:tcPr>
            <w:tcW w:w="320" w:type="dxa"/>
            <w:vAlign w:val="bottom"/>
            <w:shd w:val="clear" w:color="auto" w:fill="DCE2EF"/>
          </w:tcPr>
          <w:p>
            <w:pPr>
              <w:spacing w:after="0"/>
              <w:rPr>
                <w:sz w:val="23"/>
                <w:szCs w:val="23"/>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(1.3)</w:t>
            </w:r>
          </w:p>
        </w:tc>
        <w:tc>
          <w:tcPr>
            <w:tcW w:w="60" w:type="dxa"/>
            <w:vAlign w:val="bottom"/>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320" w:type="dxa"/>
            <w:vAlign w:val="bottom"/>
            <w:shd w:val="clear" w:color="auto" w:fill="DCE2EF"/>
          </w:tcPr>
          <w:p>
            <w:pPr>
              <w:spacing w:after="0"/>
              <w:rPr>
                <w:sz w:val="23"/>
                <w:szCs w:val="23"/>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DCE2EF"/>
          </w:tcPr>
          <w:p>
            <w:pPr>
              <w:spacing w:after="0"/>
              <w:rPr>
                <w:sz w:val="23"/>
                <w:szCs w:val="23"/>
                <w:color w:val="auto"/>
              </w:rPr>
            </w:pPr>
          </w:p>
        </w:tc>
        <w:tc>
          <w:tcPr>
            <w:tcW w:w="320" w:type="dxa"/>
            <w:vAlign w:val="bottom"/>
            <w:shd w:val="clear" w:color="auto" w:fill="DCE2EF"/>
          </w:tcPr>
          <w:p>
            <w:pPr>
              <w:spacing w:after="0"/>
              <w:rPr>
                <w:sz w:val="23"/>
                <w:szCs w:val="23"/>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(0.7)</w:t>
            </w:r>
          </w:p>
        </w:tc>
      </w:tr>
      <w:tr>
        <w:trPr>
          <w:trHeight w:val="266"/>
        </w:trPr>
        <w:tc>
          <w:tcPr>
            <w:tcW w:w="7080" w:type="dxa"/>
            <w:vAlign w:val="bottom"/>
            <w:gridSpan w:val="3"/>
          </w:tcPr>
          <w:p>
            <w:pPr>
              <w:ind w:left="40"/>
              <w:spacing w:after="0"/>
              <w:rPr>
                <w:sz w:val="20"/>
                <w:szCs w:val="20"/>
                <w:color w:val="auto"/>
              </w:rPr>
            </w:pPr>
            <w:r>
              <w:rPr>
                <w:rFonts w:ascii="Arial" w:cs="Arial" w:eastAsia="Arial" w:hAnsi="Arial"/>
                <w:sz w:val="14"/>
                <w:szCs w:val="14"/>
                <w:color w:val="auto"/>
              </w:rPr>
              <w:t>Repurchases of common stock</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(7.9)</w:t>
            </w:r>
          </w:p>
        </w:tc>
      </w:tr>
      <w:tr>
        <w:trPr>
          <w:trHeight w:val="274"/>
        </w:trPr>
        <w:tc>
          <w:tcPr>
            <w:tcW w:w="708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Dividends paid</w:t>
            </w:r>
          </w:p>
        </w:tc>
        <w:tc>
          <w:tcPr>
            <w:tcW w:w="320" w:type="dxa"/>
            <w:vAlign w:val="bottom"/>
            <w:shd w:val="clear" w:color="auto" w:fill="DCE2EF"/>
          </w:tcPr>
          <w:p>
            <w:pPr>
              <w:spacing w:after="0"/>
              <w:rPr>
                <w:sz w:val="23"/>
                <w:szCs w:val="23"/>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(47.7)</w:t>
            </w:r>
          </w:p>
        </w:tc>
        <w:tc>
          <w:tcPr>
            <w:tcW w:w="60" w:type="dxa"/>
            <w:vAlign w:val="bottom"/>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320" w:type="dxa"/>
            <w:vAlign w:val="bottom"/>
            <w:shd w:val="clear" w:color="auto" w:fill="DCE2EF"/>
          </w:tcPr>
          <w:p>
            <w:pPr>
              <w:spacing w:after="0"/>
              <w:rPr>
                <w:sz w:val="23"/>
                <w:szCs w:val="23"/>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(46.0)</w:t>
            </w:r>
          </w:p>
        </w:tc>
        <w:tc>
          <w:tcPr>
            <w:tcW w:w="100" w:type="dxa"/>
            <w:vAlign w:val="bottom"/>
            <w:shd w:val="clear" w:color="auto" w:fill="DCE2EF"/>
          </w:tcPr>
          <w:p>
            <w:pPr>
              <w:spacing w:after="0"/>
              <w:rPr>
                <w:sz w:val="23"/>
                <w:szCs w:val="23"/>
                <w:color w:val="auto"/>
              </w:rPr>
            </w:pPr>
          </w:p>
        </w:tc>
        <w:tc>
          <w:tcPr>
            <w:tcW w:w="320" w:type="dxa"/>
            <w:vAlign w:val="bottom"/>
            <w:shd w:val="clear" w:color="auto" w:fill="DCE2EF"/>
          </w:tcPr>
          <w:p>
            <w:pPr>
              <w:spacing w:after="0"/>
              <w:rPr>
                <w:sz w:val="23"/>
                <w:szCs w:val="23"/>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(39.5)</w:t>
            </w:r>
          </w:p>
        </w:tc>
      </w:tr>
      <w:tr>
        <w:trPr>
          <w:trHeight w:val="266"/>
        </w:trPr>
        <w:tc>
          <w:tcPr>
            <w:tcW w:w="7080" w:type="dxa"/>
            <w:vAlign w:val="bottom"/>
            <w:gridSpan w:val="3"/>
          </w:tcPr>
          <w:p>
            <w:pPr>
              <w:ind w:left="40"/>
              <w:spacing w:after="0"/>
              <w:rPr>
                <w:sz w:val="20"/>
                <w:szCs w:val="20"/>
                <w:color w:val="auto"/>
              </w:rPr>
            </w:pPr>
            <w:r>
              <w:rPr>
                <w:rFonts w:ascii="Arial" w:cs="Arial" w:eastAsia="Arial" w:hAnsi="Arial"/>
                <w:sz w:val="14"/>
                <w:szCs w:val="14"/>
                <w:color w:val="auto"/>
              </w:rPr>
              <w:t>Deferred financing costs paid</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(18.7)</w:t>
            </w:r>
          </w:p>
        </w:tc>
      </w:tr>
      <w:tr>
        <w:trPr>
          <w:trHeight w:val="274"/>
        </w:trPr>
        <w:tc>
          <w:tcPr>
            <w:tcW w:w="708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Borrowings from credit facility</w:t>
            </w:r>
          </w:p>
        </w:tc>
        <w:tc>
          <w:tcPr>
            <w:tcW w:w="320" w:type="dxa"/>
            <w:vAlign w:val="bottom"/>
            <w:shd w:val="clear" w:color="auto" w:fill="DCE2EF"/>
          </w:tcPr>
          <w:p>
            <w:pPr>
              <w:spacing w:after="0"/>
              <w:rPr>
                <w:sz w:val="23"/>
                <w:szCs w:val="23"/>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1,755.9</w:t>
            </w:r>
          </w:p>
        </w:tc>
        <w:tc>
          <w:tcPr>
            <w:tcW w:w="60" w:type="dxa"/>
            <w:vAlign w:val="bottom"/>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320" w:type="dxa"/>
            <w:vAlign w:val="bottom"/>
            <w:shd w:val="clear" w:color="auto" w:fill="DCE2EF"/>
          </w:tcPr>
          <w:p>
            <w:pPr>
              <w:spacing w:after="0"/>
              <w:rPr>
                <w:sz w:val="23"/>
                <w:szCs w:val="23"/>
                <w:color w:val="auto"/>
              </w:rPr>
            </w:pPr>
          </w:p>
        </w:tc>
        <w:tc>
          <w:tcPr>
            <w:tcW w:w="104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1,184.2</w:t>
            </w:r>
          </w:p>
        </w:tc>
        <w:tc>
          <w:tcPr>
            <w:tcW w:w="100" w:type="dxa"/>
            <w:vAlign w:val="bottom"/>
            <w:shd w:val="clear" w:color="auto" w:fill="DCE2EF"/>
          </w:tcPr>
          <w:p>
            <w:pPr>
              <w:spacing w:after="0"/>
              <w:rPr>
                <w:sz w:val="23"/>
                <w:szCs w:val="23"/>
                <w:color w:val="auto"/>
              </w:rPr>
            </w:pPr>
          </w:p>
        </w:tc>
        <w:tc>
          <w:tcPr>
            <w:tcW w:w="320" w:type="dxa"/>
            <w:vAlign w:val="bottom"/>
            <w:shd w:val="clear" w:color="auto" w:fill="DCE2EF"/>
          </w:tcPr>
          <w:p>
            <w:pPr>
              <w:spacing w:after="0"/>
              <w:rPr>
                <w:sz w:val="23"/>
                <w:szCs w:val="23"/>
                <w:color w:val="auto"/>
              </w:rPr>
            </w:pPr>
          </w:p>
        </w:tc>
        <w:tc>
          <w:tcPr>
            <w:tcW w:w="104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1,880.1</w:t>
            </w:r>
          </w:p>
        </w:tc>
      </w:tr>
      <w:tr>
        <w:trPr>
          <w:trHeight w:val="266"/>
        </w:trPr>
        <w:tc>
          <w:tcPr>
            <w:tcW w:w="7080" w:type="dxa"/>
            <w:vAlign w:val="bottom"/>
            <w:gridSpan w:val="3"/>
          </w:tcPr>
          <w:p>
            <w:pPr>
              <w:ind w:left="40"/>
              <w:spacing w:after="0"/>
              <w:rPr>
                <w:sz w:val="20"/>
                <w:szCs w:val="20"/>
                <w:color w:val="auto"/>
              </w:rPr>
            </w:pPr>
            <w:r>
              <w:rPr>
                <w:rFonts w:ascii="Arial" w:cs="Arial" w:eastAsia="Arial" w:hAnsi="Arial"/>
                <w:sz w:val="14"/>
                <w:szCs w:val="14"/>
                <w:color w:val="auto"/>
              </w:rPr>
              <w:t>Repayment of borrowings from credit facility</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(1,896.5)</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(1,426.4)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(957.2)</w:t>
            </w:r>
          </w:p>
        </w:tc>
      </w:tr>
      <w:tr>
        <w:trPr>
          <w:trHeight w:val="274"/>
        </w:trPr>
        <w:tc>
          <w:tcPr>
            <w:tcW w:w="708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Changes in book cash overdrafts</w:t>
            </w:r>
          </w:p>
        </w:tc>
        <w:tc>
          <w:tcPr>
            <w:tcW w:w="320" w:type="dxa"/>
            <w:vAlign w:val="bottom"/>
            <w:shd w:val="clear" w:color="auto" w:fill="DCE2EF"/>
          </w:tcPr>
          <w:p>
            <w:pPr>
              <w:spacing w:after="0"/>
              <w:rPr>
                <w:sz w:val="23"/>
                <w:szCs w:val="23"/>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(0.2)</w:t>
            </w:r>
          </w:p>
        </w:tc>
        <w:tc>
          <w:tcPr>
            <w:tcW w:w="60" w:type="dxa"/>
            <w:vAlign w:val="bottom"/>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320" w:type="dxa"/>
            <w:vAlign w:val="bottom"/>
            <w:shd w:val="clear" w:color="auto" w:fill="DCE2EF"/>
          </w:tcPr>
          <w:p>
            <w:pPr>
              <w:spacing w:after="0"/>
              <w:rPr>
                <w:sz w:val="23"/>
                <w:szCs w:val="23"/>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DCE2EF"/>
          </w:tcPr>
          <w:p>
            <w:pPr>
              <w:spacing w:after="0"/>
              <w:rPr>
                <w:sz w:val="23"/>
                <w:szCs w:val="23"/>
                <w:color w:val="auto"/>
              </w:rPr>
            </w:pPr>
          </w:p>
        </w:tc>
        <w:tc>
          <w:tcPr>
            <w:tcW w:w="320" w:type="dxa"/>
            <w:vAlign w:val="bottom"/>
            <w:shd w:val="clear" w:color="auto" w:fill="DCE2EF"/>
          </w:tcPr>
          <w:p>
            <w:pPr>
              <w:spacing w:after="0"/>
              <w:rPr>
                <w:sz w:val="23"/>
                <w:szCs w:val="23"/>
                <w:color w:val="auto"/>
              </w:rPr>
            </w:pPr>
          </w:p>
        </w:tc>
        <w:tc>
          <w:tcPr>
            <w:tcW w:w="104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15.8</w:t>
            </w:r>
          </w:p>
        </w:tc>
      </w:tr>
      <w:tr>
        <w:trPr>
          <w:trHeight w:val="266"/>
        </w:trPr>
        <w:tc>
          <w:tcPr>
            <w:tcW w:w="7080" w:type="dxa"/>
            <w:vAlign w:val="bottom"/>
            <w:gridSpan w:val="3"/>
          </w:tcPr>
          <w:p>
            <w:pPr>
              <w:ind w:left="40"/>
              <w:spacing w:after="0"/>
              <w:rPr>
                <w:sz w:val="20"/>
                <w:szCs w:val="20"/>
                <w:color w:val="auto"/>
              </w:rPr>
            </w:pPr>
            <w:r>
              <w:rPr>
                <w:rFonts w:ascii="Arial" w:cs="Arial" w:eastAsia="Arial" w:hAnsi="Arial"/>
                <w:sz w:val="14"/>
                <w:szCs w:val="14"/>
                <w:color w:val="auto"/>
              </w:rPr>
              <w:t>Financing of energy savings performance contracts</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8.1</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6.8</w:t>
            </w:r>
          </w:p>
        </w:tc>
      </w:tr>
      <w:tr>
        <w:trPr>
          <w:trHeight w:val="274"/>
        </w:trPr>
        <w:tc>
          <w:tcPr>
            <w:tcW w:w="708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Repayment of capital lease obligations</w:t>
            </w:r>
          </w:p>
        </w:tc>
        <w:tc>
          <w:tcPr>
            <w:tcW w:w="320" w:type="dxa"/>
            <w:vAlign w:val="bottom"/>
            <w:shd w:val="clear" w:color="auto" w:fill="DCE2EF"/>
          </w:tcPr>
          <w:p>
            <w:pPr>
              <w:spacing w:after="0"/>
              <w:rPr>
                <w:sz w:val="23"/>
                <w:szCs w:val="23"/>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(3.1)</w:t>
            </w:r>
          </w:p>
        </w:tc>
        <w:tc>
          <w:tcPr>
            <w:tcW w:w="60" w:type="dxa"/>
            <w:vAlign w:val="bottom"/>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320" w:type="dxa"/>
            <w:vAlign w:val="bottom"/>
            <w:shd w:val="clear" w:color="auto" w:fill="DCE2EF"/>
          </w:tcPr>
          <w:p>
            <w:pPr>
              <w:spacing w:after="0"/>
              <w:rPr>
                <w:sz w:val="23"/>
                <w:szCs w:val="23"/>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DCE2EF"/>
          </w:tcPr>
          <w:p>
            <w:pPr>
              <w:spacing w:after="0"/>
              <w:rPr>
                <w:sz w:val="23"/>
                <w:szCs w:val="23"/>
                <w:color w:val="auto"/>
              </w:rPr>
            </w:pPr>
          </w:p>
        </w:tc>
        <w:tc>
          <w:tcPr>
            <w:tcW w:w="320" w:type="dxa"/>
            <w:vAlign w:val="bottom"/>
            <w:shd w:val="clear" w:color="auto" w:fill="DCE2EF"/>
          </w:tcPr>
          <w:p>
            <w:pPr>
              <w:spacing w:after="0"/>
              <w:rPr>
                <w:sz w:val="23"/>
                <w:szCs w:val="23"/>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(0.9)</w:t>
            </w:r>
          </w:p>
        </w:tc>
      </w:tr>
      <w:tr>
        <w:trPr>
          <w:trHeight w:val="266"/>
        </w:trPr>
        <w:tc>
          <w:tcPr>
            <w:tcW w:w="7080" w:type="dxa"/>
            <w:vAlign w:val="bottom"/>
            <w:gridSpan w:val="3"/>
          </w:tcPr>
          <w:p>
            <w:pPr>
              <w:ind w:left="40"/>
              <w:spacing w:after="0"/>
              <w:rPr>
                <w:sz w:val="20"/>
                <w:szCs w:val="20"/>
                <w:color w:val="auto"/>
              </w:rPr>
            </w:pPr>
            <w:r>
              <w:rPr>
                <w:rFonts w:ascii="Arial" w:cs="Arial" w:eastAsia="Arial" w:hAnsi="Arial"/>
                <w:sz w:val="14"/>
                <w:szCs w:val="14"/>
                <w:color w:val="auto"/>
              </w:rPr>
              <w:t>Payment of contingent consideration</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254"/>
        </w:trPr>
        <w:tc>
          <w:tcPr>
            <w:tcW w:w="7080" w:type="dxa"/>
            <w:vAlign w:val="bottom"/>
            <w:tcBorders>
              <w:top w:val="single" w:sz="8" w:color="DCE2EF"/>
            </w:tcBorders>
            <w:gridSpan w:val="3"/>
            <w:shd w:val="clear" w:color="auto" w:fill="DCE2EF"/>
          </w:tcPr>
          <w:p>
            <w:pPr>
              <w:ind w:left="40"/>
              <w:spacing w:after="0"/>
              <w:rPr>
                <w:sz w:val="20"/>
                <w:szCs w:val="20"/>
                <w:color w:val="auto"/>
              </w:rPr>
            </w:pPr>
            <w:r>
              <w:rPr>
                <w:rFonts w:ascii="Arial" w:cs="Arial" w:eastAsia="Arial" w:hAnsi="Arial"/>
                <w:sz w:val="14"/>
                <w:szCs w:val="14"/>
                <w:b w:val="1"/>
                <w:bCs w:val="1"/>
                <w:color w:val="auto"/>
              </w:rPr>
              <w:t>Net cash (used in) provided by financing activities</w:t>
            </w:r>
          </w:p>
        </w:tc>
        <w:tc>
          <w:tcPr>
            <w:tcW w:w="320" w:type="dxa"/>
            <w:vAlign w:val="bottom"/>
            <w:tcBorders>
              <w:top w:val="single" w:sz="8" w:color="auto"/>
              <w:bottom w:val="single" w:sz="8" w:color="auto"/>
            </w:tcBorders>
            <w:shd w:val="clear" w:color="auto" w:fill="DCE2EF"/>
          </w:tcPr>
          <w:p>
            <w:pPr>
              <w:spacing w:after="0"/>
              <w:rPr>
                <w:sz w:val="22"/>
                <w:szCs w:val="22"/>
                <w:color w:val="auto"/>
              </w:rPr>
            </w:pPr>
          </w:p>
        </w:tc>
        <w:tc>
          <w:tcPr>
            <w:tcW w:w="102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(184.8)</w:t>
            </w:r>
          </w:p>
        </w:tc>
        <w:tc>
          <w:tcPr>
            <w:tcW w:w="60" w:type="dxa"/>
            <w:vAlign w:val="bottom"/>
            <w:tcBorders>
              <w:top w:val="single" w:sz="8" w:color="auto"/>
              <w:bottom w:val="single" w:sz="8" w:color="auto"/>
            </w:tcBorders>
            <w:shd w:val="clear" w:color="auto" w:fill="DCE2EF"/>
          </w:tcPr>
          <w:p>
            <w:pPr>
              <w:spacing w:after="0"/>
              <w:rPr>
                <w:sz w:val="22"/>
                <w:szCs w:val="22"/>
                <w:color w:val="auto"/>
              </w:rPr>
            </w:pPr>
          </w:p>
        </w:tc>
        <w:tc>
          <w:tcPr>
            <w:tcW w:w="120" w:type="dxa"/>
            <w:vAlign w:val="bottom"/>
            <w:tcBorders>
              <w:top w:val="single" w:sz="8" w:color="DCE2EF"/>
            </w:tcBorders>
            <w:shd w:val="clear" w:color="auto" w:fill="DCE2EF"/>
          </w:tcPr>
          <w:p>
            <w:pPr>
              <w:spacing w:after="0"/>
              <w:rPr>
                <w:sz w:val="22"/>
                <w:szCs w:val="22"/>
                <w:color w:val="auto"/>
              </w:rPr>
            </w:pPr>
          </w:p>
        </w:tc>
        <w:tc>
          <w:tcPr>
            <w:tcW w:w="320" w:type="dxa"/>
            <w:vAlign w:val="bottom"/>
            <w:tcBorders>
              <w:top w:val="single" w:sz="8" w:color="auto"/>
              <w:bottom w:val="single" w:sz="8" w:color="auto"/>
            </w:tcBorders>
            <w:shd w:val="clear" w:color="auto" w:fill="DCE2EF"/>
          </w:tcPr>
          <w:p>
            <w:pPr>
              <w:spacing w:after="0"/>
              <w:rPr>
                <w:sz w:val="22"/>
                <w:szCs w:val="22"/>
                <w:color w:val="auto"/>
              </w:rPr>
            </w:pPr>
          </w:p>
        </w:tc>
        <w:tc>
          <w:tcPr>
            <w:tcW w:w="104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(295.8)</w:t>
            </w:r>
          </w:p>
        </w:tc>
        <w:tc>
          <w:tcPr>
            <w:tcW w:w="100" w:type="dxa"/>
            <w:vAlign w:val="bottom"/>
            <w:tcBorders>
              <w:top w:val="single" w:sz="8" w:color="DCE2EF"/>
            </w:tcBorders>
            <w:shd w:val="clear" w:color="auto" w:fill="DCE2EF"/>
          </w:tcPr>
          <w:p>
            <w:pPr>
              <w:spacing w:after="0"/>
              <w:rPr>
                <w:sz w:val="22"/>
                <w:szCs w:val="22"/>
                <w:color w:val="auto"/>
              </w:rPr>
            </w:pPr>
          </w:p>
        </w:tc>
        <w:tc>
          <w:tcPr>
            <w:tcW w:w="320" w:type="dxa"/>
            <w:vAlign w:val="bottom"/>
            <w:tcBorders>
              <w:top w:val="single" w:sz="8" w:color="auto"/>
              <w:bottom w:val="single" w:sz="8" w:color="auto"/>
            </w:tcBorders>
            <w:shd w:val="clear" w:color="auto" w:fill="DCE2EF"/>
          </w:tcPr>
          <w:p>
            <w:pPr>
              <w:spacing w:after="0"/>
              <w:rPr>
                <w:sz w:val="22"/>
                <w:szCs w:val="22"/>
                <w:color w:val="auto"/>
              </w:rPr>
            </w:pPr>
          </w:p>
        </w:tc>
        <w:tc>
          <w:tcPr>
            <w:tcW w:w="1040" w:type="dxa"/>
            <w:vAlign w:val="bottom"/>
            <w:tcBorders>
              <w:top w:val="single" w:sz="8" w:color="auto"/>
              <w:bottom w:val="single" w:sz="8" w:color="auto"/>
            </w:tcBorders>
            <w:shd w:val="clear" w:color="auto" w:fill="DCE2EF"/>
          </w:tcPr>
          <w:p>
            <w:pPr>
              <w:jc w:val="right"/>
              <w:ind w:right="28"/>
              <w:spacing w:after="0"/>
              <w:rPr>
                <w:sz w:val="20"/>
                <w:szCs w:val="20"/>
                <w:color w:val="auto"/>
              </w:rPr>
            </w:pPr>
            <w:r>
              <w:rPr>
                <w:rFonts w:ascii="Arial" w:cs="Arial" w:eastAsia="Arial" w:hAnsi="Arial"/>
                <w:sz w:val="14"/>
                <w:szCs w:val="14"/>
                <w:color w:val="auto"/>
              </w:rPr>
              <w:t>874.0</w:t>
            </w:r>
          </w:p>
        </w:tc>
      </w:tr>
      <w:tr>
        <w:trPr>
          <w:trHeight w:val="249"/>
        </w:trPr>
        <w:tc>
          <w:tcPr>
            <w:tcW w:w="7080" w:type="dxa"/>
            <w:vAlign w:val="bottom"/>
            <w:tcBorders>
              <w:bottom w:val="single" w:sz="8" w:color="DCE2EF"/>
            </w:tcBorders>
            <w:gridSpan w:val="3"/>
          </w:tcPr>
          <w:p>
            <w:pPr>
              <w:ind w:left="40"/>
              <w:spacing w:after="0"/>
              <w:rPr>
                <w:sz w:val="20"/>
                <w:szCs w:val="20"/>
                <w:color w:val="auto"/>
              </w:rPr>
            </w:pPr>
            <w:r>
              <w:rPr>
                <w:rFonts w:ascii="Arial" w:cs="Arial" w:eastAsia="Arial" w:hAnsi="Arial"/>
                <w:sz w:val="14"/>
                <w:szCs w:val="14"/>
                <w:b w:val="1"/>
                <w:bCs w:val="1"/>
                <w:color w:val="auto"/>
              </w:rPr>
              <w:t>Effect of exchange rate changes on cash and cash equivalents</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DCE2E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100" w:type="dxa"/>
            <w:vAlign w:val="bottom"/>
            <w:tcBorders>
              <w:bottom w:val="single" w:sz="8" w:color="DCE2E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w:t>
            </w:r>
          </w:p>
        </w:tc>
      </w:tr>
      <w:tr>
        <w:trPr>
          <w:trHeight w:val="251"/>
        </w:trPr>
        <w:tc>
          <w:tcPr>
            <w:tcW w:w="708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Net increase (decrease) in cash and cash equivalents</w:t>
            </w:r>
          </w:p>
        </w:tc>
        <w:tc>
          <w:tcPr>
            <w:tcW w:w="320" w:type="dxa"/>
            <w:vAlign w:val="bottom"/>
            <w:shd w:val="clear" w:color="auto" w:fill="DCE2EF"/>
          </w:tcPr>
          <w:p>
            <w:pPr>
              <w:spacing w:after="0"/>
              <w:rPr>
                <w:sz w:val="21"/>
                <w:szCs w:val="21"/>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19.4</w:t>
            </w:r>
          </w:p>
        </w:tc>
        <w:tc>
          <w:tcPr>
            <w:tcW w:w="60" w:type="dxa"/>
            <w:vAlign w:val="bottom"/>
            <w:shd w:val="clear" w:color="auto" w:fill="DCE2EF"/>
          </w:tcPr>
          <w:p>
            <w:pPr>
              <w:spacing w:after="0"/>
              <w:rPr>
                <w:sz w:val="21"/>
                <w:szCs w:val="21"/>
                <w:color w:val="auto"/>
              </w:rPr>
            </w:pPr>
          </w:p>
        </w:tc>
        <w:tc>
          <w:tcPr>
            <w:tcW w:w="120" w:type="dxa"/>
            <w:vAlign w:val="bottom"/>
            <w:shd w:val="clear" w:color="auto" w:fill="DCE2EF"/>
          </w:tcPr>
          <w:p>
            <w:pPr>
              <w:spacing w:after="0"/>
              <w:rPr>
                <w:sz w:val="21"/>
                <w:szCs w:val="21"/>
                <w:color w:val="auto"/>
              </w:rPr>
            </w:pPr>
          </w:p>
        </w:tc>
        <w:tc>
          <w:tcPr>
            <w:tcW w:w="320" w:type="dxa"/>
            <w:vAlign w:val="bottom"/>
            <w:shd w:val="clear" w:color="auto" w:fill="DCE2EF"/>
          </w:tcPr>
          <w:p>
            <w:pPr>
              <w:spacing w:after="0"/>
              <w:rPr>
                <w:sz w:val="21"/>
                <w:szCs w:val="21"/>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(23.7)</w:t>
            </w:r>
          </w:p>
        </w:tc>
        <w:tc>
          <w:tcPr>
            <w:tcW w:w="100" w:type="dxa"/>
            <w:vAlign w:val="bottom"/>
            <w:shd w:val="clear" w:color="auto" w:fill="DCE2EF"/>
          </w:tcPr>
          <w:p>
            <w:pPr>
              <w:spacing w:after="0"/>
              <w:rPr>
                <w:sz w:val="21"/>
                <w:szCs w:val="21"/>
                <w:color w:val="auto"/>
              </w:rPr>
            </w:pPr>
          </w:p>
        </w:tc>
        <w:tc>
          <w:tcPr>
            <w:tcW w:w="320" w:type="dxa"/>
            <w:vAlign w:val="bottom"/>
            <w:shd w:val="clear" w:color="auto" w:fill="DCE2EF"/>
          </w:tcPr>
          <w:p>
            <w:pPr>
              <w:spacing w:after="0"/>
              <w:rPr>
                <w:sz w:val="21"/>
                <w:szCs w:val="21"/>
                <w:color w:val="auto"/>
              </w:rPr>
            </w:pPr>
          </w:p>
        </w:tc>
        <w:tc>
          <w:tcPr>
            <w:tcW w:w="104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9.3</w:t>
            </w:r>
          </w:p>
        </w:tc>
      </w:tr>
      <w:tr>
        <w:trPr>
          <w:trHeight w:val="269"/>
        </w:trPr>
        <w:tc>
          <w:tcPr>
            <w:tcW w:w="7080" w:type="dxa"/>
            <w:vAlign w:val="bottom"/>
            <w:tcBorders>
              <w:bottom w:val="single" w:sz="8" w:color="DCE2EF"/>
            </w:tcBorders>
            <w:gridSpan w:val="3"/>
          </w:tcPr>
          <w:p>
            <w:pPr>
              <w:ind w:left="40"/>
              <w:spacing w:after="0"/>
              <w:rPr>
                <w:sz w:val="20"/>
                <w:szCs w:val="20"/>
                <w:color w:val="auto"/>
              </w:rPr>
            </w:pPr>
            <w:r>
              <w:rPr>
                <w:rFonts w:ascii="Arial" w:cs="Arial" w:eastAsia="Arial" w:hAnsi="Arial"/>
                <w:sz w:val="14"/>
                <w:szCs w:val="14"/>
                <w:b w:val="1"/>
                <w:bCs w:val="1"/>
                <w:color w:val="auto"/>
              </w:rPr>
              <w:t>Cash and cash equivalents at beginning of year</w:t>
            </w: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DCE2E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62.8</w:t>
            </w:r>
          </w:p>
        </w:tc>
        <w:tc>
          <w:tcPr>
            <w:tcW w:w="100" w:type="dxa"/>
            <w:vAlign w:val="bottom"/>
            <w:tcBorders>
              <w:bottom w:val="single" w:sz="8" w:color="DCE2E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53.5</w:t>
            </w:r>
          </w:p>
        </w:tc>
      </w:tr>
      <w:tr>
        <w:trPr>
          <w:trHeight w:val="238"/>
        </w:trPr>
        <w:tc>
          <w:tcPr>
            <w:tcW w:w="7080" w:type="dxa"/>
            <w:vAlign w:val="bottom"/>
            <w:gridSpan w:val="3"/>
            <w:shd w:val="clear" w:color="auto" w:fill="DCE2EF"/>
          </w:tcPr>
          <w:p>
            <w:pPr>
              <w:ind w:left="40"/>
              <w:spacing w:after="0"/>
              <w:rPr>
                <w:sz w:val="20"/>
                <w:szCs w:val="20"/>
                <w:color w:val="auto"/>
              </w:rPr>
            </w:pPr>
            <w:r>
              <w:rPr>
                <w:rFonts w:ascii="Arial" w:cs="Arial" w:eastAsia="Arial" w:hAnsi="Arial"/>
                <w:sz w:val="14"/>
                <w:szCs w:val="14"/>
                <w:b w:val="1"/>
                <w:bCs w:val="1"/>
                <w:color w:val="auto"/>
              </w:rPr>
              <w:t>Cash and cash equivalents at end of year</w:t>
            </w:r>
          </w:p>
        </w:tc>
        <w:tc>
          <w:tcPr>
            <w:tcW w:w="320" w:type="dxa"/>
            <w:vAlign w:val="bottom"/>
            <w:shd w:val="clear" w:color="auto" w:fill="DCE2E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58.5</w:t>
            </w:r>
          </w:p>
        </w:tc>
        <w:tc>
          <w:tcPr>
            <w:tcW w:w="500" w:type="dxa"/>
            <w:vAlign w:val="bottom"/>
            <w:gridSpan w:val="3"/>
            <w:shd w:val="clear" w:color="auto" w:fill="DCE2EF"/>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39.1</w:t>
            </w:r>
          </w:p>
        </w:tc>
        <w:tc>
          <w:tcPr>
            <w:tcW w:w="100" w:type="dxa"/>
            <w:vAlign w:val="bottom"/>
            <w:shd w:val="clear" w:color="auto" w:fill="DCE2EF"/>
          </w:tcPr>
          <w:p>
            <w:pPr>
              <w:spacing w:after="0"/>
              <w:rPr>
                <w:sz w:val="20"/>
                <w:szCs w:val="20"/>
                <w:color w:val="auto"/>
              </w:rPr>
            </w:pPr>
          </w:p>
        </w:tc>
        <w:tc>
          <w:tcPr>
            <w:tcW w:w="320" w:type="dxa"/>
            <w:vAlign w:val="bottom"/>
            <w:shd w:val="clear" w:color="auto" w:fill="DCE2E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62.8</w:t>
            </w:r>
          </w:p>
        </w:tc>
      </w:tr>
      <w:tr>
        <w:trPr>
          <w:trHeight w:val="20"/>
        </w:trPr>
        <w:tc>
          <w:tcPr>
            <w:tcW w:w="40" w:type="dxa"/>
            <w:vAlign w:val="bottom"/>
            <w:tcBorders>
              <w:top w:val="single" w:sz="8" w:color="DCE2EF"/>
            </w:tcBorders>
          </w:tcPr>
          <w:p>
            <w:pPr>
              <w:spacing w:after="0" w:line="20" w:lineRule="exact"/>
              <w:rPr>
                <w:sz w:val="1"/>
                <w:szCs w:val="1"/>
                <w:color w:val="auto"/>
              </w:rPr>
            </w:pPr>
          </w:p>
        </w:tc>
        <w:tc>
          <w:tcPr>
            <w:tcW w:w="620" w:type="dxa"/>
            <w:vAlign w:val="bottom"/>
            <w:tcBorders>
              <w:top w:val="single" w:sz="8" w:color="DCE2EF"/>
            </w:tcBorders>
          </w:tcPr>
          <w:p>
            <w:pPr>
              <w:spacing w:after="0" w:line="20" w:lineRule="exact"/>
              <w:rPr>
                <w:sz w:val="1"/>
                <w:szCs w:val="1"/>
                <w:color w:val="auto"/>
              </w:rPr>
            </w:pPr>
          </w:p>
        </w:tc>
        <w:tc>
          <w:tcPr>
            <w:tcW w:w="6420" w:type="dxa"/>
            <w:vAlign w:val="bottom"/>
            <w:tcBorders>
              <w:top w:val="single" w:sz="8" w:color="DCE2E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93" w:right="239" w:bottom="0" w:gutter="0" w:footer="0" w:header="0"/>
        </w:sect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20"/>
          </w:cols>
          <w:pgMar w:left="240" w:top="493" w:right="239" w:bottom="0" w:gutter="0" w:footer="0" w:header="0"/>
          <w:type w:val="continuous"/>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CONSOLIDATED STATEMENTS OF CASH FLOWS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(continued)</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6"/>
          </w:tcPr>
          <w:p>
            <w:pPr>
              <w:jc w:val="right"/>
              <w:ind w:right="188"/>
              <w:spacing w:after="0"/>
              <w:rPr>
                <w:sz w:val="20"/>
                <w:szCs w:val="20"/>
                <w:color w:val="auto"/>
              </w:rPr>
            </w:pPr>
            <w:r>
              <w:rPr>
                <w:rFonts w:ascii="Arial" w:cs="Arial" w:eastAsia="Arial" w:hAnsi="Arial"/>
                <w:sz w:val="14"/>
                <w:szCs w:val="14"/>
                <w:b w:val="1"/>
                <w:bCs w:val="1"/>
                <w:color w:val="auto"/>
              </w:rPr>
              <w:t>Years Ended October 31,</w:t>
            </w:r>
          </w:p>
        </w:tc>
        <w:tc>
          <w:tcPr>
            <w:tcW w:w="1040" w:type="dxa"/>
            <w:vAlign w:val="bottom"/>
            <w:tcBorders>
              <w:bottom w:val="single" w:sz="8" w:color="auto"/>
            </w:tcBorders>
          </w:tcPr>
          <w:p>
            <w:pPr>
              <w:spacing w:after="0"/>
              <w:rPr>
                <w:sz w:val="17"/>
                <w:szCs w:val="17"/>
                <w:color w:val="auto"/>
              </w:rPr>
            </w:pPr>
          </w:p>
        </w:tc>
      </w:tr>
      <w:tr>
        <w:trPr>
          <w:trHeight w:val="224"/>
        </w:trPr>
        <w:tc>
          <w:tcPr>
            <w:tcW w:w="7080" w:type="dxa"/>
            <w:vAlign w:val="bottom"/>
            <w:gridSpan w:val="3"/>
          </w:tcPr>
          <w:p>
            <w:pPr>
              <w:ind w:left="4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20" w:type="dxa"/>
            <w:vAlign w:val="bottom"/>
          </w:tcPr>
          <w:p>
            <w:pPr>
              <w:spacing w:after="0"/>
              <w:rPr>
                <w:sz w:val="19"/>
                <w:szCs w:val="19"/>
                <w:color w:val="auto"/>
              </w:rPr>
            </w:pPr>
          </w:p>
        </w:tc>
        <w:tc>
          <w:tcPr>
            <w:tcW w:w="980" w:type="dxa"/>
            <w:vAlign w:val="bottom"/>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48"/>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620" w:type="dxa"/>
            <w:vAlign w:val="bottom"/>
            <w:tcBorders>
              <w:top w:val="single" w:sz="8" w:color="auto"/>
              <w:bottom w:val="single" w:sz="8" w:color="DCE2EF"/>
            </w:tcBorders>
          </w:tcPr>
          <w:p>
            <w:pPr>
              <w:spacing w:after="0" w:line="20" w:lineRule="exact"/>
              <w:rPr>
                <w:sz w:val="1"/>
                <w:szCs w:val="1"/>
                <w:color w:val="auto"/>
              </w:rPr>
            </w:pPr>
          </w:p>
        </w:tc>
        <w:tc>
          <w:tcPr>
            <w:tcW w:w="642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DCE2EF"/>
            </w:tcBorders>
            <w:shd w:val="clear" w:color="auto" w:fill="DCE2EF"/>
          </w:tcPr>
          <w:p>
            <w:pPr>
              <w:spacing w:after="0"/>
              <w:rPr>
                <w:sz w:val="21"/>
                <w:szCs w:val="21"/>
                <w:color w:val="auto"/>
              </w:rPr>
            </w:pPr>
          </w:p>
        </w:tc>
        <w:tc>
          <w:tcPr>
            <w:tcW w:w="704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4"/>
                <w:szCs w:val="14"/>
                <w:b w:val="1"/>
                <w:bCs w:val="1"/>
                <w:color w:val="auto"/>
                <w:shd w:val="clear" w:color="auto" w:fill="DCE2EF"/>
              </w:rPr>
              <w:t>Supplemental cash flow information</w:t>
            </w:r>
          </w:p>
        </w:tc>
        <w:tc>
          <w:tcPr>
            <w:tcW w:w="320" w:type="dxa"/>
            <w:vAlign w:val="bottom"/>
            <w:tcBorders>
              <w:bottom w:val="single" w:sz="8" w:color="DCE2EF"/>
            </w:tcBorders>
            <w:shd w:val="clear" w:color="auto" w:fill="DCE2EF"/>
          </w:tcPr>
          <w:p>
            <w:pPr>
              <w:spacing w:after="0"/>
              <w:rPr>
                <w:sz w:val="21"/>
                <w:szCs w:val="21"/>
                <w:color w:val="auto"/>
              </w:rPr>
            </w:pPr>
          </w:p>
        </w:tc>
        <w:tc>
          <w:tcPr>
            <w:tcW w:w="980" w:type="dxa"/>
            <w:vAlign w:val="bottom"/>
            <w:tcBorders>
              <w:bottom w:val="single" w:sz="8" w:color="DCE2EF"/>
            </w:tcBorders>
            <w:shd w:val="clear" w:color="auto" w:fill="DCE2EF"/>
          </w:tcPr>
          <w:p>
            <w:pPr>
              <w:spacing w:after="0"/>
              <w:rPr>
                <w:sz w:val="21"/>
                <w:szCs w:val="21"/>
                <w:color w:val="auto"/>
              </w:rPr>
            </w:pPr>
          </w:p>
        </w:tc>
        <w:tc>
          <w:tcPr>
            <w:tcW w:w="100" w:type="dxa"/>
            <w:vAlign w:val="bottom"/>
            <w:tcBorders>
              <w:bottom w:val="single" w:sz="8" w:color="DCE2EF"/>
            </w:tcBorders>
            <w:shd w:val="clear" w:color="auto" w:fill="DCE2EF"/>
          </w:tcPr>
          <w:p>
            <w:pPr>
              <w:spacing w:after="0"/>
              <w:rPr>
                <w:sz w:val="21"/>
                <w:szCs w:val="21"/>
                <w:color w:val="auto"/>
              </w:rPr>
            </w:pPr>
          </w:p>
        </w:tc>
        <w:tc>
          <w:tcPr>
            <w:tcW w:w="120" w:type="dxa"/>
            <w:vAlign w:val="bottom"/>
            <w:tcBorders>
              <w:bottom w:val="single" w:sz="8" w:color="DCE2EF"/>
            </w:tcBorders>
            <w:shd w:val="clear" w:color="auto" w:fill="DCE2EF"/>
          </w:tcPr>
          <w:p>
            <w:pPr>
              <w:spacing w:after="0"/>
              <w:rPr>
                <w:sz w:val="21"/>
                <w:szCs w:val="21"/>
                <w:color w:val="auto"/>
              </w:rPr>
            </w:pPr>
          </w:p>
        </w:tc>
        <w:tc>
          <w:tcPr>
            <w:tcW w:w="320" w:type="dxa"/>
            <w:vAlign w:val="bottom"/>
            <w:tcBorders>
              <w:bottom w:val="single" w:sz="8" w:color="DCE2EF"/>
            </w:tcBorders>
            <w:shd w:val="clear" w:color="auto" w:fill="DCE2EF"/>
          </w:tcPr>
          <w:p>
            <w:pPr>
              <w:spacing w:after="0"/>
              <w:rPr>
                <w:sz w:val="21"/>
                <w:szCs w:val="21"/>
                <w:color w:val="auto"/>
              </w:rPr>
            </w:pPr>
          </w:p>
        </w:tc>
        <w:tc>
          <w:tcPr>
            <w:tcW w:w="1040" w:type="dxa"/>
            <w:vAlign w:val="bottom"/>
            <w:tcBorders>
              <w:bottom w:val="single" w:sz="8" w:color="DCE2EF"/>
            </w:tcBorders>
            <w:shd w:val="clear" w:color="auto" w:fill="DCE2EF"/>
          </w:tcPr>
          <w:p>
            <w:pPr>
              <w:spacing w:after="0"/>
              <w:rPr>
                <w:sz w:val="21"/>
                <w:szCs w:val="21"/>
                <w:color w:val="auto"/>
              </w:rPr>
            </w:pPr>
          </w:p>
        </w:tc>
        <w:tc>
          <w:tcPr>
            <w:tcW w:w="100" w:type="dxa"/>
            <w:vAlign w:val="bottom"/>
            <w:tcBorders>
              <w:bottom w:val="single" w:sz="8" w:color="DCE2EF"/>
            </w:tcBorders>
            <w:shd w:val="clear" w:color="auto" w:fill="DCE2EF"/>
          </w:tcPr>
          <w:p>
            <w:pPr>
              <w:spacing w:after="0"/>
              <w:rPr>
                <w:sz w:val="21"/>
                <w:szCs w:val="21"/>
                <w:color w:val="auto"/>
              </w:rPr>
            </w:pPr>
          </w:p>
        </w:tc>
        <w:tc>
          <w:tcPr>
            <w:tcW w:w="320" w:type="dxa"/>
            <w:vAlign w:val="bottom"/>
            <w:tcBorders>
              <w:bottom w:val="single" w:sz="8" w:color="DCE2EF"/>
            </w:tcBorders>
            <w:shd w:val="clear" w:color="auto" w:fill="DCE2EF"/>
          </w:tcPr>
          <w:p>
            <w:pPr>
              <w:spacing w:after="0"/>
              <w:rPr>
                <w:sz w:val="21"/>
                <w:szCs w:val="21"/>
                <w:color w:val="auto"/>
              </w:rPr>
            </w:pPr>
          </w:p>
        </w:tc>
        <w:tc>
          <w:tcPr>
            <w:tcW w:w="1040" w:type="dxa"/>
            <w:vAlign w:val="bottom"/>
            <w:tcBorders>
              <w:bottom w:val="single" w:sz="8" w:color="DCE2EF"/>
            </w:tcBorders>
            <w:shd w:val="clear" w:color="auto" w:fill="DCE2EF"/>
          </w:tcPr>
          <w:p>
            <w:pPr>
              <w:spacing w:after="0"/>
              <w:rPr>
                <w:sz w:val="21"/>
                <w:szCs w:val="21"/>
                <w:color w:val="auto"/>
              </w:rPr>
            </w:pPr>
          </w:p>
        </w:tc>
      </w:tr>
      <w:tr>
        <w:trPr>
          <w:trHeight w:val="266"/>
        </w:trPr>
        <w:tc>
          <w:tcPr>
            <w:tcW w:w="7080" w:type="dxa"/>
            <w:vAlign w:val="bottom"/>
            <w:gridSpan w:val="3"/>
          </w:tcPr>
          <w:p>
            <w:pPr>
              <w:ind w:left="40"/>
              <w:spacing w:after="0"/>
              <w:rPr>
                <w:sz w:val="20"/>
                <w:szCs w:val="20"/>
                <w:color w:val="auto"/>
              </w:rPr>
            </w:pPr>
            <w:r>
              <w:rPr>
                <w:rFonts w:ascii="Arial" w:cs="Arial" w:eastAsia="Arial" w:hAnsi="Arial"/>
                <w:sz w:val="14"/>
                <w:szCs w:val="14"/>
                <w:color w:val="auto"/>
              </w:rPr>
              <w:t>Income tax payments (refunds), net</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20.6</w:t>
            </w:r>
          </w:p>
        </w:tc>
        <w:tc>
          <w:tcPr>
            <w:tcW w:w="5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11.8</w:t>
            </w:r>
          </w:p>
        </w:tc>
      </w:tr>
      <w:tr>
        <w:trPr>
          <w:trHeight w:val="254"/>
        </w:trPr>
        <w:tc>
          <w:tcPr>
            <w:tcW w:w="40" w:type="dxa"/>
            <w:vAlign w:val="bottom"/>
            <w:tcBorders>
              <w:bottom w:val="single" w:sz="8" w:color="DCE2EF"/>
            </w:tcBorders>
            <w:shd w:val="clear" w:color="auto" w:fill="DCE2EF"/>
          </w:tcPr>
          <w:p>
            <w:pPr>
              <w:spacing w:after="0"/>
              <w:rPr>
                <w:sz w:val="22"/>
                <w:szCs w:val="22"/>
                <w:color w:val="auto"/>
              </w:rPr>
            </w:pPr>
          </w:p>
        </w:tc>
        <w:tc>
          <w:tcPr>
            <w:tcW w:w="704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4"/>
                <w:szCs w:val="14"/>
                <w:color w:val="auto"/>
                <w:shd w:val="clear" w:color="auto" w:fill="DCE2EF"/>
              </w:rPr>
              <w:t>Interest paid on credit facility</w:t>
            </w:r>
          </w:p>
        </w:tc>
        <w:tc>
          <w:tcPr>
            <w:tcW w:w="320" w:type="dxa"/>
            <w:vAlign w:val="bottom"/>
            <w:tcBorders>
              <w:bottom w:val="single" w:sz="8" w:color="DCE2EF"/>
            </w:tcBorders>
            <w:shd w:val="clear" w:color="auto" w:fill="DCE2EF"/>
          </w:tcPr>
          <w:p>
            <w:pPr>
              <w:spacing w:after="0"/>
              <w:rPr>
                <w:sz w:val="22"/>
                <w:szCs w:val="22"/>
                <w:color w:val="auto"/>
              </w:rPr>
            </w:pPr>
          </w:p>
        </w:tc>
        <w:tc>
          <w:tcPr>
            <w:tcW w:w="9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39.9</w:t>
            </w:r>
          </w:p>
        </w:tc>
        <w:tc>
          <w:tcPr>
            <w:tcW w:w="100" w:type="dxa"/>
            <w:vAlign w:val="bottom"/>
            <w:tcBorders>
              <w:bottom w:val="single" w:sz="8" w:color="DCE2EF"/>
            </w:tcBorders>
            <w:shd w:val="clear" w:color="auto" w:fill="DCE2EF"/>
          </w:tcPr>
          <w:p>
            <w:pPr>
              <w:spacing w:after="0"/>
              <w:rPr>
                <w:sz w:val="22"/>
                <w:szCs w:val="22"/>
                <w:color w:val="auto"/>
              </w:rPr>
            </w:pPr>
          </w:p>
        </w:tc>
        <w:tc>
          <w:tcPr>
            <w:tcW w:w="120" w:type="dxa"/>
            <w:vAlign w:val="bottom"/>
            <w:tcBorders>
              <w:bottom w:val="single" w:sz="8" w:color="DCE2EF"/>
            </w:tcBorders>
            <w:shd w:val="clear" w:color="auto" w:fill="DCE2EF"/>
          </w:tcPr>
          <w:p>
            <w:pPr>
              <w:spacing w:after="0"/>
              <w:rPr>
                <w:sz w:val="22"/>
                <w:szCs w:val="22"/>
                <w:color w:val="auto"/>
              </w:rPr>
            </w:pPr>
          </w:p>
        </w:tc>
        <w:tc>
          <w:tcPr>
            <w:tcW w:w="320" w:type="dxa"/>
            <w:vAlign w:val="bottom"/>
            <w:tcBorders>
              <w:bottom w:val="single" w:sz="8" w:color="DCE2EF"/>
            </w:tcBorders>
            <w:shd w:val="clear" w:color="auto" w:fill="DCE2EF"/>
          </w:tcPr>
          <w:p>
            <w:pPr>
              <w:spacing w:after="0"/>
              <w:rPr>
                <w:sz w:val="22"/>
                <w:szCs w:val="22"/>
                <w:color w:val="auto"/>
              </w:rPr>
            </w:pPr>
          </w:p>
        </w:tc>
        <w:tc>
          <w:tcPr>
            <w:tcW w:w="1040" w:type="dxa"/>
            <w:vAlign w:val="bottom"/>
            <w:tcBorders>
              <w:bottom w:val="single" w:sz="8" w:color="DCE2EF"/>
            </w:tcBorders>
            <w:shd w:val="clear" w:color="auto" w:fill="DCE2EF"/>
          </w:tcPr>
          <w:p>
            <w:pPr>
              <w:jc w:val="right"/>
              <w:ind w:right="28"/>
              <w:spacing w:after="0"/>
              <w:rPr>
                <w:sz w:val="20"/>
                <w:szCs w:val="20"/>
                <w:color w:val="auto"/>
              </w:rPr>
            </w:pPr>
            <w:r>
              <w:rPr>
                <w:rFonts w:ascii="Arial" w:cs="Arial" w:eastAsia="Arial" w:hAnsi="Arial"/>
                <w:sz w:val="14"/>
                <w:szCs w:val="14"/>
                <w:color w:val="auto"/>
              </w:rPr>
              <w:t>49.6</w:t>
            </w:r>
          </w:p>
        </w:tc>
        <w:tc>
          <w:tcPr>
            <w:tcW w:w="100" w:type="dxa"/>
            <w:vAlign w:val="bottom"/>
            <w:tcBorders>
              <w:bottom w:val="single" w:sz="8" w:color="DCE2EF"/>
            </w:tcBorders>
            <w:shd w:val="clear" w:color="auto" w:fill="DCE2EF"/>
          </w:tcPr>
          <w:p>
            <w:pPr>
              <w:spacing w:after="0"/>
              <w:rPr>
                <w:sz w:val="22"/>
                <w:szCs w:val="22"/>
                <w:color w:val="auto"/>
              </w:rPr>
            </w:pPr>
          </w:p>
        </w:tc>
        <w:tc>
          <w:tcPr>
            <w:tcW w:w="320" w:type="dxa"/>
            <w:vAlign w:val="bottom"/>
            <w:tcBorders>
              <w:bottom w:val="single" w:sz="8" w:color="DCE2EF"/>
            </w:tcBorders>
            <w:shd w:val="clear" w:color="auto" w:fill="DCE2EF"/>
          </w:tcPr>
          <w:p>
            <w:pPr>
              <w:spacing w:after="0"/>
              <w:rPr>
                <w:sz w:val="22"/>
                <w:szCs w:val="22"/>
                <w:color w:val="auto"/>
              </w:rPr>
            </w:pPr>
          </w:p>
        </w:tc>
        <w:tc>
          <w:tcPr>
            <w:tcW w:w="1040" w:type="dxa"/>
            <w:vAlign w:val="bottom"/>
            <w:tcBorders>
              <w:bottom w:val="single" w:sz="8" w:color="DCE2EF"/>
            </w:tcBorders>
            <w:shd w:val="clear" w:color="auto" w:fill="DCE2EF"/>
          </w:tcPr>
          <w:p>
            <w:pPr>
              <w:jc w:val="right"/>
              <w:ind w:right="28"/>
              <w:spacing w:after="0"/>
              <w:rPr>
                <w:sz w:val="20"/>
                <w:szCs w:val="20"/>
                <w:color w:val="auto"/>
              </w:rPr>
            </w:pPr>
            <w:r>
              <w:rPr>
                <w:rFonts w:ascii="Arial" w:cs="Arial" w:eastAsia="Arial" w:hAnsi="Arial"/>
                <w:sz w:val="14"/>
                <w:szCs w:val="14"/>
                <w:color w:val="auto"/>
              </w:rPr>
              <w:t>8.1</w:t>
            </w:r>
          </w:p>
        </w:tc>
      </w:tr>
      <w:tr>
        <w:trPr>
          <w:trHeight w:val="270"/>
        </w:trPr>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7080" w:type="dxa"/>
            <w:vAlign w:val="bottom"/>
            <w:gridSpan w:val="3"/>
            <w:shd w:val="clear" w:color="auto" w:fill="DCE2EF"/>
          </w:tcPr>
          <w:p>
            <w:pPr>
              <w:ind w:left="40"/>
              <w:spacing w:after="0"/>
              <w:rPr>
                <w:sz w:val="20"/>
                <w:szCs w:val="20"/>
                <w:color w:val="auto"/>
              </w:rPr>
            </w:pPr>
            <w:r>
              <w:rPr>
                <w:rFonts w:ascii="Arial" w:cs="Arial" w:eastAsia="Arial" w:hAnsi="Arial"/>
                <w:sz w:val="14"/>
                <w:szCs w:val="14"/>
                <w:b w:val="1"/>
                <w:bCs w:val="1"/>
                <w:color w:val="auto"/>
              </w:rPr>
              <w:t>Non-cash investing and financing activities</w:t>
            </w:r>
          </w:p>
        </w:tc>
        <w:tc>
          <w:tcPr>
            <w:tcW w:w="320" w:type="dxa"/>
            <w:vAlign w:val="bottom"/>
            <w:shd w:val="clear" w:color="auto" w:fill="DCE2EF"/>
          </w:tcPr>
          <w:p>
            <w:pPr>
              <w:spacing w:after="0"/>
              <w:rPr>
                <w:sz w:val="23"/>
                <w:szCs w:val="23"/>
                <w:color w:val="auto"/>
              </w:rPr>
            </w:pPr>
          </w:p>
        </w:tc>
        <w:tc>
          <w:tcPr>
            <w:tcW w:w="98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320" w:type="dxa"/>
            <w:vAlign w:val="bottom"/>
            <w:shd w:val="clear" w:color="auto" w:fill="DCE2EF"/>
          </w:tcPr>
          <w:p>
            <w:pPr>
              <w:spacing w:after="0"/>
              <w:rPr>
                <w:sz w:val="23"/>
                <w:szCs w:val="23"/>
                <w:color w:val="auto"/>
              </w:rPr>
            </w:pPr>
          </w:p>
        </w:tc>
        <w:tc>
          <w:tcPr>
            <w:tcW w:w="104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320" w:type="dxa"/>
            <w:vAlign w:val="bottom"/>
            <w:shd w:val="clear" w:color="auto" w:fill="DCE2EF"/>
          </w:tcPr>
          <w:p>
            <w:pPr>
              <w:spacing w:after="0"/>
              <w:rPr>
                <w:sz w:val="23"/>
                <w:szCs w:val="23"/>
                <w:color w:val="auto"/>
              </w:rPr>
            </w:pPr>
          </w:p>
        </w:tc>
        <w:tc>
          <w:tcPr>
            <w:tcW w:w="1040" w:type="dxa"/>
            <w:vAlign w:val="bottom"/>
            <w:shd w:val="clear" w:color="auto" w:fill="DCE2EF"/>
          </w:tcPr>
          <w:p>
            <w:pPr>
              <w:spacing w:after="0"/>
              <w:rPr>
                <w:sz w:val="23"/>
                <w:szCs w:val="23"/>
                <w:color w:val="auto"/>
              </w:rPr>
            </w:pPr>
          </w:p>
        </w:tc>
      </w:tr>
      <w:tr>
        <w:trPr>
          <w:trHeight w:val="262"/>
        </w:trPr>
        <w:tc>
          <w:tcPr>
            <w:tcW w:w="7080" w:type="dxa"/>
            <w:vAlign w:val="bottom"/>
            <w:gridSpan w:val="3"/>
          </w:tcPr>
          <w:p>
            <w:pPr>
              <w:ind w:left="40"/>
              <w:spacing w:after="0"/>
              <w:rPr>
                <w:sz w:val="20"/>
                <w:szCs w:val="20"/>
                <w:color w:val="auto"/>
              </w:rPr>
            </w:pPr>
            <w:r>
              <w:rPr>
                <w:rFonts w:ascii="Arial" w:cs="Arial" w:eastAsia="Arial" w:hAnsi="Arial"/>
                <w:sz w:val="14"/>
                <w:szCs w:val="14"/>
                <w:color w:val="auto"/>
              </w:rPr>
              <w:t>Stock issued in GCA acquisition, net of shares withheld for taxes</w:t>
            </w: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421.3</w:t>
            </w: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93"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23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0046AD"/>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1. THE COMPANY AND NATURE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ABM Industries Incorporated, which operates through its subsidiaries (collectively referred to as “ABM,” “we,” “us,” “our,” or the “Company”), is a leading provider of integrated facility services with a mission to </w:t>
      </w:r>
      <w:r>
        <w:rPr>
          <w:rFonts w:ascii="Arial" w:cs="Arial" w:eastAsia="Arial" w:hAnsi="Arial"/>
          <w:sz w:val="18"/>
          <w:szCs w:val="18"/>
          <w:b w:val="1"/>
          <w:bCs w:val="1"/>
          <w:color w:val="006EBF"/>
        </w:rPr>
        <w:t>make a difference, every person, every day</w:t>
      </w:r>
      <w:r>
        <w:rPr>
          <w:rFonts w:ascii="Arial" w:cs="Arial" w:eastAsia="Arial" w:hAnsi="Arial"/>
          <w:sz w:val="18"/>
          <w:szCs w:val="18"/>
          <w:color w:val="auto"/>
        </w:rPr>
        <w:t>. We are organized into four industry groups and one Technical Solutions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255270</wp:posOffset>
            </wp:positionV>
            <wp:extent cx="4467860" cy="8058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46786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Through these groups, we offer janitorial, facilities engineering, parking, and specialized mechanical and electrical technical solutions, on a standalone basis or in combination with other services.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2. BASIS OF PRESENTATION AND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862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Basis of Presentation and Principles of Consolidation</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consolidated financial statements and accompanying notes (the “Financial Statements”) have been prepared in accordance with United States generally accepted accounting principles (“U.S. GAAP”) and with the rules and regulations of the Securities and Exchange Commission (“SEC”), specifically Regulation S-X and the instructions to Form 10-K. Unless otherwise indicated, all references to years are to our fiscal year, which ends on October 31.</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Financial Statements include the accounts of ABM and all of our consolidated subsidiaries. We account for ABM’s investments in unconsolidated affiliates under the equity method of accounting. We include the results of acquired businesses in the consolidated statements of comprehensive income from their respective acquisition dates. All intercompany accounts and transactions have been eliminated in consolidation.</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preparation of consolidated financial statements in accordance with U.S. GAAP requires our management to make certain estimates that affect the reported amounts. We base our estimates on historical experience, known or expected trends, independent valuations, and various other assumptions that we believe to be reasonable under the circumstances. As future events and their effects cannot be determined with precision, actual results could differ significantly from these estimates.</w:t>
      </w:r>
    </w:p>
    <w:p>
      <w:pPr>
        <w:spacing w:after="0" w:line="62"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18"/>
          <w:szCs w:val="18"/>
          <w:color w:val="auto"/>
        </w:rPr>
        <w:t>We round amounts in the Financial Statements to millions and calculate all percentages and per-share data from the underlying whole-dollar amounts. Thus, certain amounts may not foot, crossfoot, or recalculate based on reported numbers due to rounding.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Acquisition of GCA Services Group</w:t>
      </w:r>
    </w:p>
    <w:p>
      <w:pPr>
        <w:spacing w:after="0" w:line="11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September 1, 2017 (the “Acquisition Date”), we completed the acquisition of GCA Services Group (“GCA”). Accordingly, our consolidated statements of comprehensive income and statements of cash flows include GCA’s results of operations in 2019 and 2018, but exclude GCA’s results of operations in 2017 prior to the Acquisition Date. See Note 4, “Acquisitions,” for further information on the acquisition of GCA.</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79"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0046AD"/>
        </w:rPr>
        <w:t>Government Services</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October 31, 2016, the assets and liabilities of our former Government Services business were classified as held for sale, at which time we wrote down goodwill and long-lived assets of this business by $22.5 million to reflect our best estimate of fair value less costs to sell, using all information available at that time. During the second quarter of 2017, we received an offer from a strategic buyer to purchase this business for approximately $35.0 million, which was higher than our previous estimate of fair value less costs to sell. As a result, we recorded a $17.4 million impairment recovery to adjust the fair value of certain previously impaired assets to the valuation of the assets as implied by the agreed-upon sales price, less estimated costs to sell. We sold this business on May 31, 2017 for $35.5 million and recorded a pre-tax gain of $1.2 million. The impairment charges, subsequent recovery, and gain on sale are reflected in impairment loss (recovery) in the accompanying consolidated statements of comprehensive income. The reported results for this business are through the date of sale and future results could include run-off costs.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Prior Year Reclassifications</w:t>
      </w:r>
    </w:p>
    <w:p>
      <w:pPr>
        <w:spacing w:after="0" w:line="1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Effective November 1, 2018, we have modified the presentation of inter-segment revenues, which are recorded at cost with no associated intercompany profit or loss and are eliminated in consolidation. Additionally, during the third quarter of 2019, we made changes to our operating structure to better align the services and expertise of our Healthcare business with our other industry groups, allowing us to leverage our existing branch network to support the long-term growth of this business. As a result, our former Healthcare portfolio is now included primarily in our Business &amp; Industry segment. Our prior period segment data in Note 19, “Segment and Geographic Information,” has been reclassified to conform with our current period presentation. These changes had no impact on our previously reported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Cash and Cash Equivalents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consider all highly liquid securities with an original maturity of three months or less to be cash and cash equivalents. As part of our cash management system, we use “zero balance” accounts to fund our disbursements. Under this system, at the end of each day the bank balance is zero, while the book balance is usually a negative amount due to reconciling items, such as outstanding checks. We report the changes in these book cash overdrafts as cash flows from financing activities.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Trade Accounts Receivable and Costs Incurred in Excess of Amounts Billed</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Trade accounts receivable arise from services provided to our clients and are usually due and payable on varying terms from receipt of the invoice to net ninety days, with the exception of certain Technical Solutions project receivables that may have longer collection periods. These receivables are recorded at the invoiced amount and normally do not bear interest. In addition, our trade accounts receivable include unbilled receivables, such as invoices for services that have been provided but are not yet billed.</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Costs incurred in excess of amounts billed arise from Technical Solutions project contracts that typically provide for a schedule of billings or invoices to the client based on our performance to date of specific tasks inherent in the fulfillment of our performance obligation(s). The schedules for such billings usually do not precisely match the schedule on which costs are incurred. As a result, revenues generally differ from amounts that can billed or invoices to the client at any point during the contract.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Allowance for Doubtful Accounts</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determine the allowance for doubtful accounts based on historical write-offs, known or expected trends, and the identification of specific balances deemed uncollectible. For the specifically identified balances, we establish the reserve upon the earlier of a client’s inability to meet its financial obligations or after a period of twelve months, unless our management believes such amounts will ultimately be collectible.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Sales Allowance</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our service contracts, we periodically issue credit memos to our clients that are recorded as a reduction in revenues and an increase to the allowance for billing adjustments. These credits can result from client vacancy discounts, job cancellations, property damage, and other items. We estimate our potential future losses on these client receivables based on an analysis of the historical rate of sales adjustments (credit memos, net of re-bills) and known or expected trends.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93"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0046AD"/>
        </w:rPr>
        <w:t>Other Current Assets</w:t>
      </w:r>
    </w:p>
    <w:p>
      <w:pPr>
        <w:spacing w:after="0" w:line="173"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18"/>
          <w:szCs w:val="18"/>
          <w:color w:val="auto"/>
        </w:rPr>
        <w:t>At October 31, 2019 and 2018, other current assets primarily consisted of other receivables, short-term insurance recoverables, and capitalized commissions.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Other Investments</w:t>
      </w:r>
    </w:p>
    <w:p>
      <w:pPr>
        <w:spacing w:after="0" w:line="17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At October 31, 2019 and 2018, other investments primarily consisted of investments in unconsolidated affiliates and in auction rate securities.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Investments in Unconsolidated Affiliates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own non-controlling interests (generally 20% to 50%) in certain affiliated entities that predominantly provide facility solutions to governmental and commercial clients, primarily in the United States and the Middle East. We account for such investments under the equity method of accounting. We evaluate our equity method investments for impairment whenever events or changes in circumstances indicate that the carrying amounts of such investments may not be recoverable. An impairment loss is recognized to the extent that the estimated fair value of the investment is less than its carrying amount and we determine that the impairment is other-than-temporary. At October 31, 2019, 2018, and 2017, our investments in unconsolidated affiliates were $8.9 million, $11.3 million, and $9.3 million, respectively. We did not recognize any impairment charges on these investments in 2019, 2018, or 2017.</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Investments in Auction Rate Securities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investments in auction rate securities are classified as available-for-sale. Accordingly, auction rate securities are presented at fair value with unrealized gains and losses recorded in accumulated other comprehensive income (loss), net of taxes (“AOCI”). On a quarterly basis, we analyze all auction rate securities that have unrealized losses for impairment consideration and assess the intent to sell such securities. If such intent exists, impaired securities are considered other-than-temporarily impaired and we recognize the entire difference between the auction rate security’s amortized cost and its fair value in earnings. We also consider if we may be required to sell the securities prior to the recovery of amortized cost, which may trigger an impairment charge. If these securities are considered impaired, we assess whether the amortized costs of the securities can be recovered by reviewing several factors, including credit risks associated with the issuer. If we do not expect to recover the entire amortized cost of the security, we consider the security to be other-than-temporarily impaired, and record the difference between the security’s amortized costs and its recoverable amount in earnings and the difference between the security’s amortized cost and fair value in AOCI.</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Property, Plant and Equipment</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record property, plant and equipment at cost. Repairs and maintenance expenditures are expensed as incurred. In contrast, we capitalize major renewals or replacements that substantially extend the useful life of an asset. We determine depreciation for financial reporting purposes using the straight-line method over the following estimated useful lives:</w:t>
      </w:r>
    </w:p>
    <w:p>
      <w:pPr>
        <w:spacing w:after="0" w:line="247" w:lineRule="exact"/>
        <w:rPr>
          <w:sz w:val="20"/>
          <w:szCs w:val="20"/>
          <w:color w:val="auto"/>
        </w:rPr>
      </w:pPr>
    </w:p>
    <w:tbl>
      <w:tblPr>
        <w:tblLayout w:type="fixed"/>
        <w:tblInd w:w="50" w:type="dxa"/>
        <w:tblCellMar>
          <w:top w:w="0" w:type="dxa"/>
          <w:left w:w="0" w:type="dxa"/>
          <w:bottom w:w="0" w:type="dxa"/>
          <w:right w:w="0" w:type="dxa"/>
        </w:tblCellMar>
      </w:tblPr>
      <w:tr>
        <w:trPr>
          <w:trHeight w:val="216"/>
        </w:trPr>
        <w:tc>
          <w:tcPr>
            <w:tcW w:w="40" w:type="dxa"/>
            <w:vAlign w:val="bottom"/>
            <w:tcBorders>
              <w:top w:val="single" w:sz="8" w:color="auto"/>
              <w:left w:val="single" w:sz="8" w:color="auto"/>
            </w:tcBorders>
          </w:tcPr>
          <w:p>
            <w:pPr>
              <w:spacing w:after="0"/>
              <w:rPr>
                <w:sz w:val="18"/>
                <w:szCs w:val="18"/>
                <w:color w:val="auto"/>
              </w:rPr>
            </w:pPr>
          </w:p>
        </w:tc>
        <w:tc>
          <w:tcPr>
            <w:tcW w:w="54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Category</w:t>
            </w:r>
          </w:p>
        </w:tc>
        <w:tc>
          <w:tcPr>
            <w:tcW w:w="5860" w:type="dxa"/>
            <w:vAlign w:val="bottom"/>
            <w:tcBorders>
              <w:top w:val="single" w:sz="8" w:color="auto"/>
              <w:right w:val="single" w:sz="8" w:color="auto"/>
            </w:tcBorders>
            <w:gridSpan w:val="3"/>
          </w:tcPr>
          <w:p>
            <w:pPr>
              <w:ind w:left="2760"/>
              <w:spacing w:after="0"/>
              <w:rPr>
                <w:sz w:val="20"/>
                <w:szCs w:val="20"/>
                <w:color w:val="auto"/>
              </w:rPr>
            </w:pPr>
            <w:r>
              <w:rPr>
                <w:rFonts w:ascii="Arial" w:cs="Arial" w:eastAsia="Arial" w:hAnsi="Arial"/>
                <w:sz w:val="18"/>
                <w:szCs w:val="18"/>
                <w:b w:val="1"/>
                <w:bCs w:val="1"/>
                <w:color w:val="auto"/>
              </w:rPr>
              <w:t>Years</w:t>
            </w:r>
          </w:p>
        </w:tc>
      </w:tr>
      <w:tr>
        <w:trPr>
          <w:trHeight w:val="34"/>
        </w:trPr>
        <w:tc>
          <w:tcPr>
            <w:tcW w:w="40" w:type="dxa"/>
            <w:vAlign w:val="bottom"/>
            <w:tcBorders>
              <w:left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47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620" w:type="dxa"/>
            <w:vAlign w:val="bottom"/>
            <w:tcBorders>
              <w:right w:val="single" w:sz="8" w:color="auto"/>
            </w:tcBorders>
          </w:tcPr>
          <w:p>
            <w:pPr>
              <w:spacing w:after="0"/>
              <w:rPr>
                <w:sz w:val="2"/>
                <w:szCs w:val="2"/>
                <w:color w:val="auto"/>
              </w:rPr>
            </w:pPr>
          </w:p>
        </w:tc>
      </w:tr>
      <w:tr>
        <w:trPr>
          <w:trHeight w:val="257"/>
        </w:trPr>
        <w:tc>
          <w:tcPr>
            <w:tcW w:w="40" w:type="dxa"/>
            <w:vAlign w:val="bottom"/>
            <w:tcBorders>
              <w:left w:val="single" w:sz="8" w:color="auto"/>
            </w:tcBorders>
            <w:shd w:val="clear" w:color="auto" w:fill="DCE2EF"/>
          </w:tcPr>
          <w:p>
            <w:pPr>
              <w:spacing w:after="0"/>
              <w:rPr>
                <w:sz w:val="22"/>
                <w:szCs w:val="22"/>
                <w:color w:val="auto"/>
              </w:rPr>
            </w:pPr>
          </w:p>
        </w:tc>
        <w:tc>
          <w:tcPr>
            <w:tcW w:w="548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Computer equipment and software</w:t>
            </w:r>
          </w:p>
        </w:tc>
        <w:tc>
          <w:tcPr>
            <w:tcW w:w="2760" w:type="dxa"/>
            <w:vAlign w:val="bottom"/>
            <w:shd w:val="clear" w:color="auto" w:fill="DCE2EF"/>
          </w:tcPr>
          <w:p>
            <w:pPr>
              <w:spacing w:after="0"/>
              <w:rPr>
                <w:sz w:val="22"/>
                <w:szCs w:val="22"/>
                <w:color w:val="auto"/>
              </w:rPr>
            </w:pPr>
          </w:p>
        </w:tc>
        <w:tc>
          <w:tcPr>
            <w:tcW w:w="3100" w:type="dxa"/>
            <w:vAlign w:val="bottom"/>
            <w:tcBorders>
              <w:right w:val="single" w:sz="8" w:color="auto"/>
            </w:tcBorders>
            <w:gridSpan w:val="2"/>
            <w:shd w:val="clear" w:color="auto" w:fill="DCE2EF"/>
          </w:tcPr>
          <w:p>
            <w:pPr>
              <w:jc w:val="center"/>
              <w:ind w:right="2640"/>
              <w:spacing w:after="0"/>
              <w:rPr>
                <w:sz w:val="20"/>
                <w:szCs w:val="20"/>
                <w:color w:val="auto"/>
              </w:rPr>
            </w:pPr>
            <w:r>
              <w:rPr>
                <w:rFonts w:ascii="Arial" w:cs="Arial" w:eastAsia="Arial" w:hAnsi="Arial"/>
                <w:sz w:val="18"/>
                <w:szCs w:val="18"/>
                <w:color w:val="auto"/>
                <w:w w:val="99"/>
              </w:rPr>
              <w:t>3–5</w:t>
            </w:r>
          </w:p>
        </w:tc>
      </w:tr>
      <w:tr>
        <w:trPr>
          <w:trHeight w:val="252"/>
        </w:trPr>
        <w:tc>
          <w:tcPr>
            <w:tcW w:w="40" w:type="dxa"/>
            <w:vAlign w:val="bottom"/>
            <w:tcBorders>
              <w:left w:val="single" w:sz="8" w:color="auto"/>
            </w:tcBorders>
          </w:tcPr>
          <w:p>
            <w:pPr>
              <w:spacing w:after="0"/>
              <w:rPr>
                <w:sz w:val="21"/>
                <w:szCs w:val="21"/>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Machinery and other equipment</w:t>
            </w:r>
          </w:p>
        </w:tc>
        <w:tc>
          <w:tcPr>
            <w:tcW w:w="2760" w:type="dxa"/>
            <w:vAlign w:val="bottom"/>
          </w:tcPr>
          <w:p>
            <w:pPr>
              <w:spacing w:after="0"/>
              <w:rPr>
                <w:sz w:val="21"/>
                <w:szCs w:val="21"/>
                <w:color w:val="auto"/>
              </w:rPr>
            </w:pPr>
          </w:p>
        </w:tc>
        <w:tc>
          <w:tcPr>
            <w:tcW w:w="3100" w:type="dxa"/>
            <w:vAlign w:val="bottom"/>
            <w:tcBorders>
              <w:right w:val="single" w:sz="8" w:color="auto"/>
            </w:tcBorders>
            <w:gridSpan w:val="2"/>
          </w:tcPr>
          <w:p>
            <w:pPr>
              <w:jc w:val="center"/>
              <w:ind w:right="2640"/>
              <w:spacing w:after="0"/>
              <w:rPr>
                <w:sz w:val="20"/>
                <w:szCs w:val="20"/>
                <w:color w:val="auto"/>
              </w:rPr>
            </w:pPr>
            <w:r>
              <w:rPr>
                <w:rFonts w:ascii="Arial" w:cs="Arial" w:eastAsia="Arial" w:hAnsi="Arial"/>
                <w:sz w:val="18"/>
                <w:szCs w:val="18"/>
                <w:color w:val="auto"/>
                <w:w w:val="99"/>
              </w:rPr>
              <w:t>3–5</w:t>
            </w:r>
          </w:p>
        </w:tc>
      </w:tr>
      <w:tr>
        <w:trPr>
          <w:trHeight w:val="261"/>
        </w:trPr>
        <w:tc>
          <w:tcPr>
            <w:tcW w:w="40" w:type="dxa"/>
            <w:vAlign w:val="bottom"/>
            <w:tcBorders>
              <w:left w:val="single" w:sz="8" w:color="auto"/>
            </w:tcBorders>
            <w:shd w:val="clear" w:color="auto" w:fill="DCE2EF"/>
          </w:tcPr>
          <w:p>
            <w:pPr>
              <w:spacing w:after="0"/>
              <w:rPr>
                <w:sz w:val="22"/>
                <w:szCs w:val="22"/>
                <w:color w:val="auto"/>
              </w:rPr>
            </w:pPr>
          </w:p>
        </w:tc>
        <w:tc>
          <w:tcPr>
            <w:tcW w:w="548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Transportation equipment</w:t>
            </w:r>
          </w:p>
        </w:tc>
        <w:tc>
          <w:tcPr>
            <w:tcW w:w="5860" w:type="dxa"/>
            <w:vAlign w:val="bottom"/>
            <w:tcBorders>
              <w:right w:val="single" w:sz="8" w:color="auto"/>
            </w:tcBorders>
            <w:gridSpan w:val="3"/>
            <w:shd w:val="clear" w:color="auto" w:fill="DCE2EF"/>
          </w:tcPr>
          <w:p>
            <w:pPr>
              <w:jc w:val="center"/>
              <w:ind w:left="50"/>
              <w:spacing w:after="0"/>
              <w:rPr>
                <w:sz w:val="20"/>
                <w:szCs w:val="20"/>
                <w:color w:val="auto"/>
              </w:rPr>
            </w:pPr>
            <w:r>
              <w:rPr>
                <w:rFonts w:ascii="Arial" w:cs="Arial" w:eastAsia="Arial" w:hAnsi="Arial"/>
                <w:sz w:val="18"/>
                <w:szCs w:val="18"/>
                <w:color w:val="auto"/>
              </w:rPr>
              <w:t>1.5–10</w:t>
            </w:r>
          </w:p>
        </w:tc>
      </w:tr>
      <w:tr>
        <w:trPr>
          <w:trHeight w:val="252"/>
        </w:trPr>
        <w:tc>
          <w:tcPr>
            <w:tcW w:w="40" w:type="dxa"/>
            <w:vAlign w:val="bottom"/>
            <w:tcBorders>
              <w:left w:val="single" w:sz="8" w:color="auto"/>
            </w:tcBorders>
          </w:tcPr>
          <w:p>
            <w:pPr>
              <w:spacing w:after="0"/>
              <w:rPr>
                <w:sz w:val="21"/>
                <w:szCs w:val="21"/>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Buildings</w:t>
            </w:r>
          </w:p>
        </w:tc>
        <w:tc>
          <w:tcPr>
            <w:tcW w:w="586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9"/>
              </w:rPr>
              <w:t>10–40</w:t>
            </w:r>
          </w:p>
        </w:tc>
      </w:tr>
      <w:tr>
        <w:trPr>
          <w:trHeight w:val="257"/>
        </w:trPr>
        <w:tc>
          <w:tcPr>
            <w:tcW w:w="40" w:type="dxa"/>
            <w:vAlign w:val="bottom"/>
            <w:tcBorders>
              <w:left w:val="single" w:sz="8" w:color="auto"/>
              <w:bottom w:val="single" w:sz="8" w:color="auto"/>
            </w:tcBorders>
            <w:shd w:val="clear" w:color="auto" w:fill="DCE2EF"/>
          </w:tcPr>
          <w:p>
            <w:pPr>
              <w:spacing w:after="0"/>
              <w:rPr>
                <w:sz w:val="22"/>
                <w:szCs w:val="22"/>
                <w:color w:val="auto"/>
              </w:rPr>
            </w:pPr>
          </w:p>
        </w:tc>
        <w:tc>
          <w:tcPr>
            <w:tcW w:w="5480" w:type="dxa"/>
            <w:vAlign w:val="bottom"/>
            <w:tcBorders>
              <w:bottom w:val="single" w:sz="8" w:color="auto"/>
            </w:tcBorders>
            <w:gridSpan w:val="2"/>
            <w:shd w:val="clear" w:color="auto" w:fill="DCE2EF"/>
          </w:tcPr>
          <w:p>
            <w:pPr>
              <w:spacing w:after="0"/>
              <w:rPr>
                <w:sz w:val="20"/>
                <w:szCs w:val="20"/>
                <w:color w:val="auto"/>
              </w:rPr>
            </w:pPr>
            <w:r>
              <w:rPr>
                <w:rFonts w:ascii="Arial" w:cs="Arial" w:eastAsia="Arial" w:hAnsi="Arial"/>
                <w:sz w:val="18"/>
                <w:szCs w:val="18"/>
                <w:color w:val="auto"/>
              </w:rPr>
              <w:t>Furniture and fixtures</w:t>
            </w:r>
          </w:p>
        </w:tc>
        <w:tc>
          <w:tcPr>
            <w:tcW w:w="3240" w:type="dxa"/>
            <w:vAlign w:val="bottom"/>
            <w:tcBorders>
              <w:bottom w:val="single" w:sz="8" w:color="auto"/>
            </w:tcBorders>
            <w:gridSpan w:val="2"/>
            <w:shd w:val="clear" w:color="auto" w:fill="DCE2EF"/>
          </w:tcPr>
          <w:p>
            <w:pPr>
              <w:jc w:val="center"/>
              <w:ind w:left="2650"/>
              <w:spacing w:after="0"/>
              <w:rPr>
                <w:sz w:val="20"/>
                <w:szCs w:val="20"/>
                <w:color w:val="auto"/>
              </w:rPr>
            </w:pPr>
            <w:r>
              <w:rPr>
                <w:rFonts w:ascii="Arial" w:cs="Arial" w:eastAsia="Arial" w:hAnsi="Arial"/>
                <w:sz w:val="18"/>
                <w:szCs w:val="18"/>
                <w:color w:val="auto"/>
                <w:w w:val="99"/>
              </w:rPr>
              <w:t>5</w:t>
            </w:r>
          </w:p>
        </w:tc>
        <w:tc>
          <w:tcPr>
            <w:tcW w:w="2620" w:type="dxa"/>
            <w:vAlign w:val="bottom"/>
            <w:tcBorders>
              <w:bottom w:val="single" w:sz="8" w:color="auto"/>
              <w:right w:val="single" w:sz="8" w:color="auto"/>
            </w:tcBorders>
            <w:shd w:val="clear" w:color="auto" w:fill="DCE2EF"/>
          </w:tcPr>
          <w:p>
            <w:pPr>
              <w:spacing w:after="0"/>
              <w:rPr>
                <w:sz w:val="22"/>
                <w:szCs w:val="22"/>
                <w:color w:val="auto"/>
              </w:rPr>
            </w:pPr>
          </w:p>
        </w:tc>
      </w:tr>
    </w:tbl>
    <w:p>
      <w:pPr>
        <w:spacing w:after="0" w:line="35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we depreciate assets under capital leases and leasehold improvements over the shorter of their estimated useful lives or the remaining lease term. Upon retirement or sale of an asset, we remove the cost and accumulated depreciation from our consolidated balance sheets. When applicable, we record corresponding gains or losses within the accompanying consolidated statements of comprehensive income.</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93"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0046AD"/>
        </w:rPr>
        <w:t>Leases</w:t>
      </w:r>
    </w:p>
    <w:p>
      <w:pPr>
        <w:spacing w:after="0" w:line="17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We enter into various noncancelable lease agreements for premises and equipment used in the normal course of business. We evaluate the lease agreement at the inception of the lease to determine whether the lease is an operating lease or capital lease.</w:t>
      </w:r>
    </w:p>
    <w:p>
      <w:pPr>
        <w:spacing w:after="0" w:line="9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account for rent expense under noncancelable operating leases with escalation clauses on a straight-line basis over the initial lease term. A deferred liability is recorded for the amount of the excess of straight-line rent expense over scheduled payments. We do not assume renewals in our determination of the lease term unless the renewals are deemed to be reasonably assured at lease inception. We may also be required to make additional payments to reimburse the lessors for operating expenses such as real estate taxes, maintenance, utilities, and insurance, which are expensed as incurred. We enter into leases of parking lots and garages that contain contingent payment provisions. Under these provisions, we pay contingent amounts in addition to base rent, primarily based on percentages of the gross receipts or other financial parameters attributable to the related facilities. We record contingent rent as it becomes probable that specified targets will be met.</w:t>
      </w:r>
    </w:p>
    <w:p>
      <w:pPr>
        <w:spacing w:after="0" w:line="12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We record each capital lease as an asset and an obligation at an amount that is equal to the present value of the minimum lease payments over the lease term.</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Goodwill and Other Intangible Assets</w:t>
      </w:r>
    </w:p>
    <w:p>
      <w:pPr>
        <w:spacing w:after="0" w:line="17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Goodwill represents the excess purchase price of acquired businesses over the fair value of the assets acquired and liabilities assumed. We have elected to make the first day of our fourth quarter, August 1st, the annual impairment assessment date for goodwill. However, we could be required to evaluate the recoverability of goodwill more often if impairment indicators exist. Goodwill is tested for impairment at a “reporting unit” level by performing either a qualitative evaluation or a quantitative test. The qualitative evaluation is an assessment of factors to determine whether it is more likely than not that the fair value of a reporting unit is less than its carrying amount. We may elect not to perform the qualitative assessment for some or all reporting units and perform a quantitative test instead, under which fair value is determined based on discounted cash flow analyses. The discounted estimates of future cash flows include significant management assumptions, such as revenue growth rates, operating margins, weighted average cost of capital, and future economic and market conditions. In 2017, we adopted Accounting Standards Update (“ASU”) 2017-04, </w:t>
      </w:r>
      <w:r>
        <w:rPr>
          <w:rFonts w:ascii="Arial" w:cs="Arial" w:eastAsia="Arial" w:hAnsi="Arial"/>
          <w:sz w:val="18"/>
          <w:szCs w:val="18"/>
          <w:i w:val="1"/>
          <w:iCs w:val="1"/>
          <w:color w:val="auto"/>
        </w:rPr>
        <w:t>Intangibles—Goodwill and Other (Topic 350): Simplifying the Test for</w:t>
      </w:r>
      <w:r>
        <w:rPr>
          <w:rFonts w:ascii="Arial" w:cs="Arial" w:eastAsia="Arial" w:hAnsi="Arial"/>
          <w:sz w:val="18"/>
          <w:szCs w:val="18"/>
          <w:color w:val="auto"/>
        </w:rPr>
        <w:t xml:space="preserve"> </w:t>
      </w:r>
      <w:r>
        <w:rPr>
          <w:rFonts w:ascii="Arial" w:cs="Arial" w:eastAsia="Arial" w:hAnsi="Arial"/>
          <w:sz w:val="18"/>
          <w:szCs w:val="18"/>
          <w:i w:val="1"/>
          <w:iCs w:val="1"/>
          <w:color w:val="auto"/>
        </w:rPr>
        <w:t>Goodwill Impairment</w:t>
      </w:r>
      <w:r>
        <w:rPr>
          <w:rFonts w:ascii="Arial" w:cs="Arial" w:eastAsia="Arial" w:hAnsi="Arial"/>
          <w:sz w:val="18"/>
          <w:szCs w:val="18"/>
          <w:color w:val="auto"/>
        </w:rPr>
        <w:t>, which allows us to test goodwill for impairment by comparing the fair value of a reporting unit to its carrying amount. If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a reporting unit is less than its carrying value, an impairment charge will be recorded for the difference between the fair value and carrying value, but it is limited to the carrying value of the reporting unit’s goodwill.</w:t>
      </w:r>
    </w:p>
    <w:p>
      <w:pPr>
        <w:spacing w:after="0" w:line="12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Other intangible assets primarily consist of acquired customer contracts and relationships that are amortized using the sum-of-the-years-digits method over their useful lives, consistent with the estimated useful life considerations used in the determination of their fair values. This accelerated method of amortization reflects the pattern in which the economic benefits from the intangible assets of customer contracts and relationships are expected to be realized. We amortize other non-customer acquired intangibles using a straight-line method of amortization. We evaluate other intangible assets, as well as our long-lived assets, for impairment whenever events or changes in circumstances indicate that the carrying amount of such assets may not be recoverable. When this occurs, a recoverability test is performed that compares the projected undiscounted cash flows from the use and eventual disposition of an asset or asset group to its carrying amount. If the projected undiscounted cash flows are less than the carrying amount, we calculate an impairment loss. The impairment loss calculation compares the fair value, which is based on projected discounted cash flows, to the carrying value.</w:t>
      </w:r>
    </w:p>
    <w:p>
      <w:pPr>
        <w:spacing w:after="0" w:line="128"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See Note 11, “Goodwill and Other Intangible Assets,” for further information on goodwill, other intangible assets, and impairment charges.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Other Noncurrent Assets</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At October 31, 2019 and 2018, other noncurrent assets primarily consisted of long-term insurance recoverables, deferred charges, insurance and other long-term deposits, federal energy savings performance contract receivables, capitalized commissions, and prepayments to carriers for future insurance claims.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93"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0046AD"/>
        </w:rPr>
        <w:t>Federal Energy Savings Performance Contract Receivables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part of our Technical Solutions business, we enter into energy savings performance contracts (“ESPCs”) with the federal government pursuant to which we agree to develop, design, engineer, and construct a project and to guarantee that the project will satisfy agreed-upon performance standards. ESPC receivables represent the amount to be paid by various federal government agencies for work we have satisfactorily performed under specific ESPCs. We assign certain of our rights to receive those payments to unaffiliated third parties that provide construction financing, which we record as a liability, for such contracts. This construction financing is recorded as cash flows from financing activities, while the use of the cash received to pay project costs under these arrangements is classified as operating cash flows. The ESPC receivable is recognized as revenue as each project is constructed. Upon completion and acceptance of the project by the government and upon satisfaction of true sale criteria, the assigned ESPC receivable from the government and corresponding ESPC liability are eliminated from our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Fair Value of Financial Instruments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Fair value is the price we would receive to sell an asset or pay to transfer a liability in an orderly transaction with a market participant at the measurement date. In the absence of active markets for the identical assets or liabilities, such measurements involve developing assumptions based on market observable data and, in the absence of such data, internal information that is consistent with what market participants would use in a hypothetical transaction that occurs at the measurement date.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Observable inputs reflect market data obtained from independent sources, while unobservable inputs reflect our market assumptions.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Preference is given to observable inputs. These two types of inputs create the following fair value hierarchy: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for identical instruments in active markets;</w:t>
      </w:r>
    </w:p>
    <w:p>
      <w:pPr>
        <w:spacing w:after="0" w:line="171" w:lineRule="exact"/>
        <w:rPr>
          <w:sz w:val="20"/>
          <w:szCs w:val="20"/>
          <w:color w:val="auto"/>
        </w:rPr>
      </w:pPr>
    </w:p>
    <w:p>
      <w:pPr>
        <w:ind w:left="660"/>
        <w:spacing w:after="0" w:line="294"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Quoted prices for similar instruments in active markets; quoted prices for identical or similar instruments in markets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not active; and model-derived valuations whose inputs are observable or whose significant value drivers are observable; and</w:t>
      </w:r>
    </w:p>
    <w:p>
      <w:pPr>
        <w:spacing w:after="0" w:line="8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Significant inputs to the valuation model are unobservable.</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evaluate assets and liabilities subject to fair value measurements on a recurring and non-recurring basis to determine the appropriate level at which to classify them for each reporting period. Some non-financial assets are measured at fair value on a non-recurring basis only in certain circumstances, including the event of impairment. See Note 8, “Fair Value of Financial Instruments,” for the fair value hierarchy table and for details on how we measure fair value for our assets and liabilities.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Acquisitions</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expense acquisition-related costs as incurred. On the date of the acquisition, we allocate the purchase price to the assets acquired and liabilities assumed at their estimated fair values. Goodwill on the acquisition date is measured as the excess of the purchase price over the fair values of assets acquired and liabilities assumed. While we use our best estimates and assumptions to accurately value assets acquired and liabilities assumed at the acquisition date as well as contingent consideration, where applicable, our estimates are subject to refinement. As a result, during the measurement period, which may be up to one year from the acquisition date, we record adjustments to the assets acquired and liabilities assumed with corresponding adjustments to goodwill. We recognize subsequent changes in the estimate of the amount to be paid under contingent consideration arrangements in the accompanying consolidated statements of comprehensive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Discontinued Operations</w:t>
      </w:r>
    </w:p>
    <w:p>
      <w:pPr>
        <w:spacing w:after="0" w:line="17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In order to be reported within discontinued operations, our disposal of a component or a group of components must represent a strategic shift that will have a major effect on our operations and financial results. We aggregate the results of operations for discontinued operations within a single line item on the income statement. General corporate overhead is not allocated to discontinued operations. We disclose any gain or loss that is recognized upon the disposition of a discontinued operation. Prior to disposition, we aggregate the assets and liabilities of discontinued operations and report the amounts on separate line items within the balance sheet.</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95"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0046AD"/>
        </w:rPr>
        <w:t>Assets and Liabilities Held for Sale</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Upon a business being classified as held for sale, we cease all depreciation and amortization related to the assets of the business and record them at the lower of their carrying amount or fair value less estimated costs to sell. The assets and related liabilities of the business are separately presented on the consolidated balance sheets. We review all assets held for sale each reporting period to determine whether the existing carrying amounts are fully recoverable in comparison to estimated fair values.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Insurance Reserves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use a combination of insured and self-insurance programs to cover workers’ compensation, general liability, automobile liability, property damage, and other insurable risks. Insurance claim liabilities represent our estimate of retained risks without regard to insurance coverage. We retain a substantial portion of the risk related to certain workers’ compensation and medical claims. Liabilities associated with these losses include estimates of both filed claims and incurred but not reported claims (“IBNR Claims”).</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With the assistance of third-party actuaries, we periodically review our estimate of ultimate losses for IBNR Claims and adjust our required self-insurance reserves as appropriate. As part of this evaluation, we review the status of existing and new claim reserves as established by third-party claims administrators. The third-party claims administrators establish the case reserves based upon known factors related to the type and severity of the claims, demographic factors, legislative matters, and case law, as appropriate. We compare actual trends to expected trends and monitor claims developments. The specific case reserves estimated by the third-party administrators are provided to an actuary who assists us in projecting an actuarial estimate of the overall ultimate losses for our self-insured or high deductible programs, which includes the case reserves plus an actuarial estimate of reserves required for additional developments, such as IBNR Claims. We utilize the results of actuarial studies to estimate our insurance rates and insurance reserves for future periods and to adjust reserves, if appropriate, for prior years.</w:t>
      </w:r>
    </w:p>
    <w:p>
      <w:pPr>
        <w:spacing w:after="0" w:line="12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In general, our insurance reserves are recorded on an undiscounted basis. We allocate current-year insurance expense to our operating segments based upon their underlying exposures, while actuarial adjustments related to prior year claims are recorded within Corporate expenses. We classify claims as current or long-term based on the expected settlement date. Estimated insurance recoveries related to recorded liabilities are reflected as assets in our consolidated balance sheets when we believe that the receipt of such amounts is probable.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Other Accrued Liabilities</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At October 31, 2019 and 2018, other accrued liabilities primarily consisted of employee benefits, contract liabilities (which include deferred revenue and progress billings in excess of costs), legal fees and settlements, dividends payable, current capital leases, interest, insurance claims, severance, rent payable, and other accrued expenses.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Other Noncurrent Liabilities</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At October 31, 2019 and 2018, other noncurrent liabilities primarily consisted of ESPC liabilities, deferred rent, retirement plan liabilities, deferred compensation, and long-term capital leases. Other noncurrent liabilities at October 31, 2019 also includes our interest rate swaps.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Revenue Recognition</w:t>
      </w:r>
    </w:p>
    <w:p>
      <w:pPr>
        <w:spacing w:after="0" w:line="17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Beginning in fiscal 2019, we adopted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and ASU 2017-10</w:t>
      </w:r>
      <w:r>
        <w:rPr>
          <w:rFonts w:ascii="Arial" w:cs="Arial" w:eastAsia="Arial" w:hAnsi="Arial"/>
          <w:sz w:val="18"/>
          <w:szCs w:val="18"/>
          <w:i w:val="1"/>
          <w:iCs w:val="1"/>
          <w:color w:val="auto"/>
        </w:rPr>
        <w:t>, Service</w:t>
      </w:r>
      <w:r>
        <w:rPr>
          <w:rFonts w:ascii="Arial" w:cs="Arial" w:eastAsia="Arial" w:hAnsi="Arial"/>
          <w:sz w:val="18"/>
          <w:szCs w:val="18"/>
          <w:color w:val="auto"/>
        </w:rPr>
        <w:t xml:space="preserve"> </w:t>
      </w:r>
      <w:r>
        <w:rPr>
          <w:rFonts w:ascii="Arial" w:cs="Arial" w:eastAsia="Arial" w:hAnsi="Arial"/>
          <w:sz w:val="18"/>
          <w:szCs w:val="18"/>
          <w:i w:val="1"/>
          <w:iCs w:val="1"/>
          <w:color w:val="auto"/>
        </w:rPr>
        <w:t>Concession Arrangements (Topic 853): Determining the Customer of the Operation Services</w:t>
      </w:r>
      <w:r>
        <w:rPr>
          <w:rFonts w:ascii="Arial" w:cs="Arial" w:eastAsia="Arial" w:hAnsi="Arial"/>
          <w:sz w:val="18"/>
          <w:szCs w:val="18"/>
          <w:color w:val="auto"/>
        </w:rPr>
        <w:t>. Prior period amounts have not been restated and</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to be reported in accordance with our historical accounting policies. Our revenue recognition policies under Topic 606 and Topic 853 are described in the following paragraphs and references to prior period policies are included below where they are substantially different. See Note 3, “Revenues,” for further information on our revenues, including the impact of adopting Topic 606 and Topic 853 on our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Contracts with Customers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account for a contract when it has approval and commitment from both parties, the rights of the parties are identified, payment terms are identified, the contract has commercial substance, and collectability of consideration is probable. Once a contract is identified, we evaluate whether it is a combined or single contract and whether it should be accounted for as more than one performance obligation. Generally, most of our contracts are cancelable by either</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93" w:right="239" w:bottom="1440" w:gutter="0" w:footer="0" w:header="0"/>
        </w:sectPr>
      </w:pPr>
    </w:p>
    <w:bookmarkStart w:id="62" w:name="page63"/>
    <w:bookmarkEnd w:id="62"/>
    <w:p>
      <w:pPr>
        <w:jc w:val="both"/>
        <w:spacing w:after="0" w:line="292" w:lineRule="auto"/>
        <w:rPr>
          <w:sz w:val="20"/>
          <w:szCs w:val="20"/>
          <w:color w:val="auto"/>
        </w:rPr>
      </w:pPr>
      <w:r>
        <w:rPr>
          <w:rFonts w:ascii="Arial" w:cs="Arial" w:eastAsia="Arial" w:hAnsi="Arial"/>
          <w:sz w:val="18"/>
          <w:szCs w:val="18"/>
          <w:color w:val="auto"/>
        </w:rPr>
        <w:t>party without a substantive penalty, and the majority of our contracts have a notification period of 30 to 60 days. If a contract includes a cancellation clause, the remaining contract term is limited to the required termination notice period.</w:t>
      </w:r>
    </w:p>
    <w:p>
      <w:pPr>
        <w:spacing w:after="0" w:line="9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At contract inception, we assess the services promised to our customers and identify a performance obligation for each promise to transfer to the customer a service, or a bundle of services, that is distinct. To identify the performance obligation, we consider all of our services promised in the contract, regardless of whether they are explicitly stated or are implied by customary business practices.</w:t>
      </w:r>
    </w:p>
    <w:p>
      <w:pPr>
        <w:spacing w:after="0" w:line="10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The majority of our contracts contain multiple promises that represent an integrated bundle of services comprised of activities that may vary over time; however, these activities fulfill a single integrated performance obligation since we perform a continuous service that is substantially the same and has the same pattern of transfer to the customer. Our performance obligations are primarily satisfied over time as we provide the related services. We allocate the contract transaction price to this single performance obligation and recognize revenue as the services are performed, as further described in “Contract Types” below.</w:t>
      </w:r>
    </w:p>
    <w:p>
      <w:pPr>
        <w:spacing w:after="0" w:line="1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Certain arrangements involve variable consideration (primarily per transaction fees, reimbursable expenses, and sales-based royalties). We do not estimate the variable consideration for these arrangements; rather, we recognize these variable fees in the period they are earned. Some of our contracts, often related to Airline Services, may also include performance incentives based on variable performance measures that are ascertained exclusively by future performance and therefore cannot be estimated at contract inception and are recognized as revenue once known and mutually agreed upon.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w:t>
      </w:r>
    </w:p>
    <w:p>
      <w:pPr>
        <w:spacing w:after="0" w:line="12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We primarily account for our performance obligations under the series guidance, using the as-invoiced practical expedient when applicable. We apply the as-invoiced practical expedient to record revenue as the services are provided, given the nature of the services provided and the frequency of billing under the customer contracts. Under this practical expedient, we recognize revenue in an amount that corresponds directly with the value to the customer of our performance completed to date and for which we have the right to invoice the customer.</w:t>
      </w:r>
    </w:p>
    <w:p>
      <w:pPr>
        <w:spacing w:after="0" w:line="12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typically bill customers on a monthly basis and have the right to consideration from customers in an amount that corresponds directly with the performance obligation satisfied to date. The time between completion of the performance obligation and collection of cash is generally 30 to 60 days. Sales-based taxes are excluded from revenue.</w:t>
      </w:r>
    </w:p>
    <w:p>
      <w:pPr>
        <w:spacing w:after="0" w:line="10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Contracts generally can be modified to account for changes in specifications and requirements. We consider contract modifications to exist when the modification either changes the consideration, creates new performance obligations, or changes the existing scope of the contract and related performance obligations. Historically, contract modifications have been for services that are not distinct from the existing contract, since we are providing a bundle of services that are highly inter-related, and are therefore treated as if they were part of that existing contract. Such modifications are generally accounted for prospectively as part of the existing contract.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Contract Types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arrangements under various contract types, as described below.</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0046AD"/>
        </w:rPr>
        <w:t>Monthly Fixed-Price</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Monthly fixed-price arrangements are contracts in which the client agrees to pay a fixed fee every month over a specified contract term. We measure progress toward satisfaction of the performance obligation as the services are provided, and revenue is recognized at the agreed-upon contractual amount over time because the customer simultaneously receives and consumes the benefits of the services as they are performed.</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0046AD"/>
        </w:rPr>
        <w:t>Square-Foot</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Monthly square-foot arrangements are contracts in which the client agrees to pay a fixed fee every month based on the actual square footage serviced over a specified contract term. We measure progress toward satisfaction of the performance obligation as the services are provided, and revenue is recognized at the agreed-upon contractual amount over time because the customer simultaneously receives and consumes the benefits of the services as they are performed.</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95" w:right="239" w:bottom="1440" w:gutter="0" w:footer="0" w:header="0"/>
        </w:sectPr>
      </w:pPr>
    </w:p>
    <w:bookmarkStart w:id="63" w:name="page64"/>
    <w:bookmarkEnd w:id="63"/>
    <w:p>
      <w:pPr>
        <w:ind w:left="660"/>
        <w:spacing w:after="0"/>
        <w:rPr>
          <w:sz w:val="20"/>
          <w:szCs w:val="20"/>
          <w:color w:val="auto"/>
        </w:rPr>
      </w:pPr>
      <w:r>
        <w:rPr>
          <w:rFonts w:ascii="Arial" w:cs="Arial" w:eastAsia="Arial" w:hAnsi="Arial"/>
          <w:sz w:val="18"/>
          <w:szCs w:val="18"/>
          <w:color w:val="0046AD"/>
        </w:rPr>
        <w:t>Cost-Plus</w:t>
      </w:r>
    </w:p>
    <w:p>
      <w:pPr>
        <w:spacing w:after="0" w:line="17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Cost-plus arrangements are contracts in which the clients reimburse us for the agreed-upon amount of wages and benefits, payroll taxes, insurance charges, and other expenses associated with the contracted work, plus a profit margin. We measure progress toward satisfaction of the performance obligation as the services are provided, and revenue is recognized at the agreed-upon contractual amount over time because the customer simultaneously receives and consumes the benefits of the services as they are performed.</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0046AD"/>
        </w:rPr>
        <w:t>Tag Services</w:t>
      </w:r>
    </w:p>
    <w:p>
      <w:pPr>
        <w:spacing w:after="0" w:line="17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Tag services (work orders) generally consist of supplemental services requested by clients outside of the standard service specification and include cleanup after tenant moves, construction cleanup, flood cleanup, and snow removal. Because the nature of these short-term contracts involves performing one-off type services, revenue is recognized at the agreed-upon contractual amount over time as the services are provided, because the customer simultaneously receives and consumes the benefits of the services as they are performed.</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0046AD"/>
        </w:rPr>
        <w:t>Transaction-Price</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Transaction-price contracts are arrangements in which customers are billed a fixed price for each transaction performed on a monthly basis (e.g., wheelchair passengers served, airplane cabins cleaned). We measure progress toward satisfaction of the performance obligation as the services are provided, and revenue is recognized at the agreed-upon contractual amount over time because the customer simultaneously receives and consumes the benefits of the services as they are performed.</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0046AD"/>
        </w:rPr>
        <w:t>Hourly</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Hourly arrangements are contracts in which the client is billed a fixed hourly rate for each labor hour provided. We measure progress toward satisfaction of the performance obligation as the services are provided, and revenue is recognized at the agreed-upon contractual amount over time because the customer simultaneously receives and consumes the benefits of the services as they are performed.</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8"/>
          <w:szCs w:val="18"/>
          <w:color w:val="0046AD"/>
        </w:rPr>
        <w:t>Management Reimbursement</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management reimbursement arrangements we manage a parking facility for a management fee and pass through the revenue and expenses associated with the facility to the owner. We measure progress toward satisfaction of the performance obligation over time as the services are provided. Under these contracts we recognize both revenues and expenses, in equal amounts, that are directly reimbursed from the property owner for operating expenses, as such expenses are incurred. Such revenues do not include gross customer collections at the managed locations because they belong to the property owners. We have determined we are the principal in these transactions, because the nature of our performance obligation is for us to provide the services on behalf of the customer and we have control of the promised services before they are transferred to the customer.</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color w:val="0046AD"/>
        </w:rPr>
        <w:t>Leased Location</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leased location parking arrangements we pay a fixed amount of rent, plus a percentage of revenues derived from monthly and transient parkers, to the property owner. We retain all revenues received and we are responsible for most operating expenses incurred. We measure progress toward satisfaction of the performance obligation as the services are provided, and revenue is recognized over time because the customer simultaneously receives and consumes the benefits of the services as they are performed.</w:t>
      </w:r>
    </w:p>
    <w:p>
      <w:pPr>
        <w:spacing w:after="0" w:line="116"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7"/>
          <w:szCs w:val="17"/>
          <w:color w:val="auto"/>
        </w:rPr>
        <w:t>In accordance with Topic 853, rental expense and certain other expenses under contracts that meet the definition of service concession arrangements are now recorded as a reduction of revenue. Prior to November 1, 2018, such amounts were recorded as operating expenses.</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color w:val="0046AD"/>
        </w:rPr>
        <w:t>Allowance</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allowance parking arrangements we are paid a fixed amount or hourly rate to provide parking services, and we are responsible for certain operating expenses that are specified in the contract. We measure progress toward satisfaction of the performance obligation as the services are provided, and revenue is recognized at the agreed-upon contractual rate over time because the customer simultaneously receives and consumes the benefits of the services as they are performed.</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95" w:right="239" w:bottom="1440" w:gutter="0" w:footer="0" w:header="0"/>
        </w:sectPr>
      </w:pPr>
    </w:p>
    <w:bookmarkStart w:id="64" w:name="page65"/>
    <w:bookmarkEnd w:id="64"/>
    <w:p>
      <w:pPr>
        <w:ind w:left="660"/>
        <w:spacing w:after="0"/>
        <w:rPr>
          <w:sz w:val="20"/>
          <w:szCs w:val="20"/>
          <w:color w:val="auto"/>
        </w:rPr>
      </w:pPr>
      <w:r>
        <w:rPr>
          <w:rFonts w:ascii="Arial" w:cs="Arial" w:eastAsia="Arial" w:hAnsi="Arial"/>
          <w:sz w:val="18"/>
          <w:szCs w:val="18"/>
          <w:color w:val="0046AD"/>
        </w:rPr>
        <w:t>Energy Savings Contracts and Fixed-Price Repair and Refurbishment</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Under energy savings contracts and fixed-price repair and refurbishment arrangements we agree to develop, design, engineer, and construct a project. Additionally, as part of bundled energy solutions arrangements, we guarantee the project will satisfy agreed-upon performance standards.</w:t>
      </w:r>
    </w:p>
    <w:p>
      <w:pPr>
        <w:spacing w:after="0" w:line="10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use the cost-to-cost method, which compares the actual costs incurred to date with the current estimate of total costs to complete, to measure the satisfaction of the performance obligation and recognize revenue as work progresses and we incur costs on our contracts; we believe this method best reflects the transfer of control to the customer. This measurement and comparison process requires updates to the estimate of total costs to complete the contract, and these updates may include subjective assessments and judgments. Equipment purchased for these projects is project-specific and considered a value-added element to our work. Equipment costs are incurred when title is transferred to us, typically upon delivery to the work site. Revenue for uninstalled equipment is recognized at cost and the associated margin is deferred until installation is substantially complete. Prior to November 1, 2018, we recognized revenue and margin on uninstalled equipment consistent with other project costs under the percentage-of-completion method.</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recognize revenue over time for all of our services as we perform them, because (i) control continuously transfers to the customer as work progresses or (ii) we have the right to bill the customer as costs are incurred. The customer typically controls the work in process as evidenced either by contractual termination clauses or by our rights to payment for work performed to date plus a reasonable profit to deliver products or services that do not have an alternative use to us.</w:t>
      </w:r>
    </w:p>
    <w:p>
      <w:pPr>
        <w:spacing w:after="0" w:line="1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Certain project contracts include a schedule of billings or invoices to the customer based on our job-to-date percentage of completion of specific tasks inherent in the fulfillment of our performance obligation(s) or in accordance with a fixed billing schedule. Fixed billing schedules may not precisely match the actual costs incurred. Therefore, revenue recognized may differ from amounts that can be billed or invoiced to the customer at any point during the contract, resulting in balances that are considered revenue recognized in excess of cumulative billings or cumulative billings in excess of revenue recognized. Advanced payments from our customers generally do not represent a significant financing component as the payments are used to meet working capital demands that can be higher in the early stages of a contract, as well as to protect us from our customer failing to meet its obligations under the contract.</w:t>
      </w:r>
    </w:p>
    <w:p>
      <w:pPr>
        <w:spacing w:after="0" w:line="12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Certain projects include service maintenance agreements under which existing systems are repaired and maintained for a specific period of time. We generally recognize revenue under these arrangements over time. Our service maintenance agreements are generally one-year renewable agreements.</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8"/>
          <w:szCs w:val="18"/>
          <w:color w:val="0046AD"/>
        </w:rPr>
        <w:t>Franchise</w:t>
      </w:r>
    </w:p>
    <w:p>
      <w:pPr>
        <w:spacing w:after="0" w:line="17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We franchise certain engineering services through individual and area franchises under the Linc Service and TEGG brands, which are part of ABM Technical Solutions. Initial franchise fees result from the sale of a franchise license and include the use of the name, trademarks, and proprietary methods. The franchise license is considered symbolic intellectual property, and revenue related to the sale of this right is recognized at the agreed-upon contractual amount over the term of the initial franchise agreement. Prior to November 1, 2018, initial fees from sales of franchise licenses were recognized in the year of sale.</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Royalty fee revenue consists of sales-based royalties received as part of the consideration for the franchise right, which is calculated as a percentage of the franchisees’ revenue. We recognize royalty fee revenue at the agreed-upon contractual rates over time as the customer revenue is generated by the franchisees. A receivable is recognized for an estimate of the unreported royalty fees, which are reported and remitted to us in arrears.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64FA2"/>
        </w:rPr>
        <w:t>Costs to Obtain a Contract With a Customer</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capitalize the incremental costs of obtaining a contract with a customer, primarily commissions, as contract assets and recognize the expense on a straight-line basis over a weighted average expected customer relationship period. Capitalized commissions are classified as current or noncurrent based on the timing of when we expect to recognize the expense. Prior to November 1, 2018, such incremental costs were expensed as incurred.</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95"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164FA2"/>
        </w:rPr>
        <w:t>Contract Balances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timing of revenue recognition, billings, and cash collections results in contract assets and contract liabilities, as further explained below. The timing of revenue recognition may differ from the timing of invoicing to customers. If a contract includes a cancellation clause that allows for the termination of the contract by either party without a substantive penalty, the contract term is limited to the termination notice period.</w:t>
      </w:r>
    </w:p>
    <w:p>
      <w:pPr>
        <w:spacing w:after="0" w:line="1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Contract assets consist of billed trade receivables, unbilled trade receivables, and costs incurred in excess of amounts billed. Billed and unbilled trade receivables represent amounts from work completed in which we have an unconditional right to bill our customer. Costs incurred in excess of amounts billed typically arise when the revenue recognized on projects exceeds the amount billed to the customer. These amounts are transferred to billed trade receivables when the rights become unconditional. Contract liabilities consist of deferred revenue and advance payments and billings in excess of revenue recognized. We generally classify contract liabilities as current since the related contracts are generally for a period of one year or less. Contract liabilities decrease as we recognize revenue from the satisfaction of the related performance obligation.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Management Reimbursement Revenue by Segment</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9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gridSpan w:val="6"/>
          </w:tcPr>
          <w:p>
            <w:pPr>
              <w:jc w:val="right"/>
              <w:ind w:right="270"/>
              <w:spacing w:after="0"/>
              <w:rPr>
                <w:sz w:val="20"/>
                <w:szCs w:val="20"/>
                <w:color w:val="auto"/>
              </w:rPr>
            </w:pPr>
            <w:r>
              <w:rPr>
                <w:rFonts w:ascii="Arial" w:cs="Arial" w:eastAsia="Arial" w:hAnsi="Arial"/>
                <w:sz w:val="18"/>
                <w:szCs w:val="18"/>
                <w:b w:val="1"/>
                <w:bCs w:val="1"/>
                <w:color w:val="auto"/>
              </w:rPr>
              <w:t>Years Ended October 31,</w:t>
            </w:r>
          </w:p>
        </w:tc>
        <w:tc>
          <w:tcPr>
            <w:tcW w:w="1420" w:type="dxa"/>
            <w:vAlign w:val="bottom"/>
            <w:tcBorders>
              <w:bottom w:val="single" w:sz="8" w:color="auto"/>
            </w:tcBorders>
          </w:tcPr>
          <w:p>
            <w:pPr>
              <w:spacing w:after="0"/>
              <w:rPr>
                <w:sz w:val="22"/>
                <w:szCs w:val="22"/>
                <w:color w:val="auto"/>
              </w:rPr>
            </w:pPr>
          </w:p>
        </w:tc>
      </w:tr>
      <w:tr>
        <w:trPr>
          <w:trHeight w:val="224"/>
        </w:trPr>
        <w:tc>
          <w:tcPr>
            <w:tcW w:w="570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20" w:type="dxa"/>
            <w:vAlign w:val="bottom"/>
          </w:tcPr>
          <w:p>
            <w:pPr>
              <w:spacing w:after="0"/>
              <w:rPr>
                <w:sz w:val="19"/>
                <w:szCs w:val="19"/>
                <w:color w:val="auto"/>
              </w:rPr>
            </w:pPr>
          </w:p>
        </w:tc>
        <w:tc>
          <w:tcPr>
            <w:tcW w:w="13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2017</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496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50"/>
        </w:trPr>
        <w:tc>
          <w:tcPr>
            <w:tcW w:w="57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Business &amp; Industry</w:t>
            </w:r>
          </w:p>
        </w:tc>
        <w:tc>
          <w:tcPr>
            <w:tcW w:w="420" w:type="dxa"/>
            <w:vAlign w:val="bottom"/>
            <w:shd w:val="clear" w:color="auto" w:fill="DCE2E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283.1</w:t>
            </w:r>
          </w:p>
        </w:tc>
        <w:tc>
          <w:tcPr>
            <w:tcW w:w="600" w:type="dxa"/>
            <w:vAlign w:val="bottom"/>
            <w:gridSpan w:val="3"/>
            <w:shd w:val="clear" w:color="auto" w:fill="DCE2EF"/>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276.6</w:t>
            </w:r>
          </w:p>
        </w:tc>
        <w:tc>
          <w:tcPr>
            <w:tcW w:w="100" w:type="dxa"/>
            <w:vAlign w:val="bottom"/>
            <w:shd w:val="clear" w:color="auto" w:fill="DCE2EF"/>
          </w:tcPr>
          <w:p>
            <w:pPr>
              <w:spacing w:after="0"/>
              <w:rPr>
                <w:sz w:val="21"/>
                <w:szCs w:val="21"/>
                <w:color w:val="auto"/>
              </w:rPr>
            </w:pPr>
          </w:p>
        </w:tc>
        <w:tc>
          <w:tcPr>
            <w:tcW w:w="42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252.9</w:t>
            </w:r>
          </w:p>
        </w:tc>
      </w:tr>
      <w:tr>
        <w:trPr>
          <w:trHeight w:val="265"/>
        </w:trPr>
        <w:tc>
          <w:tcPr>
            <w:tcW w:w="5700" w:type="dxa"/>
            <w:vAlign w:val="bottom"/>
            <w:tcBorders>
              <w:bottom w:val="single" w:sz="8" w:color="DCE2EF"/>
            </w:tcBorders>
            <w:gridSpan w:val="3"/>
          </w:tcPr>
          <w:p>
            <w:pPr>
              <w:ind w:left="40"/>
              <w:spacing w:after="0"/>
              <w:rPr>
                <w:sz w:val="20"/>
                <w:szCs w:val="20"/>
                <w:color w:val="auto"/>
              </w:rPr>
            </w:pPr>
            <w:r>
              <w:rPr>
                <w:rFonts w:ascii="Arial" w:cs="Arial" w:eastAsia="Arial" w:hAnsi="Arial"/>
                <w:sz w:val="18"/>
                <w:szCs w:val="18"/>
                <w:color w:val="auto"/>
              </w:rPr>
              <w:t>Aviation</w:t>
            </w:r>
          </w:p>
        </w:tc>
        <w:tc>
          <w:tcPr>
            <w:tcW w:w="4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w:t>
            </w: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DCE2E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99.9</w:t>
            </w:r>
          </w:p>
        </w:tc>
        <w:tc>
          <w:tcPr>
            <w:tcW w:w="100" w:type="dxa"/>
            <w:vAlign w:val="bottom"/>
            <w:tcBorders>
              <w:bottom w:val="single" w:sz="8" w:color="DCE2E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80.4</w:t>
            </w:r>
          </w:p>
        </w:tc>
      </w:tr>
      <w:tr>
        <w:trPr>
          <w:trHeight w:val="255"/>
        </w:trPr>
        <w:tc>
          <w:tcPr>
            <w:tcW w:w="5700" w:type="dxa"/>
            <w:vAlign w:val="bottom"/>
            <w:gridSpan w:val="3"/>
            <w:shd w:val="clear" w:color="auto" w:fill="DCE2EF"/>
          </w:tcPr>
          <w:p>
            <w:pPr>
              <w:ind w:left="40"/>
              <w:spacing w:after="0"/>
              <w:rPr>
                <w:sz w:val="20"/>
                <w:szCs w:val="20"/>
                <w:color w:val="auto"/>
              </w:rPr>
            </w:pPr>
            <w:r>
              <w:rPr>
                <w:rFonts w:ascii="Arial" w:cs="Arial" w:eastAsia="Arial" w:hAnsi="Arial"/>
                <w:sz w:val="18"/>
                <w:szCs w:val="18"/>
                <w:b w:val="1"/>
                <w:bCs w:val="1"/>
                <w:color w:val="auto"/>
              </w:rPr>
              <w:t>Total</w:t>
            </w:r>
          </w:p>
        </w:tc>
        <w:tc>
          <w:tcPr>
            <w:tcW w:w="420" w:type="dxa"/>
            <w:vAlign w:val="bottom"/>
            <w:shd w:val="clear" w:color="auto" w:fill="DCE2E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378.7</w:t>
            </w:r>
          </w:p>
        </w:tc>
        <w:tc>
          <w:tcPr>
            <w:tcW w:w="600" w:type="dxa"/>
            <w:vAlign w:val="bottom"/>
            <w:gridSpan w:val="3"/>
            <w:shd w:val="clear" w:color="auto" w:fill="DCE2EF"/>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376.4</w:t>
            </w:r>
          </w:p>
        </w:tc>
        <w:tc>
          <w:tcPr>
            <w:tcW w:w="100" w:type="dxa"/>
            <w:vAlign w:val="bottom"/>
            <w:shd w:val="clear" w:color="auto" w:fill="DCE2EF"/>
          </w:tcPr>
          <w:p>
            <w:pPr>
              <w:spacing w:after="0"/>
              <w:rPr>
                <w:sz w:val="22"/>
                <w:szCs w:val="22"/>
                <w:color w:val="auto"/>
              </w:rPr>
            </w:pPr>
          </w:p>
        </w:tc>
        <w:tc>
          <w:tcPr>
            <w:tcW w:w="42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333.2</w:t>
            </w:r>
          </w:p>
        </w:tc>
      </w:tr>
      <w:tr>
        <w:trPr>
          <w:trHeight w:val="20"/>
        </w:trPr>
        <w:tc>
          <w:tcPr>
            <w:tcW w:w="40" w:type="dxa"/>
            <w:vAlign w:val="bottom"/>
            <w:tcBorders>
              <w:top w:val="single" w:sz="8" w:color="DCE2EF"/>
            </w:tcBorders>
          </w:tcPr>
          <w:p>
            <w:pPr>
              <w:spacing w:after="0" w:line="20" w:lineRule="exact"/>
              <w:rPr>
                <w:sz w:val="1"/>
                <w:szCs w:val="1"/>
                <w:color w:val="auto"/>
              </w:rPr>
            </w:pPr>
          </w:p>
        </w:tc>
        <w:tc>
          <w:tcPr>
            <w:tcW w:w="700" w:type="dxa"/>
            <w:vAlign w:val="bottom"/>
            <w:tcBorders>
              <w:top w:val="single" w:sz="8" w:color="DCE2EF"/>
            </w:tcBorders>
          </w:tcPr>
          <w:p>
            <w:pPr>
              <w:spacing w:after="0" w:line="20" w:lineRule="exact"/>
              <w:rPr>
                <w:sz w:val="1"/>
                <w:szCs w:val="1"/>
                <w:color w:val="auto"/>
              </w:rPr>
            </w:pPr>
          </w:p>
        </w:tc>
        <w:tc>
          <w:tcPr>
            <w:tcW w:w="4960" w:type="dxa"/>
            <w:vAlign w:val="bottom"/>
            <w:tcBorders>
              <w:top w:val="single" w:sz="8" w:color="DCE2E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Restructuring and Related Expenses</w:t>
      </w:r>
    </w:p>
    <w:p>
      <w:pPr>
        <w:spacing w:after="0" w:line="17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Restructuring and related expenses include employee severance, external support fees, lease exit costs, and other costs. Our methodology to record these costs is described below.</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Severance</w:t>
      </w:r>
    </w:p>
    <w:p>
      <w:pPr>
        <w:spacing w:after="0" w:line="17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As we do not have a past history of consistently providing severance benefits, we recognize severance costs for employees who do not have formal employment agreements when management has committed to a restructuring plan and communicated those actions to impacted employees, such that the employee is able to determine the type and amount of benefits that they will receive upon termination. In addition, if the employees are required to render service beyond the minimum retention period until they are terminated in order to receive the benefits, a liability is recognized ratably over the future service period. For employees with employment agreements, we accrue for these severance liabilities when it is probable that the impacted employee will be entitled to the benefits and the amount can be reasonably estimated.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Noncancelable Leases and Contractual Obligations</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record liabilities when we terminate a contract in accordance with the contract terms or when we exit the leased space. The expense for noncancelable leases is determined based on the fair value of remaining lease payments reduced by the fair value of estimated sublease income that could reasonably be obtained for the property, estimated using a present value technique.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Other</w:t>
      </w:r>
    </w:p>
    <w:p>
      <w:pPr>
        <w:spacing w:after="0" w:line="17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For other costs associated with exit and disposal activities, we recognize an expense at fair value in the period in which the liability is incurred.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Advertising</w:t>
      </w:r>
    </w:p>
    <w:p>
      <w:pPr>
        <w:spacing w:after="0" w:line="17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Advertising costs are expensed as incurred. During 2019, 2018, and 2017, advertising expense was $1.7 million, $2.3 million, and $2.2 million, respectively.</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95"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0046AD"/>
        </w:rPr>
        <w:t>Share-Based Compensation</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current share-based awards principally consist of restricted stock units (“RSUs”) and various performance share awards. We recognize compensation costs associated with these awards in selling, general and administrative expenses. For RSUs and certain performance share awards, the amount of compensation cost is measured based on the grant-date fair value of the equity instruments issued. Since our total shareholder return (“TSR”) performance share awards are performance awards with a market condition, the compensation costs associated with these awards are determined using a Monte Carlo simulation valuation model. For RSUs and TSR awards, compensation cost is recognized over the period that an employee provides service in exchange for the award. We recognize compensation cost associated with other performance share awards over the requisite service period based on the probability of achievement of performance criteria.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Taxes Collected from Clients and Remitted to Governmental Agencies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record taxes on client transactions due to governmental agencies as receivables and liabilities on the consolidated balance sheets.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Net Income Per Common Share</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Basic net income per common share is net income divided by the weighted-average number of common shares outstanding during the period. Diluted net income per common share is based on the weighted-average number of common shares outstanding during the period, adjusted to include the potential dilution from the conversion of RSUs, vesting of performance shares, and exercise of stock options.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Contingencies and Litigation</w:t>
      </w:r>
    </w:p>
    <w:p>
      <w:pPr>
        <w:spacing w:after="0" w:line="17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We are a party to a number of lawsuits, claims, and proceedings incident to the operation of our business, including those pertaining to labor and employment, contracts, personal injury, and other matters, some of which allege substantial monetary damages. Some of these actions may be brought as class actions on behalf of a class or purported class of employees. We accrue for loss contingencies when losses become probable and are reasonably estimable. If the reasonable estimate of the loss is a range and no amount within the range is a better estimate, the minimum amount of the range is recorded as a liability. We recognize legal costs as an expense in the period incurred.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Income Taxes</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account for income taxes using the asset and liability method. Deferred tax assets and liabilities are recognized for the future tax consequences attributable to temporary differences between the financial statement carrying amount of existing assets and liabilities and their respective tax bases. We measure deferred tax assets and liabilities using enacted tax rates expected to be applied to taxable income in the years in which those temporary differences are expected to be recovered. Deferred tax assets are reviewed for recoverability on a quarterly basis. A valuation allowance is recorded to reduce the carrying amount of a deferred tax asset to its realizable value unless it is more likely than not that such asset will be realized. We recognize accrued interest and penalties related to unrecognized tax benefits in income tax expense in our consolidated statements of comprehensive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Recently Adopted Accounting Standards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64FA2"/>
        </w:rPr>
        <w:t>Revenue from Contracts with Customers</w:t>
      </w:r>
    </w:p>
    <w:p>
      <w:pPr>
        <w:spacing w:after="0" w:line="17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 xml:space="preserve">In May 2014, the Financial Accounting Standards Board (“FASB”) issued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(Topic 606)</w:t>
      </w:r>
      <w:r>
        <w:rPr>
          <w:rFonts w:ascii="Arial" w:cs="Arial" w:eastAsia="Arial" w:hAnsi="Arial"/>
          <w:sz w:val="18"/>
          <w:szCs w:val="18"/>
          <w:color w:val="auto"/>
        </w:rPr>
        <w:t>, and subsequently issued several ASUs further updating Topic 606.</w:t>
      </w:r>
    </w:p>
    <w:p>
      <w:pPr>
        <w:spacing w:after="0" w:line="9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Additionally, in May 2017, the FASB issued ASU 2017-10</w:t>
      </w:r>
      <w:r>
        <w:rPr>
          <w:rFonts w:ascii="Arial" w:cs="Arial" w:eastAsia="Arial" w:hAnsi="Arial"/>
          <w:sz w:val="18"/>
          <w:szCs w:val="18"/>
          <w:i w:val="1"/>
          <w:iCs w:val="1"/>
          <w:color w:val="auto"/>
        </w:rPr>
        <w:t>, Service Concession Arrangements (Topic 853): Determining the Customer</w:t>
      </w:r>
      <w:r>
        <w:rPr>
          <w:rFonts w:ascii="Arial" w:cs="Arial" w:eastAsia="Arial" w:hAnsi="Arial"/>
          <w:sz w:val="18"/>
          <w:szCs w:val="18"/>
          <w:color w:val="auto"/>
        </w:rPr>
        <w:t xml:space="preserve"> </w:t>
      </w:r>
      <w:r>
        <w:rPr>
          <w:rFonts w:ascii="Arial" w:cs="Arial" w:eastAsia="Arial" w:hAnsi="Arial"/>
          <w:sz w:val="18"/>
          <w:szCs w:val="18"/>
          <w:i w:val="1"/>
          <w:iCs w:val="1"/>
          <w:color w:val="auto"/>
        </w:rPr>
        <w:t>of the Operation Services</w:t>
      </w:r>
      <w:r>
        <w:rPr>
          <w:rFonts w:ascii="Arial" w:cs="Arial" w:eastAsia="Arial" w:hAnsi="Arial"/>
          <w:sz w:val="18"/>
          <w:szCs w:val="18"/>
          <w:color w:val="auto"/>
        </w:rPr>
        <w:t>, to clarify how operating entities should determine the customer of operation services for transactions within the</w:t>
      </w:r>
      <w:r>
        <w:rPr>
          <w:rFonts w:ascii="Arial" w:cs="Arial" w:eastAsia="Arial" w:hAnsi="Arial"/>
          <w:sz w:val="18"/>
          <w:szCs w:val="18"/>
          <w:i w:val="1"/>
          <w:iCs w:val="1"/>
          <w:color w:val="auto"/>
        </w:rPr>
        <w:t xml:space="preserve"> </w:t>
      </w:r>
      <w:r>
        <w:rPr>
          <w:rFonts w:ascii="Arial" w:cs="Arial" w:eastAsia="Arial" w:hAnsi="Arial"/>
          <w:sz w:val="18"/>
          <w:szCs w:val="18"/>
          <w:color w:val="auto"/>
        </w:rPr>
        <w:t>scope of this guidance, which U.S. GAAP did not address prior to this ASU. The amendment eliminates diversity in practice by clarifying that the grantor is the customer of the operation services in all cases for those arrangements. We determined that revenue we generate from service concession arrangements, primarily from certain parking arrangements, will be accounted for under this guidance. We adopted the amendments in this update in conjunction with the adoption of Topic 606, as discussed below.</w:t>
      </w:r>
    </w:p>
    <w:p>
      <w:pPr>
        <w:spacing w:after="0" w:line="12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Collectively these ASUs introduce a new principles-based framework for revenue recognition and disclosure. The core principle of the standard is when an entity transfers goods or services to customers it will recognize revenue in an amount that reflects the consideration it expects to be entitled to for those goods or services. The standard also</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93" w:right="239" w:bottom="1440" w:gutter="0" w:footer="0" w:header="0"/>
        </w:sectPr>
      </w:pPr>
    </w:p>
    <w:bookmarkStart w:id="67" w:name="page68"/>
    <w:bookmarkEnd w:id="67"/>
    <w:p>
      <w:pPr>
        <w:jc w:val="both"/>
        <w:ind w:right="20"/>
        <w:spacing w:after="0" w:line="292" w:lineRule="auto"/>
        <w:rPr>
          <w:sz w:val="20"/>
          <w:szCs w:val="20"/>
          <w:color w:val="auto"/>
        </w:rPr>
      </w:pPr>
      <w:r>
        <w:rPr>
          <w:rFonts w:ascii="Arial" w:cs="Arial" w:eastAsia="Arial" w:hAnsi="Arial"/>
          <w:sz w:val="18"/>
          <w:szCs w:val="18"/>
          <w:color w:val="auto"/>
        </w:rPr>
        <w:t>expands the required disclosures to include the disaggregation of revenue from contracts with customers into categories that depict how the nature, timing, and uncertainty of revenue and cash flows are affected by economic factors.</w:t>
      </w:r>
    </w:p>
    <w:p>
      <w:pPr>
        <w:spacing w:after="0" w:line="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We adopted Topic 606 and Topic 853 on November 1, 2018 using a modified retrospective approach with a cumulative-effect adjustment to retained earnings as of the beginning of 2019; prior period financial statements were not adjusted. We applied the standards to contracts that had not been completed at November 1, 2018 and did not apply them to contracts that were modified before the beginning of the earliest reporting period presented. See Note 3, “Revenues,” for additional details regarding the impact of adopting Topic 606 and Topic 853 on our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64FA2"/>
        </w:rPr>
        <w:t>Other Recently Adopted Accounting Standards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first quarter of 2019, we also adopted the following ASUs with no material impact on our consolidated financial statements:</w:t>
      </w:r>
    </w:p>
    <w:p>
      <w:pPr>
        <w:sectPr>
          <w:pgSz w:w="11900" w:h="16838" w:orient="portrait"/>
          <w:cols w:equalWidth="0" w:num="1">
            <w:col w:w="11420"/>
          </w:cols>
          <w:pgMar w:left="240" w:top="495" w:right="239" w:bottom="1440" w:gutter="0" w:footer="0" w:header="0"/>
        </w:sectPr>
      </w:pPr>
    </w:p>
    <w:p>
      <w:pPr>
        <w:spacing w:after="0" w:line="345" w:lineRule="exact"/>
        <w:rPr>
          <w:sz w:val="20"/>
          <w:szCs w:val="20"/>
          <w:color w:val="auto"/>
        </w:rPr>
      </w:pPr>
    </w:p>
    <w:tbl>
      <w:tblPr>
        <w:tblLayout w:type="fixed"/>
        <w:tblInd w:w="60" w:type="dxa"/>
        <w:tblCellMar>
          <w:top w:w="0" w:type="dxa"/>
          <w:left w:w="0" w:type="dxa"/>
          <w:bottom w:w="0" w:type="dxa"/>
          <w:right w:w="0" w:type="dxa"/>
        </w:tblCellMar>
      </w:tblPr>
      <w:tr>
        <w:trPr>
          <w:trHeight w:val="254"/>
        </w:trPr>
        <w:tc>
          <w:tcPr>
            <w:tcW w:w="1720" w:type="dxa"/>
            <w:vAlign w:val="bottom"/>
            <w:gridSpan w:val="2"/>
          </w:tcPr>
          <w:p>
            <w:pPr>
              <w:ind w:left="600"/>
              <w:spacing w:after="0"/>
              <w:rPr>
                <w:sz w:val="20"/>
                <w:szCs w:val="20"/>
                <w:color w:val="auto"/>
              </w:rPr>
            </w:pPr>
            <w:r>
              <w:rPr>
                <w:rFonts w:ascii="Arial" w:cs="Arial" w:eastAsia="Arial" w:hAnsi="Arial"/>
                <w:sz w:val="18"/>
                <w:szCs w:val="18"/>
                <w:b w:val="1"/>
                <w:bCs w:val="1"/>
                <w:color w:val="auto"/>
              </w:rPr>
              <w:t>ASU</w:t>
            </w:r>
          </w:p>
        </w:tc>
        <w:tc>
          <w:tcPr>
            <w:tcW w:w="4760" w:type="dxa"/>
            <w:vAlign w:val="bottom"/>
          </w:tcPr>
          <w:p>
            <w:pPr>
              <w:ind w:left="2140"/>
              <w:spacing w:after="0"/>
              <w:rPr>
                <w:sz w:val="20"/>
                <w:szCs w:val="20"/>
                <w:color w:val="auto"/>
              </w:rPr>
            </w:pPr>
            <w:r>
              <w:rPr>
                <w:rFonts w:ascii="Arial" w:cs="Arial" w:eastAsia="Arial" w:hAnsi="Arial"/>
                <w:sz w:val="18"/>
                <w:szCs w:val="18"/>
                <w:b w:val="1"/>
                <w:bCs w:val="1"/>
                <w:color w:val="auto"/>
              </w:rPr>
              <w:t>Topic</w:t>
            </w:r>
          </w:p>
        </w:tc>
      </w:tr>
      <w:tr>
        <w:trPr>
          <w:trHeight w:val="241"/>
        </w:trPr>
        <w:tc>
          <w:tcPr>
            <w:tcW w:w="160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99"/>
              </w:rPr>
              <w:t>2016-01</w:t>
            </w:r>
          </w:p>
        </w:tc>
        <w:tc>
          <w:tcPr>
            <w:tcW w:w="120" w:type="dxa"/>
            <w:vAlign w:val="bottom"/>
          </w:tcPr>
          <w:p>
            <w:pPr>
              <w:spacing w:after="0"/>
              <w:rPr>
                <w:sz w:val="20"/>
                <w:szCs w:val="20"/>
                <w:color w:val="auto"/>
              </w:rPr>
            </w:pPr>
          </w:p>
        </w:tc>
        <w:tc>
          <w:tcPr>
            <w:tcW w:w="47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Financial Instruments</w:t>
            </w:r>
          </w:p>
        </w:tc>
      </w:tr>
      <w:tr>
        <w:trPr>
          <w:trHeight w:val="216"/>
        </w:trPr>
        <w:tc>
          <w:tcPr>
            <w:tcW w:w="1600" w:type="dxa"/>
            <w:vAlign w:val="bottom"/>
          </w:tcPr>
          <w:p>
            <w:pPr>
              <w:jc w:val="right"/>
              <w:ind w:right="830"/>
              <w:spacing w:after="0"/>
              <w:rPr>
                <w:sz w:val="20"/>
                <w:szCs w:val="20"/>
                <w:color w:val="auto"/>
              </w:rPr>
            </w:pPr>
            <w:r>
              <w:rPr>
                <w:rFonts w:ascii="Arial" w:cs="Arial" w:eastAsia="Arial" w:hAnsi="Arial"/>
                <w:sz w:val="18"/>
                <w:szCs w:val="18"/>
                <w:color w:val="auto"/>
                <w:w w:val="99"/>
              </w:rPr>
              <w:t>2016-15</w:t>
            </w:r>
          </w:p>
        </w:tc>
        <w:tc>
          <w:tcPr>
            <w:tcW w:w="120" w:type="dxa"/>
            <w:vAlign w:val="bottom"/>
          </w:tcPr>
          <w:p>
            <w:pPr>
              <w:spacing w:after="0"/>
              <w:rPr>
                <w:sz w:val="18"/>
                <w:szCs w:val="18"/>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Statement of Cash Flows — Classification of Certain Cash</w:t>
            </w:r>
          </w:p>
        </w:tc>
      </w:tr>
      <w:tr>
        <w:trPr>
          <w:trHeight w:val="243"/>
        </w:trPr>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Receipts and Cash Payments</w:t>
            </w:r>
          </w:p>
        </w:tc>
      </w:tr>
      <w:tr>
        <w:trPr>
          <w:trHeight w:val="216"/>
        </w:trPr>
        <w:tc>
          <w:tcPr>
            <w:tcW w:w="1600" w:type="dxa"/>
            <w:vAlign w:val="bottom"/>
          </w:tcPr>
          <w:p>
            <w:pPr>
              <w:jc w:val="right"/>
              <w:ind w:right="830"/>
              <w:spacing w:after="0"/>
              <w:rPr>
                <w:sz w:val="20"/>
                <w:szCs w:val="20"/>
                <w:color w:val="auto"/>
              </w:rPr>
            </w:pPr>
            <w:r>
              <w:rPr>
                <w:rFonts w:ascii="Arial" w:cs="Arial" w:eastAsia="Arial" w:hAnsi="Arial"/>
                <w:sz w:val="18"/>
                <w:szCs w:val="18"/>
                <w:color w:val="auto"/>
                <w:w w:val="99"/>
              </w:rPr>
              <w:t>2016-16</w:t>
            </w:r>
          </w:p>
        </w:tc>
        <w:tc>
          <w:tcPr>
            <w:tcW w:w="120" w:type="dxa"/>
            <w:vAlign w:val="bottom"/>
          </w:tcPr>
          <w:p>
            <w:pPr>
              <w:spacing w:after="0"/>
              <w:rPr>
                <w:sz w:val="18"/>
                <w:szCs w:val="18"/>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Income Taxes — Intra-Entity Transfers of Assets Other</w:t>
            </w:r>
          </w:p>
        </w:tc>
      </w:tr>
      <w:tr>
        <w:trPr>
          <w:trHeight w:val="243"/>
        </w:trPr>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Than Inventory</w:t>
            </w:r>
          </w:p>
        </w:tc>
      </w:tr>
      <w:tr>
        <w:trPr>
          <w:trHeight w:val="257"/>
        </w:trPr>
        <w:tc>
          <w:tcPr>
            <w:tcW w:w="1600" w:type="dxa"/>
            <w:vAlign w:val="bottom"/>
          </w:tcPr>
          <w:p>
            <w:pPr>
              <w:jc w:val="right"/>
              <w:ind w:right="830"/>
              <w:spacing w:after="0"/>
              <w:rPr>
                <w:sz w:val="20"/>
                <w:szCs w:val="20"/>
                <w:color w:val="auto"/>
              </w:rPr>
            </w:pPr>
            <w:r>
              <w:rPr>
                <w:rFonts w:ascii="Arial" w:cs="Arial" w:eastAsia="Arial" w:hAnsi="Arial"/>
                <w:sz w:val="18"/>
                <w:szCs w:val="18"/>
                <w:color w:val="auto"/>
                <w:w w:val="99"/>
              </w:rPr>
              <w:t>2016-18</w:t>
            </w:r>
          </w:p>
        </w:tc>
        <w:tc>
          <w:tcPr>
            <w:tcW w:w="120" w:type="dxa"/>
            <w:vAlign w:val="bottom"/>
          </w:tcPr>
          <w:p>
            <w:pPr>
              <w:spacing w:after="0"/>
              <w:rPr>
                <w:sz w:val="22"/>
                <w:szCs w:val="22"/>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Statement of Cash Flows — Restricted Cash</w:t>
            </w:r>
          </w:p>
        </w:tc>
      </w:tr>
      <w:tr>
        <w:trPr>
          <w:trHeight w:val="270"/>
        </w:trPr>
        <w:tc>
          <w:tcPr>
            <w:tcW w:w="1600" w:type="dxa"/>
            <w:vAlign w:val="bottom"/>
          </w:tcPr>
          <w:p>
            <w:pPr>
              <w:jc w:val="right"/>
              <w:ind w:right="830"/>
              <w:spacing w:after="0"/>
              <w:rPr>
                <w:sz w:val="20"/>
                <w:szCs w:val="20"/>
                <w:color w:val="auto"/>
              </w:rPr>
            </w:pPr>
            <w:r>
              <w:rPr>
                <w:rFonts w:ascii="Arial" w:cs="Arial" w:eastAsia="Arial" w:hAnsi="Arial"/>
                <w:sz w:val="18"/>
                <w:szCs w:val="18"/>
                <w:color w:val="auto"/>
                <w:w w:val="99"/>
              </w:rPr>
              <w:t>2017-07</w:t>
            </w:r>
          </w:p>
        </w:tc>
        <w:tc>
          <w:tcPr>
            <w:tcW w:w="120" w:type="dxa"/>
            <w:vAlign w:val="bottom"/>
          </w:tcPr>
          <w:p>
            <w:pPr>
              <w:spacing w:after="0"/>
              <w:rPr>
                <w:sz w:val="23"/>
                <w:szCs w:val="23"/>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Compensation — Retirement Benefits</w:t>
            </w:r>
          </w:p>
        </w:tc>
      </w:tr>
      <w:tr>
        <w:trPr>
          <w:trHeight w:val="270"/>
        </w:trPr>
        <w:tc>
          <w:tcPr>
            <w:tcW w:w="1600" w:type="dxa"/>
            <w:vAlign w:val="bottom"/>
          </w:tcPr>
          <w:p>
            <w:pPr>
              <w:jc w:val="right"/>
              <w:ind w:right="830"/>
              <w:spacing w:after="0"/>
              <w:rPr>
                <w:sz w:val="20"/>
                <w:szCs w:val="20"/>
                <w:color w:val="auto"/>
              </w:rPr>
            </w:pPr>
            <w:r>
              <w:rPr>
                <w:rFonts w:ascii="Arial" w:cs="Arial" w:eastAsia="Arial" w:hAnsi="Arial"/>
                <w:sz w:val="18"/>
                <w:szCs w:val="18"/>
                <w:color w:val="auto"/>
                <w:w w:val="99"/>
              </w:rPr>
              <w:t>2017-09</w:t>
            </w:r>
          </w:p>
        </w:tc>
        <w:tc>
          <w:tcPr>
            <w:tcW w:w="120" w:type="dxa"/>
            <w:vAlign w:val="bottom"/>
          </w:tcPr>
          <w:p>
            <w:pPr>
              <w:spacing w:after="0"/>
              <w:rPr>
                <w:sz w:val="23"/>
                <w:szCs w:val="23"/>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Compensation — Stock Compensation</w:t>
            </w:r>
          </w:p>
        </w:tc>
      </w:tr>
      <w:tr>
        <w:trPr>
          <w:trHeight w:val="230"/>
        </w:trPr>
        <w:tc>
          <w:tcPr>
            <w:tcW w:w="1600" w:type="dxa"/>
            <w:vAlign w:val="bottom"/>
          </w:tcPr>
          <w:p>
            <w:pPr>
              <w:jc w:val="right"/>
              <w:ind w:right="830"/>
              <w:spacing w:after="0"/>
              <w:rPr>
                <w:sz w:val="20"/>
                <w:szCs w:val="20"/>
                <w:color w:val="auto"/>
              </w:rPr>
            </w:pPr>
            <w:r>
              <w:rPr>
                <w:rFonts w:ascii="Arial" w:cs="Arial" w:eastAsia="Arial" w:hAnsi="Arial"/>
                <w:sz w:val="18"/>
                <w:szCs w:val="18"/>
                <w:color w:val="auto"/>
                <w:w w:val="99"/>
              </w:rPr>
              <w:t>2018-02</w:t>
            </w:r>
          </w:p>
        </w:tc>
        <w:tc>
          <w:tcPr>
            <w:tcW w:w="120" w:type="dxa"/>
            <w:vAlign w:val="bottom"/>
          </w:tcPr>
          <w:p>
            <w:pPr>
              <w:spacing w:after="0"/>
              <w:rPr>
                <w:sz w:val="19"/>
                <w:szCs w:val="19"/>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Income Statement — Reporting Comprehensive Income:</w:t>
            </w:r>
          </w:p>
        </w:tc>
      </w:tr>
      <w:tr>
        <w:trPr>
          <w:trHeight w:val="203"/>
        </w:trPr>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60" w:type="dxa"/>
            <w:vAlign w:val="bottom"/>
          </w:tcPr>
          <w:p>
            <w:pPr>
              <w:ind w:left="20"/>
              <w:spacing w:after="0" w:line="202" w:lineRule="exact"/>
              <w:rPr>
                <w:sz w:val="20"/>
                <w:szCs w:val="20"/>
                <w:color w:val="auto"/>
              </w:rPr>
            </w:pPr>
            <w:r>
              <w:rPr>
                <w:rFonts w:ascii="Arial" w:cs="Arial" w:eastAsia="Arial" w:hAnsi="Arial"/>
                <w:sz w:val="18"/>
                <w:szCs w:val="18"/>
                <w:color w:val="auto"/>
              </w:rPr>
              <w:t>Reclassification of Certain Tax Effects from Accumulated</w:t>
            </w:r>
          </w:p>
        </w:tc>
      </w:tr>
      <w:tr>
        <w:trPr>
          <w:trHeight w:val="243"/>
        </w:trPr>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r>
      <w:tr>
        <w:trPr>
          <w:trHeight w:val="257"/>
        </w:trPr>
        <w:tc>
          <w:tcPr>
            <w:tcW w:w="1600" w:type="dxa"/>
            <w:vAlign w:val="bottom"/>
          </w:tcPr>
          <w:p>
            <w:pPr>
              <w:jc w:val="right"/>
              <w:ind w:right="830"/>
              <w:spacing w:after="0"/>
              <w:rPr>
                <w:sz w:val="20"/>
                <w:szCs w:val="20"/>
                <w:color w:val="auto"/>
              </w:rPr>
            </w:pPr>
            <w:r>
              <w:rPr>
                <w:rFonts w:ascii="Arial" w:cs="Arial" w:eastAsia="Arial" w:hAnsi="Arial"/>
                <w:sz w:val="18"/>
                <w:szCs w:val="18"/>
                <w:color w:val="auto"/>
                <w:w w:val="99"/>
              </w:rPr>
              <w:t>2018-04</w:t>
            </w:r>
          </w:p>
        </w:tc>
        <w:tc>
          <w:tcPr>
            <w:tcW w:w="120" w:type="dxa"/>
            <w:vAlign w:val="bottom"/>
          </w:tcPr>
          <w:p>
            <w:pPr>
              <w:spacing w:after="0"/>
              <w:rPr>
                <w:sz w:val="22"/>
                <w:szCs w:val="22"/>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Investments — Debt Securities</w:t>
            </w:r>
          </w:p>
        </w:tc>
      </w:tr>
    </w:tbl>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Method of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29845</wp:posOffset>
            </wp:positionV>
            <wp:extent cx="30099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Modified retrospective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Retrospective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Modified retrospective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Retrospective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Retrospective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Prospective</w:t>
      </w:r>
    </w:p>
    <w:p>
      <w:pPr>
        <w:spacing w:after="0" w:line="6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Early adopted; we elected not to reclassify any stranded tax effects of the Tax Cuts and Jobs Act (the “Tax Act”) due to the insignificance of the amount remaining in AOCI.</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Adopted in conjunction with ASU 2016-01</w:t>
      </w:r>
    </w:p>
    <w:p>
      <w:pPr>
        <w:spacing w:after="0" w:line="235" w:lineRule="exact"/>
        <w:rPr>
          <w:sz w:val="20"/>
          <w:szCs w:val="20"/>
          <w:color w:val="auto"/>
        </w:rPr>
      </w:pPr>
    </w:p>
    <w:p>
      <w:pPr>
        <w:sectPr>
          <w:pgSz w:w="11900" w:h="16838" w:orient="portrait"/>
          <w:cols w:equalWidth="0" w:num="2">
            <w:col w:w="6540" w:space="120"/>
            <w:col w:w="4760"/>
          </w:cols>
          <w:pgMar w:left="240" w:top="495" w:right="239" w:bottom="1440" w:gutter="0" w:footer="0" w:header="0"/>
          <w:type w:val="continuous"/>
        </w:sect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Recently Issued Accounting Standards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Leases</w:t>
      </w:r>
    </w:p>
    <w:p>
      <w:pPr>
        <w:spacing w:after="0" w:line="171" w:lineRule="exact"/>
        <w:rPr>
          <w:sz w:val="20"/>
          <w:szCs w:val="20"/>
          <w:color w:val="auto"/>
        </w:rPr>
      </w:pPr>
    </w:p>
    <w:p>
      <w:pPr>
        <w:ind w:firstLine="648"/>
        <w:spacing w:after="0" w:line="292"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Since the release of ASU 2016-02, the FASB issued the following additional ASUs further updating Topic 842:</w:t>
      </w:r>
    </w:p>
    <w:p>
      <w:pPr>
        <w:spacing w:after="0" w:line="9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In January 2018, ASU 2018-01, </w:t>
      </w:r>
      <w:r>
        <w:rPr>
          <w:rFonts w:ascii="Arial" w:cs="Arial" w:eastAsia="Arial" w:hAnsi="Arial"/>
          <w:sz w:val="18"/>
          <w:szCs w:val="18"/>
          <w:i w:val="1"/>
          <w:iCs w:val="1"/>
          <w:color w:val="auto"/>
        </w:rPr>
        <w:t>Land Easement Practical Expedient for Transition to Topic 842</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i w:val="1"/>
          <w:iCs w:val="1"/>
          <w:color w:val="auto"/>
        </w:rPr>
      </w:pPr>
      <w:r>
        <w:rPr>
          <w:rFonts w:ascii="Arial" w:cs="Arial" w:eastAsia="Arial" w:hAnsi="Arial"/>
          <w:sz w:val="18"/>
          <w:szCs w:val="18"/>
          <w:color w:val="auto"/>
        </w:rPr>
        <w:t xml:space="preserve">In July 2018, ASU 2018-10, </w:t>
      </w:r>
      <w:r>
        <w:rPr>
          <w:rFonts w:ascii="Arial" w:cs="Arial" w:eastAsia="Arial" w:hAnsi="Arial"/>
          <w:sz w:val="18"/>
          <w:szCs w:val="18"/>
          <w:i w:val="1"/>
          <w:iCs w:val="1"/>
          <w:color w:val="auto"/>
        </w:rPr>
        <w:t>Codification Improvements to Topic 842</w:t>
      </w:r>
    </w:p>
    <w:p>
      <w:pPr>
        <w:spacing w:after="0" w:line="171" w:lineRule="exact"/>
        <w:rPr>
          <w:rFonts w:ascii="Arial" w:cs="Arial" w:eastAsia="Arial" w:hAnsi="Arial"/>
          <w:sz w:val="18"/>
          <w:szCs w:val="18"/>
          <w:i w:val="1"/>
          <w:iCs w:val="1"/>
          <w:color w:val="auto"/>
        </w:rPr>
      </w:pPr>
    </w:p>
    <w:p>
      <w:pPr>
        <w:ind w:left="660" w:hanging="328"/>
        <w:spacing w:after="0"/>
        <w:tabs>
          <w:tab w:leader="none" w:pos="660" w:val="left"/>
        </w:tabs>
        <w:numPr>
          <w:ilvl w:val="0"/>
          <w:numId w:val="24"/>
        </w:numPr>
        <w:rPr>
          <w:rFonts w:ascii="Arial" w:cs="Arial" w:eastAsia="Arial" w:hAnsi="Arial"/>
          <w:sz w:val="18"/>
          <w:szCs w:val="18"/>
          <w:i w:val="1"/>
          <w:iCs w:val="1"/>
          <w:color w:val="auto"/>
        </w:rPr>
      </w:pPr>
      <w:r>
        <w:rPr>
          <w:rFonts w:ascii="Arial" w:cs="Arial" w:eastAsia="Arial" w:hAnsi="Arial"/>
          <w:sz w:val="18"/>
          <w:szCs w:val="18"/>
          <w:color w:val="auto"/>
        </w:rPr>
        <w:t xml:space="preserve">In July 2018, ASU 2018-11, </w:t>
      </w:r>
      <w:r>
        <w:rPr>
          <w:rFonts w:ascii="Arial" w:cs="Arial" w:eastAsia="Arial" w:hAnsi="Arial"/>
          <w:sz w:val="18"/>
          <w:szCs w:val="18"/>
          <w:i w:val="1"/>
          <w:iCs w:val="1"/>
          <w:color w:val="auto"/>
        </w:rPr>
        <w:t>Leases (Topic 842): Targeted Improvements</w:t>
      </w:r>
    </w:p>
    <w:p>
      <w:pPr>
        <w:spacing w:after="0" w:line="171" w:lineRule="exact"/>
        <w:rPr>
          <w:rFonts w:ascii="Arial" w:cs="Arial" w:eastAsia="Arial" w:hAnsi="Arial"/>
          <w:sz w:val="18"/>
          <w:szCs w:val="18"/>
          <w:i w:val="1"/>
          <w:iCs w:val="1"/>
          <w:color w:val="auto"/>
        </w:rPr>
      </w:pPr>
    </w:p>
    <w:p>
      <w:pPr>
        <w:ind w:left="660" w:hanging="328"/>
        <w:spacing w:after="0"/>
        <w:tabs>
          <w:tab w:leader="none" w:pos="660" w:val="left"/>
        </w:tabs>
        <w:numPr>
          <w:ilvl w:val="0"/>
          <w:numId w:val="24"/>
        </w:numPr>
        <w:rPr>
          <w:rFonts w:ascii="Arial" w:cs="Arial" w:eastAsia="Arial" w:hAnsi="Arial"/>
          <w:sz w:val="18"/>
          <w:szCs w:val="18"/>
          <w:i w:val="1"/>
          <w:iCs w:val="1"/>
          <w:color w:val="auto"/>
        </w:rPr>
      </w:pPr>
      <w:r>
        <w:rPr>
          <w:rFonts w:ascii="Arial" w:cs="Arial" w:eastAsia="Arial" w:hAnsi="Arial"/>
          <w:sz w:val="18"/>
          <w:szCs w:val="18"/>
          <w:color w:val="auto"/>
        </w:rPr>
        <w:t xml:space="preserve">In March 2019, ASU 2019-01, </w:t>
      </w:r>
      <w:r>
        <w:rPr>
          <w:rFonts w:ascii="Arial" w:cs="Arial" w:eastAsia="Arial" w:hAnsi="Arial"/>
          <w:sz w:val="18"/>
          <w:szCs w:val="18"/>
          <w:i w:val="1"/>
          <w:iCs w:val="1"/>
          <w:color w:val="auto"/>
        </w:rPr>
        <w:t>Leases (Topic 842): Codification Improvements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Topic 842 replaces existing lease accounting guidance and is intended to provide enhanced transparency and comparability by requiring lessees to record most leases on the balance sheet. Under Topic 842, lessees are required to record on the balance sheet right-of-use (“ROU”) assets, which represent the right to use an underlying asset for the lease term, and the corresponding lease liabilities, which represent the obligation to make lease payments arising from the lease. The new guidance requires us to continue classifying leases as either operating or financing, with classification affecting the pattern of expense recognition in the statements of comprehensive income. In addition, the new standard requires enhanced disclosures surrounding the amount, timing, and uncertainty of cash flows arising from leasing arrangements. We will adopt Topic 842 effective November 1, 2019 on a modified retrospective basis using the optional transition method permitted under ASU 2018-11, and we will recognize a cumulative-effect adjustment to the opening balance of retained earnings as of the beginning of 2020. Comparative prior period financial statements will not be restated.</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95" w:right="239" w:bottom="1440" w:gutter="0" w:footer="0" w:header="0"/>
          <w:type w:val="continuous"/>
        </w:sectPr>
      </w:pPr>
    </w:p>
    <w:bookmarkStart w:id="68" w:name="page69"/>
    <w:bookmarkEnd w:id="68"/>
    <w:p>
      <w:pPr>
        <w:jc w:val="both"/>
        <w:ind w:firstLine="648"/>
        <w:spacing w:after="0" w:line="257" w:lineRule="auto"/>
        <w:rPr>
          <w:sz w:val="20"/>
          <w:szCs w:val="20"/>
          <w:color w:val="auto"/>
        </w:rPr>
      </w:pPr>
      <w:r>
        <w:rPr>
          <w:rFonts w:ascii="Arial" w:cs="Arial" w:eastAsia="Arial" w:hAnsi="Arial"/>
          <w:sz w:val="18"/>
          <w:szCs w:val="18"/>
          <w:color w:val="auto"/>
        </w:rPr>
        <w:t>We expect to elect certain practical expedients upon adoption for existing leases as of the effective date. We will elect the package of practical expedients that allows us to carry forward prior conclusions related to: (i) whether any expired or existing contracts are or contain leases; (ii) the lease classification for any expired or existing leases; and (iii) initial direct costs for existing leases. Additionally, we will elect the practical expedient of not separating lease components from non-lease components for all asset classes. We will make an accounting policy election to not record ROU assets or lease liabilities for leases with an initial term of 12 months or less and will recognize payments for such leases in the consolidated statements of comprehensive income on a straight-line basis over the lease term. We will not elect the use of hindsight for determining the reasonably certain lease term.</w:t>
      </w:r>
    </w:p>
    <w:p>
      <w:pPr>
        <w:spacing w:after="0" w:line="12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substantially completed our plan for the adoption and implementation of this new accounting standard, including assessing our lease arrangements and implementing software to meet the reporting and disclosure requirements of this standard. We continue to finalize our implementation efforts and currently estimate that the adoption of this standard will result in the recognition of approximately $130 million to $200 million of ROU assets and approximately $152 million to $222 million of lease liabilities, subject to the completion of our assessment. We do not believe the new standard will have a material impact on our consolidated statements of comprehensive income or consolidated statements of cash flows, our liquidity, or our compliance with the various covenants contained within our credit facility, as further described in Note 13, “Credit Facility.”</w:t>
      </w:r>
    </w:p>
    <w:p>
      <w:pPr>
        <w:spacing w:after="0" w:line="12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No other recently issued accounting standards are expected to have a significant impact on our fiscal 2020 consolidated financial statements.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3.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164FA2"/>
        </w:rPr>
        <w:t>Impact of Adopting Topic 606 and Topic 853 on the Consolidated Financial Statements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November 1, 2018, we recorded a pre-tax increase of $9.1 million to our opening retained earnings as a result of adopting Topic</w:t>
      </w:r>
    </w:p>
    <w:p>
      <w:pPr>
        <w:spacing w:after="0" w:line="31" w:lineRule="exact"/>
        <w:rPr>
          <w:sz w:val="20"/>
          <w:szCs w:val="20"/>
          <w:color w:val="auto"/>
        </w:rPr>
      </w:pPr>
    </w:p>
    <w:p>
      <w:pPr>
        <w:jc w:val="both"/>
        <w:ind w:firstLine="8"/>
        <w:spacing w:after="0" w:line="253" w:lineRule="auto"/>
        <w:tabs>
          <w:tab w:leader="none" w:pos="41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These changes primarily related to: (i) the capitalization of certain commission costs that were previously expensed as incurred; (ii) the deferral of revenue, and the associated margin, on uninstalled materials associated with certain project type contracts that will now be recognized when installation is substantially complete; and (iii) the deferral of initial franchise license fees that were previously recognized when the franchise license term began but will now be recognized over the term of the initial franchise arrangement. Changes to our consolidated balance sheets include the separate presentation of costs incurred in excess of amounts billed, which were previously included in trade accounts receivable, net. Additionally, in accordance with Topic 853, rent expense related to service concession arrangements, which was previously classified as an operating expense, is now classified as a reduction of revenues.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at October</w:t>
            </w:r>
          </w:p>
        </w:tc>
        <w:tc>
          <w:tcPr>
            <w:tcW w:w="2060" w:type="dxa"/>
            <w:vAlign w:val="bottom"/>
            <w:gridSpan w:val="3"/>
          </w:tcPr>
          <w:p>
            <w:pPr>
              <w:ind w:left="120"/>
              <w:spacing w:after="0"/>
              <w:rPr>
                <w:sz w:val="20"/>
                <w:szCs w:val="20"/>
                <w:color w:val="auto"/>
              </w:rPr>
            </w:pPr>
            <w:r>
              <w:rPr>
                <w:rFonts w:ascii="Arial" w:cs="Arial" w:eastAsia="Arial" w:hAnsi="Arial"/>
                <w:sz w:val="18"/>
                <w:szCs w:val="18"/>
                <w:b w:val="1"/>
                <w:bCs w:val="1"/>
                <w:color w:val="auto"/>
              </w:rPr>
              <w:t>Adjustments Due to</w:t>
            </w:r>
          </w:p>
        </w:tc>
        <w:tc>
          <w:tcPr>
            <w:tcW w:w="1940" w:type="dxa"/>
            <w:vAlign w:val="bottom"/>
            <w:gridSpan w:val="2"/>
          </w:tcPr>
          <w:p>
            <w:pPr>
              <w:jc w:val="right"/>
              <w:spacing w:after="0"/>
              <w:rPr>
                <w:sz w:val="20"/>
                <w:szCs w:val="20"/>
                <w:color w:val="auto"/>
              </w:rPr>
            </w:pPr>
            <w:r>
              <w:rPr>
                <w:rFonts w:ascii="Arial" w:cs="Arial" w:eastAsia="Arial" w:hAnsi="Arial"/>
                <w:sz w:val="18"/>
                <w:szCs w:val="18"/>
                <w:b w:val="1"/>
                <w:bCs w:val="1"/>
                <w:color w:val="auto"/>
              </w:rPr>
              <w:t>Balance at November</w:t>
            </w:r>
          </w:p>
        </w:tc>
      </w:tr>
      <w:tr>
        <w:trPr>
          <w:trHeight w:val="214"/>
        </w:trPr>
        <w:tc>
          <w:tcPr>
            <w:tcW w:w="536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0" w:type="dxa"/>
            <w:vAlign w:val="bottom"/>
          </w:tcPr>
          <w:p>
            <w:pPr>
              <w:spacing w:after="0"/>
              <w:rPr>
                <w:sz w:val="18"/>
                <w:szCs w:val="18"/>
                <w:color w:val="auto"/>
              </w:rPr>
            </w:pPr>
          </w:p>
        </w:tc>
        <w:tc>
          <w:tcPr>
            <w:tcW w:w="1820" w:type="dxa"/>
            <w:vAlign w:val="bottom"/>
          </w:tcPr>
          <w:p>
            <w:pPr>
              <w:jc w:val="right"/>
              <w:ind w:right="530"/>
              <w:spacing w:after="0"/>
              <w:rPr>
                <w:sz w:val="20"/>
                <w:szCs w:val="20"/>
                <w:color w:val="auto"/>
              </w:rPr>
            </w:pPr>
            <w:r>
              <w:rPr>
                <w:rFonts w:ascii="Arial" w:cs="Arial" w:eastAsia="Arial" w:hAnsi="Arial"/>
                <w:sz w:val="18"/>
                <w:szCs w:val="18"/>
                <w:b w:val="1"/>
                <w:bCs w:val="1"/>
                <w:color w:val="auto"/>
              </w:rPr>
              <w:t>31, 2018</w:t>
            </w:r>
          </w:p>
        </w:tc>
        <w:tc>
          <w:tcPr>
            <w:tcW w:w="100" w:type="dxa"/>
            <w:vAlign w:val="bottom"/>
          </w:tcPr>
          <w:p>
            <w:pPr>
              <w:spacing w:after="0"/>
              <w:rPr>
                <w:sz w:val="18"/>
                <w:szCs w:val="18"/>
                <w:color w:val="auto"/>
              </w:rPr>
            </w:pPr>
          </w:p>
        </w:tc>
        <w:tc>
          <w:tcPr>
            <w:tcW w:w="2060" w:type="dxa"/>
            <w:vAlign w:val="bottom"/>
            <w:gridSpan w:val="3"/>
          </w:tcPr>
          <w:p>
            <w:pPr>
              <w:ind w:left="40"/>
              <w:spacing w:after="0"/>
              <w:rPr>
                <w:sz w:val="20"/>
                <w:szCs w:val="20"/>
                <w:color w:val="auto"/>
              </w:rPr>
            </w:pPr>
            <w:r>
              <w:rPr>
                <w:rFonts w:ascii="Arial" w:cs="Arial" w:eastAsia="Arial" w:hAnsi="Arial"/>
                <w:sz w:val="18"/>
                <w:szCs w:val="18"/>
                <w:b w:val="1"/>
                <w:bCs w:val="1"/>
                <w:color w:val="auto"/>
              </w:rPr>
              <w:t>Adoption of Topic 606</w:t>
            </w:r>
          </w:p>
        </w:tc>
        <w:tc>
          <w:tcPr>
            <w:tcW w:w="400" w:type="dxa"/>
            <w:vAlign w:val="bottom"/>
          </w:tcPr>
          <w:p>
            <w:pPr>
              <w:spacing w:after="0"/>
              <w:rPr>
                <w:sz w:val="18"/>
                <w:szCs w:val="18"/>
                <w:color w:val="auto"/>
              </w:rPr>
            </w:pPr>
          </w:p>
        </w:tc>
        <w:tc>
          <w:tcPr>
            <w:tcW w:w="1540" w:type="dxa"/>
            <w:vAlign w:val="bottom"/>
          </w:tcPr>
          <w:p>
            <w:pPr>
              <w:jc w:val="right"/>
              <w:ind w:right="590"/>
              <w:spacing w:after="0"/>
              <w:rPr>
                <w:sz w:val="20"/>
                <w:szCs w:val="20"/>
                <w:color w:val="auto"/>
              </w:rPr>
            </w:pPr>
            <w:r>
              <w:rPr>
                <w:rFonts w:ascii="Arial" w:cs="Arial" w:eastAsia="Arial" w:hAnsi="Arial"/>
                <w:sz w:val="18"/>
                <w:szCs w:val="18"/>
                <w:b w:val="1"/>
                <w:bCs w:val="1"/>
                <w:color w:val="auto"/>
              </w:rPr>
              <w:t>1, 2018</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462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64"/>
        </w:trPr>
        <w:tc>
          <w:tcPr>
            <w:tcW w:w="5360" w:type="dxa"/>
            <w:vAlign w:val="bottom"/>
            <w:gridSpan w:val="3"/>
            <w:shd w:val="clear" w:color="auto" w:fill="DCE2EF"/>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DCE2EF"/>
          </w:tcPr>
          <w:p>
            <w:pPr>
              <w:spacing w:after="0"/>
              <w:rPr>
                <w:sz w:val="22"/>
                <w:szCs w:val="22"/>
                <w:color w:val="auto"/>
              </w:rPr>
            </w:pPr>
          </w:p>
        </w:tc>
        <w:tc>
          <w:tcPr>
            <w:tcW w:w="182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780" w:type="dxa"/>
            <w:vAlign w:val="bottom"/>
            <w:shd w:val="clear" w:color="auto" w:fill="DCE2EF"/>
          </w:tcPr>
          <w:p>
            <w:pPr>
              <w:spacing w:after="0"/>
              <w:rPr>
                <w:sz w:val="22"/>
                <w:szCs w:val="22"/>
                <w:color w:val="auto"/>
              </w:rPr>
            </w:pPr>
          </w:p>
        </w:tc>
        <w:tc>
          <w:tcPr>
            <w:tcW w:w="116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400" w:type="dxa"/>
            <w:vAlign w:val="bottom"/>
            <w:shd w:val="clear" w:color="auto" w:fill="DCE2EF"/>
          </w:tcPr>
          <w:p>
            <w:pPr>
              <w:spacing w:after="0"/>
              <w:rPr>
                <w:sz w:val="22"/>
                <w:szCs w:val="22"/>
                <w:color w:val="auto"/>
              </w:rPr>
            </w:pPr>
          </w:p>
        </w:tc>
        <w:tc>
          <w:tcPr>
            <w:tcW w:w="1540" w:type="dxa"/>
            <w:vAlign w:val="bottom"/>
            <w:shd w:val="clear" w:color="auto" w:fill="DCE2EF"/>
          </w:tcPr>
          <w:p>
            <w:pPr>
              <w:spacing w:after="0"/>
              <w:rPr>
                <w:sz w:val="22"/>
                <w:szCs w:val="22"/>
                <w:color w:val="auto"/>
              </w:rPr>
            </w:pPr>
          </w:p>
        </w:tc>
      </w:tr>
      <w:tr>
        <w:trPr>
          <w:trHeight w:val="265"/>
        </w:trPr>
        <w:tc>
          <w:tcPr>
            <w:tcW w:w="5360" w:type="dxa"/>
            <w:vAlign w:val="bottom"/>
            <w:gridSpan w:val="3"/>
          </w:tcPr>
          <w:p>
            <w:pPr>
              <w:ind w:left="4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5"/>
        </w:trPr>
        <w:tc>
          <w:tcPr>
            <w:tcW w:w="40" w:type="dxa"/>
            <w:vAlign w:val="bottom"/>
            <w:shd w:val="clear" w:color="auto" w:fill="DCE2EF"/>
          </w:tcPr>
          <w:p>
            <w:pPr>
              <w:spacing w:after="0"/>
              <w:rPr>
                <w:sz w:val="23"/>
                <w:szCs w:val="23"/>
                <w:color w:val="auto"/>
              </w:rPr>
            </w:pPr>
          </w:p>
        </w:tc>
        <w:tc>
          <w:tcPr>
            <w:tcW w:w="532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Trade accounts receivable, net</w:t>
            </w:r>
          </w:p>
        </w:tc>
        <w:tc>
          <w:tcPr>
            <w:tcW w:w="1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1,014.1</w:t>
            </w:r>
          </w:p>
        </w:tc>
        <w:tc>
          <w:tcPr>
            <w:tcW w:w="100" w:type="dxa"/>
            <w:vAlign w:val="bottom"/>
            <w:shd w:val="clear" w:color="auto" w:fill="DCE2EF"/>
          </w:tcPr>
          <w:p>
            <w:pPr>
              <w:spacing w:after="0"/>
              <w:rPr>
                <w:sz w:val="23"/>
                <w:szCs w:val="23"/>
                <w:color w:val="auto"/>
              </w:rPr>
            </w:pPr>
          </w:p>
        </w:tc>
        <w:tc>
          <w:tcPr>
            <w:tcW w:w="780" w:type="dxa"/>
            <w:vAlign w:val="bottom"/>
            <w:shd w:val="clear" w:color="auto" w:fill="DCE2EF"/>
          </w:tcPr>
          <w:p>
            <w:pPr>
              <w:ind w:lef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DCE2EF"/>
          </w:tcPr>
          <w:p>
            <w:pPr>
              <w:spacing w:after="0"/>
              <w:rPr>
                <w:sz w:val="23"/>
                <w:szCs w:val="23"/>
                <w:color w:val="auto"/>
              </w:rPr>
            </w:pPr>
          </w:p>
        </w:tc>
        <w:tc>
          <w:tcPr>
            <w:tcW w:w="40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974.0</w:t>
            </w:r>
          </w:p>
        </w:tc>
      </w:tr>
      <w:tr>
        <w:trPr>
          <w:trHeight w:val="265"/>
        </w:trPr>
        <w:tc>
          <w:tcPr>
            <w:tcW w:w="40" w:type="dxa"/>
            <w:vAlign w:val="bottom"/>
          </w:tcPr>
          <w:p>
            <w:pPr>
              <w:spacing w:after="0"/>
              <w:rPr>
                <w:sz w:val="23"/>
                <w:szCs w:val="23"/>
                <w:color w:val="auto"/>
              </w:rPr>
            </w:pPr>
          </w:p>
        </w:tc>
        <w:tc>
          <w:tcPr>
            <w:tcW w:w="5320" w:type="dxa"/>
            <w:vAlign w:val="bottom"/>
            <w:gridSpan w:val="2"/>
          </w:tcPr>
          <w:p>
            <w:pPr>
              <w:ind w:left="340"/>
              <w:spacing w:after="0"/>
              <w:rPr>
                <w:sz w:val="20"/>
                <w:szCs w:val="20"/>
                <w:color w:val="auto"/>
              </w:rPr>
            </w:pPr>
            <w:r>
              <w:rPr>
                <w:rFonts w:ascii="Arial" w:cs="Arial" w:eastAsia="Arial" w:hAnsi="Arial"/>
                <w:sz w:val="18"/>
                <w:szCs w:val="18"/>
                <w:color w:val="auto"/>
              </w:rPr>
              <w:t>Costs incurred in excess of amounts billed</w:t>
            </w:r>
          </w:p>
        </w:tc>
        <w:tc>
          <w:tcPr>
            <w:tcW w:w="140" w:type="dxa"/>
            <w:vAlign w:val="bottom"/>
          </w:tcPr>
          <w:p>
            <w:pPr>
              <w:spacing w:after="0"/>
              <w:rPr>
                <w:sz w:val="23"/>
                <w:szCs w:val="23"/>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40.1</w:t>
            </w:r>
          </w:p>
        </w:tc>
      </w:tr>
      <w:tr>
        <w:trPr>
          <w:trHeight w:val="275"/>
        </w:trPr>
        <w:tc>
          <w:tcPr>
            <w:tcW w:w="40" w:type="dxa"/>
            <w:vAlign w:val="bottom"/>
            <w:shd w:val="clear" w:color="auto" w:fill="DCE2EF"/>
          </w:tcPr>
          <w:p>
            <w:pPr>
              <w:spacing w:after="0"/>
              <w:rPr>
                <w:sz w:val="23"/>
                <w:szCs w:val="23"/>
                <w:color w:val="auto"/>
              </w:rPr>
            </w:pPr>
          </w:p>
        </w:tc>
        <w:tc>
          <w:tcPr>
            <w:tcW w:w="532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DCE2EF"/>
          </w:tcPr>
          <w:p>
            <w:pPr>
              <w:spacing w:after="0"/>
              <w:rPr>
                <w:sz w:val="23"/>
                <w:szCs w:val="23"/>
                <w:color w:val="auto"/>
              </w:rPr>
            </w:pPr>
          </w:p>
        </w:tc>
        <w:tc>
          <w:tcPr>
            <w:tcW w:w="182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DCE2EF"/>
          </w:tcPr>
          <w:p>
            <w:pPr>
              <w:spacing w:after="0"/>
              <w:rPr>
                <w:sz w:val="23"/>
                <w:szCs w:val="23"/>
                <w:color w:val="auto"/>
              </w:rPr>
            </w:pPr>
          </w:p>
        </w:tc>
        <w:tc>
          <w:tcPr>
            <w:tcW w:w="780" w:type="dxa"/>
            <w:vAlign w:val="bottom"/>
            <w:shd w:val="clear" w:color="auto" w:fill="DCE2EF"/>
          </w:tcPr>
          <w:p>
            <w:pPr>
              <w:spacing w:after="0"/>
              <w:rPr>
                <w:sz w:val="23"/>
                <w:szCs w:val="23"/>
                <w:color w:val="auto"/>
              </w:rPr>
            </w:pPr>
          </w:p>
        </w:tc>
        <w:tc>
          <w:tcPr>
            <w:tcW w:w="11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DCE2EF"/>
          </w:tcPr>
          <w:p>
            <w:pPr>
              <w:spacing w:after="0"/>
              <w:rPr>
                <w:sz w:val="23"/>
                <w:szCs w:val="23"/>
                <w:color w:val="auto"/>
              </w:rPr>
            </w:pPr>
          </w:p>
        </w:tc>
        <w:tc>
          <w:tcPr>
            <w:tcW w:w="400" w:type="dxa"/>
            <w:vAlign w:val="bottom"/>
            <w:shd w:val="clear" w:color="auto" w:fill="DCE2EF"/>
          </w:tcPr>
          <w:p>
            <w:pPr>
              <w:spacing w:after="0"/>
              <w:rPr>
                <w:sz w:val="23"/>
                <w:szCs w:val="23"/>
                <w:color w:val="auto"/>
              </w:rPr>
            </w:pPr>
          </w:p>
        </w:tc>
        <w:tc>
          <w:tcPr>
            <w:tcW w:w="15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40.6</w:t>
            </w:r>
          </w:p>
        </w:tc>
      </w:tr>
      <w:tr>
        <w:trPr>
          <w:trHeight w:val="265"/>
        </w:trPr>
        <w:tc>
          <w:tcPr>
            <w:tcW w:w="5360" w:type="dxa"/>
            <w:vAlign w:val="bottom"/>
            <w:gridSpan w:val="3"/>
          </w:tcPr>
          <w:p>
            <w:pPr>
              <w:ind w:left="40"/>
              <w:spacing w:after="0"/>
              <w:rPr>
                <w:sz w:val="20"/>
                <w:szCs w:val="20"/>
                <w:color w:val="auto"/>
              </w:rPr>
            </w:pPr>
            <w:r>
              <w:rPr>
                <w:rFonts w:ascii="Arial" w:cs="Arial" w:eastAsia="Arial" w:hAnsi="Arial"/>
                <w:sz w:val="18"/>
                <w:szCs w:val="18"/>
                <w:color w:val="auto"/>
              </w:rPr>
              <w:t>Other noncurrent assets</w:t>
            </w:r>
          </w:p>
        </w:tc>
        <w:tc>
          <w:tcPr>
            <w:tcW w:w="140" w:type="dxa"/>
            <w:vAlign w:val="bottom"/>
          </w:tcPr>
          <w:p>
            <w:pPr>
              <w:spacing w:after="0"/>
              <w:rPr>
                <w:sz w:val="23"/>
                <w:szCs w:val="23"/>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121.1</w:t>
            </w:r>
          </w:p>
        </w:tc>
      </w:tr>
      <w:tr>
        <w:trPr>
          <w:trHeight w:val="288"/>
        </w:trPr>
        <w:tc>
          <w:tcPr>
            <w:tcW w:w="40" w:type="dxa"/>
            <w:vAlign w:val="bottom"/>
            <w:shd w:val="clear" w:color="auto" w:fill="DCE2EF"/>
          </w:tcPr>
          <w:p>
            <w:pPr>
              <w:spacing w:after="0"/>
              <w:rPr>
                <w:sz w:val="24"/>
                <w:szCs w:val="24"/>
                <w:color w:val="auto"/>
              </w:rPr>
            </w:pPr>
          </w:p>
        </w:tc>
        <w:tc>
          <w:tcPr>
            <w:tcW w:w="700" w:type="dxa"/>
            <w:vAlign w:val="bottom"/>
            <w:shd w:val="clear" w:color="auto" w:fill="DCE2EF"/>
          </w:tcPr>
          <w:p>
            <w:pPr>
              <w:spacing w:after="0"/>
              <w:rPr>
                <w:sz w:val="24"/>
                <w:szCs w:val="24"/>
                <w:color w:val="auto"/>
              </w:rPr>
            </w:pPr>
          </w:p>
        </w:tc>
        <w:tc>
          <w:tcPr>
            <w:tcW w:w="4620" w:type="dxa"/>
            <w:vAlign w:val="bottom"/>
            <w:shd w:val="clear" w:color="auto" w:fill="DCE2EF"/>
          </w:tcPr>
          <w:p>
            <w:pPr>
              <w:spacing w:after="0"/>
              <w:rPr>
                <w:sz w:val="24"/>
                <w:szCs w:val="24"/>
                <w:color w:val="auto"/>
              </w:rPr>
            </w:pPr>
          </w:p>
        </w:tc>
        <w:tc>
          <w:tcPr>
            <w:tcW w:w="140" w:type="dxa"/>
            <w:vAlign w:val="bottom"/>
            <w:shd w:val="clear" w:color="auto" w:fill="DCE2EF"/>
          </w:tcPr>
          <w:p>
            <w:pPr>
              <w:spacing w:after="0"/>
              <w:rPr>
                <w:sz w:val="24"/>
                <w:szCs w:val="24"/>
                <w:color w:val="auto"/>
              </w:rPr>
            </w:pPr>
          </w:p>
        </w:tc>
        <w:tc>
          <w:tcPr>
            <w:tcW w:w="182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780" w:type="dxa"/>
            <w:vAlign w:val="bottom"/>
            <w:shd w:val="clear" w:color="auto" w:fill="DCE2EF"/>
          </w:tcPr>
          <w:p>
            <w:pPr>
              <w:spacing w:after="0"/>
              <w:rPr>
                <w:sz w:val="24"/>
                <w:szCs w:val="24"/>
                <w:color w:val="auto"/>
              </w:rPr>
            </w:pPr>
          </w:p>
        </w:tc>
        <w:tc>
          <w:tcPr>
            <w:tcW w:w="116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400" w:type="dxa"/>
            <w:vAlign w:val="bottom"/>
            <w:shd w:val="clear" w:color="auto" w:fill="DCE2EF"/>
          </w:tcPr>
          <w:p>
            <w:pPr>
              <w:spacing w:after="0"/>
              <w:rPr>
                <w:sz w:val="24"/>
                <w:szCs w:val="24"/>
                <w:color w:val="auto"/>
              </w:rPr>
            </w:pPr>
          </w:p>
        </w:tc>
        <w:tc>
          <w:tcPr>
            <w:tcW w:w="1540" w:type="dxa"/>
            <w:vAlign w:val="bottom"/>
            <w:shd w:val="clear" w:color="auto" w:fill="DCE2EF"/>
          </w:tcPr>
          <w:p>
            <w:pPr>
              <w:spacing w:after="0"/>
              <w:rPr>
                <w:sz w:val="24"/>
                <w:szCs w:val="24"/>
                <w:color w:val="auto"/>
              </w:rPr>
            </w:pPr>
          </w:p>
        </w:tc>
      </w:tr>
      <w:tr>
        <w:trPr>
          <w:trHeight w:val="269"/>
        </w:trPr>
        <w:tc>
          <w:tcPr>
            <w:tcW w:w="5360" w:type="dxa"/>
            <w:vAlign w:val="bottom"/>
            <w:gridSpan w:val="3"/>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1"/>
        </w:trPr>
        <w:tc>
          <w:tcPr>
            <w:tcW w:w="53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DCE2EF"/>
          </w:tcPr>
          <w:p>
            <w:pPr>
              <w:spacing w:after="0"/>
              <w:rPr>
                <w:sz w:val="23"/>
                <w:szCs w:val="23"/>
                <w:color w:val="auto"/>
              </w:rPr>
            </w:pPr>
          </w:p>
        </w:tc>
        <w:tc>
          <w:tcPr>
            <w:tcW w:w="182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780" w:type="dxa"/>
            <w:vAlign w:val="bottom"/>
            <w:shd w:val="clear" w:color="auto" w:fill="DCE2EF"/>
          </w:tcPr>
          <w:p>
            <w:pPr>
              <w:spacing w:after="0"/>
              <w:rPr>
                <w:sz w:val="23"/>
                <w:szCs w:val="23"/>
                <w:color w:val="auto"/>
              </w:rPr>
            </w:pPr>
          </w:p>
        </w:tc>
        <w:tc>
          <w:tcPr>
            <w:tcW w:w="1160" w:type="dxa"/>
            <w:vAlign w:val="bottom"/>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400" w:type="dxa"/>
            <w:vAlign w:val="bottom"/>
            <w:shd w:val="clear" w:color="auto" w:fill="DCE2EF"/>
          </w:tcPr>
          <w:p>
            <w:pPr>
              <w:spacing w:after="0"/>
              <w:rPr>
                <w:sz w:val="23"/>
                <w:szCs w:val="23"/>
                <w:color w:val="auto"/>
              </w:rPr>
            </w:pPr>
          </w:p>
        </w:tc>
        <w:tc>
          <w:tcPr>
            <w:tcW w:w="1540" w:type="dxa"/>
            <w:vAlign w:val="bottom"/>
            <w:shd w:val="clear" w:color="auto" w:fill="DCE2EF"/>
          </w:tcPr>
          <w:p>
            <w:pPr>
              <w:spacing w:after="0"/>
              <w:rPr>
                <w:sz w:val="23"/>
                <w:szCs w:val="23"/>
                <w:color w:val="auto"/>
              </w:rPr>
            </w:pPr>
          </w:p>
        </w:tc>
      </w:tr>
      <w:tr>
        <w:trPr>
          <w:trHeight w:val="265"/>
        </w:trPr>
        <w:tc>
          <w:tcPr>
            <w:tcW w:w="40" w:type="dxa"/>
            <w:vAlign w:val="bottom"/>
          </w:tcPr>
          <w:p>
            <w:pPr>
              <w:spacing w:after="0"/>
              <w:rPr>
                <w:sz w:val="23"/>
                <w:szCs w:val="23"/>
                <w:color w:val="auto"/>
              </w:rPr>
            </w:pPr>
          </w:p>
        </w:tc>
        <w:tc>
          <w:tcPr>
            <w:tcW w:w="5320" w:type="dxa"/>
            <w:vAlign w:val="bottom"/>
            <w:gridSpan w:val="2"/>
          </w:tcPr>
          <w:p>
            <w:pPr>
              <w:ind w:left="340"/>
              <w:spacing w:after="0"/>
              <w:rPr>
                <w:sz w:val="20"/>
                <w:szCs w:val="20"/>
                <w:color w:val="auto"/>
              </w:rPr>
            </w:pPr>
            <w:r>
              <w:rPr>
                <w:rFonts w:ascii="Arial" w:cs="Arial" w:eastAsia="Arial" w:hAnsi="Arial"/>
                <w:sz w:val="18"/>
                <w:szCs w:val="18"/>
                <w:color w:val="auto"/>
              </w:rPr>
              <w:t>Other accrued liabilities</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23"/>
                <w:szCs w:val="23"/>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158.9</w:t>
            </w:r>
          </w:p>
        </w:tc>
      </w:tr>
      <w:tr>
        <w:trPr>
          <w:trHeight w:val="275"/>
        </w:trPr>
        <w:tc>
          <w:tcPr>
            <w:tcW w:w="53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Deferred income tax liability, net</w:t>
            </w:r>
          </w:p>
        </w:tc>
        <w:tc>
          <w:tcPr>
            <w:tcW w:w="140" w:type="dxa"/>
            <w:vAlign w:val="bottom"/>
            <w:shd w:val="clear" w:color="auto" w:fill="DCE2EF"/>
          </w:tcPr>
          <w:p>
            <w:pPr>
              <w:spacing w:after="0"/>
              <w:rPr>
                <w:sz w:val="23"/>
                <w:szCs w:val="23"/>
                <w:color w:val="auto"/>
              </w:rPr>
            </w:pPr>
          </w:p>
        </w:tc>
        <w:tc>
          <w:tcPr>
            <w:tcW w:w="182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DCE2EF"/>
          </w:tcPr>
          <w:p>
            <w:pPr>
              <w:spacing w:after="0"/>
              <w:rPr>
                <w:sz w:val="23"/>
                <w:szCs w:val="23"/>
                <w:color w:val="auto"/>
              </w:rPr>
            </w:pPr>
          </w:p>
        </w:tc>
        <w:tc>
          <w:tcPr>
            <w:tcW w:w="780" w:type="dxa"/>
            <w:vAlign w:val="bottom"/>
            <w:shd w:val="clear" w:color="auto" w:fill="DCE2EF"/>
          </w:tcPr>
          <w:p>
            <w:pPr>
              <w:spacing w:after="0"/>
              <w:rPr>
                <w:sz w:val="23"/>
                <w:szCs w:val="23"/>
                <w:color w:val="auto"/>
              </w:rPr>
            </w:pPr>
          </w:p>
        </w:tc>
        <w:tc>
          <w:tcPr>
            <w:tcW w:w="11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DCE2EF"/>
          </w:tcPr>
          <w:p>
            <w:pPr>
              <w:spacing w:after="0"/>
              <w:rPr>
                <w:sz w:val="23"/>
                <w:szCs w:val="23"/>
                <w:color w:val="auto"/>
              </w:rPr>
            </w:pPr>
          </w:p>
        </w:tc>
        <w:tc>
          <w:tcPr>
            <w:tcW w:w="400" w:type="dxa"/>
            <w:vAlign w:val="bottom"/>
            <w:shd w:val="clear" w:color="auto" w:fill="DCE2EF"/>
          </w:tcPr>
          <w:p>
            <w:pPr>
              <w:spacing w:after="0"/>
              <w:rPr>
                <w:sz w:val="23"/>
                <w:szCs w:val="23"/>
                <w:color w:val="auto"/>
              </w:rPr>
            </w:pPr>
          </w:p>
        </w:tc>
        <w:tc>
          <w:tcPr>
            <w:tcW w:w="15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40.3</w:t>
            </w:r>
          </w:p>
        </w:tc>
      </w:tr>
      <w:tr>
        <w:trPr>
          <w:trHeight w:val="261"/>
        </w:trPr>
        <w:tc>
          <w:tcPr>
            <w:tcW w:w="5360" w:type="dxa"/>
            <w:vAlign w:val="bottom"/>
            <w:gridSpan w:val="3"/>
          </w:tcPr>
          <w:p>
            <w:pPr>
              <w:ind w:left="4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22"/>
                <w:szCs w:val="22"/>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771.2</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777.6</w:t>
            </w:r>
          </w:p>
        </w:tc>
      </w:tr>
      <w:tr>
        <w:trPr>
          <w:trHeight w:val="716"/>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Pr>
          <w:p>
            <w:pPr>
              <w:jc w:val="right"/>
              <w:ind w:right="141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1420"/>
          </w:cols>
          <w:pgMar w:left="240" w:top="495" w:right="239" w:bottom="1440" w:gutter="0" w:footer="0" w:header="0"/>
        </w:sectPr>
      </w:pPr>
    </w:p>
    <w:bookmarkStart w:id="69" w:name="page70"/>
    <w:bookmarkEnd w:id="69"/>
    <w:p>
      <w:pPr>
        <w:ind w:left="660"/>
        <w:spacing w:after="0"/>
        <w:rPr>
          <w:sz w:val="20"/>
          <w:szCs w:val="20"/>
          <w:color w:val="auto"/>
        </w:rPr>
      </w:pPr>
      <w:r>
        <w:rPr>
          <w:rFonts w:ascii="Arial" w:cs="Arial" w:eastAsia="Arial" w:hAnsi="Arial"/>
          <w:sz w:val="18"/>
          <w:szCs w:val="18"/>
          <w:color w:val="auto"/>
        </w:rPr>
        <w:t>The impact of adopting Topic 606 on our consolidated balance sheet as of October 31, 2019 was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6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As of October 31, 2019</w:t>
            </w:r>
          </w:p>
        </w:tc>
        <w:tc>
          <w:tcPr>
            <w:tcW w:w="2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spacing w:after="0"/>
              <w:rPr>
                <w:sz w:val="22"/>
                <w:szCs w:val="22"/>
                <w:color w:val="auto"/>
              </w:rPr>
            </w:pPr>
          </w:p>
        </w:tc>
      </w:tr>
      <w:tr>
        <w:trPr>
          <w:trHeight w:val="199"/>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2"/>
          </w:tcPr>
          <w:p>
            <w:pPr>
              <w:jc w:val="center"/>
              <w:ind w:right="320"/>
              <w:spacing w:after="0" w:line="199" w:lineRule="exact"/>
              <w:rPr>
                <w:sz w:val="20"/>
                <w:szCs w:val="20"/>
                <w:color w:val="auto"/>
              </w:rPr>
            </w:pPr>
            <w:r>
              <w:rPr>
                <w:rFonts w:ascii="Arial" w:cs="Arial" w:eastAsia="Arial" w:hAnsi="Arial"/>
                <w:sz w:val="18"/>
                <w:szCs w:val="18"/>
                <w:b w:val="1"/>
                <w:bCs w:val="1"/>
                <w:color w:val="auto"/>
              </w:rPr>
              <w:t>Under Historical</w:t>
            </w: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14"/>
        </w:trPr>
        <w:tc>
          <w:tcPr>
            <w:tcW w:w="536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Pr>
          <w:p>
            <w:pPr>
              <w:spacing w:after="0"/>
              <w:rPr>
                <w:sz w:val="18"/>
                <w:szCs w:val="18"/>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Guidance</w:t>
            </w:r>
          </w:p>
        </w:tc>
        <w:tc>
          <w:tcPr>
            <w:tcW w:w="160" w:type="dxa"/>
            <w:vAlign w:val="bottom"/>
          </w:tcPr>
          <w:p>
            <w:pPr>
              <w:spacing w:after="0"/>
              <w:rPr>
                <w:sz w:val="18"/>
                <w:szCs w:val="18"/>
                <w:color w:val="auto"/>
              </w:rPr>
            </w:pPr>
          </w:p>
        </w:tc>
        <w:tc>
          <w:tcPr>
            <w:tcW w:w="1900" w:type="dxa"/>
            <w:vAlign w:val="bottom"/>
            <w:gridSpan w:val="2"/>
          </w:tcPr>
          <w:p>
            <w:pPr>
              <w:ind w:left="40"/>
              <w:spacing w:after="0"/>
              <w:rPr>
                <w:sz w:val="20"/>
                <w:szCs w:val="20"/>
                <w:color w:val="auto"/>
              </w:rPr>
            </w:pPr>
            <w:r>
              <w:rPr>
                <w:rFonts w:ascii="Arial" w:cs="Arial" w:eastAsia="Arial" w:hAnsi="Arial"/>
                <w:sz w:val="18"/>
                <w:szCs w:val="18"/>
                <w:b w:val="1"/>
                <w:bCs w:val="1"/>
                <w:color w:val="auto"/>
              </w:rPr>
              <w:t>Effect of Adoption</w:t>
            </w:r>
          </w:p>
        </w:tc>
        <w:tc>
          <w:tcPr>
            <w:tcW w:w="280" w:type="dxa"/>
            <w:vAlign w:val="bottom"/>
          </w:tcPr>
          <w:p>
            <w:pPr>
              <w:spacing w:after="0"/>
              <w:rPr>
                <w:sz w:val="18"/>
                <w:szCs w:val="18"/>
                <w:color w:val="auto"/>
              </w:rPr>
            </w:pPr>
          </w:p>
        </w:tc>
        <w:tc>
          <w:tcPr>
            <w:tcW w:w="1660" w:type="dxa"/>
            <w:vAlign w:val="bottom"/>
          </w:tcPr>
          <w:p>
            <w:pPr>
              <w:jc w:val="right"/>
              <w:ind w:right="350"/>
              <w:spacing w:after="0"/>
              <w:rPr>
                <w:sz w:val="20"/>
                <w:szCs w:val="20"/>
                <w:color w:val="auto"/>
              </w:rPr>
            </w:pPr>
            <w:r>
              <w:rPr>
                <w:rFonts w:ascii="Arial" w:cs="Arial" w:eastAsia="Arial" w:hAnsi="Arial"/>
                <w:sz w:val="18"/>
                <w:szCs w:val="18"/>
                <w:b w:val="1"/>
                <w:bCs w:val="1"/>
                <w:color w:val="auto"/>
              </w:rPr>
              <w:t>As Reported</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462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64"/>
        </w:trPr>
        <w:tc>
          <w:tcPr>
            <w:tcW w:w="5360" w:type="dxa"/>
            <w:vAlign w:val="bottom"/>
            <w:gridSpan w:val="3"/>
            <w:shd w:val="clear" w:color="auto" w:fill="DCE2E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DCE2EF"/>
          </w:tcPr>
          <w:p>
            <w:pPr>
              <w:spacing w:after="0"/>
              <w:rPr>
                <w:sz w:val="22"/>
                <w:szCs w:val="22"/>
                <w:color w:val="auto"/>
              </w:rPr>
            </w:pPr>
          </w:p>
        </w:tc>
        <w:tc>
          <w:tcPr>
            <w:tcW w:w="174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60" w:type="dxa"/>
            <w:vAlign w:val="bottom"/>
            <w:shd w:val="clear" w:color="auto" w:fill="DCE2EF"/>
          </w:tcPr>
          <w:p>
            <w:pPr>
              <w:spacing w:after="0"/>
              <w:rPr>
                <w:sz w:val="22"/>
                <w:szCs w:val="22"/>
                <w:color w:val="auto"/>
              </w:rPr>
            </w:pPr>
          </w:p>
        </w:tc>
        <w:tc>
          <w:tcPr>
            <w:tcW w:w="178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280" w:type="dxa"/>
            <w:vAlign w:val="bottom"/>
            <w:shd w:val="clear" w:color="auto" w:fill="DCE2EF"/>
          </w:tcPr>
          <w:p>
            <w:pPr>
              <w:spacing w:after="0"/>
              <w:rPr>
                <w:sz w:val="22"/>
                <w:szCs w:val="22"/>
                <w:color w:val="auto"/>
              </w:rPr>
            </w:pPr>
          </w:p>
        </w:tc>
        <w:tc>
          <w:tcPr>
            <w:tcW w:w="1660" w:type="dxa"/>
            <w:vAlign w:val="bottom"/>
            <w:shd w:val="clear" w:color="auto" w:fill="DCE2EF"/>
          </w:tcPr>
          <w:p>
            <w:pPr>
              <w:spacing w:after="0"/>
              <w:rPr>
                <w:sz w:val="22"/>
                <w:szCs w:val="22"/>
                <w:color w:val="auto"/>
              </w:rPr>
            </w:pPr>
          </w:p>
        </w:tc>
      </w:tr>
      <w:tr>
        <w:trPr>
          <w:trHeight w:val="265"/>
        </w:trPr>
        <w:tc>
          <w:tcPr>
            <w:tcW w:w="5360" w:type="dxa"/>
            <w:vAlign w:val="bottom"/>
            <w:gridSpan w:val="3"/>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75"/>
        </w:trPr>
        <w:tc>
          <w:tcPr>
            <w:tcW w:w="40" w:type="dxa"/>
            <w:vAlign w:val="bottom"/>
            <w:shd w:val="clear" w:color="auto" w:fill="DCE2EF"/>
          </w:tcPr>
          <w:p>
            <w:pPr>
              <w:spacing w:after="0"/>
              <w:rPr>
                <w:sz w:val="23"/>
                <w:szCs w:val="23"/>
                <w:color w:val="auto"/>
              </w:rPr>
            </w:pPr>
          </w:p>
        </w:tc>
        <w:tc>
          <w:tcPr>
            <w:tcW w:w="532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Other current assets</w:t>
            </w:r>
          </w:p>
        </w:tc>
        <w:tc>
          <w:tcPr>
            <w:tcW w:w="2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DCE2EF"/>
          </w:tcPr>
          <w:p>
            <w:pPr>
              <w:spacing w:after="0"/>
              <w:rPr>
                <w:sz w:val="23"/>
                <w:szCs w:val="23"/>
                <w:color w:val="auto"/>
              </w:rPr>
            </w:pPr>
          </w:p>
        </w:tc>
        <w:tc>
          <w:tcPr>
            <w:tcW w:w="160" w:type="dxa"/>
            <w:vAlign w:val="bottom"/>
            <w:shd w:val="clear" w:color="auto" w:fill="DCE2EF"/>
          </w:tcPr>
          <w:p>
            <w:pPr>
              <w:ind w:left="20"/>
              <w:spacing w:after="0"/>
              <w:rPr>
                <w:sz w:val="20"/>
                <w:szCs w:val="20"/>
                <w:color w:val="auto"/>
              </w:rPr>
            </w:pPr>
            <w:r>
              <w:rPr>
                <w:rFonts w:ascii="Arial" w:cs="Arial" w:eastAsia="Arial" w:hAnsi="Arial"/>
                <w:sz w:val="18"/>
                <w:szCs w:val="18"/>
                <w:color w:val="auto"/>
              </w:rPr>
              <w:t>$</w:t>
            </w:r>
          </w:p>
        </w:tc>
        <w:tc>
          <w:tcPr>
            <w:tcW w:w="17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9.2</w:t>
            </w:r>
          </w:p>
        </w:tc>
        <w:tc>
          <w:tcPr>
            <w:tcW w:w="120" w:type="dxa"/>
            <w:vAlign w:val="bottom"/>
            <w:shd w:val="clear" w:color="auto" w:fill="DCE2EF"/>
          </w:tcPr>
          <w:p>
            <w:pPr>
              <w:spacing w:after="0"/>
              <w:rPr>
                <w:sz w:val="23"/>
                <w:szCs w:val="23"/>
                <w:color w:val="auto"/>
              </w:rPr>
            </w:pPr>
          </w:p>
        </w:tc>
        <w:tc>
          <w:tcPr>
            <w:tcW w:w="280" w:type="dxa"/>
            <w:vAlign w:val="bottom"/>
            <w:shd w:val="clear" w:color="auto" w:fill="DCE2E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55.5</w:t>
            </w:r>
          </w:p>
        </w:tc>
      </w:tr>
      <w:tr>
        <w:trPr>
          <w:trHeight w:val="265"/>
        </w:trPr>
        <w:tc>
          <w:tcPr>
            <w:tcW w:w="5360" w:type="dxa"/>
            <w:vAlign w:val="bottom"/>
            <w:gridSpan w:val="3"/>
          </w:tcPr>
          <w:p>
            <w:pPr>
              <w:ind w:left="40"/>
              <w:spacing w:after="0"/>
              <w:rPr>
                <w:sz w:val="20"/>
                <w:szCs w:val="20"/>
                <w:color w:val="auto"/>
              </w:rPr>
            </w:pPr>
            <w:r>
              <w:rPr>
                <w:rFonts w:ascii="Arial" w:cs="Arial" w:eastAsia="Arial" w:hAnsi="Arial"/>
                <w:sz w:val="18"/>
                <w:szCs w:val="18"/>
                <w:color w:val="auto"/>
              </w:rPr>
              <w:t>Other noncurrent assets</w:t>
            </w:r>
          </w:p>
        </w:tc>
        <w:tc>
          <w:tcPr>
            <w:tcW w:w="220" w:type="dxa"/>
            <w:vAlign w:val="bottom"/>
          </w:tcPr>
          <w:p>
            <w:pPr>
              <w:spacing w:after="0"/>
              <w:rPr>
                <w:sz w:val="23"/>
                <w:szCs w:val="23"/>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120.3</w:t>
            </w:r>
          </w:p>
        </w:tc>
      </w:tr>
      <w:tr>
        <w:trPr>
          <w:trHeight w:val="288"/>
        </w:trPr>
        <w:tc>
          <w:tcPr>
            <w:tcW w:w="40" w:type="dxa"/>
            <w:vAlign w:val="bottom"/>
            <w:shd w:val="clear" w:color="auto" w:fill="DCE2EF"/>
          </w:tcPr>
          <w:p>
            <w:pPr>
              <w:spacing w:after="0"/>
              <w:rPr>
                <w:sz w:val="24"/>
                <w:szCs w:val="24"/>
                <w:color w:val="auto"/>
              </w:rPr>
            </w:pPr>
          </w:p>
        </w:tc>
        <w:tc>
          <w:tcPr>
            <w:tcW w:w="700" w:type="dxa"/>
            <w:vAlign w:val="bottom"/>
            <w:shd w:val="clear" w:color="auto" w:fill="DCE2EF"/>
          </w:tcPr>
          <w:p>
            <w:pPr>
              <w:spacing w:after="0"/>
              <w:rPr>
                <w:sz w:val="24"/>
                <w:szCs w:val="24"/>
                <w:color w:val="auto"/>
              </w:rPr>
            </w:pPr>
          </w:p>
        </w:tc>
        <w:tc>
          <w:tcPr>
            <w:tcW w:w="462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174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178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280" w:type="dxa"/>
            <w:vAlign w:val="bottom"/>
            <w:shd w:val="clear" w:color="auto" w:fill="DCE2EF"/>
          </w:tcPr>
          <w:p>
            <w:pPr>
              <w:spacing w:after="0"/>
              <w:rPr>
                <w:sz w:val="24"/>
                <w:szCs w:val="24"/>
                <w:color w:val="auto"/>
              </w:rPr>
            </w:pPr>
          </w:p>
        </w:tc>
        <w:tc>
          <w:tcPr>
            <w:tcW w:w="1660" w:type="dxa"/>
            <w:vAlign w:val="bottom"/>
            <w:shd w:val="clear" w:color="auto" w:fill="DCE2EF"/>
          </w:tcPr>
          <w:p>
            <w:pPr>
              <w:spacing w:after="0"/>
              <w:rPr>
                <w:sz w:val="24"/>
                <w:szCs w:val="24"/>
                <w:color w:val="auto"/>
              </w:rPr>
            </w:pPr>
          </w:p>
        </w:tc>
      </w:tr>
      <w:tr>
        <w:trPr>
          <w:trHeight w:val="269"/>
        </w:trPr>
        <w:tc>
          <w:tcPr>
            <w:tcW w:w="5360" w:type="dxa"/>
            <w:vAlign w:val="bottom"/>
            <w:gridSpan w:val="3"/>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71"/>
        </w:trPr>
        <w:tc>
          <w:tcPr>
            <w:tcW w:w="53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DCE2EF"/>
          </w:tcPr>
          <w:p>
            <w:pPr>
              <w:spacing w:after="0"/>
              <w:rPr>
                <w:sz w:val="23"/>
                <w:szCs w:val="23"/>
                <w:color w:val="auto"/>
              </w:rPr>
            </w:pPr>
          </w:p>
        </w:tc>
        <w:tc>
          <w:tcPr>
            <w:tcW w:w="174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160" w:type="dxa"/>
            <w:vAlign w:val="bottom"/>
            <w:shd w:val="clear" w:color="auto" w:fill="DCE2EF"/>
          </w:tcPr>
          <w:p>
            <w:pPr>
              <w:spacing w:after="0"/>
              <w:rPr>
                <w:sz w:val="23"/>
                <w:szCs w:val="23"/>
                <w:color w:val="auto"/>
              </w:rPr>
            </w:pPr>
          </w:p>
        </w:tc>
        <w:tc>
          <w:tcPr>
            <w:tcW w:w="1780" w:type="dxa"/>
            <w:vAlign w:val="bottom"/>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280" w:type="dxa"/>
            <w:vAlign w:val="bottom"/>
            <w:shd w:val="clear" w:color="auto" w:fill="DCE2EF"/>
          </w:tcPr>
          <w:p>
            <w:pPr>
              <w:spacing w:after="0"/>
              <w:rPr>
                <w:sz w:val="23"/>
                <w:szCs w:val="23"/>
                <w:color w:val="auto"/>
              </w:rPr>
            </w:pPr>
          </w:p>
        </w:tc>
        <w:tc>
          <w:tcPr>
            <w:tcW w:w="1660" w:type="dxa"/>
            <w:vAlign w:val="bottom"/>
            <w:shd w:val="clear" w:color="auto" w:fill="DCE2EF"/>
          </w:tcPr>
          <w:p>
            <w:pPr>
              <w:spacing w:after="0"/>
              <w:rPr>
                <w:sz w:val="23"/>
                <w:szCs w:val="23"/>
                <w:color w:val="auto"/>
              </w:rPr>
            </w:pPr>
          </w:p>
        </w:tc>
      </w:tr>
      <w:tr>
        <w:trPr>
          <w:trHeight w:val="265"/>
        </w:trPr>
        <w:tc>
          <w:tcPr>
            <w:tcW w:w="40" w:type="dxa"/>
            <w:vAlign w:val="bottom"/>
          </w:tcPr>
          <w:p>
            <w:pPr>
              <w:spacing w:after="0"/>
              <w:rPr>
                <w:sz w:val="23"/>
                <w:szCs w:val="23"/>
                <w:color w:val="auto"/>
              </w:rPr>
            </w:pPr>
          </w:p>
        </w:tc>
        <w:tc>
          <w:tcPr>
            <w:tcW w:w="5320" w:type="dxa"/>
            <w:vAlign w:val="bottom"/>
            <w:gridSpan w:val="2"/>
          </w:tcPr>
          <w:p>
            <w:pPr>
              <w:ind w:left="340"/>
              <w:spacing w:after="0"/>
              <w:rPr>
                <w:sz w:val="20"/>
                <w:szCs w:val="20"/>
                <w:color w:val="auto"/>
              </w:rPr>
            </w:pPr>
            <w:r>
              <w:rPr>
                <w:rFonts w:ascii="Arial" w:cs="Arial" w:eastAsia="Arial" w:hAnsi="Arial"/>
                <w:sz w:val="18"/>
                <w:szCs w:val="18"/>
                <w:color w:val="auto"/>
              </w:rPr>
              <w:t>Other accrued liabilities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153.1</w:t>
            </w:r>
          </w:p>
        </w:tc>
        <w:tc>
          <w:tcPr>
            <w:tcW w:w="100" w:type="dxa"/>
            <w:vAlign w:val="bottom"/>
          </w:tcPr>
          <w:p>
            <w:pPr>
              <w:spacing w:after="0"/>
              <w:rPr>
                <w:sz w:val="23"/>
                <w:szCs w:val="23"/>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158.2</w:t>
            </w:r>
          </w:p>
        </w:tc>
      </w:tr>
      <w:tr>
        <w:trPr>
          <w:trHeight w:val="275"/>
        </w:trPr>
        <w:tc>
          <w:tcPr>
            <w:tcW w:w="53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Deferred income tax liability, net</w:t>
            </w:r>
          </w:p>
        </w:tc>
        <w:tc>
          <w:tcPr>
            <w:tcW w:w="220" w:type="dxa"/>
            <w:vAlign w:val="bottom"/>
            <w:shd w:val="clear" w:color="auto" w:fill="DCE2EF"/>
          </w:tcPr>
          <w:p>
            <w:pPr>
              <w:spacing w:after="0"/>
              <w:rPr>
                <w:sz w:val="23"/>
                <w:szCs w:val="23"/>
                <w:color w:val="auto"/>
              </w:rPr>
            </w:pPr>
          </w:p>
        </w:tc>
        <w:tc>
          <w:tcPr>
            <w:tcW w:w="174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DCE2EF"/>
          </w:tcPr>
          <w:p>
            <w:pPr>
              <w:spacing w:after="0"/>
              <w:rPr>
                <w:sz w:val="23"/>
                <w:szCs w:val="23"/>
                <w:color w:val="auto"/>
              </w:rPr>
            </w:pPr>
          </w:p>
        </w:tc>
        <w:tc>
          <w:tcPr>
            <w:tcW w:w="160" w:type="dxa"/>
            <w:vAlign w:val="bottom"/>
            <w:shd w:val="clear" w:color="auto" w:fill="DCE2EF"/>
          </w:tcPr>
          <w:p>
            <w:pPr>
              <w:spacing w:after="0"/>
              <w:rPr>
                <w:sz w:val="23"/>
                <w:szCs w:val="23"/>
                <w:color w:val="auto"/>
              </w:rPr>
            </w:pPr>
          </w:p>
        </w:tc>
        <w:tc>
          <w:tcPr>
            <w:tcW w:w="17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DCE2EF"/>
          </w:tcPr>
          <w:p>
            <w:pPr>
              <w:spacing w:after="0"/>
              <w:rPr>
                <w:sz w:val="23"/>
                <w:szCs w:val="23"/>
                <w:color w:val="auto"/>
              </w:rPr>
            </w:pPr>
          </w:p>
        </w:tc>
        <w:tc>
          <w:tcPr>
            <w:tcW w:w="280" w:type="dxa"/>
            <w:vAlign w:val="bottom"/>
            <w:shd w:val="clear" w:color="auto" w:fill="DCE2EF"/>
          </w:tcPr>
          <w:p>
            <w:pPr>
              <w:spacing w:after="0"/>
              <w:rPr>
                <w:sz w:val="23"/>
                <w:szCs w:val="23"/>
                <w:color w:val="auto"/>
              </w:rPr>
            </w:pPr>
          </w:p>
        </w:tc>
        <w:tc>
          <w:tcPr>
            <w:tcW w:w="16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47.7</w:t>
            </w:r>
          </w:p>
        </w:tc>
      </w:tr>
      <w:tr>
        <w:trPr>
          <w:trHeight w:val="261"/>
        </w:trPr>
        <w:tc>
          <w:tcPr>
            <w:tcW w:w="5360" w:type="dxa"/>
            <w:vAlign w:val="bottom"/>
            <w:gridSpan w:val="3"/>
          </w:tcPr>
          <w:p>
            <w:pPr>
              <w:ind w:left="4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2"/>
                <w:szCs w:val="22"/>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840.1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856.3</w:t>
            </w:r>
          </w:p>
        </w:tc>
      </w:tr>
    </w:tbl>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impact of adopting Topic 606 and Topic 853 on our consolidated statements of comprehensive income for the year ended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October 31, 2019 was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6"/>
          </w:tcPr>
          <w:p>
            <w:pPr>
              <w:jc w:val="center"/>
              <w:ind w:right="90"/>
              <w:spacing w:after="0"/>
              <w:rPr>
                <w:sz w:val="20"/>
                <w:szCs w:val="20"/>
                <w:color w:val="auto"/>
              </w:rPr>
            </w:pPr>
            <w:r>
              <w:rPr>
                <w:rFonts w:ascii="Arial" w:cs="Arial" w:eastAsia="Arial" w:hAnsi="Arial"/>
                <w:sz w:val="18"/>
                <w:szCs w:val="18"/>
                <w:b w:val="1"/>
                <w:bCs w:val="1"/>
                <w:color w:val="auto"/>
                <w:w w:val="99"/>
              </w:rPr>
              <w:t>Year Ended October 31, 2019</w:t>
            </w:r>
          </w:p>
        </w:tc>
        <w:tc>
          <w:tcPr>
            <w:tcW w:w="1760" w:type="dxa"/>
            <w:vAlign w:val="bottom"/>
            <w:tcBorders>
              <w:bottom w:val="single" w:sz="8" w:color="auto"/>
            </w:tcBorders>
          </w:tcPr>
          <w:p>
            <w:pPr>
              <w:spacing w:after="0"/>
              <w:rPr>
                <w:sz w:val="22"/>
                <w:szCs w:val="22"/>
                <w:color w:val="auto"/>
              </w:rPr>
            </w:pPr>
          </w:p>
        </w:tc>
      </w:tr>
      <w:tr>
        <w:trPr>
          <w:trHeight w:val="199"/>
        </w:trPr>
        <w:tc>
          <w:tcPr>
            <w:tcW w:w="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ind w:right="150"/>
              <w:spacing w:after="0" w:line="199" w:lineRule="exact"/>
              <w:rPr>
                <w:sz w:val="20"/>
                <w:szCs w:val="20"/>
                <w:color w:val="auto"/>
              </w:rPr>
            </w:pPr>
            <w:r>
              <w:rPr>
                <w:rFonts w:ascii="Arial" w:cs="Arial" w:eastAsia="Arial" w:hAnsi="Arial"/>
                <w:sz w:val="18"/>
                <w:szCs w:val="18"/>
                <w:b w:val="1"/>
                <w:bCs w:val="1"/>
                <w:color w:val="auto"/>
              </w:rPr>
              <w:t>Under Historical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14"/>
        </w:trPr>
        <w:tc>
          <w:tcPr>
            <w:tcW w:w="500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240" w:type="dxa"/>
            <w:vAlign w:val="bottom"/>
          </w:tcPr>
          <w:p>
            <w:pPr>
              <w:spacing w:after="0"/>
              <w:rPr>
                <w:sz w:val="18"/>
                <w:szCs w:val="18"/>
                <w:color w:val="auto"/>
              </w:rPr>
            </w:pPr>
          </w:p>
        </w:tc>
        <w:tc>
          <w:tcPr>
            <w:tcW w:w="1740" w:type="dxa"/>
            <w:vAlign w:val="bottom"/>
          </w:tcPr>
          <w:p>
            <w:pPr>
              <w:jc w:val="right"/>
              <w:ind w:right="450"/>
              <w:spacing w:after="0"/>
              <w:rPr>
                <w:sz w:val="20"/>
                <w:szCs w:val="20"/>
                <w:color w:val="auto"/>
              </w:rPr>
            </w:pPr>
            <w:r>
              <w:rPr>
                <w:rFonts w:ascii="Arial" w:cs="Arial" w:eastAsia="Arial" w:hAnsi="Arial"/>
                <w:sz w:val="18"/>
                <w:szCs w:val="18"/>
                <w:b w:val="1"/>
                <w:bCs w:val="1"/>
                <w:color w:val="auto"/>
              </w:rPr>
              <w:t>Guidance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Effect of Adoption</w:t>
            </w:r>
          </w:p>
        </w:tc>
        <w:tc>
          <w:tcPr>
            <w:tcW w:w="300" w:type="dxa"/>
            <w:vAlign w:val="bottom"/>
          </w:tcPr>
          <w:p>
            <w:pPr>
              <w:spacing w:after="0"/>
              <w:rPr>
                <w:sz w:val="18"/>
                <w:szCs w:val="18"/>
                <w:color w:val="auto"/>
              </w:rPr>
            </w:pPr>
          </w:p>
        </w:tc>
        <w:tc>
          <w:tcPr>
            <w:tcW w:w="1760" w:type="dxa"/>
            <w:vAlign w:val="bottom"/>
          </w:tcPr>
          <w:p>
            <w:pPr>
              <w:jc w:val="right"/>
              <w:ind w:right="410"/>
              <w:spacing w:after="0"/>
              <w:rPr>
                <w:sz w:val="20"/>
                <w:szCs w:val="20"/>
                <w:color w:val="auto"/>
              </w:rPr>
            </w:pPr>
            <w:r>
              <w:rPr>
                <w:rFonts w:ascii="Arial" w:cs="Arial" w:eastAsia="Arial" w:hAnsi="Arial"/>
                <w:sz w:val="18"/>
                <w:szCs w:val="18"/>
                <w:b w:val="1"/>
                <w:bCs w:val="1"/>
                <w:color w:val="auto"/>
              </w:rPr>
              <w:t>As Reported</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2240" w:type="dxa"/>
            <w:vAlign w:val="bottom"/>
            <w:tcBorders>
              <w:top w:val="single" w:sz="8" w:color="auto"/>
              <w:bottom w:val="single" w:sz="8" w:color="DCE2EF"/>
            </w:tcBorders>
          </w:tcPr>
          <w:p>
            <w:pPr>
              <w:spacing w:after="0" w:line="20" w:lineRule="exact"/>
              <w:rPr>
                <w:sz w:val="1"/>
                <w:szCs w:val="1"/>
                <w:color w:val="auto"/>
              </w:rPr>
            </w:pPr>
          </w:p>
        </w:tc>
        <w:tc>
          <w:tcPr>
            <w:tcW w:w="272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50"/>
        </w:trPr>
        <w:tc>
          <w:tcPr>
            <w:tcW w:w="5000" w:type="dxa"/>
            <w:vAlign w:val="bottom"/>
            <w:gridSpan w:val="3"/>
            <w:shd w:val="clear" w:color="auto" w:fill="DCE2EF"/>
          </w:tcPr>
          <w:p>
            <w:pPr>
              <w:ind w:left="40"/>
              <w:spacing w:after="0"/>
              <w:rPr>
                <w:sz w:val="20"/>
                <w:szCs w:val="20"/>
                <w:color w:val="auto"/>
              </w:rPr>
            </w:pPr>
            <w:r>
              <w:rPr>
                <w:rFonts w:ascii="Arial" w:cs="Arial" w:eastAsia="Arial" w:hAnsi="Arial"/>
                <w:sz w:val="17"/>
                <w:szCs w:val="17"/>
                <w:color w:val="auto"/>
              </w:rPr>
              <w:t>Revenues</w:t>
            </w:r>
          </w:p>
        </w:tc>
        <w:tc>
          <w:tcPr>
            <w:tcW w:w="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w:t>
            </w:r>
          </w:p>
        </w:tc>
        <w:tc>
          <w:tcPr>
            <w:tcW w:w="17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6,546.2</w:t>
            </w:r>
          </w:p>
        </w:tc>
        <w:tc>
          <w:tcPr>
            <w:tcW w:w="380" w:type="dxa"/>
            <w:vAlign w:val="bottom"/>
            <w:gridSpan w:val="3"/>
            <w:shd w:val="clear" w:color="auto" w:fill="DCE2EF"/>
          </w:tcPr>
          <w:p>
            <w:pPr>
              <w:jc w:val="right"/>
              <w:ind w:right="60"/>
              <w:spacing w:after="0"/>
              <w:rPr>
                <w:sz w:val="20"/>
                <w:szCs w:val="20"/>
                <w:color w:val="auto"/>
              </w:rPr>
            </w:pPr>
            <w:r>
              <w:rPr>
                <w:rFonts w:ascii="Arial" w:cs="Arial" w:eastAsia="Arial" w:hAnsi="Arial"/>
                <w:sz w:val="18"/>
                <w:szCs w:val="18"/>
                <w:color w:val="auto"/>
              </w:rPr>
              <w:t>$</w:t>
            </w:r>
          </w:p>
        </w:tc>
        <w:tc>
          <w:tcPr>
            <w:tcW w:w="18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(47.6)</w:t>
            </w:r>
          </w:p>
        </w:tc>
        <w:tc>
          <w:tcPr>
            <w:tcW w:w="120" w:type="dxa"/>
            <w:vAlign w:val="bottom"/>
            <w:shd w:val="clear" w:color="auto" w:fill="DCE2EF"/>
          </w:tcPr>
          <w:p>
            <w:pPr>
              <w:spacing w:after="0"/>
              <w:rPr>
                <w:sz w:val="21"/>
                <w:szCs w:val="21"/>
                <w:color w:val="auto"/>
              </w:rPr>
            </w:pPr>
          </w:p>
        </w:tc>
        <w:tc>
          <w:tcPr>
            <w:tcW w:w="300" w:type="dxa"/>
            <w:vAlign w:val="bottom"/>
            <w:shd w:val="clear" w:color="auto" w:fill="DCE2E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6,498.6</w:t>
            </w:r>
          </w:p>
        </w:tc>
      </w:tr>
      <w:tr>
        <w:trPr>
          <w:trHeight w:val="265"/>
        </w:trPr>
        <w:tc>
          <w:tcPr>
            <w:tcW w:w="5000" w:type="dxa"/>
            <w:vAlign w:val="bottom"/>
            <w:gridSpan w:val="3"/>
          </w:tcPr>
          <w:p>
            <w:pPr>
              <w:ind w:left="40"/>
              <w:spacing w:after="0"/>
              <w:rPr>
                <w:sz w:val="20"/>
                <w:szCs w:val="20"/>
                <w:color w:val="auto"/>
              </w:rPr>
            </w:pPr>
            <w:r>
              <w:rPr>
                <w:rFonts w:ascii="Arial" w:cs="Arial" w:eastAsia="Arial" w:hAnsi="Arial"/>
                <w:sz w:val="17"/>
                <w:szCs w:val="17"/>
                <w:color w:val="auto"/>
              </w:rPr>
              <w:t>Operating expenses</w:t>
            </w:r>
          </w:p>
        </w:tc>
        <w:tc>
          <w:tcPr>
            <w:tcW w:w="24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5,816.2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5,767.5</w:t>
            </w:r>
          </w:p>
        </w:tc>
      </w:tr>
      <w:tr>
        <w:trPr>
          <w:trHeight w:val="275"/>
        </w:trPr>
        <w:tc>
          <w:tcPr>
            <w:tcW w:w="5000" w:type="dxa"/>
            <w:vAlign w:val="bottom"/>
            <w:gridSpan w:val="3"/>
            <w:shd w:val="clear" w:color="auto" w:fill="DCE2EF"/>
          </w:tcPr>
          <w:p>
            <w:pPr>
              <w:ind w:left="40"/>
              <w:spacing w:after="0"/>
              <w:rPr>
                <w:sz w:val="20"/>
                <w:szCs w:val="20"/>
                <w:color w:val="auto"/>
              </w:rPr>
            </w:pPr>
            <w:r>
              <w:rPr>
                <w:rFonts w:ascii="Arial" w:cs="Arial" w:eastAsia="Arial" w:hAnsi="Arial"/>
                <w:sz w:val="17"/>
                <w:szCs w:val="17"/>
                <w:color w:val="auto"/>
              </w:rPr>
              <w:t>Selling, general and administrative expenses</w:t>
            </w:r>
          </w:p>
        </w:tc>
        <w:tc>
          <w:tcPr>
            <w:tcW w:w="240" w:type="dxa"/>
            <w:vAlign w:val="bottom"/>
            <w:shd w:val="clear" w:color="auto" w:fill="DCE2EF"/>
          </w:tcPr>
          <w:p>
            <w:pPr>
              <w:spacing w:after="0"/>
              <w:rPr>
                <w:sz w:val="23"/>
                <w:szCs w:val="23"/>
                <w:color w:val="auto"/>
              </w:rPr>
            </w:pPr>
          </w:p>
        </w:tc>
        <w:tc>
          <w:tcPr>
            <w:tcW w:w="17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459.7</w:t>
            </w:r>
          </w:p>
        </w:tc>
        <w:tc>
          <w:tcPr>
            <w:tcW w:w="10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180" w:type="dxa"/>
            <w:vAlign w:val="bottom"/>
            <w:shd w:val="clear" w:color="auto" w:fill="DCE2EF"/>
          </w:tcPr>
          <w:p>
            <w:pPr>
              <w:spacing w:after="0"/>
              <w:rPr>
                <w:sz w:val="23"/>
                <w:szCs w:val="23"/>
                <w:color w:val="auto"/>
              </w:rPr>
            </w:pPr>
          </w:p>
        </w:tc>
        <w:tc>
          <w:tcPr>
            <w:tcW w:w="18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DCE2EF"/>
          </w:tcPr>
          <w:p>
            <w:pPr>
              <w:spacing w:after="0"/>
              <w:rPr>
                <w:sz w:val="23"/>
                <w:szCs w:val="23"/>
                <w:color w:val="auto"/>
              </w:rPr>
            </w:pPr>
          </w:p>
        </w:tc>
        <w:tc>
          <w:tcPr>
            <w:tcW w:w="300" w:type="dxa"/>
            <w:vAlign w:val="bottom"/>
            <w:shd w:val="clear" w:color="auto" w:fill="DCE2EF"/>
          </w:tcPr>
          <w:p>
            <w:pPr>
              <w:spacing w:after="0"/>
              <w:rPr>
                <w:sz w:val="23"/>
                <w:szCs w:val="23"/>
                <w:color w:val="auto"/>
              </w:rPr>
            </w:pPr>
          </w:p>
        </w:tc>
        <w:tc>
          <w:tcPr>
            <w:tcW w:w="17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452.9</w:t>
            </w:r>
          </w:p>
        </w:tc>
      </w:tr>
      <w:tr>
        <w:trPr>
          <w:trHeight w:val="265"/>
        </w:trPr>
        <w:tc>
          <w:tcPr>
            <w:tcW w:w="5000" w:type="dxa"/>
            <w:vAlign w:val="bottom"/>
            <w:gridSpan w:val="3"/>
          </w:tcPr>
          <w:p>
            <w:pPr>
              <w:ind w:left="40"/>
              <w:spacing w:after="0"/>
              <w:rPr>
                <w:sz w:val="20"/>
                <w:szCs w:val="20"/>
                <w:color w:val="auto"/>
              </w:rPr>
            </w:pPr>
            <w:r>
              <w:rPr>
                <w:rFonts w:ascii="Arial" w:cs="Arial" w:eastAsia="Arial" w:hAnsi="Arial"/>
                <w:sz w:val="17"/>
                <w:szCs w:val="17"/>
                <w:color w:val="auto"/>
              </w:rPr>
              <w:t>Income tax provision</w:t>
            </w:r>
          </w:p>
        </w:tc>
        <w:tc>
          <w:tcPr>
            <w:tcW w:w="24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32.7</w:t>
            </w:r>
          </w:p>
        </w:tc>
      </w:tr>
      <w:tr>
        <w:trPr>
          <w:trHeight w:val="275"/>
        </w:trPr>
        <w:tc>
          <w:tcPr>
            <w:tcW w:w="5000" w:type="dxa"/>
            <w:vAlign w:val="bottom"/>
            <w:gridSpan w:val="3"/>
            <w:shd w:val="clear" w:color="auto" w:fill="DCE2EF"/>
          </w:tcPr>
          <w:p>
            <w:pPr>
              <w:ind w:left="40"/>
              <w:spacing w:after="0"/>
              <w:rPr>
                <w:sz w:val="20"/>
                <w:szCs w:val="20"/>
                <w:color w:val="auto"/>
              </w:rPr>
            </w:pPr>
            <w:r>
              <w:rPr>
                <w:rFonts w:ascii="Arial" w:cs="Arial" w:eastAsia="Arial" w:hAnsi="Arial"/>
                <w:sz w:val="17"/>
                <w:szCs w:val="17"/>
                <w:color w:val="auto"/>
              </w:rPr>
              <w:t>Net income</w:t>
            </w:r>
          </w:p>
        </w:tc>
        <w:tc>
          <w:tcPr>
            <w:tcW w:w="240" w:type="dxa"/>
            <w:vAlign w:val="bottom"/>
            <w:shd w:val="clear" w:color="auto" w:fill="DCE2EF"/>
          </w:tcPr>
          <w:p>
            <w:pPr>
              <w:spacing w:after="0"/>
              <w:rPr>
                <w:sz w:val="23"/>
                <w:szCs w:val="23"/>
                <w:color w:val="auto"/>
              </w:rPr>
            </w:pPr>
          </w:p>
        </w:tc>
        <w:tc>
          <w:tcPr>
            <w:tcW w:w="17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121.6</w:t>
            </w:r>
          </w:p>
        </w:tc>
        <w:tc>
          <w:tcPr>
            <w:tcW w:w="10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180" w:type="dxa"/>
            <w:vAlign w:val="bottom"/>
            <w:shd w:val="clear" w:color="auto" w:fill="DCE2EF"/>
          </w:tcPr>
          <w:p>
            <w:pPr>
              <w:spacing w:after="0"/>
              <w:rPr>
                <w:sz w:val="23"/>
                <w:szCs w:val="23"/>
                <w:color w:val="auto"/>
              </w:rPr>
            </w:pPr>
          </w:p>
        </w:tc>
        <w:tc>
          <w:tcPr>
            <w:tcW w:w="18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shd w:val="clear" w:color="auto" w:fill="DCE2EF"/>
          </w:tcPr>
          <w:p>
            <w:pPr>
              <w:spacing w:after="0"/>
              <w:rPr>
                <w:sz w:val="23"/>
                <w:szCs w:val="23"/>
                <w:color w:val="auto"/>
              </w:rPr>
            </w:pPr>
          </w:p>
        </w:tc>
        <w:tc>
          <w:tcPr>
            <w:tcW w:w="300" w:type="dxa"/>
            <w:vAlign w:val="bottom"/>
            <w:shd w:val="clear" w:color="auto" w:fill="DCE2EF"/>
          </w:tcPr>
          <w:p>
            <w:pPr>
              <w:spacing w:after="0"/>
              <w:rPr>
                <w:sz w:val="23"/>
                <w:szCs w:val="23"/>
                <w:color w:val="auto"/>
              </w:rPr>
            </w:pPr>
          </w:p>
        </w:tc>
        <w:tc>
          <w:tcPr>
            <w:tcW w:w="17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127.4</w:t>
            </w:r>
          </w:p>
        </w:tc>
      </w:tr>
      <w:tr>
        <w:trPr>
          <w:trHeight w:val="284"/>
        </w:trPr>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70"/>
        </w:trPr>
        <w:tc>
          <w:tcPr>
            <w:tcW w:w="5000" w:type="dxa"/>
            <w:vAlign w:val="bottom"/>
            <w:gridSpan w:val="3"/>
            <w:shd w:val="clear" w:color="auto" w:fill="DCE2EF"/>
          </w:tcPr>
          <w:p>
            <w:pPr>
              <w:ind w:left="40"/>
              <w:spacing w:after="0"/>
              <w:rPr>
                <w:sz w:val="20"/>
                <w:szCs w:val="20"/>
                <w:color w:val="auto"/>
              </w:rPr>
            </w:pPr>
            <w:r>
              <w:rPr>
                <w:rFonts w:ascii="Arial" w:cs="Arial" w:eastAsia="Arial" w:hAnsi="Arial"/>
                <w:sz w:val="17"/>
                <w:szCs w:val="17"/>
                <w:color w:val="auto"/>
              </w:rPr>
              <w:t>Net income per common share — Basic</w:t>
            </w:r>
          </w:p>
        </w:tc>
        <w:tc>
          <w:tcPr>
            <w:tcW w:w="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w:t>
            </w:r>
          </w:p>
        </w:tc>
        <w:tc>
          <w:tcPr>
            <w:tcW w:w="17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1.83</w:t>
            </w:r>
          </w:p>
        </w:tc>
        <w:tc>
          <w:tcPr>
            <w:tcW w:w="380" w:type="dxa"/>
            <w:vAlign w:val="bottom"/>
            <w:gridSpan w:val="3"/>
            <w:shd w:val="clear" w:color="auto" w:fill="DCE2EF"/>
          </w:tcPr>
          <w:p>
            <w:pPr>
              <w:jc w:val="right"/>
              <w:ind w:right="60"/>
              <w:spacing w:after="0"/>
              <w:rPr>
                <w:sz w:val="20"/>
                <w:szCs w:val="20"/>
                <w:color w:val="auto"/>
              </w:rPr>
            </w:pPr>
            <w:r>
              <w:rPr>
                <w:rFonts w:ascii="Arial" w:cs="Arial" w:eastAsia="Arial" w:hAnsi="Arial"/>
                <w:sz w:val="18"/>
                <w:szCs w:val="18"/>
                <w:color w:val="auto"/>
              </w:rPr>
              <w:t>$</w:t>
            </w:r>
          </w:p>
        </w:tc>
        <w:tc>
          <w:tcPr>
            <w:tcW w:w="18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DCE2EF"/>
          </w:tcPr>
          <w:p>
            <w:pPr>
              <w:spacing w:after="0"/>
              <w:rPr>
                <w:sz w:val="23"/>
                <w:szCs w:val="23"/>
                <w:color w:val="auto"/>
              </w:rPr>
            </w:pPr>
          </w:p>
        </w:tc>
        <w:tc>
          <w:tcPr>
            <w:tcW w:w="300" w:type="dxa"/>
            <w:vAlign w:val="bottom"/>
            <w:shd w:val="clear" w:color="auto" w:fill="DCE2E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1.91</w:t>
            </w:r>
          </w:p>
        </w:tc>
      </w:tr>
      <w:tr>
        <w:trPr>
          <w:trHeight w:val="261"/>
        </w:trPr>
        <w:tc>
          <w:tcPr>
            <w:tcW w:w="5000" w:type="dxa"/>
            <w:vAlign w:val="bottom"/>
            <w:gridSpan w:val="3"/>
          </w:tcPr>
          <w:p>
            <w:pPr>
              <w:ind w:left="40"/>
              <w:spacing w:after="0"/>
              <w:rPr>
                <w:sz w:val="20"/>
                <w:szCs w:val="20"/>
                <w:color w:val="auto"/>
              </w:rPr>
            </w:pPr>
            <w:r>
              <w:rPr>
                <w:rFonts w:ascii="Arial" w:cs="Arial" w:eastAsia="Arial" w:hAnsi="Arial"/>
                <w:sz w:val="17"/>
                <w:szCs w:val="17"/>
                <w:color w:val="auto"/>
              </w:rPr>
              <w:t>Net income per common share — Diluted</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1.82</w:t>
            </w:r>
          </w:p>
        </w:tc>
        <w:tc>
          <w:tcPr>
            <w:tcW w:w="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1.90</w:t>
            </w:r>
          </w:p>
        </w:tc>
      </w:tr>
    </w:tbl>
    <w:p>
      <w:pPr>
        <w:spacing w:after="0" w:line="36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There were no significant impacts on our consolidated statements of cash flows other than offsetting shifts in net cash provided by operating activities between net income and various changes in working capital line items.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Disaggregation of Revenues</w:t>
      </w:r>
    </w:p>
    <w:p>
      <w:pPr>
        <w:spacing w:after="0" w:line="17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We generate revenues under several types of contracts, which are further described in Note 2, “Basis of Presentation and Significant Accounting Policies.” Generally, the type of contract is determined by the nature of the services provided by each of our major service lines throughout our reportable segments; therefore, we disaggregate revenue from contracts with customers into major service lines. We have determined that disaggregating revenue into these categories best depicts how the nature, amount, timing, and uncertainty of revenue and cash flows are affected by economic factors. Our reportable segments are Business &amp; Industry (“B&amp;I”), Aviation, Technology and Manufacturing (“T&amp;M”), Education, and Technical Solutions, as described in Note 19, “Segment and Geographic Information.”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6"/>
          </w:tcPr>
          <w:p>
            <w:pPr>
              <w:ind w:left="80"/>
              <w:spacing w:after="0"/>
              <w:rPr>
                <w:sz w:val="20"/>
                <w:szCs w:val="20"/>
                <w:color w:val="auto"/>
              </w:rPr>
            </w:pPr>
            <w:r>
              <w:rPr>
                <w:rFonts w:ascii="Arial" w:cs="Arial" w:eastAsia="Arial" w:hAnsi="Arial"/>
                <w:sz w:val="16"/>
                <w:szCs w:val="16"/>
                <w:b w:val="1"/>
                <w:bCs w:val="1"/>
                <w:color w:val="auto"/>
              </w:rPr>
              <w:t>Year Ended October 31, 2019</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B&amp;I</w:t>
            </w:r>
          </w:p>
        </w:tc>
        <w:tc>
          <w:tcPr>
            <w:tcW w:w="180" w:type="dxa"/>
            <w:vAlign w:val="bottom"/>
          </w:tcPr>
          <w:p>
            <w:pPr>
              <w:spacing w:after="0"/>
              <w:rPr>
                <w:sz w:val="15"/>
                <w:szCs w:val="15"/>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Aviation</w:t>
            </w:r>
          </w:p>
        </w:tc>
        <w:tc>
          <w:tcPr>
            <w:tcW w:w="260" w:type="dxa"/>
            <w:vAlign w:val="bottom"/>
          </w:tcPr>
          <w:p>
            <w:pPr>
              <w:spacing w:after="0"/>
              <w:rPr>
                <w:sz w:val="15"/>
                <w:szCs w:val="15"/>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T&amp;M</w:t>
            </w:r>
          </w:p>
        </w:tc>
        <w:tc>
          <w:tcPr>
            <w:tcW w:w="160" w:type="dxa"/>
            <w:vAlign w:val="bottom"/>
          </w:tcPr>
          <w:p>
            <w:pPr>
              <w:spacing w:after="0"/>
              <w:rPr>
                <w:sz w:val="15"/>
                <w:szCs w:val="15"/>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Education</w:t>
            </w:r>
          </w:p>
        </w:tc>
        <w:tc>
          <w:tcPr>
            <w:tcW w:w="160" w:type="dxa"/>
            <w:vAlign w:val="bottom"/>
          </w:tcPr>
          <w:p>
            <w:pPr>
              <w:spacing w:after="0"/>
              <w:rPr>
                <w:sz w:val="15"/>
                <w:szCs w:val="15"/>
                <w:color w:val="auto"/>
              </w:rPr>
            </w:pPr>
          </w:p>
        </w:tc>
        <w:tc>
          <w:tcPr>
            <w:tcW w:w="1080" w:type="dxa"/>
            <w:vAlign w:val="bottom"/>
            <w:gridSpan w:val="2"/>
          </w:tcPr>
          <w:p>
            <w:pPr>
              <w:ind w:left="60"/>
              <w:spacing w:after="0" w:line="179" w:lineRule="exact"/>
              <w:rPr>
                <w:sz w:val="20"/>
                <w:szCs w:val="20"/>
                <w:color w:val="auto"/>
              </w:rPr>
            </w:pPr>
            <w:r>
              <w:rPr>
                <w:rFonts w:ascii="Arial" w:cs="Arial" w:eastAsia="Arial" w:hAnsi="Arial"/>
                <w:sz w:val="16"/>
                <w:szCs w:val="16"/>
                <w:b w:val="1"/>
                <w:bCs w:val="1"/>
                <w:color w:val="auto"/>
              </w:rPr>
              <w:t>Technical</w:t>
            </w:r>
          </w:p>
        </w:tc>
        <w:tc>
          <w:tcPr>
            <w:tcW w:w="260" w:type="dxa"/>
            <w:vAlign w:val="bottom"/>
          </w:tcPr>
          <w:p>
            <w:pPr>
              <w:spacing w:after="0"/>
              <w:rPr>
                <w:sz w:val="15"/>
                <w:szCs w:val="15"/>
                <w:color w:val="auto"/>
              </w:rPr>
            </w:pPr>
          </w:p>
        </w:tc>
        <w:tc>
          <w:tcPr>
            <w:tcW w:w="88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9"/>
        </w:trPr>
        <w:tc>
          <w:tcPr>
            <w:tcW w:w="402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ind w:left="40"/>
              <w:spacing w:after="0" w:line="179" w:lineRule="exact"/>
              <w:rPr>
                <w:sz w:val="20"/>
                <w:szCs w:val="20"/>
                <w:color w:val="auto"/>
              </w:rPr>
            </w:pPr>
            <w:r>
              <w:rPr>
                <w:rFonts w:ascii="Arial" w:cs="Arial" w:eastAsia="Arial" w:hAnsi="Arial"/>
                <w:sz w:val="16"/>
                <w:szCs w:val="16"/>
                <w:b w:val="1"/>
                <w:bCs w:val="1"/>
                <w:color w:val="auto"/>
              </w:rPr>
              <w:t>Solutions</w:t>
            </w:r>
          </w:p>
        </w:tc>
        <w:tc>
          <w:tcPr>
            <w:tcW w:w="2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660" w:type="dxa"/>
            <w:vAlign w:val="bottom"/>
            <w:tcBorders>
              <w:top w:val="single" w:sz="8" w:color="auto"/>
              <w:bottom w:val="single" w:sz="8" w:color="DCE2EF"/>
            </w:tcBorders>
          </w:tcPr>
          <w:p>
            <w:pPr>
              <w:spacing w:after="0" w:line="20" w:lineRule="exact"/>
              <w:rPr>
                <w:sz w:val="1"/>
                <w:szCs w:val="1"/>
                <w:color w:val="auto"/>
              </w:rPr>
            </w:pPr>
          </w:p>
        </w:tc>
        <w:tc>
          <w:tcPr>
            <w:tcW w:w="332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20" w:type="dxa"/>
            <w:vAlign w:val="bottom"/>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Major Service Line</w:t>
            </w:r>
          </w:p>
        </w:tc>
        <w:tc>
          <w:tcPr>
            <w:tcW w:w="280" w:type="dxa"/>
            <w:vAlign w:val="bottom"/>
            <w:shd w:val="clear" w:color="auto" w:fill="DCE2EF"/>
          </w:tcPr>
          <w:p>
            <w:pPr>
              <w:spacing w:after="0"/>
              <w:rPr>
                <w:sz w:val="22"/>
                <w:szCs w:val="22"/>
                <w:color w:val="auto"/>
              </w:rPr>
            </w:pPr>
          </w:p>
        </w:tc>
        <w:tc>
          <w:tcPr>
            <w:tcW w:w="90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180" w:type="dxa"/>
            <w:vAlign w:val="bottom"/>
            <w:shd w:val="clear" w:color="auto" w:fill="DCE2EF"/>
          </w:tcPr>
          <w:p>
            <w:pPr>
              <w:spacing w:after="0"/>
              <w:rPr>
                <w:sz w:val="22"/>
                <w:szCs w:val="22"/>
                <w:color w:val="auto"/>
              </w:rPr>
            </w:pPr>
          </w:p>
        </w:tc>
        <w:tc>
          <w:tcPr>
            <w:tcW w:w="96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260" w:type="dxa"/>
            <w:vAlign w:val="bottom"/>
            <w:shd w:val="clear" w:color="auto" w:fill="DCE2EF"/>
          </w:tcPr>
          <w:p>
            <w:pPr>
              <w:spacing w:after="0"/>
              <w:rPr>
                <w:sz w:val="22"/>
                <w:szCs w:val="22"/>
                <w:color w:val="auto"/>
              </w:rPr>
            </w:pPr>
          </w:p>
        </w:tc>
        <w:tc>
          <w:tcPr>
            <w:tcW w:w="88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60" w:type="dxa"/>
            <w:vAlign w:val="bottom"/>
            <w:shd w:val="clear" w:color="auto" w:fill="DCE2EF"/>
          </w:tcPr>
          <w:p>
            <w:pPr>
              <w:spacing w:after="0"/>
              <w:rPr>
                <w:sz w:val="22"/>
                <w:szCs w:val="22"/>
                <w:color w:val="auto"/>
              </w:rPr>
            </w:pPr>
          </w:p>
        </w:tc>
        <w:tc>
          <w:tcPr>
            <w:tcW w:w="98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60" w:type="dxa"/>
            <w:vAlign w:val="bottom"/>
            <w:shd w:val="clear" w:color="auto" w:fill="DCE2EF"/>
          </w:tcPr>
          <w:p>
            <w:pPr>
              <w:spacing w:after="0"/>
              <w:rPr>
                <w:sz w:val="22"/>
                <w:szCs w:val="22"/>
                <w:color w:val="auto"/>
              </w:rPr>
            </w:pPr>
          </w:p>
        </w:tc>
        <w:tc>
          <w:tcPr>
            <w:tcW w:w="98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260" w:type="dxa"/>
            <w:vAlign w:val="bottom"/>
            <w:shd w:val="clear" w:color="auto" w:fill="DCE2EF"/>
          </w:tcPr>
          <w:p>
            <w:pPr>
              <w:spacing w:after="0"/>
              <w:rPr>
                <w:sz w:val="22"/>
                <w:szCs w:val="22"/>
                <w:color w:val="auto"/>
              </w:rPr>
            </w:pPr>
          </w:p>
        </w:tc>
        <w:tc>
          <w:tcPr>
            <w:tcW w:w="880" w:type="dxa"/>
            <w:vAlign w:val="bottom"/>
            <w:shd w:val="clear" w:color="auto" w:fill="DCE2E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980" w:type="dxa"/>
            <w:vAlign w:val="bottom"/>
            <w:gridSpan w:val="2"/>
          </w:tcPr>
          <w:p>
            <w:pPr>
              <w:ind w:left="140"/>
              <w:spacing w:after="0"/>
              <w:rPr>
                <w:sz w:val="20"/>
                <w:szCs w:val="20"/>
                <w:color w:val="auto"/>
              </w:rPr>
            </w:pPr>
            <w:r>
              <w:rPr>
                <w:rFonts w:ascii="Arial" w:cs="Arial" w:eastAsia="Arial" w:hAnsi="Arial"/>
                <w:sz w:val="16"/>
                <w:szCs w:val="16"/>
                <w:color w:val="auto"/>
              </w:rPr>
              <w:t>Janitorial</w:t>
            </w:r>
            <w:r>
              <w:rPr>
                <w:rFonts w:ascii="Arial" w:cs="Arial" w:eastAsia="Arial" w:hAnsi="Arial"/>
                <w:sz w:val="21"/>
                <w:szCs w:val="21"/>
                <w:color w:val="auto"/>
                <w:vertAlign w:val="superscript"/>
              </w:rPr>
              <w:t>(1)</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2,316.1</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125.8</w:t>
            </w:r>
          </w:p>
        </w:tc>
        <w:tc>
          <w:tcPr>
            <w:tcW w:w="100" w:type="dxa"/>
            <w:vAlign w:val="bottom"/>
          </w:tcPr>
          <w:p>
            <w:pPr>
              <w:spacing w:after="0"/>
              <w:rPr>
                <w:sz w:val="23"/>
                <w:szCs w:val="23"/>
                <w:color w:val="auto"/>
              </w:rPr>
            </w:pP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739.7</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756.3</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3,937.9</w:t>
            </w:r>
          </w:p>
        </w:tc>
        <w:tc>
          <w:tcPr>
            <w:tcW w:w="0" w:type="dxa"/>
            <w:vAlign w:val="bottom"/>
          </w:tcPr>
          <w:p>
            <w:pPr>
              <w:spacing w:after="0"/>
              <w:rPr>
                <w:sz w:val="1"/>
                <w:szCs w:val="1"/>
                <w:color w:val="auto"/>
              </w:rPr>
            </w:pPr>
          </w:p>
        </w:tc>
      </w:tr>
      <w:tr>
        <w:trPr>
          <w:trHeight w:val="270"/>
        </w:trPr>
        <w:tc>
          <w:tcPr>
            <w:tcW w:w="40" w:type="dxa"/>
            <w:vAlign w:val="bottom"/>
            <w:shd w:val="clear" w:color="auto" w:fill="DCE2EF"/>
          </w:tcPr>
          <w:p>
            <w:pPr>
              <w:spacing w:after="0"/>
              <w:rPr>
                <w:sz w:val="23"/>
                <w:szCs w:val="23"/>
                <w:color w:val="auto"/>
              </w:rPr>
            </w:pPr>
          </w:p>
        </w:tc>
        <w:tc>
          <w:tcPr>
            <w:tcW w:w="3980" w:type="dxa"/>
            <w:vAlign w:val="bottom"/>
            <w:gridSpan w:val="2"/>
            <w:shd w:val="clear" w:color="auto" w:fill="DCE2EF"/>
          </w:tcPr>
          <w:p>
            <w:pPr>
              <w:ind w:left="140"/>
              <w:spacing w:after="0"/>
              <w:rPr>
                <w:sz w:val="20"/>
                <w:szCs w:val="20"/>
                <w:color w:val="auto"/>
              </w:rPr>
            </w:pPr>
            <w:r>
              <w:rPr>
                <w:rFonts w:ascii="Arial" w:cs="Arial" w:eastAsia="Arial" w:hAnsi="Arial"/>
                <w:sz w:val="16"/>
                <w:szCs w:val="16"/>
                <w:color w:val="auto"/>
              </w:rPr>
              <w:t>Parking</w:t>
            </w:r>
            <w:r>
              <w:rPr>
                <w:rFonts w:ascii="Arial" w:cs="Arial" w:eastAsia="Arial" w:hAnsi="Arial"/>
                <w:sz w:val="21"/>
                <w:szCs w:val="21"/>
                <w:color w:val="auto"/>
                <w:vertAlign w:val="superscript"/>
              </w:rPr>
              <w:t>(2)</w:t>
            </w:r>
          </w:p>
        </w:tc>
        <w:tc>
          <w:tcPr>
            <w:tcW w:w="280" w:type="dxa"/>
            <w:vAlign w:val="bottom"/>
            <w:shd w:val="clear" w:color="auto" w:fill="DCE2EF"/>
          </w:tcPr>
          <w:p>
            <w:pPr>
              <w:spacing w:after="0"/>
              <w:rPr>
                <w:sz w:val="23"/>
                <w:szCs w:val="23"/>
                <w:color w:val="auto"/>
              </w:rPr>
            </w:pPr>
          </w:p>
        </w:tc>
        <w:tc>
          <w:tcPr>
            <w:tcW w:w="90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511.5</w:t>
            </w:r>
          </w:p>
        </w:tc>
        <w:tc>
          <w:tcPr>
            <w:tcW w:w="120" w:type="dxa"/>
            <w:vAlign w:val="bottom"/>
            <w:shd w:val="clear" w:color="auto" w:fill="DCE2EF"/>
          </w:tcPr>
          <w:p>
            <w:pPr>
              <w:spacing w:after="0"/>
              <w:rPr>
                <w:sz w:val="23"/>
                <w:szCs w:val="23"/>
                <w:color w:val="auto"/>
              </w:rPr>
            </w:pPr>
          </w:p>
        </w:tc>
        <w:tc>
          <w:tcPr>
            <w:tcW w:w="180" w:type="dxa"/>
            <w:vAlign w:val="bottom"/>
            <w:shd w:val="clear" w:color="auto" w:fill="DCE2EF"/>
          </w:tcPr>
          <w:p>
            <w:pPr>
              <w:spacing w:after="0"/>
              <w:rPr>
                <w:sz w:val="23"/>
                <w:szCs w:val="23"/>
                <w:color w:val="auto"/>
              </w:rPr>
            </w:pPr>
          </w:p>
        </w:tc>
        <w:tc>
          <w:tcPr>
            <w:tcW w:w="96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335.3</w:t>
            </w:r>
          </w:p>
        </w:tc>
        <w:tc>
          <w:tcPr>
            <w:tcW w:w="100" w:type="dxa"/>
            <w:vAlign w:val="bottom"/>
            <w:shd w:val="clear" w:color="auto" w:fill="DCE2EF"/>
          </w:tcPr>
          <w:p>
            <w:pPr>
              <w:spacing w:after="0"/>
              <w:rPr>
                <w:sz w:val="23"/>
                <w:szCs w:val="23"/>
                <w:color w:val="auto"/>
              </w:rPr>
            </w:pPr>
          </w:p>
        </w:tc>
        <w:tc>
          <w:tcPr>
            <w:tcW w:w="260" w:type="dxa"/>
            <w:vAlign w:val="bottom"/>
            <w:shd w:val="clear" w:color="auto" w:fill="DCE2EF"/>
          </w:tcPr>
          <w:p>
            <w:pPr>
              <w:spacing w:after="0"/>
              <w:rPr>
                <w:sz w:val="23"/>
                <w:szCs w:val="23"/>
                <w:color w:val="auto"/>
              </w:rPr>
            </w:pPr>
          </w:p>
        </w:tc>
        <w:tc>
          <w:tcPr>
            <w:tcW w:w="88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25.9</w:t>
            </w:r>
          </w:p>
        </w:tc>
        <w:tc>
          <w:tcPr>
            <w:tcW w:w="100" w:type="dxa"/>
            <w:vAlign w:val="bottom"/>
            <w:shd w:val="clear" w:color="auto" w:fill="DCE2EF"/>
          </w:tcPr>
          <w:p>
            <w:pPr>
              <w:spacing w:after="0"/>
              <w:rPr>
                <w:sz w:val="23"/>
                <w:szCs w:val="23"/>
                <w:color w:val="auto"/>
              </w:rPr>
            </w:pPr>
          </w:p>
        </w:tc>
        <w:tc>
          <w:tcPr>
            <w:tcW w:w="160" w:type="dxa"/>
            <w:vAlign w:val="bottom"/>
            <w:shd w:val="clear" w:color="auto" w:fill="DCE2EF"/>
          </w:tcPr>
          <w:p>
            <w:pPr>
              <w:spacing w:after="0"/>
              <w:rPr>
                <w:sz w:val="23"/>
                <w:szCs w:val="23"/>
                <w:color w:val="auto"/>
              </w:rPr>
            </w:pPr>
          </w:p>
        </w:tc>
        <w:tc>
          <w:tcPr>
            <w:tcW w:w="98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shd w:val="clear" w:color="auto" w:fill="DCE2EF"/>
          </w:tcPr>
          <w:p>
            <w:pPr>
              <w:spacing w:after="0"/>
              <w:rPr>
                <w:sz w:val="23"/>
                <w:szCs w:val="23"/>
                <w:color w:val="auto"/>
              </w:rPr>
            </w:pPr>
          </w:p>
        </w:tc>
        <w:tc>
          <w:tcPr>
            <w:tcW w:w="160" w:type="dxa"/>
            <w:vAlign w:val="bottom"/>
            <w:shd w:val="clear" w:color="auto" w:fill="DCE2EF"/>
          </w:tcPr>
          <w:p>
            <w:pPr>
              <w:spacing w:after="0"/>
              <w:rPr>
                <w:sz w:val="23"/>
                <w:szCs w:val="23"/>
                <w:color w:val="auto"/>
              </w:rPr>
            </w:pPr>
          </w:p>
        </w:tc>
        <w:tc>
          <w:tcPr>
            <w:tcW w:w="108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DCE2EF"/>
          </w:tcPr>
          <w:p>
            <w:pPr>
              <w:spacing w:after="0"/>
              <w:rPr>
                <w:sz w:val="23"/>
                <w:szCs w:val="23"/>
                <w:color w:val="auto"/>
              </w:rPr>
            </w:pPr>
          </w:p>
        </w:tc>
        <w:tc>
          <w:tcPr>
            <w:tcW w:w="88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875.8</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980" w:type="dxa"/>
            <w:vAlign w:val="bottom"/>
            <w:gridSpan w:val="2"/>
          </w:tcPr>
          <w:p>
            <w:pPr>
              <w:ind w:left="140"/>
              <w:spacing w:after="0"/>
              <w:rPr>
                <w:sz w:val="20"/>
                <w:szCs w:val="20"/>
                <w:color w:val="auto"/>
              </w:rPr>
            </w:pPr>
            <w:r>
              <w:rPr>
                <w:rFonts w:ascii="Arial" w:cs="Arial" w:eastAsia="Arial" w:hAnsi="Arial"/>
                <w:sz w:val="16"/>
                <w:szCs w:val="16"/>
                <w:color w:val="auto"/>
              </w:rPr>
              <w:t>Facility Services</w:t>
            </w:r>
            <w:r>
              <w:rPr>
                <w:rFonts w:ascii="Arial" w:cs="Arial" w:eastAsia="Arial" w:hAnsi="Arial"/>
                <w:sz w:val="21"/>
                <w:szCs w:val="21"/>
                <w:color w:val="auto"/>
                <w:vertAlign w:val="superscript"/>
              </w:rPr>
              <w:t>(3)</w:t>
            </w:r>
          </w:p>
        </w:tc>
        <w:tc>
          <w:tcPr>
            <w:tcW w:w="28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423.1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72.1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151.4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88.0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734.6</w:t>
            </w:r>
          </w:p>
        </w:tc>
        <w:tc>
          <w:tcPr>
            <w:tcW w:w="0" w:type="dxa"/>
            <w:vAlign w:val="bottom"/>
          </w:tcPr>
          <w:p>
            <w:pPr>
              <w:spacing w:after="0"/>
              <w:rPr>
                <w:sz w:val="1"/>
                <w:szCs w:val="1"/>
                <w:color w:val="auto"/>
              </w:rPr>
            </w:pPr>
          </w:p>
        </w:tc>
      </w:tr>
      <w:tr>
        <w:trPr>
          <w:trHeight w:val="270"/>
        </w:trPr>
        <w:tc>
          <w:tcPr>
            <w:tcW w:w="40" w:type="dxa"/>
            <w:vAlign w:val="bottom"/>
            <w:shd w:val="clear" w:color="auto" w:fill="DCE2EF"/>
          </w:tcPr>
          <w:p>
            <w:pPr>
              <w:spacing w:after="0"/>
              <w:rPr>
                <w:sz w:val="23"/>
                <w:szCs w:val="23"/>
                <w:color w:val="auto"/>
              </w:rPr>
            </w:pPr>
          </w:p>
        </w:tc>
        <w:tc>
          <w:tcPr>
            <w:tcW w:w="3980" w:type="dxa"/>
            <w:vAlign w:val="bottom"/>
            <w:gridSpan w:val="2"/>
            <w:shd w:val="clear" w:color="auto" w:fill="DCE2EF"/>
          </w:tcPr>
          <w:p>
            <w:pPr>
              <w:ind w:left="140"/>
              <w:spacing w:after="0"/>
              <w:rPr>
                <w:sz w:val="20"/>
                <w:szCs w:val="20"/>
                <w:color w:val="auto"/>
              </w:rPr>
            </w:pPr>
            <w:r>
              <w:rPr>
                <w:rFonts w:ascii="Arial" w:cs="Arial" w:eastAsia="Arial" w:hAnsi="Arial"/>
                <w:sz w:val="16"/>
                <w:szCs w:val="16"/>
                <w:color w:val="auto"/>
              </w:rPr>
              <w:t>Building &amp; Energy Solutions</w:t>
            </w:r>
            <w:r>
              <w:rPr>
                <w:rFonts w:ascii="Arial" w:cs="Arial" w:eastAsia="Arial" w:hAnsi="Arial"/>
                <w:sz w:val="21"/>
                <w:szCs w:val="21"/>
                <w:color w:val="auto"/>
                <w:vertAlign w:val="superscript"/>
              </w:rPr>
              <w:t>(4)</w:t>
            </w:r>
          </w:p>
        </w:tc>
        <w:tc>
          <w:tcPr>
            <w:tcW w:w="280" w:type="dxa"/>
            <w:vAlign w:val="bottom"/>
            <w:shd w:val="clear" w:color="auto" w:fill="DCE2EF"/>
          </w:tcPr>
          <w:p>
            <w:pPr>
              <w:spacing w:after="0"/>
              <w:rPr>
                <w:sz w:val="23"/>
                <w:szCs w:val="23"/>
                <w:color w:val="auto"/>
              </w:rPr>
            </w:pPr>
          </w:p>
        </w:tc>
        <w:tc>
          <w:tcPr>
            <w:tcW w:w="1020" w:type="dxa"/>
            <w:vAlign w:val="bottom"/>
            <w:gridSpan w:val="2"/>
            <w:shd w:val="clear" w:color="auto" w:fill="DCE2E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DCE2EF"/>
          </w:tcPr>
          <w:p>
            <w:pPr>
              <w:spacing w:after="0"/>
              <w:rPr>
                <w:sz w:val="23"/>
                <w:szCs w:val="23"/>
                <w:color w:val="auto"/>
              </w:rPr>
            </w:pPr>
          </w:p>
        </w:tc>
        <w:tc>
          <w:tcPr>
            <w:tcW w:w="106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DCE2EF"/>
          </w:tcPr>
          <w:p>
            <w:pPr>
              <w:spacing w:after="0"/>
              <w:rPr>
                <w:sz w:val="23"/>
                <w:szCs w:val="23"/>
                <w:color w:val="auto"/>
              </w:rPr>
            </w:pPr>
          </w:p>
        </w:tc>
        <w:tc>
          <w:tcPr>
            <w:tcW w:w="98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DCE2EF"/>
          </w:tcPr>
          <w:p>
            <w:pPr>
              <w:spacing w:after="0"/>
              <w:rPr>
                <w:sz w:val="23"/>
                <w:szCs w:val="23"/>
                <w:color w:val="auto"/>
              </w:rPr>
            </w:pPr>
          </w:p>
        </w:tc>
        <w:tc>
          <w:tcPr>
            <w:tcW w:w="108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DCE2EF"/>
          </w:tcPr>
          <w:p>
            <w:pPr>
              <w:spacing w:after="0"/>
              <w:rPr>
                <w:sz w:val="23"/>
                <w:szCs w:val="23"/>
                <w:color w:val="auto"/>
              </w:rPr>
            </w:pPr>
          </w:p>
        </w:tc>
        <w:tc>
          <w:tcPr>
            <w:tcW w:w="98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593.2</w:t>
            </w:r>
          </w:p>
        </w:tc>
        <w:tc>
          <w:tcPr>
            <w:tcW w:w="100" w:type="dxa"/>
            <w:vAlign w:val="bottom"/>
            <w:shd w:val="clear" w:color="auto" w:fill="DCE2EF"/>
          </w:tcPr>
          <w:p>
            <w:pPr>
              <w:spacing w:after="0"/>
              <w:rPr>
                <w:sz w:val="23"/>
                <w:szCs w:val="23"/>
                <w:color w:val="auto"/>
              </w:rPr>
            </w:pPr>
          </w:p>
        </w:tc>
        <w:tc>
          <w:tcPr>
            <w:tcW w:w="260" w:type="dxa"/>
            <w:vAlign w:val="bottom"/>
            <w:shd w:val="clear" w:color="auto" w:fill="DCE2EF"/>
          </w:tcPr>
          <w:p>
            <w:pPr>
              <w:spacing w:after="0"/>
              <w:rPr>
                <w:sz w:val="23"/>
                <w:szCs w:val="23"/>
                <w:color w:val="auto"/>
              </w:rPr>
            </w:pPr>
          </w:p>
        </w:tc>
        <w:tc>
          <w:tcPr>
            <w:tcW w:w="88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593.2</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980" w:type="dxa"/>
            <w:vAlign w:val="bottom"/>
            <w:gridSpan w:val="2"/>
          </w:tcPr>
          <w:p>
            <w:pPr>
              <w:ind w:left="140"/>
              <w:spacing w:after="0"/>
              <w:rPr>
                <w:sz w:val="20"/>
                <w:szCs w:val="20"/>
                <w:color w:val="auto"/>
              </w:rPr>
            </w:pPr>
            <w:r>
              <w:rPr>
                <w:rFonts w:ascii="Arial" w:cs="Arial" w:eastAsia="Arial" w:hAnsi="Arial"/>
                <w:sz w:val="16"/>
                <w:szCs w:val="16"/>
                <w:color w:val="auto"/>
              </w:rPr>
              <w:t>Airline Services</w:t>
            </w:r>
            <w:r>
              <w:rPr>
                <w:rFonts w:ascii="Arial" w:cs="Arial" w:eastAsia="Arial" w:hAnsi="Arial"/>
                <w:sz w:val="21"/>
                <w:szCs w:val="21"/>
                <w:color w:val="auto"/>
                <w:vertAlign w:val="superscript"/>
              </w:rPr>
              <w:t>(5)</w:t>
            </w:r>
          </w:p>
        </w:tc>
        <w:tc>
          <w:tcPr>
            <w:tcW w:w="28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484.1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484.8</w:t>
            </w:r>
          </w:p>
        </w:tc>
        <w:tc>
          <w:tcPr>
            <w:tcW w:w="0" w:type="dxa"/>
            <w:vAlign w:val="bottom"/>
          </w:tcPr>
          <w:p>
            <w:pPr>
              <w:spacing w:after="0"/>
              <w:rPr>
                <w:sz w:val="1"/>
                <w:szCs w:val="1"/>
                <w:color w:val="auto"/>
              </w:rPr>
            </w:pPr>
          </w:p>
        </w:tc>
      </w:tr>
      <w:tr>
        <w:trPr>
          <w:trHeight w:val="236"/>
        </w:trPr>
        <w:tc>
          <w:tcPr>
            <w:tcW w:w="40" w:type="dxa"/>
            <w:vAlign w:val="bottom"/>
            <w:tcBorders>
              <w:top w:val="single" w:sz="8" w:color="DCE2EF"/>
              <w:bottom w:val="single" w:sz="8" w:color="DCE2EF"/>
            </w:tcBorders>
            <w:shd w:val="clear" w:color="auto" w:fill="DCE2EF"/>
          </w:tcPr>
          <w:p>
            <w:pPr>
              <w:spacing w:after="0"/>
              <w:rPr>
                <w:sz w:val="20"/>
                <w:szCs w:val="20"/>
                <w:color w:val="auto"/>
              </w:rPr>
            </w:pPr>
          </w:p>
        </w:tc>
        <w:tc>
          <w:tcPr>
            <w:tcW w:w="660" w:type="dxa"/>
            <w:vAlign w:val="bottom"/>
            <w:tcBorders>
              <w:top w:val="single" w:sz="8" w:color="DCE2EF"/>
              <w:bottom w:val="single" w:sz="8" w:color="DCE2EF"/>
            </w:tcBorders>
            <w:shd w:val="clear" w:color="auto" w:fill="DCE2EF"/>
          </w:tcPr>
          <w:p>
            <w:pPr>
              <w:spacing w:after="0"/>
              <w:rPr>
                <w:sz w:val="20"/>
                <w:szCs w:val="20"/>
                <w:color w:val="auto"/>
              </w:rPr>
            </w:pPr>
          </w:p>
        </w:tc>
        <w:tc>
          <w:tcPr>
            <w:tcW w:w="3320" w:type="dxa"/>
            <w:vAlign w:val="bottom"/>
            <w:tcBorders>
              <w:top w:val="single" w:sz="8" w:color="DCE2EF"/>
              <w:bottom w:val="single" w:sz="8" w:color="DCE2EF"/>
            </w:tcBorders>
            <w:shd w:val="clear" w:color="auto" w:fill="DCE2EF"/>
          </w:tcPr>
          <w:p>
            <w:pPr>
              <w:spacing w:after="0"/>
              <w:rPr>
                <w:sz w:val="20"/>
                <w:szCs w:val="20"/>
                <w:color w:val="auto"/>
              </w:rPr>
            </w:pPr>
          </w:p>
        </w:tc>
        <w:tc>
          <w:tcPr>
            <w:tcW w:w="280" w:type="dxa"/>
            <w:vAlign w:val="bottom"/>
            <w:tcBorders>
              <w:top w:val="single" w:sz="8" w:color="auto"/>
              <w:bottom w:val="single" w:sz="8" w:color="auto"/>
            </w:tcBorders>
            <w:shd w:val="clear" w:color="auto" w:fill="DCE2E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rPr>
              <w:t>3,251.4</w:t>
            </w:r>
          </w:p>
        </w:tc>
        <w:tc>
          <w:tcPr>
            <w:tcW w:w="120" w:type="dxa"/>
            <w:vAlign w:val="bottom"/>
            <w:tcBorders>
              <w:top w:val="single" w:sz="8" w:color="DCE2EF"/>
              <w:bottom w:val="single" w:sz="8" w:color="DCE2EF"/>
            </w:tcBorders>
            <w:shd w:val="clear" w:color="auto" w:fill="DCE2EF"/>
          </w:tcPr>
          <w:p>
            <w:pPr>
              <w:spacing w:after="0"/>
              <w:rPr>
                <w:sz w:val="20"/>
                <w:szCs w:val="20"/>
                <w:color w:val="auto"/>
              </w:rPr>
            </w:pPr>
          </w:p>
        </w:tc>
        <w:tc>
          <w:tcPr>
            <w:tcW w:w="18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rPr>
              <w:t>1,017.3</w:t>
            </w:r>
          </w:p>
        </w:tc>
        <w:tc>
          <w:tcPr>
            <w:tcW w:w="100" w:type="dxa"/>
            <w:vAlign w:val="bottom"/>
            <w:tcBorders>
              <w:top w:val="single" w:sz="8" w:color="DCE2EF"/>
              <w:bottom w:val="single" w:sz="8" w:color="DCE2EF"/>
            </w:tcBorders>
            <w:shd w:val="clear" w:color="auto" w:fill="DCE2EF"/>
          </w:tcPr>
          <w:p>
            <w:pPr>
              <w:spacing w:after="0"/>
              <w:rPr>
                <w:sz w:val="20"/>
                <w:szCs w:val="20"/>
                <w:color w:val="auto"/>
              </w:rPr>
            </w:pPr>
          </w:p>
        </w:tc>
        <w:tc>
          <w:tcPr>
            <w:tcW w:w="260" w:type="dxa"/>
            <w:vAlign w:val="bottom"/>
            <w:tcBorders>
              <w:top w:val="single" w:sz="8" w:color="auto"/>
              <w:bottom w:val="single" w:sz="8" w:color="auto"/>
            </w:tcBorders>
            <w:shd w:val="clear" w:color="auto" w:fill="DCE2E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rPr>
              <w:t>917.0</w:t>
            </w:r>
          </w:p>
        </w:tc>
        <w:tc>
          <w:tcPr>
            <w:tcW w:w="100" w:type="dxa"/>
            <w:vAlign w:val="bottom"/>
            <w:tcBorders>
              <w:top w:val="single" w:sz="8" w:color="DCE2EF"/>
              <w:bottom w:val="single" w:sz="8" w:color="DCE2EF"/>
            </w:tcBorders>
            <w:shd w:val="clear" w:color="auto" w:fill="DCE2EF"/>
          </w:tcPr>
          <w:p>
            <w:pPr>
              <w:spacing w:after="0"/>
              <w:rPr>
                <w:sz w:val="20"/>
                <w:szCs w:val="20"/>
                <w:color w:val="auto"/>
              </w:rPr>
            </w:pPr>
          </w:p>
        </w:tc>
        <w:tc>
          <w:tcPr>
            <w:tcW w:w="16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rPr>
              <w:t>847.4</w:t>
            </w:r>
          </w:p>
        </w:tc>
        <w:tc>
          <w:tcPr>
            <w:tcW w:w="100" w:type="dxa"/>
            <w:vAlign w:val="bottom"/>
            <w:tcBorders>
              <w:top w:val="single" w:sz="8" w:color="DCE2EF"/>
              <w:bottom w:val="single" w:sz="8" w:color="DCE2EF"/>
            </w:tcBorders>
            <w:shd w:val="clear" w:color="auto" w:fill="DCE2EF"/>
          </w:tcPr>
          <w:p>
            <w:pPr>
              <w:spacing w:after="0"/>
              <w:rPr>
                <w:sz w:val="20"/>
                <w:szCs w:val="20"/>
                <w:color w:val="auto"/>
              </w:rPr>
            </w:pPr>
          </w:p>
        </w:tc>
        <w:tc>
          <w:tcPr>
            <w:tcW w:w="16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rPr>
              <w:t>593.2</w:t>
            </w:r>
          </w:p>
        </w:tc>
        <w:tc>
          <w:tcPr>
            <w:tcW w:w="100" w:type="dxa"/>
            <w:vAlign w:val="bottom"/>
            <w:tcBorders>
              <w:top w:val="single" w:sz="8" w:color="DCE2EF"/>
              <w:bottom w:val="single" w:sz="8" w:color="DCE2EF"/>
            </w:tcBorders>
            <w:shd w:val="clear" w:color="auto" w:fill="DCE2EF"/>
          </w:tcPr>
          <w:p>
            <w:pPr>
              <w:spacing w:after="0"/>
              <w:rPr>
                <w:sz w:val="20"/>
                <w:szCs w:val="20"/>
                <w:color w:val="auto"/>
              </w:rPr>
            </w:pPr>
          </w:p>
        </w:tc>
        <w:tc>
          <w:tcPr>
            <w:tcW w:w="260" w:type="dxa"/>
            <w:vAlign w:val="bottom"/>
            <w:tcBorders>
              <w:top w:val="single" w:sz="8" w:color="auto"/>
              <w:bottom w:val="single" w:sz="8" w:color="DCE2EF"/>
            </w:tcBorders>
            <w:shd w:val="clear" w:color="auto" w:fill="DCE2E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DCE2EF"/>
            </w:tcBorders>
            <w:shd w:val="clear" w:color="auto" w:fill="DCE2EF"/>
          </w:tcPr>
          <w:p>
            <w:pPr>
              <w:jc w:val="right"/>
              <w:ind w:right="19"/>
              <w:spacing w:after="0"/>
              <w:rPr>
                <w:sz w:val="20"/>
                <w:szCs w:val="20"/>
                <w:color w:val="auto"/>
              </w:rPr>
            </w:pPr>
            <w:r>
              <w:rPr>
                <w:rFonts w:ascii="Arial" w:cs="Arial" w:eastAsia="Arial" w:hAnsi="Arial"/>
                <w:sz w:val="16"/>
                <w:szCs w:val="16"/>
                <w:color w:val="auto"/>
              </w:rPr>
              <w:t>6,626.3</w:t>
            </w:r>
          </w:p>
        </w:tc>
        <w:tc>
          <w:tcPr>
            <w:tcW w:w="0" w:type="dxa"/>
            <w:vAlign w:val="bottom"/>
          </w:tcPr>
          <w:p>
            <w:pPr>
              <w:spacing w:after="0"/>
              <w:rPr>
                <w:sz w:val="1"/>
                <w:szCs w:val="1"/>
                <w:color w:val="auto"/>
              </w:rPr>
            </w:pPr>
          </w:p>
        </w:tc>
      </w:tr>
      <w:tr>
        <w:trPr>
          <w:trHeight w:val="20"/>
        </w:trPr>
        <w:tc>
          <w:tcPr>
            <w:tcW w:w="4020" w:type="dxa"/>
            <w:vAlign w:val="bottom"/>
            <w:gridSpan w:val="3"/>
            <w:vMerge w:val="restart"/>
          </w:tcPr>
          <w:p>
            <w:pPr>
              <w:ind w:left="40"/>
              <w:spacing w:after="0"/>
              <w:rPr>
                <w:sz w:val="20"/>
                <w:szCs w:val="20"/>
                <w:color w:val="auto"/>
              </w:rPr>
            </w:pPr>
            <w:r>
              <w:rPr>
                <w:rFonts w:ascii="Arial" w:cs="Arial" w:eastAsia="Arial" w:hAnsi="Arial"/>
                <w:sz w:val="16"/>
                <w:szCs w:val="16"/>
                <w:color w:val="auto"/>
              </w:rPr>
              <w:t>Elimination of inter-segment revenues</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(127.7)</w:t>
            </w:r>
          </w:p>
        </w:tc>
        <w:tc>
          <w:tcPr>
            <w:tcW w:w="0" w:type="dxa"/>
            <w:vAlign w:val="bottom"/>
          </w:tcPr>
          <w:p>
            <w:pPr>
              <w:spacing w:after="0" w:line="20" w:lineRule="exact"/>
              <w:rPr>
                <w:sz w:val="1"/>
                <w:szCs w:val="1"/>
                <w:color w:val="auto"/>
              </w:rPr>
            </w:pPr>
          </w:p>
        </w:tc>
      </w:tr>
      <w:tr>
        <w:trPr>
          <w:trHeight w:val="245"/>
        </w:trPr>
        <w:tc>
          <w:tcPr>
            <w:tcW w:w="4020" w:type="dxa"/>
            <w:vAlign w:val="bottom"/>
            <w:tcBorders>
              <w:bottom w:val="single" w:sz="8" w:color="DCE2EF"/>
            </w:tcBorders>
            <w:gridSpan w:val="3"/>
            <w:vMerge w:val="continue"/>
          </w:tcPr>
          <w:p>
            <w:pPr>
              <w:spacing w:after="0"/>
              <w:rPr>
                <w:sz w:val="21"/>
                <w:szCs w:val="21"/>
                <w:color w:val="auto"/>
              </w:rPr>
            </w:pPr>
          </w:p>
        </w:tc>
        <w:tc>
          <w:tcPr>
            <w:tcW w:w="280" w:type="dxa"/>
            <w:vAlign w:val="bottom"/>
            <w:tcBorders>
              <w:bottom w:val="single" w:sz="8" w:color="DCE2EF"/>
            </w:tcBorders>
          </w:tcPr>
          <w:p>
            <w:pPr>
              <w:spacing w:after="0"/>
              <w:rPr>
                <w:sz w:val="21"/>
                <w:szCs w:val="21"/>
                <w:color w:val="auto"/>
              </w:rPr>
            </w:pPr>
          </w:p>
        </w:tc>
        <w:tc>
          <w:tcPr>
            <w:tcW w:w="900" w:type="dxa"/>
            <w:vAlign w:val="bottom"/>
            <w:tcBorders>
              <w:bottom w:val="single" w:sz="8" w:color="DCE2EF"/>
            </w:tcBorders>
          </w:tcPr>
          <w:p>
            <w:pPr>
              <w:spacing w:after="0"/>
              <w:rPr>
                <w:sz w:val="21"/>
                <w:szCs w:val="21"/>
                <w:color w:val="auto"/>
              </w:rPr>
            </w:pPr>
          </w:p>
        </w:tc>
        <w:tc>
          <w:tcPr>
            <w:tcW w:w="120" w:type="dxa"/>
            <w:vAlign w:val="bottom"/>
            <w:tcBorders>
              <w:bottom w:val="single" w:sz="8" w:color="DCE2EF"/>
            </w:tcBorders>
          </w:tcPr>
          <w:p>
            <w:pPr>
              <w:spacing w:after="0"/>
              <w:rPr>
                <w:sz w:val="21"/>
                <w:szCs w:val="21"/>
                <w:color w:val="auto"/>
              </w:rPr>
            </w:pPr>
          </w:p>
        </w:tc>
        <w:tc>
          <w:tcPr>
            <w:tcW w:w="180" w:type="dxa"/>
            <w:vAlign w:val="bottom"/>
            <w:tcBorders>
              <w:bottom w:val="single" w:sz="8" w:color="DCE2EF"/>
            </w:tcBorders>
          </w:tcPr>
          <w:p>
            <w:pPr>
              <w:spacing w:after="0"/>
              <w:rPr>
                <w:sz w:val="21"/>
                <w:szCs w:val="21"/>
                <w:color w:val="auto"/>
              </w:rPr>
            </w:pPr>
          </w:p>
        </w:tc>
        <w:tc>
          <w:tcPr>
            <w:tcW w:w="960" w:type="dxa"/>
            <w:vAlign w:val="bottom"/>
            <w:tcBorders>
              <w:bottom w:val="single" w:sz="8" w:color="DCE2EF"/>
            </w:tcBorders>
          </w:tcPr>
          <w:p>
            <w:pPr>
              <w:spacing w:after="0"/>
              <w:rPr>
                <w:sz w:val="21"/>
                <w:szCs w:val="21"/>
                <w:color w:val="auto"/>
              </w:rPr>
            </w:pPr>
          </w:p>
        </w:tc>
        <w:tc>
          <w:tcPr>
            <w:tcW w:w="100" w:type="dxa"/>
            <w:vAlign w:val="bottom"/>
            <w:tcBorders>
              <w:bottom w:val="single" w:sz="8" w:color="DCE2EF"/>
            </w:tcBorders>
          </w:tcPr>
          <w:p>
            <w:pPr>
              <w:spacing w:after="0"/>
              <w:rPr>
                <w:sz w:val="21"/>
                <w:szCs w:val="21"/>
                <w:color w:val="auto"/>
              </w:rPr>
            </w:pPr>
          </w:p>
        </w:tc>
        <w:tc>
          <w:tcPr>
            <w:tcW w:w="260" w:type="dxa"/>
            <w:vAlign w:val="bottom"/>
            <w:tcBorders>
              <w:bottom w:val="single" w:sz="8" w:color="DCE2EF"/>
            </w:tcBorders>
          </w:tcPr>
          <w:p>
            <w:pPr>
              <w:spacing w:after="0"/>
              <w:rPr>
                <w:sz w:val="21"/>
                <w:szCs w:val="21"/>
                <w:color w:val="auto"/>
              </w:rPr>
            </w:pPr>
          </w:p>
        </w:tc>
        <w:tc>
          <w:tcPr>
            <w:tcW w:w="880" w:type="dxa"/>
            <w:vAlign w:val="bottom"/>
            <w:tcBorders>
              <w:bottom w:val="single" w:sz="8" w:color="DCE2EF"/>
            </w:tcBorders>
          </w:tcPr>
          <w:p>
            <w:pPr>
              <w:spacing w:after="0"/>
              <w:rPr>
                <w:sz w:val="21"/>
                <w:szCs w:val="21"/>
                <w:color w:val="auto"/>
              </w:rPr>
            </w:pPr>
          </w:p>
        </w:tc>
        <w:tc>
          <w:tcPr>
            <w:tcW w:w="100" w:type="dxa"/>
            <w:vAlign w:val="bottom"/>
            <w:tcBorders>
              <w:bottom w:val="single" w:sz="8" w:color="DCE2EF"/>
            </w:tcBorders>
          </w:tcPr>
          <w:p>
            <w:pPr>
              <w:spacing w:after="0"/>
              <w:rPr>
                <w:sz w:val="21"/>
                <w:szCs w:val="21"/>
                <w:color w:val="auto"/>
              </w:rPr>
            </w:pPr>
          </w:p>
        </w:tc>
        <w:tc>
          <w:tcPr>
            <w:tcW w:w="160" w:type="dxa"/>
            <w:vAlign w:val="bottom"/>
            <w:tcBorders>
              <w:bottom w:val="single" w:sz="8" w:color="DCE2EF"/>
            </w:tcBorders>
          </w:tcPr>
          <w:p>
            <w:pPr>
              <w:spacing w:after="0"/>
              <w:rPr>
                <w:sz w:val="21"/>
                <w:szCs w:val="21"/>
                <w:color w:val="auto"/>
              </w:rPr>
            </w:pPr>
          </w:p>
        </w:tc>
        <w:tc>
          <w:tcPr>
            <w:tcW w:w="980" w:type="dxa"/>
            <w:vAlign w:val="bottom"/>
            <w:tcBorders>
              <w:bottom w:val="single" w:sz="8" w:color="DCE2EF"/>
            </w:tcBorders>
          </w:tcPr>
          <w:p>
            <w:pPr>
              <w:spacing w:after="0"/>
              <w:rPr>
                <w:sz w:val="21"/>
                <w:szCs w:val="21"/>
                <w:color w:val="auto"/>
              </w:rPr>
            </w:pPr>
          </w:p>
        </w:tc>
        <w:tc>
          <w:tcPr>
            <w:tcW w:w="100" w:type="dxa"/>
            <w:vAlign w:val="bottom"/>
            <w:tcBorders>
              <w:bottom w:val="single" w:sz="8" w:color="DCE2EF"/>
            </w:tcBorders>
          </w:tcPr>
          <w:p>
            <w:pPr>
              <w:spacing w:after="0"/>
              <w:rPr>
                <w:sz w:val="21"/>
                <w:szCs w:val="21"/>
                <w:color w:val="auto"/>
              </w:rPr>
            </w:pPr>
          </w:p>
        </w:tc>
        <w:tc>
          <w:tcPr>
            <w:tcW w:w="160" w:type="dxa"/>
            <w:vAlign w:val="bottom"/>
            <w:tcBorders>
              <w:bottom w:val="single" w:sz="8" w:color="DCE2EF"/>
            </w:tcBorders>
          </w:tcPr>
          <w:p>
            <w:pPr>
              <w:spacing w:after="0"/>
              <w:rPr>
                <w:sz w:val="21"/>
                <w:szCs w:val="21"/>
                <w:color w:val="auto"/>
              </w:rPr>
            </w:pPr>
          </w:p>
        </w:tc>
        <w:tc>
          <w:tcPr>
            <w:tcW w:w="980" w:type="dxa"/>
            <w:vAlign w:val="bottom"/>
            <w:tcBorders>
              <w:bottom w:val="single" w:sz="8" w:color="DCE2EF"/>
            </w:tcBorders>
          </w:tcPr>
          <w:p>
            <w:pPr>
              <w:spacing w:after="0"/>
              <w:rPr>
                <w:sz w:val="21"/>
                <w:szCs w:val="21"/>
                <w:color w:val="auto"/>
              </w:rPr>
            </w:pPr>
          </w:p>
        </w:tc>
        <w:tc>
          <w:tcPr>
            <w:tcW w:w="100" w:type="dxa"/>
            <w:vAlign w:val="bottom"/>
            <w:tcBorders>
              <w:bottom w:val="single" w:sz="8" w:color="DCE2E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Borders>
              <w:bottom w:val="single" w:sz="8" w:color="DCE2EF"/>
            </w:tcBorders>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Total</w:t>
            </w:r>
          </w:p>
        </w:tc>
        <w:tc>
          <w:tcPr>
            <w:tcW w:w="280" w:type="dxa"/>
            <w:vAlign w:val="bottom"/>
            <w:tcBorders>
              <w:bottom w:val="single" w:sz="8" w:color="DCE2EF"/>
            </w:tcBorders>
            <w:shd w:val="clear" w:color="auto" w:fill="DCE2EF"/>
          </w:tcPr>
          <w:p>
            <w:pPr>
              <w:spacing w:after="0"/>
              <w:rPr>
                <w:sz w:val="21"/>
                <w:szCs w:val="21"/>
                <w:color w:val="auto"/>
              </w:rPr>
            </w:pPr>
          </w:p>
        </w:tc>
        <w:tc>
          <w:tcPr>
            <w:tcW w:w="900" w:type="dxa"/>
            <w:vAlign w:val="bottom"/>
            <w:tcBorders>
              <w:bottom w:val="single" w:sz="8" w:color="DCE2EF"/>
            </w:tcBorders>
            <w:shd w:val="clear" w:color="auto" w:fill="DCE2EF"/>
          </w:tcPr>
          <w:p>
            <w:pPr>
              <w:spacing w:after="0"/>
              <w:rPr>
                <w:sz w:val="21"/>
                <w:szCs w:val="21"/>
                <w:color w:val="auto"/>
              </w:rPr>
            </w:pPr>
          </w:p>
        </w:tc>
        <w:tc>
          <w:tcPr>
            <w:tcW w:w="120" w:type="dxa"/>
            <w:vAlign w:val="bottom"/>
            <w:tcBorders>
              <w:bottom w:val="single" w:sz="8" w:color="DCE2EF"/>
            </w:tcBorders>
            <w:shd w:val="clear" w:color="auto" w:fill="DCE2EF"/>
          </w:tcPr>
          <w:p>
            <w:pPr>
              <w:spacing w:after="0"/>
              <w:rPr>
                <w:sz w:val="21"/>
                <w:szCs w:val="21"/>
                <w:color w:val="auto"/>
              </w:rPr>
            </w:pPr>
          </w:p>
        </w:tc>
        <w:tc>
          <w:tcPr>
            <w:tcW w:w="180" w:type="dxa"/>
            <w:vAlign w:val="bottom"/>
            <w:tcBorders>
              <w:bottom w:val="single" w:sz="8" w:color="DCE2EF"/>
            </w:tcBorders>
            <w:shd w:val="clear" w:color="auto" w:fill="DCE2EF"/>
          </w:tcPr>
          <w:p>
            <w:pPr>
              <w:spacing w:after="0"/>
              <w:rPr>
                <w:sz w:val="21"/>
                <w:szCs w:val="21"/>
                <w:color w:val="auto"/>
              </w:rPr>
            </w:pPr>
          </w:p>
        </w:tc>
        <w:tc>
          <w:tcPr>
            <w:tcW w:w="960" w:type="dxa"/>
            <w:vAlign w:val="bottom"/>
            <w:tcBorders>
              <w:bottom w:val="single" w:sz="8" w:color="DCE2EF"/>
            </w:tcBorders>
            <w:shd w:val="clear" w:color="auto" w:fill="DCE2EF"/>
          </w:tcPr>
          <w:p>
            <w:pPr>
              <w:spacing w:after="0"/>
              <w:rPr>
                <w:sz w:val="21"/>
                <w:szCs w:val="21"/>
                <w:color w:val="auto"/>
              </w:rPr>
            </w:pPr>
          </w:p>
        </w:tc>
        <w:tc>
          <w:tcPr>
            <w:tcW w:w="100" w:type="dxa"/>
            <w:vAlign w:val="bottom"/>
            <w:tcBorders>
              <w:bottom w:val="single" w:sz="8" w:color="DCE2EF"/>
            </w:tcBorders>
            <w:shd w:val="clear" w:color="auto" w:fill="DCE2EF"/>
          </w:tcPr>
          <w:p>
            <w:pPr>
              <w:spacing w:after="0"/>
              <w:rPr>
                <w:sz w:val="21"/>
                <w:szCs w:val="21"/>
                <w:color w:val="auto"/>
              </w:rPr>
            </w:pPr>
          </w:p>
        </w:tc>
        <w:tc>
          <w:tcPr>
            <w:tcW w:w="260" w:type="dxa"/>
            <w:vAlign w:val="bottom"/>
            <w:tcBorders>
              <w:bottom w:val="single" w:sz="8" w:color="DCE2EF"/>
            </w:tcBorders>
            <w:shd w:val="clear" w:color="auto" w:fill="DCE2EF"/>
          </w:tcPr>
          <w:p>
            <w:pPr>
              <w:spacing w:after="0"/>
              <w:rPr>
                <w:sz w:val="21"/>
                <w:szCs w:val="21"/>
                <w:color w:val="auto"/>
              </w:rPr>
            </w:pPr>
          </w:p>
        </w:tc>
        <w:tc>
          <w:tcPr>
            <w:tcW w:w="880" w:type="dxa"/>
            <w:vAlign w:val="bottom"/>
            <w:tcBorders>
              <w:bottom w:val="single" w:sz="8" w:color="DCE2EF"/>
            </w:tcBorders>
            <w:shd w:val="clear" w:color="auto" w:fill="DCE2EF"/>
          </w:tcPr>
          <w:p>
            <w:pPr>
              <w:spacing w:after="0"/>
              <w:rPr>
                <w:sz w:val="21"/>
                <w:szCs w:val="21"/>
                <w:color w:val="auto"/>
              </w:rPr>
            </w:pPr>
          </w:p>
        </w:tc>
        <w:tc>
          <w:tcPr>
            <w:tcW w:w="100" w:type="dxa"/>
            <w:vAlign w:val="bottom"/>
            <w:tcBorders>
              <w:bottom w:val="single" w:sz="8" w:color="DCE2EF"/>
            </w:tcBorders>
            <w:shd w:val="clear" w:color="auto" w:fill="DCE2EF"/>
          </w:tcPr>
          <w:p>
            <w:pPr>
              <w:spacing w:after="0"/>
              <w:rPr>
                <w:sz w:val="21"/>
                <w:szCs w:val="21"/>
                <w:color w:val="auto"/>
              </w:rPr>
            </w:pPr>
          </w:p>
        </w:tc>
        <w:tc>
          <w:tcPr>
            <w:tcW w:w="160" w:type="dxa"/>
            <w:vAlign w:val="bottom"/>
            <w:tcBorders>
              <w:bottom w:val="single" w:sz="8" w:color="DCE2EF"/>
            </w:tcBorders>
            <w:shd w:val="clear" w:color="auto" w:fill="DCE2EF"/>
          </w:tcPr>
          <w:p>
            <w:pPr>
              <w:spacing w:after="0"/>
              <w:rPr>
                <w:sz w:val="21"/>
                <w:szCs w:val="21"/>
                <w:color w:val="auto"/>
              </w:rPr>
            </w:pPr>
          </w:p>
        </w:tc>
        <w:tc>
          <w:tcPr>
            <w:tcW w:w="980" w:type="dxa"/>
            <w:vAlign w:val="bottom"/>
            <w:tcBorders>
              <w:bottom w:val="single" w:sz="8" w:color="DCE2EF"/>
            </w:tcBorders>
            <w:shd w:val="clear" w:color="auto" w:fill="DCE2EF"/>
          </w:tcPr>
          <w:p>
            <w:pPr>
              <w:spacing w:after="0"/>
              <w:rPr>
                <w:sz w:val="21"/>
                <w:szCs w:val="21"/>
                <w:color w:val="auto"/>
              </w:rPr>
            </w:pPr>
          </w:p>
        </w:tc>
        <w:tc>
          <w:tcPr>
            <w:tcW w:w="100" w:type="dxa"/>
            <w:vAlign w:val="bottom"/>
            <w:tcBorders>
              <w:bottom w:val="single" w:sz="8" w:color="DCE2EF"/>
            </w:tcBorders>
            <w:shd w:val="clear" w:color="auto" w:fill="DCE2EF"/>
          </w:tcPr>
          <w:p>
            <w:pPr>
              <w:spacing w:after="0"/>
              <w:rPr>
                <w:sz w:val="21"/>
                <w:szCs w:val="21"/>
                <w:color w:val="auto"/>
              </w:rPr>
            </w:pPr>
          </w:p>
        </w:tc>
        <w:tc>
          <w:tcPr>
            <w:tcW w:w="160" w:type="dxa"/>
            <w:vAlign w:val="bottom"/>
            <w:tcBorders>
              <w:bottom w:val="single" w:sz="8" w:color="DCE2EF"/>
            </w:tcBorders>
            <w:shd w:val="clear" w:color="auto" w:fill="DCE2EF"/>
          </w:tcPr>
          <w:p>
            <w:pPr>
              <w:spacing w:after="0"/>
              <w:rPr>
                <w:sz w:val="21"/>
                <w:szCs w:val="21"/>
                <w:color w:val="auto"/>
              </w:rPr>
            </w:pPr>
          </w:p>
        </w:tc>
        <w:tc>
          <w:tcPr>
            <w:tcW w:w="980" w:type="dxa"/>
            <w:vAlign w:val="bottom"/>
            <w:tcBorders>
              <w:bottom w:val="single" w:sz="8" w:color="DCE2EF"/>
            </w:tcBorders>
            <w:shd w:val="clear" w:color="auto" w:fill="DCE2EF"/>
          </w:tcPr>
          <w:p>
            <w:pPr>
              <w:spacing w:after="0"/>
              <w:rPr>
                <w:sz w:val="21"/>
                <w:szCs w:val="21"/>
                <w:color w:val="auto"/>
              </w:rPr>
            </w:pPr>
          </w:p>
        </w:tc>
        <w:tc>
          <w:tcPr>
            <w:tcW w:w="100" w:type="dxa"/>
            <w:vAlign w:val="bottom"/>
            <w:tcBorders>
              <w:bottom w:val="single" w:sz="8" w:color="DCE2EF"/>
            </w:tcBorders>
            <w:shd w:val="clear" w:color="auto" w:fill="DCE2EF"/>
          </w:tcPr>
          <w:p>
            <w:pPr>
              <w:spacing w:after="0"/>
              <w:rPr>
                <w:sz w:val="21"/>
                <w:szCs w:val="21"/>
                <w:color w:val="auto"/>
              </w:rPr>
            </w:pPr>
          </w:p>
        </w:tc>
        <w:tc>
          <w:tcPr>
            <w:tcW w:w="260" w:type="dxa"/>
            <w:vAlign w:val="bottom"/>
            <w:tcBorders>
              <w:bottom w:val="single" w:sz="8" w:color="auto"/>
            </w:tcBorders>
            <w:shd w:val="clear" w:color="auto" w:fill="DCE2E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6,498.6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87" w:right="239" w:bottom="1440" w:gutter="0" w:footer="0" w:header="0"/>
        </w:sectPr>
      </w:pP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420"/>
          </w:cols>
          <w:pgMar w:left="240" w:top="387" w:right="239" w:bottom="1440" w:gutter="0" w:footer="0" w:header="0"/>
          <w:type w:val="continuous"/>
        </w:sectPr>
      </w:pPr>
    </w:p>
    <w:bookmarkStart w:id="70" w:name="page71"/>
    <w:bookmarkEnd w:id="70"/>
    <w:p>
      <w:pPr>
        <w:jc w:val="both"/>
        <w:ind w:firstLine="8"/>
        <w:spacing w:after="0" w:line="230" w:lineRule="auto"/>
        <w:tabs>
          <w:tab w:leader="none" w:pos="189"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Janitorial arrangements provide a wide range of essential cleaning services for commercial office buildings, airports and other transportation centers, educational institutions, government buildings, health facilities, industrial buildings, retail stores, and stadiums and arenas. These arrangements are often structured as monthly fixed-price, square-foot, cost-plus, and tag services contracts.</w:t>
      </w:r>
    </w:p>
    <w:p>
      <w:pPr>
        <w:spacing w:after="0" w:line="134" w:lineRule="exact"/>
        <w:rPr>
          <w:rFonts w:ascii="Arial" w:cs="Arial" w:eastAsia="Arial" w:hAnsi="Arial"/>
          <w:sz w:val="22"/>
          <w:szCs w:val="22"/>
          <w:color w:val="auto"/>
          <w:vertAlign w:val="superscript"/>
        </w:rPr>
      </w:pPr>
    </w:p>
    <w:p>
      <w:pPr>
        <w:jc w:val="both"/>
        <w:ind w:firstLine="8"/>
        <w:spacing w:after="0"/>
        <w:tabs>
          <w:tab w:leader="none" w:pos="211"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Parking arrangements provide parking and transportation services for clients at various locations, including airports and other transportation centers, commercial office buildings, educational institutions, health facilities, hotels, and stadiums and arenas. Certain of our management reimbursement, leased location, and allowance arrangements are considered service concession agreements and are accounted for under the guidance of Topic 853. For the year ended October 31, 2019, rent expense related to service concession arrangements, previously recorded within operating expenses, has been recorded as a reduction of the related parking service revenues. These arrangements are structured as management reimbursement, leased location, and allowance contracts.</w:t>
      </w:r>
    </w:p>
    <w:p>
      <w:pPr>
        <w:spacing w:after="0" w:line="307" w:lineRule="exact"/>
        <w:rPr>
          <w:rFonts w:ascii="Arial" w:cs="Arial" w:eastAsia="Arial" w:hAnsi="Arial"/>
          <w:sz w:val="22"/>
          <w:szCs w:val="22"/>
          <w:color w:val="auto"/>
          <w:vertAlign w:val="superscript"/>
        </w:rPr>
      </w:pPr>
    </w:p>
    <w:p>
      <w:pPr>
        <w:jc w:val="both"/>
        <w:ind w:firstLine="8"/>
        <w:spacing w:after="0" w:line="234" w:lineRule="auto"/>
        <w:tabs>
          <w:tab w:leader="none" w:pos="204"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Facility Services arrangements provide onsite mechanical engineering and technical services and solutions relating to a broad range of facilities and infrastructure systems that are designed to extend the useful life of facility fixed assets, improve equipment operating efficiencies, reduce energy consumption, lower overall operational costs for clients, and enhance the sustainability of client locations. These arrangements are generally structured as monthly fixed-price, cost-plus, and tag services contracts.</w:t>
      </w:r>
    </w:p>
    <w:p>
      <w:pPr>
        <w:spacing w:after="0" w:line="133" w:lineRule="exact"/>
        <w:rPr>
          <w:rFonts w:ascii="Arial" w:cs="Arial" w:eastAsia="Arial" w:hAnsi="Arial"/>
          <w:sz w:val="22"/>
          <w:szCs w:val="22"/>
          <w:color w:val="auto"/>
          <w:vertAlign w:val="superscript"/>
        </w:rPr>
      </w:pPr>
    </w:p>
    <w:p>
      <w:pPr>
        <w:jc w:val="both"/>
        <w:ind w:firstLine="8"/>
        <w:spacing w:after="0" w:line="260" w:lineRule="auto"/>
        <w:tabs>
          <w:tab w:leader="none" w:pos="177" w:val="left"/>
        </w:tabs>
        <w:numPr>
          <w:ilvl w:val="0"/>
          <w:numId w:val="26"/>
        </w:numPr>
        <w:rPr>
          <w:rFonts w:ascii="Arial" w:cs="Arial" w:eastAsia="Arial" w:hAnsi="Arial"/>
          <w:sz w:val="19"/>
          <w:szCs w:val="19"/>
          <w:color w:val="auto"/>
          <w:vertAlign w:val="superscript"/>
        </w:rPr>
      </w:pPr>
      <w:r>
        <w:rPr>
          <w:rFonts w:ascii="Arial" w:cs="Arial" w:eastAsia="Arial" w:hAnsi="Arial"/>
          <w:sz w:val="15"/>
          <w:szCs w:val="15"/>
          <w:color w:val="auto"/>
        </w:rPr>
        <w:t>Building &amp; Energy Solutions arrangements provide custom energy solutions, electrical, HVAC, lighting, and other general maintenance and repair services for clients in the public and private sectors and are generally structured as Energy Savings and Fixed-Price Repair and Refurbishment contracts. We also franchise certain operations under franchise agreements relating to our Linc Network and TEGG brands, pursuant to franchise contracts.</w:t>
      </w:r>
    </w:p>
    <w:p>
      <w:pPr>
        <w:spacing w:after="0" w:line="118" w:lineRule="exact"/>
        <w:rPr>
          <w:rFonts w:ascii="Arial" w:cs="Arial" w:eastAsia="Arial" w:hAnsi="Arial"/>
          <w:sz w:val="19"/>
          <w:szCs w:val="19"/>
          <w:color w:val="auto"/>
          <w:vertAlign w:val="superscript"/>
        </w:rPr>
      </w:pPr>
    </w:p>
    <w:p>
      <w:pPr>
        <w:ind w:right="20" w:firstLine="8"/>
        <w:spacing w:after="0" w:line="236" w:lineRule="auto"/>
        <w:tabs>
          <w:tab w:leader="none" w:pos="183" w:val="left"/>
        </w:tabs>
        <w:numPr>
          <w:ilvl w:val="0"/>
          <w:numId w:val="26"/>
        </w:numPr>
        <w:rPr>
          <w:rFonts w:ascii="Arial" w:cs="Arial" w:eastAsia="Arial" w:hAnsi="Arial"/>
          <w:sz w:val="21"/>
          <w:szCs w:val="21"/>
          <w:color w:val="auto"/>
          <w:vertAlign w:val="superscript"/>
        </w:rPr>
      </w:pPr>
      <w:r>
        <w:rPr>
          <w:rFonts w:ascii="Arial" w:cs="Arial" w:eastAsia="Arial" w:hAnsi="Arial"/>
          <w:sz w:val="15"/>
          <w:szCs w:val="15"/>
          <w:color w:val="auto"/>
        </w:rPr>
        <w:t>Airline Services arrangements support airlines and airports with services such as passenger assistance, catering logistics, and airplane cabin maintenance. These arrangements are often structured as monthly fixed-price, cost-plus, transaction price, and hourly contracts.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Remaining Performance Obligations</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At October 31, 2019, performance obligations that were unsatisfied or partially unsatisfied for which we expect to recognize revenue totaled $207.8 million. We expect to recognize revenue on approximately 79% of the remaining performance obligations over the next 12 months, with the remainder recognized thereafter.</w:t>
      </w:r>
    </w:p>
    <w:p>
      <w:pPr>
        <w:spacing w:after="0" w:line="10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These amounts exclude variable consideration primarily related to: (i) contracts where we have determined that the contract consists of a series of distinct service periods and revenues are based on future performance that cannot be estimated at contract inception; (ii) parking contracts where we and the customer share the gross revenues or operating profit for the location; and (iii) contracts where transaction prices include performance incentives that are based on future performance and therefore cannot be estimated at contract inception. We apply the practical expedient that permits exclusion of information about the remaining performance obligations with original expected durations of one year or less.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500"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53"/>
        </w:trPr>
        <w:tc>
          <w:tcPr>
            <w:tcW w:w="7180" w:type="dxa"/>
            <w:vAlign w:val="bottom"/>
            <w:gridSpan w:val="3"/>
          </w:tcPr>
          <w:p>
            <w:pPr>
              <w:spacing w:after="0"/>
              <w:rPr>
                <w:sz w:val="20"/>
                <w:szCs w:val="20"/>
                <w:color w:val="auto"/>
              </w:rPr>
            </w:pPr>
            <w:r>
              <w:rPr>
                <w:rFonts w:ascii="Arial" w:cs="Arial" w:eastAsia="Arial" w:hAnsi="Arial"/>
                <w:sz w:val="18"/>
                <w:szCs w:val="18"/>
                <w:b w:val="1"/>
                <w:bCs w:val="1"/>
                <w:color w:val="164FA2"/>
              </w:rPr>
              <w:t>Contract Balances</w:t>
            </w: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370"/>
        </w:trPr>
        <w:tc>
          <w:tcPr>
            <w:tcW w:w="40" w:type="dxa"/>
            <w:vAlign w:val="bottom"/>
          </w:tcPr>
          <w:p>
            <w:pPr>
              <w:spacing w:after="0"/>
              <w:rPr>
                <w:sz w:val="24"/>
                <w:szCs w:val="24"/>
                <w:color w:val="auto"/>
              </w:rPr>
            </w:pPr>
          </w:p>
        </w:tc>
        <w:tc>
          <w:tcPr>
            <w:tcW w:w="9320" w:type="dxa"/>
            <w:vAlign w:val="bottom"/>
            <w:gridSpan w:val="5"/>
          </w:tcPr>
          <w:p>
            <w:pPr>
              <w:ind w:left="620"/>
              <w:spacing w:after="0"/>
              <w:rPr>
                <w:sz w:val="20"/>
                <w:szCs w:val="20"/>
                <w:color w:val="auto"/>
              </w:rPr>
            </w:pPr>
            <w:r>
              <w:rPr>
                <w:rFonts w:ascii="Arial" w:cs="Arial" w:eastAsia="Arial" w:hAnsi="Arial"/>
                <w:sz w:val="18"/>
                <w:szCs w:val="18"/>
                <w:color w:val="auto"/>
              </w:rPr>
              <w:t>The following tables present the balances in our contract assets and contract liabilities:</w:t>
            </w: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415"/>
        </w:trPr>
        <w:tc>
          <w:tcPr>
            <w:tcW w:w="718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Pr>
          <w:p>
            <w:pPr>
              <w:spacing w:after="0"/>
              <w:rPr>
                <w:sz w:val="24"/>
                <w:szCs w:val="24"/>
                <w:color w:val="auto"/>
              </w:rPr>
            </w:pPr>
          </w:p>
        </w:tc>
        <w:tc>
          <w:tcPr>
            <w:tcW w:w="1960" w:type="dxa"/>
            <w:vAlign w:val="bottom"/>
            <w:gridSpan w:val="2"/>
          </w:tcPr>
          <w:p>
            <w:pPr>
              <w:ind w:left="100"/>
              <w:spacing w:after="0"/>
              <w:rPr>
                <w:sz w:val="20"/>
                <w:szCs w:val="20"/>
                <w:color w:val="auto"/>
              </w:rPr>
            </w:pPr>
            <w:r>
              <w:rPr>
                <w:rFonts w:ascii="Arial" w:cs="Arial" w:eastAsia="Arial" w:hAnsi="Arial"/>
                <w:sz w:val="18"/>
                <w:szCs w:val="18"/>
                <w:b w:val="1"/>
                <w:bCs w:val="1"/>
                <w:color w:val="auto"/>
              </w:rPr>
              <w:t>October 31, 2019</w:t>
            </w:r>
          </w:p>
        </w:tc>
        <w:tc>
          <w:tcPr>
            <w:tcW w:w="200" w:type="dxa"/>
            <w:vAlign w:val="bottom"/>
          </w:tcPr>
          <w:p>
            <w:pPr>
              <w:spacing w:after="0"/>
              <w:rPr>
                <w:sz w:val="24"/>
                <w:szCs w:val="24"/>
                <w:color w:val="auto"/>
              </w:rPr>
            </w:pPr>
          </w:p>
        </w:tc>
        <w:tc>
          <w:tcPr>
            <w:tcW w:w="1860" w:type="dxa"/>
            <w:vAlign w:val="bottom"/>
          </w:tcPr>
          <w:p>
            <w:pPr>
              <w:jc w:val="right"/>
              <w:ind w:right="170"/>
              <w:spacing w:after="0"/>
              <w:rPr>
                <w:sz w:val="20"/>
                <w:szCs w:val="20"/>
                <w:color w:val="auto"/>
              </w:rPr>
            </w:pPr>
            <w:r>
              <w:rPr>
                <w:rFonts w:ascii="Arial" w:cs="Arial" w:eastAsia="Arial" w:hAnsi="Arial"/>
                <w:sz w:val="18"/>
                <w:szCs w:val="18"/>
                <w:b w:val="1"/>
                <w:bCs w:val="1"/>
                <w:color w:val="auto"/>
              </w:rPr>
              <w:t>November 1, 2018</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644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64"/>
        </w:trPr>
        <w:tc>
          <w:tcPr>
            <w:tcW w:w="7180" w:type="dxa"/>
            <w:vAlign w:val="bottom"/>
            <w:gridSpan w:val="3"/>
            <w:shd w:val="clear" w:color="auto" w:fill="DCE2EF"/>
          </w:tcPr>
          <w:p>
            <w:pPr>
              <w:ind w:left="40"/>
              <w:spacing w:after="0"/>
              <w:rPr>
                <w:sz w:val="20"/>
                <w:szCs w:val="20"/>
                <w:color w:val="auto"/>
              </w:rPr>
            </w:pPr>
            <w:r>
              <w:rPr>
                <w:rFonts w:ascii="Arial" w:cs="Arial" w:eastAsia="Arial" w:hAnsi="Arial"/>
                <w:sz w:val="18"/>
                <w:szCs w:val="18"/>
                <w:b w:val="1"/>
                <w:bCs w:val="1"/>
                <w:color w:val="auto"/>
              </w:rPr>
              <w:t>Contract assets</w:t>
            </w:r>
          </w:p>
        </w:tc>
        <w:tc>
          <w:tcPr>
            <w:tcW w:w="220" w:type="dxa"/>
            <w:vAlign w:val="bottom"/>
            <w:shd w:val="clear" w:color="auto" w:fill="DCE2EF"/>
          </w:tcPr>
          <w:p>
            <w:pPr>
              <w:spacing w:after="0"/>
              <w:rPr>
                <w:sz w:val="22"/>
                <w:szCs w:val="22"/>
                <w:color w:val="auto"/>
              </w:rPr>
            </w:pPr>
          </w:p>
        </w:tc>
        <w:tc>
          <w:tcPr>
            <w:tcW w:w="184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200" w:type="dxa"/>
            <w:vAlign w:val="bottom"/>
            <w:shd w:val="clear" w:color="auto" w:fill="DCE2EF"/>
          </w:tcPr>
          <w:p>
            <w:pPr>
              <w:spacing w:after="0"/>
              <w:rPr>
                <w:sz w:val="22"/>
                <w:szCs w:val="22"/>
                <w:color w:val="auto"/>
              </w:rPr>
            </w:pPr>
          </w:p>
        </w:tc>
        <w:tc>
          <w:tcPr>
            <w:tcW w:w="1860" w:type="dxa"/>
            <w:vAlign w:val="bottom"/>
            <w:shd w:val="clear" w:color="auto" w:fill="DCE2EF"/>
          </w:tcPr>
          <w:p>
            <w:pPr>
              <w:spacing w:after="0"/>
              <w:rPr>
                <w:sz w:val="22"/>
                <w:szCs w:val="22"/>
                <w:color w:val="auto"/>
              </w:rPr>
            </w:pPr>
          </w:p>
        </w:tc>
      </w:tr>
      <w:tr>
        <w:trPr>
          <w:trHeight w:val="270"/>
        </w:trPr>
        <w:tc>
          <w:tcPr>
            <w:tcW w:w="40" w:type="dxa"/>
            <w:vAlign w:val="bottom"/>
          </w:tcPr>
          <w:p>
            <w:pPr>
              <w:spacing w:after="0"/>
              <w:rPr>
                <w:sz w:val="23"/>
                <w:szCs w:val="23"/>
                <w:color w:val="auto"/>
              </w:rPr>
            </w:pPr>
          </w:p>
        </w:tc>
        <w:tc>
          <w:tcPr>
            <w:tcW w:w="7140" w:type="dxa"/>
            <w:vAlign w:val="bottom"/>
            <w:gridSpan w:val="2"/>
          </w:tcPr>
          <w:p>
            <w:pPr>
              <w:ind w:left="240"/>
              <w:spacing w:after="0"/>
              <w:rPr>
                <w:sz w:val="20"/>
                <w:szCs w:val="20"/>
                <w:color w:val="auto"/>
              </w:rPr>
            </w:pPr>
            <w:r>
              <w:rPr>
                <w:rFonts w:ascii="Arial" w:cs="Arial" w:eastAsia="Arial" w:hAnsi="Arial"/>
                <w:sz w:val="18"/>
                <w:szCs w:val="18"/>
                <w:color w:val="auto"/>
              </w:rPr>
              <w:t>Billed trade receivables</w:t>
            </w:r>
            <w:r>
              <w:rPr>
                <w:rFonts w:ascii="Arial" w:cs="Arial" w:eastAsia="Arial" w:hAnsi="Arial"/>
                <w:sz w:val="21"/>
                <w:szCs w:val="21"/>
                <w:color w:val="auto"/>
                <w:vertAlign w:val="superscript"/>
              </w:rPr>
              <w:t>(1)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978.7</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918.9</w:t>
            </w:r>
          </w:p>
        </w:tc>
      </w:tr>
      <w:tr>
        <w:trPr>
          <w:trHeight w:val="270"/>
        </w:trPr>
        <w:tc>
          <w:tcPr>
            <w:tcW w:w="40" w:type="dxa"/>
            <w:vAlign w:val="bottom"/>
            <w:shd w:val="clear" w:color="auto" w:fill="DCE2EF"/>
          </w:tcPr>
          <w:p>
            <w:pPr>
              <w:spacing w:after="0"/>
              <w:rPr>
                <w:sz w:val="23"/>
                <w:szCs w:val="23"/>
                <w:color w:val="auto"/>
              </w:rPr>
            </w:pPr>
          </w:p>
        </w:tc>
        <w:tc>
          <w:tcPr>
            <w:tcW w:w="7140" w:type="dxa"/>
            <w:vAlign w:val="bottom"/>
            <w:gridSpan w:val="2"/>
            <w:shd w:val="clear" w:color="auto" w:fill="DCE2EF"/>
          </w:tcPr>
          <w:p>
            <w:pPr>
              <w:ind w:left="240"/>
              <w:spacing w:after="0"/>
              <w:rPr>
                <w:sz w:val="20"/>
                <w:szCs w:val="20"/>
                <w:color w:val="auto"/>
              </w:rPr>
            </w:pPr>
            <w:r>
              <w:rPr>
                <w:rFonts w:ascii="Arial" w:cs="Arial" w:eastAsia="Arial" w:hAnsi="Arial"/>
                <w:sz w:val="18"/>
                <w:szCs w:val="18"/>
                <w:color w:val="auto"/>
              </w:rPr>
              <w:t>Unbilled trade receivables</w:t>
            </w:r>
            <w:r>
              <w:rPr>
                <w:rFonts w:ascii="Arial" w:cs="Arial" w:eastAsia="Arial" w:hAnsi="Arial"/>
                <w:sz w:val="21"/>
                <w:szCs w:val="21"/>
                <w:color w:val="auto"/>
                <w:vertAlign w:val="superscript"/>
              </w:rPr>
              <w:t>(1)</w:t>
            </w:r>
          </w:p>
        </w:tc>
        <w:tc>
          <w:tcPr>
            <w:tcW w:w="220" w:type="dxa"/>
            <w:vAlign w:val="bottom"/>
            <w:shd w:val="clear" w:color="auto" w:fill="DCE2EF"/>
          </w:tcPr>
          <w:p>
            <w:pPr>
              <w:spacing w:after="0"/>
              <w:rPr>
                <w:sz w:val="23"/>
                <w:szCs w:val="23"/>
                <w:color w:val="auto"/>
              </w:rPr>
            </w:pPr>
          </w:p>
        </w:tc>
        <w:tc>
          <w:tcPr>
            <w:tcW w:w="18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56.9</w:t>
            </w:r>
          </w:p>
        </w:tc>
        <w:tc>
          <w:tcPr>
            <w:tcW w:w="120" w:type="dxa"/>
            <w:vAlign w:val="bottom"/>
            <w:shd w:val="clear" w:color="auto" w:fill="DCE2EF"/>
          </w:tcPr>
          <w:p>
            <w:pPr>
              <w:spacing w:after="0"/>
              <w:rPr>
                <w:sz w:val="23"/>
                <w:szCs w:val="23"/>
                <w:color w:val="auto"/>
              </w:rPr>
            </w:pPr>
          </w:p>
        </w:tc>
        <w:tc>
          <w:tcPr>
            <w:tcW w:w="200" w:type="dxa"/>
            <w:vAlign w:val="bottom"/>
            <w:shd w:val="clear" w:color="auto" w:fill="DCE2EF"/>
          </w:tcPr>
          <w:p>
            <w:pPr>
              <w:spacing w:after="0"/>
              <w:rPr>
                <w:sz w:val="23"/>
                <w:szCs w:val="23"/>
                <w:color w:val="auto"/>
              </w:rPr>
            </w:pPr>
          </w:p>
        </w:tc>
        <w:tc>
          <w:tcPr>
            <w:tcW w:w="18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74.3</w:t>
            </w:r>
          </w:p>
        </w:tc>
      </w:tr>
      <w:tr>
        <w:trPr>
          <w:trHeight w:val="270"/>
        </w:trPr>
        <w:tc>
          <w:tcPr>
            <w:tcW w:w="40" w:type="dxa"/>
            <w:vAlign w:val="bottom"/>
          </w:tcPr>
          <w:p>
            <w:pPr>
              <w:spacing w:after="0"/>
              <w:rPr>
                <w:sz w:val="23"/>
                <w:szCs w:val="23"/>
                <w:color w:val="auto"/>
              </w:rPr>
            </w:pPr>
          </w:p>
        </w:tc>
        <w:tc>
          <w:tcPr>
            <w:tcW w:w="7140" w:type="dxa"/>
            <w:vAlign w:val="bottom"/>
            <w:gridSpan w:val="2"/>
          </w:tcPr>
          <w:p>
            <w:pPr>
              <w:ind w:left="240"/>
              <w:spacing w:after="0"/>
              <w:rPr>
                <w:sz w:val="20"/>
                <w:szCs w:val="20"/>
                <w:color w:val="auto"/>
              </w:rPr>
            </w:pPr>
            <w:r>
              <w:rPr>
                <w:rFonts w:ascii="Arial" w:cs="Arial" w:eastAsia="Arial" w:hAnsi="Arial"/>
                <w:sz w:val="18"/>
                <w:szCs w:val="18"/>
                <w:color w:val="auto"/>
              </w:rPr>
              <w:t>Costs incurred in excess of amounts billed</w:t>
            </w:r>
            <w:r>
              <w:rPr>
                <w:rFonts w:ascii="Arial" w:cs="Arial" w:eastAsia="Arial" w:hAnsi="Arial"/>
                <w:sz w:val="21"/>
                <w:szCs w:val="21"/>
                <w:color w:val="auto"/>
                <w:vertAlign w:val="superscript"/>
              </w:rPr>
              <w:t>(2)</w:t>
            </w:r>
          </w:p>
        </w:tc>
        <w:tc>
          <w:tcPr>
            <w:tcW w:w="22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40.1</w:t>
            </w:r>
          </w:p>
        </w:tc>
      </w:tr>
      <w:tr>
        <w:trPr>
          <w:trHeight w:val="270"/>
        </w:trPr>
        <w:tc>
          <w:tcPr>
            <w:tcW w:w="40" w:type="dxa"/>
            <w:vAlign w:val="bottom"/>
            <w:shd w:val="clear" w:color="auto" w:fill="DCE2EF"/>
          </w:tcPr>
          <w:p>
            <w:pPr>
              <w:spacing w:after="0"/>
              <w:rPr>
                <w:sz w:val="23"/>
                <w:szCs w:val="23"/>
                <w:color w:val="auto"/>
              </w:rPr>
            </w:pPr>
          </w:p>
        </w:tc>
        <w:tc>
          <w:tcPr>
            <w:tcW w:w="7140" w:type="dxa"/>
            <w:vAlign w:val="bottom"/>
            <w:gridSpan w:val="2"/>
            <w:shd w:val="clear" w:color="auto" w:fill="DCE2EF"/>
          </w:tcPr>
          <w:p>
            <w:pPr>
              <w:ind w:left="240"/>
              <w:spacing w:after="0"/>
              <w:rPr>
                <w:sz w:val="20"/>
                <w:szCs w:val="20"/>
                <w:color w:val="auto"/>
              </w:rPr>
            </w:pPr>
            <w:r>
              <w:rPr>
                <w:rFonts w:ascii="Arial" w:cs="Arial" w:eastAsia="Arial" w:hAnsi="Arial"/>
                <w:sz w:val="18"/>
                <w:szCs w:val="18"/>
                <w:color w:val="auto"/>
              </w:rPr>
              <w:t>Capitalized commissions</w:t>
            </w:r>
            <w:r>
              <w:rPr>
                <w:rFonts w:ascii="Arial" w:cs="Arial" w:eastAsia="Arial" w:hAnsi="Arial"/>
                <w:sz w:val="21"/>
                <w:szCs w:val="21"/>
                <w:color w:val="auto"/>
                <w:vertAlign w:val="superscript"/>
              </w:rPr>
              <w:t>(3)</w:t>
            </w:r>
          </w:p>
        </w:tc>
        <w:tc>
          <w:tcPr>
            <w:tcW w:w="220" w:type="dxa"/>
            <w:vAlign w:val="bottom"/>
            <w:shd w:val="clear" w:color="auto" w:fill="DCE2EF"/>
          </w:tcPr>
          <w:p>
            <w:pPr>
              <w:spacing w:after="0"/>
              <w:rPr>
                <w:sz w:val="23"/>
                <w:szCs w:val="23"/>
                <w:color w:val="auto"/>
              </w:rPr>
            </w:pPr>
          </w:p>
        </w:tc>
        <w:tc>
          <w:tcPr>
            <w:tcW w:w="18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DCE2EF"/>
          </w:tcPr>
          <w:p>
            <w:pPr>
              <w:spacing w:after="0"/>
              <w:rPr>
                <w:sz w:val="23"/>
                <w:szCs w:val="23"/>
                <w:color w:val="auto"/>
              </w:rPr>
            </w:pPr>
          </w:p>
        </w:tc>
        <w:tc>
          <w:tcPr>
            <w:tcW w:w="200" w:type="dxa"/>
            <w:vAlign w:val="bottom"/>
            <w:shd w:val="clear" w:color="auto" w:fill="DCE2EF"/>
          </w:tcPr>
          <w:p>
            <w:pPr>
              <w:spacing w:after="0"/>
              <w:rPr>
                <w:sz w:val="23"/>
                <w:szCs w:val="23"/>
                <w:color w:val="auto"/>
              </w:rPr>
            </w:pPr>
          </w:p>
        </w:tc>
        <w:tc>
          <w:tcPr>
            <w:tcW w:w="18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15.1</w:t>
            </w:r>
          </w:p>
        </w:tc>
      </w:tr>
    </w:tbl>
    <w:p>
      <w:pPr>
        <w:spacing w:after="0" w:line="90" w:lineRule="exact"/>
        <w:rPr>
          <w:sz w:val="20"/>
          <w:szCs w:val="20"/>
          <w:color w:val="auto"/>
        </w:rPr>
      </w:pPr>
    </w:p>
    <w:p>
      <w:pPr>
        <w:ind w:firstLine="8"/>
        <w:spacing w:after="0" w:line="281" w:lineRule="auto"/>
        <w:tabs>
          <w:tab w:leader="none" w:pos="162"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Included in trade accounts receivable, net, on the consolidated balance sheets. The fluctuation correlates directly to the execution of new customer contracts and to invoicing and collections from customers in the normal course of business.</w:t>
      </w:r>
    </w:p>
    <w:p>
      <w:pPr>
        <w:ind w:left="180" w:hanging="172"/>
        <w:spacing w:after="0"/>
        <w:tabs>
          <w:tab w:leader="none" w:pos="180" w:val="left"/>
        </w:tabs>
        <w:numPr>
          <w:ilvl w:val="0"/>
          <w:numId w:val="27"/>
        </w:numPr>
        <w:rPr>
          <w:rFonts w:ascii="Arial" w:cs="Arial" w:eastAsia="Arial" w:hAnsi="Arial"/>
          <w:sz w:val="21"/>
          <w:szCs w:val="21"/>
          <w:color w:val="auto"/>
          <w:vertAlign w:val="superscript"/>
        </w:rPr>
      </w:pPr>
      <w:r>
        <w:rPr>
          <w:rFonts w:ascii="Arial" w:cs="Arial" w:eastAsia="Arial" w:hAnsi="Arial"/>
          <w:sz w:val="15"/>
          <w:szCs w:val="15"/>
          <w:color w:val="auto"/>
        </w:rPr>
        <w:t>Increase is primarily due to the timing of payments on our contracts measured using the cost-to-cost method of revenue recognition.</w:t>
      </w:r>
    </w:p>
    <w:p>
      <w:pPr>
        <w:spacing w:after="0" w:line="44" w:lineRule="exact"/>
        <w:rPr>
          <w:rFonts w:ascii="Arial" w:cs="Arial" w:eastAsia="Arial" w:hAnsi="Arial"/>
          <w:sz w:val="21"/>
          <w:szCs w:val="21"/>
          <w:color w:val="auto"/>
          <w:vertAlign w:val="superscript"/>
        </w:rPr>
      </w:pPr>
    </w:p>
    <w:p>
      <w:pPr>
        <w:ind w:right="20" w:firstLine="8"/>
        <w:spacing w:after="0" w:line="269" w:lineRule="auto"/>
        <w:tabs>
          <w:tab w:leader="none" w:pos="162"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Included in other current assets and other noncurrent assets on the consolidated balance sheets. During the year ended October 31, 2019, we capitalized $16.4 million of new costs and amortized $9.7 million of previously capitalized costs. There was no impairment loss recorded on the costs capitalized.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jc w:val="right"/>
              <w:ind w:right="450"/>
              <w:spacing w:after="0"/>
              <w:rPr>
                <w:sz w:val="20"/>
                <w:szCs w:val="20"/>
                <w:color w:val="auto"/>
              </w:rPr>
            </w:pPr>
            <w:r>
              <w:rPr>
                <w:rFonts w:ascii="Arial" w:cs="Arial" w:eastAsia="Arial" w:hAnsi="Arial"/>
                <w:sz w:val="18"/>
                <w:szCs w:val="18"/>
                <w:b w:val="1"/>
                <w:bCs w:val="1"/>
                <w:color w:val="auto"/>
              </w:rPr>
              <w:t>Year Ended</w:t>
            </w:r>
          </w:p>
        </w:tc>
      </w:tr>
      <w:tr>
        <w:trPr>
          <w:trHeight w:val="214"/>
        </w:trPr>
        <w:tc>
          <w:tcPr>
            <w:tcW w:w="936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Pr>
          <w:p>
            <w:pPr>
              <w:spacing w:after="0"/>
              <w:rPr>
                <w:sz w:val="18"/>
                <w:szCs w:val="18"/>
                <w:color w:val="auto"/>
              </w:rPr>
            </w:pPr>
          </w:p>
        </w:tc>
        <w:tc>
          <w:tcPr>
            <w:tcW w:w="1840" w:type="dxa"/>
            <w:vAlign w:val="bottom"/>
          </w:tcPr>
          <w:p>
            <w:pPr>
              <w:jc w:val="right"/>
              <w:ind w:right="230"/>
              <w:spacing w:after="0"/>
              <w:rPr>
                <w:sz w:val="20"/>
                <w:szCs w:val="20"/>
                <w:color w:val="auto"/>
              </w:rPr>
            </w:pPr>
            <w:r>
              <w:rPr>
                <w:rFonts w:ascii="Arial" w:cs="Arial" w:eastAsia="Arial" w:hAnsi="Arial"/>
                <w:sz w:val="18"/>
                <w:szCs w:val="18"/>
                <w:b w:val="1"/>
                <w:bCs w:val="1"/>
                <w:color w:val="auto"/>
              </w:rPr>
              <w:t>October 31, 2019</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862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64"/>
        </w:trPr>
        <w:tc>
          <w:tcPr>
            <w:tcW w:w="9360" w:type="dxa"/>
            <w:vAlign w:val="bottom"/>
            <w:gridSpan w:val="3"/>
            <w:shd w:val="clear" w:color="auto" w:fill="DCE2EF"/>
          </w:tcPr>
          <w:p>
            <w:pPr>
              <w:ind w:left="40"/>
              <w:spacing w:after="0"/>
              <w:rPr>
                <w:sz w:val="20"/>
                <w:szCs w:val="20"/>
                <w:color w:val="auto"/>
              </w:rPr>
            </w:pPr>
            <w:r>
              <w:rPr>
                <w:rFonts w:ascii="Arial" w:cs="Arial" w:eastAsia="Arial" w:hAnsi="Arial"/>
                <w:sz w:val="18"/>
                <w:szCs w:val="18"/>
                <w:b w:val="1"/>
                <w:bCs w:val="1"/>
                <w:color w:val="auto"/>
              </w:rPr>
              <w:t>Contract liabilities</w:t>
            </w:r>
            <w:r>
              <w:rPr>
                <w:rFonts w:ascii="Arial" w:cs="Arial" w:eastAsia="Arial" w:hAnsi="Arial"/>
                <w:sz w:val="21"/>
                <w:szCs w:val="21"/>
                <w:color w:val="auto"/>
                <w:vertAlign w:val="superscript"/>
              </w:rPr>
              <w:t>(1)</w:t>
            </w:r>
          </w:p>
        </w:tc>
        <w:tc>
          <w:tcPr>
            <w:tcW w:w="220" w:type="dxa"/>
            <w:vAlign w:val="bottom"/>
            <w:shd w:val="clear" w:color="auto" w:fill="DCE2EF"/>
          </w:tcPr>
          <w:p>
            <w:pPr>
              <w:spacing w:after="0"/>
              <w:rPr>
                <w:sz w:val="22"/>
                <w:szCs w:val="22"/>
                <w:color w:val="auto"/>
              </w:rPr>
            </w:pPr>
          </w:p>
        </w:tc>
        <w:tc>
          <w:tcPr>
            <w:tcW w:w="1840" w:type="dxa"/>
            <w:vAlign w:val="bottom"/>
            <w:shd w:val="clear" w:color="auto" w:fill="DCE2EF"/>
          </w:tcPr>
          <w:p>
            <w:pPr>
              <w:spacing w:after="0"/>
              <w:rPr>
                <w:sz w:val="22"/>
                <w:szCs w:val="22"/>
                <w:color w:val="auto"/>
              </w:rPr>
            </w:pPr>
          </w:p>
        </w:tc>
      </w:tr>
      <w:tr>
        <w:trPr>
          <w:trHeight w:val="265"/>
        </w:trPr>
        <w:tc>
          <w:tcPr>
            <w:tcW w:w="40" w:type="dxa"/>
            <w:vAlign w:val="bottom"/>
          </w:tcPr>
          <w:p>
            <w:pPr>
              <w:spacing w:after="0"/>
              <w:rPr>
                <w:sz w:val="23"/>
                <w:szCs w:val="23"/>
                <w:color w:val="auto"/>
              </w:rPr>
            </w:pPr>
          </w:p>
        </w:tc>
        <w:tc>
          <w:tcPr>
            <w:tcW w:w="9320" w:type="dxa"/>
            <w:vAlign w:val="bottom"/>
            <w:gridSpan w:val="2"/>
          </w:tcPr>
          <w:p>
            <w:pPr>
              <w:ind w:left="240"/>
              <w:spacing w:after="0"/>
              <w:rPr>
                <w:sz w:val="20"/>
                <w:szCs w:val="20"/>
                <w:color w:val="auto"/>
              </w:rPr>
            </w:pPr>
            <w:r>
              <w:rPr>
                <w:rFonts w:ascii="Arial" w:cs="Arial" w:eastAsia="Arial" w:hAnsi="Arial"/>
                <w:sz w:val="18"/>
                <w:szCs w:val="18"/>
                <w:color w:val="auto"/>
              </w:rPr>
              <w:t>Balance at beginning of year</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41.7</w:t>
            </w:r>
          </w:p>
        </w:tc>
      </w:tr>
      <w:tr>
        <w:trPr>
          <w:trHeight w:val="275"/>
        </w:trPr>
        <w:tc>
          <w:tcPr>
            <w:tcW w:w="40" w:type="dxa"/>
            <w:vAlign w:val="bottom"/>
            <w:shd w:val="clear" w:color="auto" w:fill="DCE2EF"/>
          </w:tcPr>
          <w:p>
            <w:pPr>
              <w:spacing w:after="0"/>
              <w:rPr>
                <w:sz w:val="23"/>
                <w:szCs w:val="23"/>
                <w:color w:val="auto"/>
              </w:rPr>
            </w:pPr>
          </w:p>
        </w:tc>
        <w:tc>
          <w:tcPr>
            <w:tcW w:w="9320" w:type="dxa"/>
            <w:vAlign w:val="bottom"/>
            <w:gridSpan w:val="2"/>
            <w:shd w:val="clear" w:color="auto" w:fill="DCE2EF"/>
          </w:tcPr>
          <w:p>
            <w:pPr>
              <w:ind w:left="240"/>
              <w:spacing w:after="0"/>
              <w:rPr>
                <w:sz w:val="20"/>
                <w:szCs w:val="20"/>
                <w:color w:val="auto"/>
              </w:rPr>
            </w:pPr>
            <w:r>
              <w:rPr>
                <w:rFonts w:ascii="Arial" w:cs="Arial" w:eastAsia="Arial" w:hAnsi="Arial"/>
                <w:sz w:val="18"/>
                <w:szCs w:val="18"/>
                <w:color w:val="auto"/>
              </w:rPr>
              <w:t>Additional contract liabilities</w:t>
            </w:r>
          </w:p>
        </w:tc>
        <w:tc>
          <w:tcPr>
            <w:tcW w:w="220" w:type="dxa"/>
            <w:vAlign w:val="bottom"/>
            <w:shd w:val="clear" w:color="auto" w:fill="DCE2EF"/>
          </w:tcPr>
          <w:p>
            <w:pPr>
              <w:spacing w:after="0"/>
              <w:rPr>
                <w:sz w:val="23"/>
                <w:szCs w:val="23"/>
                <w:color w:val="auto"/>
              </w:rPr>
            </w:pPr>
          </w:p>
        </w:tc>
        <w:tc>
          <w:tcPr>
            <w:tcW w:w="18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250.8</w:t>
            </w:r>
          </w:p>
        </w:tc>
      </w:tr>
      <w:tr>
        <w:trPr>
          <w:trHeight w:val="306"/>
        </w:trPr>
        <w:tc>
          <w:tcPr>
            <w:tcW w:w="40" w:type="dxa"/>
            <w:vAlign w:val="bottom"/>
            <w:tcBorders>
              <w:bottom w:val="single" w:sz="8" w:color="DCE2EF"/>
            </w:tcBorders>
          </w:tcPr>
          <w:p>
            <w:pPr>
              <w:spacing w:after="0"/>
              <w:rPr>
                <w:sz w:val="24"/>
                <w:szCs w:val="24"/>
                <w:color w:val="auto"/>
              </w:rPr>
            </w:pPr>
          </w:p>
        </w:tc>
        <w:tc>
          <w:tcPr>
            <w:tcW w:w="9320" w:type="dxa"/>
            <w:vAlign w:val="bottom"/>
            <w:tcBorders>
              <w:bottom w:val="single" w:sz="8" w:color="DCE2EF"/>
            </w:tcBorders>
            <w:gridSpan w:val="2"/>
          </w:tcPr>
          <w:p>
            <w:pPr>
              <w:ind w:left="240"/>
              <w:spacing w:after="0"/>
              <w:rPr>
                <w:sz w:val="20"/>
                <w:szCs w:val="20"/>
                <w:color w:val="auto"/>
              </w:rPr>
            </w:pPr>
            <w:r>
              <w:rPr>
                <w:rFonts w:ascii="Arial" w:cs="Arial" w:eastAsia="Arial" w:hAnsi="Arial"/>
                <w:sz w:val="18"/>
                <w:szCs w:val="18"/>
                <w:color w:val="auto"/>
              </w:rPr>
              <w:t>Recognition of deferred revenue</w:t>
            </w: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(254.5)</w:t>
            </w:r>
          </w:p>
        </w:tc>
      </w:tr>
      <w:tr>
        <w:trPr>
          <w:trHeight w:val="282"/>
        </w:trPr>
        <w:tc>
          <w:tcPr>
            <w:tcW w:w="40" w:type="dxa"/>
            <w:vAlign w:val="bottom"/>
            <w:tcBorders>
              <w:bottom w:val="single" w:sz="8" w:color="DCE2EF"/>
            </w:tcBorders>
            <w:shd w:val="clear" w:color="auto" w:fill="DCE2EF"/>
          </w:tcPr>
          <w:p>
            <w:pPr>
              <w:spacing w:after="0"/>
              <w:rPr>
                <w:sz w:val="24"/>
                <w:szCs w:val="24"/>
                <w:color w:val="auto"/>
              </w:rPr>
            </w:pPr>
          </w:p>
        </w:tc>
        <w:tc>
          <w:tcPr>
            <w:tcW w:w="9320" w:type="dxa"/>
            <w:vAlign w:val="bottom"/>
            <w:tcBorders>
              <w:bottom w:val="single" w:sz="8" w:color="DCE2EF"/>
            </w:tcBorders>
            <w:gridSpan w:val="2"/>
            <w:shd w:val="clear" w:color="auto" w:fill="DCE2EF"/>
          </w:tcPr>
          <w:p>
            <w:pPr>
              <w:ind w:left="240"/>
              <w:spacing w:after="0"/>
              <w:rPr>
                <w:sz w:val="20"/>
                <w:szCs w:val="20"/>
                <w:color w:val="auto"/>
              </w:rPr>
            </w:pPr>
            <w:r>
              <w:rPr>
                <w:rFonts w:ascii="Arial" w:cs="Arial" w:eastAsia="Arial" w:hAnsi="Arial"/>
                <w:sz w:val="18"/>
                <w:szCs w:val="18"/>
                <w:color w:val="auto"/>
              </w:rPr>
              <w:t>Balance at end of year</w:t>
            </w:r>
          </w:p>
        </w:tc>
        <w:tc>
          <w:tcPr>
            <w:tcW w:w="22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38.0</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21"/>
          <w:szCs w:val="21"/>
          <w:color w:val="auto"/>
          <w:vertAlign w:val="superscript"/>
        </w:rPr>
      </w:pPr>
      <w:r>
        <w:rPr>
          <w:rFonts w:ascii="Arial" w:cs="Arial" w:eastAsia="Arial" w:hAnsi="Arial"/>
          <w:sz w:val="15"/>
          <w:szCs w:val="15"/>
          <w:color w:val="auto"/>
        </w:rPr>
        <w:t>Included in other accrued liabilities on the consolidated balance sheets.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93"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0046AD"/>
        </w:rPr>
        <w:t>4.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Acquisition of GCA during 2017</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On September 1, 2017, we acquired all of the outstanding stock of GCA, a provider of integrated facility services to educational institutions and commercial facilities, for a purchase price of approximately $1.3 billion. As a result of the acquisition, we are now a leading facilities services provider in the education market.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Consideration Transferred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 except per share data)</w:t>
            </w:r>
          </w:p>
        </w:tc>
        <w:tc>
          <w:tcPr>
            <w:tcW w:w="72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1"/>
        </w:trPr>
        <w:tc>
          <w:tcPr>
            <w:tcW w:w="40" w:type="dxa"/>
            <w:vAlign w:val="bottom"/>
          </w:tcPr>
          <w:p>
            <w:pPr>
              <w:spacing w:after="0" w:line="20" w:lineRule="exact"/>
              <w:rPr>
                <w:sz w:val="1"/>
                <w:szCs w:val="1"/>
                <w:color w:val="auto"/>
              </w:rPr>
            </w:pPr>
          </w:p>
        </w:tc>
        <w:tc>
          <w:tcPr>
            <w:tcW w:w="2020" w:type="dxa"/>
            <w:vAlign w:val="bottom"/>
            <w:tcBorders>
              <w:top w:val="single" w:sz="8" w:color="auto"/>
            </w:tcBorders>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70"/>
        </w:trPr>
        <w:tc>
          <w:tcPr>
            <w:tcW w:w="932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Shares of ABM common stock, net of shares withheld for taxes</w:t>
            </w:r>
          </w:p>
        </w:tc>
        <w:tc>
          <w:tcPr>
            <w:tcW w:w="720" w:type="dxa"/>
            <w:vAlign w:val="bottom"/>
            <w:shd w:val="clear" w:color="auto" w:fill="DCE2EF"/>
          </w:tcPr>
          <w:p>
            <w:pPr>
              <w:spacing w:after="0"/>
              <w:rPr>
                <w:sz w:val="23"/>
                <w:szCs w:val="23"/>
                <w:color w:val="auto"/>
              </w:rPr>
            </w:pPr>
          </w:p>
        </w:tc>
        <w:tc>
          <w:tcPr>
            <w:tcW w:w="13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9.4</w:t>
            </w:r>
          </w:p>
        </w:tc>
      </w:tr>
      <w:tr>
        <w:trPr>
          <w:trHeight w:val="265"/>
        </w:trPr>
        <w:tc>
          <w:tcPr>
            <w:tcW w:w="9320" w:type="dxa"/>
            <w:vAlign w:val="bottom"/>
            <w:tcBorders>
              <w:bottom w:val="single" w:sz="8" w:color="DCE2EF"/>
            </w:tcBorders>
            <w:gridSpan w:val="3"/>
          </w:tcPr>
          <w:p>
            <w:pPr>
              <w:ind w:left="40"/>
              <w:spacing w:after="0"/>
              <w:rPr>
                <w:sz w:val="20"/>
                <w:szCs w:val="20"/>
                <w:color w:val="auto"/>
              </w:rPr>
            </w:pPr>
            <w:r>
              <w:rPr>
                <w:rFonts w:ascii="Arial" w:cs="Arial" w:eastAsia="Arial" w:hAnsi="Arial"/>
                <w:sz w:val="18"/>
                <w:szCs w:val="18"/>
                <w:color w:val="auto"/>
              </w:rPr>
              <w:t>ABM common stock closing market price at acquisition date</w:t>
            </w:r>
          </w:p>
        </w:tc>
        <w:tc>
          <w:tcPr>
            <w:tcW w:w="7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44.63</w:t>
            </w:r>
          </w:p>
        </w:tc>
      </w:tr>
      <w:tr>
        <w:trPr>
          <w:trHeight w:val="255"/>
        </w:trPr>
        <w:tc>
          <w:tcPr>
            <w:tcW w:w="932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Fair value of ABM common stock at closing</w:t>
            </w:r>
          </w:p>
        </w:tc>
        <w:tc>
          <w:tcPr>
            <w:tcW w:w="720" w:type="dxa"/>
            <w:vAlign w:val="bottom"/>
            <w:shd w:val="clear" w:color="auto" w:fill="DCE2EF"/>
          </w:tcPr>
          <w:p>
            <w:pPr>
              <w:spacing w:after="0"/>
              <w:rPr>
                <w:sz w:val="22"/>
                <w:szCs w:val="22"/>
                <w:color w:val="auto"/>
              </w:rPr>
            </w:pPr>
          </w:p>
        </w:tc>
        <w:tc>
          <w:tcPr>
            <w:tcW w:w="13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421.3</w:t>
            </w:r>
          </w:p>
        </w:tc>
      </w:tr>
      <w:tr>
        <w:trPr>
          <w:trHeight w:val="270"/>
        </w:trPr>
        <w:tc>
          <w:tcPr>
            <w:tcW w:w="9320" w:type="dxa"/>
            <w:vAlign w:val="bottom"/>
            <w:tcBorders>
              <w:bottom w:val="single" w:sz="8" w:color="DCE2EF"/>
            </w:tcBorders>
            <w:gridSpan w:val="3"/>
          </w:tcPr>
          <w:p>
            <w:pPr>
              <w:ind w:left="40"/>
              <w:spacing w:after="0"/>
              <w:rPr>
                <w:sz w:val="20"/>
                <w:szCs w:val="20"/>
                <w:color w:val="auto"/>
              </w:rPr>
            </w:pPr>
            <w:r>
              <w:rPr>
                <w:rFonts w:ascii="Arial" w:cs="Arial" w:eastAsia="Arial" w:hAnsi="Arial"/>
                <w:sz w:val="18"/>
                <w:szCs w:val="18"/>
                <w:color w:val="auto"/>
              </w:rPr>
              <w:t>Cash consideration</w:t>
            </w:r>
            <w:r>
              <w:rPr>
                <w:rFonts w:ascii="Arial" w:cs="Arial" w:eastAsia="Arial" w:hAnsi="Arial"/>
                <w:sz w:val="21"/>
                <w:szCs w:val="21"/>
                <w:color w:val="auto"/>
                <w:vertAlign w:val="superscript"/>
              </w:rPr>
              <w:t>(1)</w:t>
            </w:r>
          </w:p>
        </w:tc>
        <w:tc>
          <w:tcPr>
            <w:tcW w:w="7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837.5</w:t>
            </w:r>
          </w:p>
        </w:tc>
      </w:tr>
      <w:tr>
        <w:trPr>
          <w:trHeight w:val="250"/>
        </w:trPr>
        <w:tc>
          <w:tcPr>
            <w:tcW w:w="40" w:type="dxa"/>
            <w:vAlign w:val="bottom"/>
            <w:tcBorders>
              <w:bottom w:val="single" w:sz="8" w:color="DCE2EF"/>
            </w:tcBorders>
            <w:shd w:val="clear" w:color="auto" w:fill="DCE2EF"/>
          </w:tcPr>
          <w:p>
            <w:pPr>
              <w:spacing w:after="0"/>
              <w:rPr>
                <w:sz w:val="21"/>
                <w:szCs w:val="21"/>
                <w:color w:val="auto"/>
              </w:rPr>
            </w:pPr>
          </w:p>
        </w:tc>
        <w:tc>
          <w:tcPr>
            <w:tcW w:w="9280" w:type="dxa"/>
            <w:vAlign w:val="bottom"/>
            <w:tcBorders>
              <w:bottom w:val="single" w:sz="8" w:color="DCE2EF"/>
            </w:tcBorders>
            <w:gridSpan w:val="2"/>
            <w:shd w:val="clear" w:color="auto" w:fill="DCE2EF"/>
          </w:tcPr>
          <w:p>
            <w:pPr>
              <w:ind w:left="240"/>
              <w:spacing w:after="0"/>
              <w:rPr>
                <w:sz w:val="20"/>
                <w:szCs w:val="20"/>
                <w:color w:val="auto"/>
              </w:rPr>
            </w:pPr>
            <w:r>
              <w:rPr>
                <w:rFonts w:ascii="Arial" w:cs="Arial" w:eastAsia="Arial" w:hAnsi="Arial"/>
                <w:sz w:val="18"/>
                <w:szCs w:val="18"/>
                <w:color w:val="auto"/>
              </w:rPr>
              <w:t>Total consideration transferred</w:t>
            </w:r>
          </w:p>
        </w:tc>
        <w:tc>
          <w:tcPr>
            <w:tcW w:w="720" w:type="dxa"/>
            <w:vAlign w:val="bottom"/>
            <w:tcBorders>
              <w:bottom w:val="single" w:sz="8" w:color="auto"/>
            </w:tcBorders>
            <w:shd w:val="clear" w:color="auto" w:fill="DCE2EF"/>
          </w:tcPr>
          <w:p>
            <w:pPr>
              <w:jc w:val="right"/>
              <w:ind w:right="5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1,258.8</w:t>
            </w:r>
          </w:p>
        </w:tc>
      </w:tr>
      <w:tr>
        <w:trPr>
          <w:trHeight w:val="20"/>
        </w:trPr>
        <w:tc>
          <w:tcPr>
            <w:tcW w:w="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21"/>
          <w:szCs w:val="21"/>
          <w:color w:val="auto"/>
          <w:vertAlign w:val="superscript"/>
        </w:rPr>
      </w:pPr>
      <w:r>
        <w:rPr>
          <w:rFonts w:ascii="Arial" w:cs="Arial" w:eastAsia="Arial" w:hAnsi="Arial"/>
          <w:sz w:val="15"/>
          <w:szCs w:val="15"/>
          <w:color w:val="auto"/>
        </w:rPr>
        <w:t>Revised during the second quarter of 2018 to reflect a post-closing purchase price adjustment related to a net working capital settlement.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Purchase Price Allocation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As reported at</w:t>
            </w:r>
          </w:p>
        </w:tc>
      </w:tr>
      <w:tr>
        <w:trPr>
          <w:trHeight w:val="270"/>
        </w:trPr>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6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October 31, 2018</w:t>
            </w:r>
          </w:p>
        </w:tc>
      </w:tr>
      <w:tr>
        <w:trPr>
          <w:trHeight w:val="231"/>
        </w:trPr>
        <w:tc>
          <w:tcPr>
            <w:tcW w:w="948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20"/>
                <w:szCs w:val="20"/>
                <w:color w:val="auto"/>
              </w:rPr>
            </w:pPr>
          </w:p>
        </w:tc>
        <w:tc>
          <w:tcPr>
            <w:tcW w:w="176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(finalized)</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874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50"/>
        </w:trPr>
        <w:tc>
          <w:tcPr>
            <w:tcW w:w="94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0.2</w:t>
            </w:r>
          </w:p>
        </w:tc>
      </w:tr>
      <w:tr>
        <w:trPr>
          <w:trHeight w:val="270"/>
        </w:trPr>
        <w:tc>
          <w:tcPr>
            <w:tcW w:w="9480" w:type="dxa"/>
            <w:vAlign w:val="bottom"/>
            <w:gridSpan w:val="3"/>
          </w:tcPr>
          <w:p>
            <w:pPr>
              <w:ind w:left="40"/>
              <w:spacing w:after="0"/>
              <w:rPr>
                <w:sz w:val="20"/>
                <w:szCs w:val="20"/>
                <w:color w:val="auto"/>
              </w:rPr>
            </w:pPr>
            <w:r>
              <w:rPr>
                <w:rFonts w:ascii="Arial" w:cs="Arial" w:eastAsia="Arial" w:hAnsi="Arial"/>
                <w:sz w:val="18"/>
                <w:szCs w:val="18"/>
                <w:color w:val="auto"/>
              </w:rPr>
              <w:t>Trade accounts receivable</w:t>
            </w:r>
            <w:r>
              <w:rPr>
                <w:rFonts w:ascii="Arial" w:cs="Arial" w:eastAsia="Arial" w:hAnsi="Arial"/>
                <w:sz w:val="21"/>
                <w:szCs w:val="21"/>
                <w:color w:val="auto"/>
                <w:vertAlign w:val="superscript"/>
              </w:rPr>
              <w:t>(1)</w:t>
            </w:r>
          </w:p>
        </w:tc>
        <w:tc>
          <w:tcPr>
            <w:tcW w:w="18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116.3</w:t>
            </w:r>
          </w:p>
        </w:tc>
      </w:tr>
      <w:tr>
        <w:trPr>
          <w:trHeight w:val="270"/>
        </w:trPr>
        <w:tc>
          <w:tcPr>
            <w:tcW w:w="94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DCE2EF"/>
          </w:tcPr>
          <w:p>
            <w:pPr>
              <w:spacing w:after="0"/>
              <w:rPr>
                <w:sz w:val="23"/>
                <w:szCs w:val="23"/>
                <w:color w:val="auto"/>
              </w:rPr>
            </w:pPr>
          </w:p>
        </w:tc>
        <w:tc>
          <w:tcPr>
            <w:tcW w:w="17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12.0</w:t>
            </w:r>
          </w:p>
        </w:tc>
      </w:tr>
      <w:tr>
        <w:trPr>
          <w:trHeight w:val="265"/>
        </w:trPr>
        <w:tc>
          <w:tcPr>
            <w:tcW w:w="9480" w:type="dxa"/>
            <w:vAlign w:val="bottom"/>
            <w:gridSpan w:val="3"/>
          </w:tcPr>
          <w:p>
            <w:pPr>
              <w:ind w:left="40"/>
              <w:spacing w:after="0"/>
              <w:rPr>
                <w:sz w:val="20"/>
                <w:szCs w:val="20"/>
                <w:color w:val="auto"/>
              </w:rPr>
            </w:pPr>
            <w:r>
              <w:rPr>
                <w:rFonts w:ascii="Arial" w:cs="Arial" w:eastAsia="Arial" w:hAnsi="Arial"/>
                <w:sz w:val="18"/>
                <w:szCs w:val="18"/>
                <w:color w:val="auto"/>
              </w:rPr>
              <w:t>Property, plant and equipment</w:t>
            </w:r>
          </w:p>
        </w:tc>
        <w:tc>
          <w:tcPr>
            <w:tcW w:w="18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37.3</w:t>
            </w:r>
          </w:p>
        </w:tc>
      </w:tr>
      <w:tr>
        <w:trPr>
          <w:trHeight w:val="275"/>
        </w:trPr>
        <w:tc>
          <w:tcPr>
            <w:tcW w:w="94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Customer relationships</w:t>
            </w:r>
            <w:r>
              <w:rPr>
                <w:rFonts w:ascii="Arial" w:cs="Arial" w:eastAsia="Arial" w:hAnsi="Arial"/>
                <w:sz w:val="21"/>
                <w:szCs w:val="21"/>
                <w:color w:val="auto"/>
                <w:vertAlign w:val="superscript"/>
              </w:rPr>
              <w:t>(2)</w:t>
            </w:r>
          </w:p>
        </w:tc>
        <w:tc>
          <w:tcPr>
            <w:tcW w:w="180" w:type="dxa"/>
            <w:vAlign w:val="bottom"/>
            <w:shd w:val="clear" w:color="auto" w:fill="DCE2EF"/>
          </w:tcPr>
          <w:p>
            <w:pPr>
              <w:spacing w:after="0"/>
              <w:rPr>
                <w:sz w:val="23"/>
                <w:szCs w:val="23"/>
                <w:color w:val="auto"/>
              </w:rPr>
            </w:pPr>
          </w:p>
        </w:tc>
        <w:tc>
          <w:tcPr>
            <w:tcW w:w="17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340.0</w:t>
            </w:r>
          </w:p>
        </w:tc>
      </w:tr>
      <w:tr>
        <w:trPr>
          <w:trHeight w:val="270"/>
        </w:trPr>
        <w:tc>
          <w:tcPr>
            <w:tcW w:w="9480" w:type="dxa"/>
            <w:vAlign w:val="bottom"/>
            <w:gridSpan w:val="3"/>
          </w:tcPr>
          <w:p>
            <w:pPr>
              <w:ind w:left="40"/>
              <w:spacing w:after="0"/>
              <w:rPr>
                <w:sz w:val="20"/>
                <w:szCs w:val="20"/>
                <w:color w:val="auto"/>
              </w:rPr>
            </w:pPr>
            <w:r>
              <w:rPr>
                <w:rFonts w:ascii="Arial" w:cs="Arial" w:eastAsia="Arial" w:hAnsi="Arial"/>
                <w:sz w:val="18"/>
                <w:szCs w:val="18"/>
                <w:color w:val="auto"/>
              </w:rPr>
              <w:t>Trade names</w:t>
            </w:r>
            <w:r>
              <w:rPr>
                <w:rFonts w:ascii="Arial" w:cs="Arial" w:eastAsia="Arial" w:hAnsi="Arial"/>
                <w:sz w:val="21"/>
                <w:szCs w:val="21"/>
                <w:color w:val="auto"/>
                <w:vertAlign w:val="superscript"/>
              </w:rPr>
              <w:t>(2)</w:t>
            </w:r>
          </w:p>
        </w:tc>
        <w:tc>
          <w:tcPr>
            <w:tcW w:w="18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8.0</w:t>
            </w:r>
          </w:p>
        </w:tc>
      </w:tr>
      <w:tr>
        <w:trPr>
          <w:trHeight w:val="270"/>
        </w:trPr>
        <w:tc>
          <w:tcPr>
            <w:tcW w:w="94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Goodwill</w:t>
            </w:r>
            <w:r>
              <w:rPr>
                <w:rFonts w:ascii="Arial" w:cs="Arial" w:eastAsia="Arial" w:hAnsi="Arial"/>
                <w:sz w:val="21"/>
                <w:szCs w:val="21"/>
                <w:color w:val="auto"/>
                <w:vertAlign w:val="superscript"/>
              </w:rPr>
              <w:t>(3)</w:t>
            </w:r>
          </w:p>
        </w:tc>
        <w:tc>
          <w:tcPr>
            <w:tcW w:w="180" w:type="dxa"/>
            <w:vAlign w:val="bottom"/>
            <w:shd w:val="clear" w:color="auto" w:fill="DCE2EF"/>
          </w:tcPr>
          <w:p>
            <w:pPr>
              <w:spacing w:after="0"/>
              <w:rPr>
                <w:sz w:val="23"/>
                <w:szCs w:val="23"/>
                <w:color w:val="auto"/>
              </w:rPr>
            </w:pPr>
          </w:p>
        </w:tc>
        <w:tc>
          <w:tcPr>
            <w:tcW w:w="17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926.9</w:t>
            </w:r>
          </w:p>
        </w:tc>
      </w:tr>
      <w:tr>
        <w:trPr>
          <w:trHeight w:val="265"/>
        </w:trPr>
        <w:tc>
          <w:tcPr>
            <w:tcW w:w="9480" w:type="dxa"/>
            <w:vAlign w:val="bottom"/>
            <w:gridSpan w:val="3"/>
          </w:tcPr>
          <w:p>
            <w:pPr>
              <w:ind w:left="4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75"/>
        </w:trPr>
        <w:tc>
          <w:tcPr>
            <w:tcW w:w="94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Trade accounts payable</w:t>
            </w:r>
          </w:p>
        </w:tc>
        <w:tc>
          <w:tcPr>
            <w:tcW w:w="180" w:type="dxa"/>
            <w:vAlign w:val="bottom"/>
            <w:shd w:val="clear" w:color="auto" w:fill="DCE2EF"/>
          </w:tcPr>
          <w:p>
            <w:pPr>
              <w:spacing w:after="0"/>
              <w:rPr>
                <w:sz w:val="23"/>
                <w:szCs w:val="23"/>
                <w:color w:val="auto"/>
              </w:rPr>
            </w:pPr>
          </w:p>
        </w:tc>
        <w:tc>
          <w:tcPr>
            <w:tcW w:w="17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(9.6)</w:t>
            </w:r>
          </w:p>
        </w:tc>
      </w:tr>
      <w:tr>
        <w:trPr>
          <w:trHeight w:val="265"/>
        </w:trPr>
        <w:tc>
          <w:tcPr>
            <w:tcW w:w="9480" w:type="dxa"/>
            <w:vAlign w:val="bottom"/>
            <w:gridSpan w:val="3"/>
          </w:tcPr>
          <w:p>
            <w:pPr>
              <w:ind w:left="40"/>
              <w:spacing w:after="0"/>
              <w:rPr>
                <w:sz w:val="20"/>
                <w:szCs w:val="20"/>
                <w:color w:val="auto"/>
              </w:rPr>
            </w:pPr>
            <w:r>
              <w:rPr>
                <w:rFonts w:ascii="Arial" w:cs="Arial" w:eastAsia="Arial" w:hAnsi="Arial"/>
                <w:sz w:val="18"/>
                <w:szCs w:val="18"/>
                <w:color w:val="auto"/>
              </w:rPr>
              <w:t>Insurance reserves</w:t>
            </w:r>
          </w:p>
        </w:tc>
        <w:tc>
          <w:tcPr>
            <w:tcW w:w="18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(35.2)</w:t>
            </w:r>
          </w:p>
        </w:tc>
      </w:tr>
      <w:tr>
        <w:trPr>
          <w:trHeight w:val="275"/>
        </w:trPr>
        <w:tc>
          <w:tcPr>
            <w:tcW w:w="94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Income taxes payable</w:t>
            </w:r>
          </w:p>
        </w:tc>
        <w:tc>
          <w:tcPr>
            <w:tcW w:w="180" w:type="dxa"/>
            <w:vAlign w:val="bottom"/>
            <w:shd w:val="clear" w:color="auto" w:fill="DCE2EF"/>
          </w:tcPr>
          <w:p>
            <w:pPr>
              <w:spacing w:after="0"/>
              <w:rPr>
                <w:sz w:val="23"/>
                <w:szCs w:val="23"/>
                <w:color w:val="auto"/>
              </w:rPr>
            </w:pPr>
          </w:p>
        </w:tc>
        <w:tc>
          <w:tcPr>
            <w:tcW w:w="17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(8.6)</w:t>
            </w:r>
          </w:p>
        </w:tc>
      </w:tr>
      <w:tr>
        <w:trPr>
          <w:trHeight w:val="265"/>
        </w:trPr>
        <w:tc>
          <w:tcPr>
            <w:tcW w:w="9480" w:type="dxa"/>
            <w:vAlign w:val="bottom"/>
            <w:gridSpan w:val="3"/>
          </w:tcPr>
          <w:p>
            <w:pPr>
              <w:ind w:left="4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(38.8)</w:t>
            </w:r>
          </w:p>
        </w:tc>
      </w:tr>
      <w:tr>
        <w:trPr>
          <w:trHeight w:val="275"/>
        </w:trPr>
        <w:tc>
          <w:tcPr>
            <w:tcW w:w="94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Deferred income tax liability, net</w:t>
            </w:r>
          </w:p>
        </w:tc>
        <w:tc>
          <w:tcPr>
            <w:tcW w:w="180" w:type="dxa"/>
            <w:vAlign w:val="bottom"/>
            <w:shd w:val="clear" w:color="auto" w:fill="DCE2EF"/>
          </w:tcPr>
          <w:p>
            <w:pPr>
              <w:spacing w:after="0"/>
              <w:rPr>
                <w:sz w:val="23"/>
                <w:szCs w:val="23"/>
                <w:color w:val="auto"/>
              </w:rPr>
            </w:pPr>
          </w:p>
        </w:tc>
        <w:tc>
          <w:tcPr>
            <w:tcW w:w="17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(85.6)</w:t>
            </w:r>
          </w:p>
        </w:tc>
      </w:tr>
      <w:tr>
        <w:trPr>
          <w:trHeight w:val="265"/>
        </w:trPr>
        <w:tc>
          <w:tcPr>
            <w:tcW w:w="9480" w:type="dxa"/>
            <w:vAlign w:val="bottom"/>
            <w:tcBorders>
              <w:bottom w:val="single" w:sz="8" w:color="DCE2EF"/>
            </w:tcBorders>
            <w:gridSpan w:val="3"/>
          </w:tcPr>
          <w:p>
            <w:pPr>
              <w:ind w:left="4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r>
      <w:tr>
        <w:trPr>
          <w:trHeight w:val="255"/>
        </w:trPr>
        <w:tc>
          <w:tcPr>
            <w:tcW w:w="40" w:type="dxa"/>
            <w:vAlign w:val="bottom"/>
            <w:tcBorders>
              <w:bottom w:val="single" w:sz="8" w:color="DCE2EF"/>
            </w:tcBorders>
            <w:shd w:val="clear" w:color="auto" w:fill="DCE2EF"/>
          </w:tcPr>
          <w:p>
            <w:pPr>
              <w:spacing w:after="0"/>
              <w:rPr>
                <w:sz w:val="22"/>
                <w:szCs w:val="22"/>
                <w:color w:val="auto"/>
              </w:rPr>
            </w:pPr>
          </w:p>
        </w:tc>
        <w:tc>
          <w:tcPr>
            <w:tcW w:w="9440" w:type="dxa"/>
            <w:vAlign w:val="bottom"/>
            <w:tcBorders>
              <w:bottom w:val="single" w:sz="8" w:color="DCE2EF"/>
            </w:tcBorders>
            <w:gridSpan w:val="2"/>
            <w:shd w:val="clear" w:color="auto" w:fill="DCE2EF"/>
          </w:tcPr>
          <w:p>
            <w:pPr>
              <w:ind w:left="240"/>
              <w:spacing w:after="0"/>
              <w:rPr>
                <w:sz w:val="20"/>
                <w:szCs w:val="20"/>
                <w:color w:val="auto"/>
              </w:rPr>
            </w:pPr>
            <w:r>
              <w:rPr>
                <w:rFonts w:ascii="Arial" w:cs="Arial" w:eastAsia="Arial" w:hAnsi="Arial"/>
                <w:sz w:val="18"/>
                <w:szCs w:val="18"/>
                <w:color w:val="auto"/>
              </w:rPr>
              <w:t>Net assets acquired</w:t>
            </w:r>
          </w:p>
        </w:tc>
        <w:tc>
          <w:tcPr>
            <w:tcW w:w="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1,258.8</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180" w:hanging="172"/>
        <w:spacing w:after="0"/>
        <w:tabs>
          <w:tab w:leader="none" w:pos="180" w:val="left"/>
        </w:tabs>
        <w:numPr>
          <w:ilvl w:val="0"/>
          <w:numId w:val="30"/>
        </w:numPr>
        <w:rPr>
          <w:rFonts w:ascii="Arial" w:cs="Arial" w:eastAsia="Arial" w:hAnsi="Arial"/>
          <w:sz w:val="21"/>
          <w:szCs w:val="21"/>
          <w:color w:val="auto"/>
          <w:vertAlign w:val="superscript"/>
        </w:rPr>
      </w:pPr>
      <w:r>
        <w:rPr>
          <w:rFonts w:ascii="Arial" w:cs="Arial" w:eastAsia="Arial" w:hAnsi="Arial"/>
          <w:sz w:val="15"/>
          <w:szCs w:val="15"/>
          <w:color w:val="auto"/>
        </w:rPr>
        <w:t>The gross amount of trade accounts receivable was $121.9 million, of which $5.6 million was deemed uncollectible at October 31, 2018.</w:t>
      </w:r>
    </w:p>
    <w:p>
      <w:pPr>
        <w:spacing w:after="0" w:line="109"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30"/>
        </w:numPr>
        <w:rPr>
          <w:rFonts w:ascii="Arial" w:cs="Arial" w:eastAsia="Arial" w:hAnsi="Arial"/>
          <w:sz w:val="21"/>
          <w:szCs w:val="21"/>
          <w:color w:val="auto"/>
          <w:vertAlign w:val="superscript"/>
        </w:rPr>
      </w:pPr>
      <w:r>
        <w:rPr>
          <w:rFonts w:ascii="Arial" w:cs="Arial" w:eastAsia="Arial" w:hAnsi="Arial"/>
          <w:sz w:val="15"/>
          <w:szCs w:val="15"/>
          <w:color w:val="auto"/>
        </w:rPr>
        <w:t>The amortization periods for the acquired intangible assets are 15 years for customer relationships and 2 years for trade names.</w:t>
      </w:r>
    </w:p>
    <w:p>
      <w:pPr>
        <w:spacing w:after="0" w:line="132" w:lineRule="exact"/>
        <w:rPr>
          <w:rFonts w:ascii="Arial" w:cs="Arial" w:eastAsia="Arial" w:hAnsi="Arial"/>
          <w:sz w:val="21"/>
          <w:szCs w:val="21"/>
          <w:color w:val="auto"/>
          <w:vertAlign w:val="superscript"/>
        </w:rPr>
      </w:pPr>
    </w:p>
    <w:p>
      <w:pPr>
        <w:ind w:left="180" w:hanging="172"/>
        <w:spacing w:after="0" w:line="236" w:lineRule="auto"/>
        <w:tabs>
          <w:tab w:leader="none" w:pos="180" w:val="left"/>
        </w:tabs>
        <w:numPr>
          <w:ilvl w:val="0"/>
          <w:numId w:val="30"/>
        </w:numPr>
        <w:rPr>
          <w:rFonts w:ascii="Arial" w:cs="Arial" w:eastAsia="Arial" w:hAnsi="Arial"/>
          <w:sz w:val="21"/>
          <w:szCs w:val="21"/>
          <w:color w:val="auto"/>
          <w:vertAlign w:val="superscript"/>
        </w:rPr>
      </w:pPr>
      <w:r>
        <w:rPr>
          <w:rFonts w:ascii="Arial" w:cs="Arial" w:eastAsia="Arial" w:hAnsi="Arial"/>
          <w:sz w:val="15"/>
          <w:szCs w:val="15"/>
          <w:color w:val="auto"/>
        </w:rPr>
        <w:t>Goodwill is largely attributable to value we expect to obtain from long-term business growth, the established workforce, and buyer-specific synergies. This goodwill is not deductible for income tax purposes.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93"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0046AD"/>
        </w:rPr>
        <w:t>Financial Information</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table presents our unaudited pro forma results for the year ended October 31, 2017 as though the GCA acquisition occurred on November 1, 2015. These results include adjustments for the estimated amortization of intangible assets, interest expense, and the income tax impact of the pro forma adjustments at the statutory rate of 41%. These results were adjusted to exclude $24.2 million of acquisition-related costs incurred during 2017, which are included in selling, general and administrative expenses in the accompanying consolidated statements of comprehensive income. In addition, they do not reflect the cost of integration activities or benefits from expected revenue enhancements and synergies. Accordingly, the unaudited pro forma information is not necessarily indicative of the results that would have been achieved if the acquisition had been effective on November 1, 2015.</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jc w:val="right"/>
              <w:ind w:right="390"/>
              <w:spacing w:after="0"/>
              <w:rPr>
                <w:sz w:val="20"/>
                <w:szCs w:val="20"/>
                <w:color w:val="auto"/>
              </w:rPr>
            </w:pPr>
            <w:r>
              <w:rPr>
                <w:rFonts w:ascii="Arial" w:cs="Arial" w:eastAsia="Arial" w:hAnsi="Arial"/>
                <w:sz w:val="18"/>
                <w:szCs w:val="18"/>
                <w:b w:val="1"/>
                <w:bCs w:val="1"/>
                <w:color w:val="auto"/>
              </w:rPr>
              <w:t>Year Ended</w:t>
            </w:r>
          </w:p>
        </w:tc>
      </w:tr>
      <w:tr>
        <w:trPr>
          <w:trHeight w:val="214"/>
        </w:trPr>
        <w:tc>
          <w:tcPr>
            <w:tcW w:w="948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18"/>
                <w:szCs w:val="18"/>
                <w:color w:val="auto"/>
              </w:rPr>
            </w:pPr>
          </w:p>
        </w:tc>
        <w:tc>
          <w:tcPr>
            <w:tcW w:w="1760" w:type="dxa"/>
            <w:vAlign w:val="bottom"/>
          </w:tcPr>
          <w:p>
            <w:pPr>
              <w:jc w:val="right"/>
              <w:ind w:right="170"/>
              <w:spacing w:after="0"/>
              <w:rPr>
                <w:sz w:val="20"/>
                <w:szCs w:val="20"/>
                <w:color w:val="auto"/>
              </w:rPr>
            </w:pPr>
            <w:r>
              <w:rPr>
                <w:rFonts w:ascii="Arial" w:cs="Arial" w:eastAsia="Arial" w:hAnsi="Arial"/>
                <w:sz w:val="18"/>
                <w:szCs w:val="18"/>
                <w:b w:val="1"/>
                <w:bCs w:val="1"/>
                <w:color w:val="auto"/>
              </w:rPr>
              <w:t>October 31, 2017</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874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50"/>
        </w:trPr>
        <w:tc>
          <w:tcPr>
            <w:tcW w:w="94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Pro forma revenue</w:t>
            </w:r>
          </w:p>
        </w:tc>
        <w:tc>
          <w:tcPr>
            <w:tcW w:w="18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6,293.0</w:t>
            </w:r>
          </w:p>
        </w:tc>
      </w:tr>
      <w:tr>
        <w:trPr>
          <w:trHeight w:val="247"/>
        </w:trPr>
        <w:tc>
          <w:tcPr>
            <w:tcW w:w="9480" w:type="dxa"/>
            <w:vAlign w:val="bottom"/>
            <w:gridSpan w:val="3"/>
          </w:tcPr>
          <w:p>
            <w:pPr>
              <w:ind w:left="40"/>
              <w:spacing w:after="0"/>
              <w:rPr>
                <w:sz w:val="20"/>
                <w:szCs w:val="20"/>
                <w:color w:val="auto"/>
              </w:rPr>
            </w:pPr>
            <w:r>
              <w:rPr>
                <w:rFonts w:ascii="Arial" w:cs="Arial" w:eastAsia="Arial" w:hAnsi="Arial"/>
                <w:sz w:val="18"/>
                <w:szCs w:val="18"/>
                <w:color w:val="auto"/>
              </w:rPr>
              <w:t>Pro forma income from continuing operations</w:t>
            </w: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95.5</w:t>
            </w:r>
          </w:p>
        </w:tc>
      </w:tr>
      <w:tr>
        <w:trPr>
          <w:trHeight w:val="400"/>
        </w:trPr>
        <w:tc>
          <w:tcPr>
            <w:tcW w:w="9480" w:type="dxa"/>
            <w:vAlign w:val="bottom"/>
            <w:gridSpan w:val="3"/>
          </w:tcPr>
          <w:p>
            <w:pPr>
              <w:spacing w:after="0"/>
              <w:rPr>
                <w:sz w:val="20"/>
                <w:szCs w:val="20"/>
                <w:color w:val="auto"/>
              </w:rPr>
            </w:pPr>
            <w:r>
              <w:rPr>
                <w:rFonts w:ascii="Arial" w:cs="Arial" w:eastAsia="Arial" w:hAnsi="Arial"/>
                <w:sz w:val="18"/>
                <w:szCs w:val="18"/>
                <w:b w:val="1"/>
                <w:bCs w:val="1"/>
                <w:color w:val="0046AD"/>
              </w:rPr>
              <w:t>Other 2017 Acquisitions</w:t>
            </w: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pacing w:after="0" w:line="12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Effective December 1, 2016, we acquired all of the outstanding stock of Mechanical Solutions, Inc. (“MSI”), a provider of specialized HVAC, chiller, and plumbing services, for a purchase price of $12.6 million. The purchase price included up to $1.0 million of undiscounted contingent consideration that was based on the expected achievement of certain pre-established revenue goals. Based on the metrics of these revenue goals, this contingent consideration was reduced to a nominal value at October 31, 2018. As of December 1, 2016, the operations of MSI are included in our Technical Solutions segment.</w:t>
      </w:r>
    </w:p>
    <w:p>
      <w:pPr>
        <w:spacing w:after="0" w:line="12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Effective December 1, 2016, we also acquired all of the outstanding stock of OFJ Connections Ltd (“OFJ”), a provider of airport transportation services in the United Kingdom, for a purchase price of $6.3 million. As of December 1, 2016, the operations of OFJ are included in our Aviation segment.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Pro Forma and Other Financial Information</w:t>
      </w:r>
    </w:p>
    <w:p>
      <w:pPr>
        <w:spacing w:after="0" w:line="173"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18"/>
          <w:szCs w:val="18"/>
          <w:color w:val="auto"/>
        </w:rPr>
        <w:t>Except for GCA, we do not present pro forma and other financial information for our other acquisitions, as they are not considered material business combinations individually or on a combined basis.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5. RESTRUCTURING AND 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We may periodically engage in various restructuring activities intended to drive long-term profitable growth and increase operational efficiency, which can include streamlining and realigning our overall organizational structure and reallocating resources. These activities may result in restructuring costs related to employee severance, other project fees, external support fees, lease exit costs, and asset impairment charges. Recently, our significant restructuring activities have been primarily associated with integrating our acquisition of GCA and implementing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 as described below.</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GCA and Other Restructuring</w:t>
      </w:r>
    </w:p>
    <w:p>
      <w:pPr>
        <w:spacing w:after="0" w:line="17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During the first quarter of 2018, we initiated a restructuring program to achieve cost synergies following the acquisition of GCA. We incurred the majority of our severance expense associated with this restructuring program in the first half of 2018. During 2019, our restructuring activities primarily related to the continued integration of GCA and other initiatives, including standardizing our financial systems and streamlining our operations by migrating and upgrading several key management platforms, such as our human resources information systems, enterprise resource planning system, and labor management system. We also continue consolidating our real estate leases. Severance and other expenses associated with our Healthcare reorganization during 2019 were immaterial. We expect to incur additional restructuring charges, primarily related to some of our technology initiatives and other project fees, as we continue to consolidate our operational and financial processes.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95"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FF9900"/>
        </w:rPr>
        <w:t xml:space="preserve">2020 </w:t>
      </w:r>
      <w:r>
        <w:rPr>
          <w:rFonts w:ascii="Arial" w:cs="Arial" w:eastAsia="Arial" w:hAnsi="Arial"/>
          <w:sz w:val="18"/>
          <w:szCs w:val="18"/>
          <w:b w:val="1"/>
          <w:bCs w:val="1"/>
          <w:color w:val="0070C0"/>
        </w:rPr>
        <w:t>Vision</w:t>
      </w:r>
      <w:r>
        <w:rPr>
          <w:rFonts w:ascii="Arial" w:cs="Arial" w:eastAsia="Arial" w:hAnsi="Arial"/>
          <w:sz w:val="18"/>
          <w:szCs w:val="18"/>
          <w:b w:val="1"/>
          <w:bCs w:val="1"/>
          <w:color w:val="FF9900"/>
        </w:rPr>
        <w:t xml:space="preserve"> </w:t>
      </w:r>
      <w:r>
        <w:rPr>
          <w:rFonts w:ascii="Arial" w:cs="Arial" w:eastAsia="Arial" w:hAnsi="Arial"/>
          <w:sz w:val="18"/>
          <w:szCs w:val="18"/>
          <w:b w:val="1"/>
          <w:bCs w:val="1"/>
          <w:color w:val="0046AD"/>
        </w:rPr>
        <w:t>Restructuring</w:t>
      </w:r>
    </w:p>
    <w:p>
      <w:pPr>
        <w:spacing w:after="0" w:line="17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During the fourth quarter of 2015, our Board of Directors approved a comprehensive strategy intended to have a positive transformative effect on ABM (the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As part of the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we identified key priorities to differentiate ABM in the marketplace, accelerate revenue growth for certain industry groups, and improve our margin profile. We do not expect to incur significant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 xml:space="preserve">Vision </w:t>
      </w:r>
      <w:r>
        <w:rPr>
          <w:rFonts w:ascii="Arial" w:cs="Arial" w:eastAsia="Arial" w:hAnsi="Arial"/>
          <w:sz w:val="18"/>
          <w:szCs w:val="18"/>
          <w:color w:val="000000"/>
        </w:rPr>
        <w:t>restructuring and related expenses in the future.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Rollforward of Restructuring and Related Liabilities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2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rPr>
              <w:t>External Support</w:t>
            </w:r>
          </w:p>
        </w:tc>
        <w:tc>
          <w:tcPr>
            <w:tcW w:w="220" w:type="dxa"/>
            <w:vAlign w:val="bottom"/>
          </w:tcPr>
          <w:p>
            <w:pPr>
              <w:spacing w:after="0"/>
              <w:rPr>
                <w:sz w:val="14"/>
                <w:szCs w:val="14"/>
                <w:color w:val="auto"/>
              </w:rPr>
            </w:pPr>
          </w:p>
        </w:tc>
        <w:tc>
          <w:tcPr>
            <w:tcW w:w="1260" w:type="dxa"/>
            <w:vAlign w:val="bottom"/>
            <w:gridSpan w:val="2"/>
          </w:tcPr>
          <w:p>
            <w:pPr>
              <w:ind w:left="100"/>
              <w:spacing w:after="0"/>
              <w:rPr>
                <w:sz w:val="20"/>
                <w:szCs w:val="20"/>
                <w:color w:val="auto"/>
              </w:rPr>
            </w:pPr>
            <w:r>
              <w:rPr>
                <w:rFonts w:ascii="Arial" w:cs="Arial" w:eastAsia="Arial" w:hAnsi="Arial"/>
                <w:sz w:val="15"/>
                <w:szCs w:val="15"/>
                <w:b w:val="1"/>
                <w:bCs w:val="1"/>
                <w:color w:val="auto"/>
              </w:rPr>
              <w:t>Employee</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rPr>
              <w:t>Other Project</w:t>
            </w:r>
          </w:p>
        </w:tc>
        <w:tc>
          <w:tcPr>
            <w:tcW w:w="1460" w:type="dxa"/>
            <w:vAlign w:val="bottom"/>
            <w:gridSpan w:val="3"/>
            <w:vMerge w:val="restart"/>
          </w:tcPr>
          <w:p>
            <w:pPr>
              <w:ind w:left="60"/>
              <w:spacing w:after="0"/>
              <w:rPr>
                <w:sz w:val="20"/>
                <w:szCs w:val="20"/>
                <w:color w:val="auto"/>
              </w:rPr>
            </w:pPr>
            <w:r>
              <w:rPr>
                <w:rFonts w:ascii="Arial" w:cs="Arial" w:eastAsia="Arial" w:hAnsi="Arial"/>
                <w:sz w:val="15"/>
                <w:szCs w:val="15"/>
                <w:b w:val="1"/>
                <w:bCs w:val="1"/>
                <w:color w:val="auto"/>
              </w:rPr>
              <w:t>Lease Exit Costs</w:t>
            </w:r>
          </w:p>
        </w:tc>
        <w:tc>
          <w:tcPr>
            <w:tcW w:w="1480" w:type="dxa"/>
            <w:vAlign w:val="bottom"/>
            <w:gridSpan w:val="3"/>
            <w:vMerge w:val="restart"/>
          </w:tcPr>
          <w:p>
            <w:pPr>
              <w:ind w:left="40"/>
              <w:spacing w:after="0"/>
              <w:rPr>
                <w:sz w:val="20"/>
                <w:szCs w:val="20"/>
                <w:color w:val="auto"/>
              </w:rPr>
            </w:pPr>
            <w:r>
              <w:rPr>
                <w:rFonts w:ascii="Arial" w:cs="Arial" w:eastAsia="Arial" w:hAnsi="Arial"/>
                <w:sz w:val="15"/>
                <w:szCs w:val="15"/>
                <w:b w:val="1"/>
                <w:bCs w:val="1"/>
                <w:color w:val="auto"/>
              </w:rPr>
              <w:t>Asset Impairment</w:t>
            </w:r>
          </w:p>
        </w:tc>
        <w:tc>
          <w:tcPr>
            <w:tcW w:w="300" w:type="dxa"/>
            <w:vAlign w:val="bottom"/>
          </w:tcPr>
          <w:p>
            <w:pPr>
              <w:spacing w:after="0"/>
              <w:rPr>
                <w:sz w:val="14"/>
                <w:szCs w:val="14"/>
                <w:color w:val="auto"/>
              </w:rPr>
            </w:pPr>
          </w:p>
        </w:tc>
        <w:tc>
          <w:tcPr>
            <w:tcW w:w="1060" w:type="dxa"/>
            <w:vAlign w:val="bottom"/>
            <w:vMerge w:val="restart"/>
          </w:tcPr>
          <w:p>
            <w:pPr>
              <w:jc w:val="right"/>
              <w:ind w:right="419"/>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72"/>
        </w:trPr>
        <w:tc>
          <w:tcPr>
            <w:tcW w:w="264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5"/>
                <w:szCs w:val="15"/>
                <w:b w:val="1"/>
                <w:bCs w:val="1"/>
                <w:color w:val="auto"/>
              </w:rPr>
              <w:t>Fees</w:t>
            </w:r>
          </w:p>
        </w:tc>
        <w:tc>
          <w:tcPr>
            <w:tcW w:w="22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5"/>
                <w:szCs w:val="15"/>
                <w:b w:val="1"/>
                <w:bCs w:val="1"/>
                <w:color w:val="auto"/>
              </w:rPr>
              <w:t>Severance</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rPr>
              <w:t>Fees</w:t>
            </w:r>
          </w:p>
        </w:tc>
        <w:tc>
          <w:tcPr>
            <w:tcW w:w="1460" w:type="dxa"/>
            <w:vAlign w:val="bottom"/>
            <w:gridSpan w:val="3"/>
            <w:vMerge w:val="continue"/>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190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640" w:type="dxa"/>
            <w:vAlign w:val="bottom"/>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Balance, October 31, 2014</w:t>
            </w:r>
          </w:p>
        </w:tc>
        <w:tc>
          <w:tcPr>
            <w:tcW w:w="320" w:type="dxa"/>
            <w:vAlign w:val="bottom"/>
            <w:shd w:val="clear" w:color="auto" w:fill="DCE2EF"/>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DCE2E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shd w:val="clear" w:color="auto" w:fill="DCE2EF"/>
          </w:tcPr>
          <w:p>
            <w:pPr>
              <w:jc w:val="right"/>
              <w:ind w:right="360"/>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shd w:val="clear" w:color="auto" w:fill="DCE2EF"/>
          </w:tcPr>
          <w:p>
            <w:pPr>
              <w:ind w:left="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DCE2E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600" w:type="dxa"/>
            <w:vAlign w:val="bottom"/>
            <w:gridSpan w:val="2"/>
          </w:tcPr>
          <w:p>
            <w:pPr>
              <w:ind w:left="140"/>
              <w:spacing w:after="0"/>
              <w:rPr>
                <w:sz w:val="20"/>
                <w:szCs w:val="20"/>
                <w:color w:val="auto"/>
              </w:rPr>
            </w:pPr>
            <w:r>
              <w:rPr>
                <w:rFonts w:ascii="Arial" w:cs="Arial" w:eastAsia="Arial" w:hAnsi="Arial"/>
                <w:sz w:val="16"/>
                <w:szCs w:val="16"/>
                <w:color w:val="auto"/>
              </w:rPr>
              <w:t>Costs recognized</w:t>
            </w:r>
            <w:r>
              <w:rPr>
                <w:rFonts w:ascii="Arial" w:cs="Arial" w:eastAsia="Arial" w:hAnsi="Arial"/>
                <w:sz w:val="21"/>
                <w:szCs w:val="21"/>
                <w:color w:val="auto"/>
                <w:vertAlign w:val="superscript"/>
              </w:rPr>
              <w:t>(1)</w:t>
            </w:r>
          </w:p>
        </w:tc>
        <w:tc>
          <w:tcPr>
            <w:tcW w:w="32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70"/>
        </w:trPr>
        <w:tc>
          <w:tcPr>
            <w:tcW w:w="40" w:type="dxa"/>
            <w:vAlign w:val="bottom"/>
            <w:shd w:val="clear" w:color="auto" w:fill="DCE2EF"/>
          </w:tcPr>
          <w:p>
            <w:pPr>
              <w:spacing w:after="0"/>
              <w:rPr>
                <w:sz w:val="23"/>
                <w:szCs w:val="23"/>
                <w:color w:val="auto"/>
              </w:rPr>
            </w:pPr>
          </w:p>
        </w:tc>
        <w:tc>
          <w:tcPr>
            <w:tcW w:w="2600" w:type="dxa"/>
            <w:vAlign w:val="bottom"/>
            <w:gridSpan w:val="2"/>
            <w:shd w:val="clear" w:color="auto" w:fill="DCE2EF"/>
          </w:tcPr>
          <w:p>
            <w:pPr>
              <w:ind w:left="140"/>
              <w:spacing w:after="0"/>
              <w:rPr>
                <w:sz w:val="20"/>
                <w:szCs w:val="20"/>
                <w:color w:val="auto"/>
              </w:rPr>
            </w:pPr>
            <w:r>
              <w:rPr>
                <w:rFonts w:ascii="Arial" w:cs="Arial" w:eastAsia="Arial" w:hAnsi="Arial"/>
                <w:sz w:val="16"/>
                <w:szCs w:val="16"/>
                <w:color w:val="auto"/>
              </w:rPr>
              <w:t>Payments</w:t>
            </w:r>
          </w:p>
        </w:tc>
        <w:tc>
          <w:tcPr>
            <w:tcW w:w="320" w:type="dxa"/>
            <w:vAlign w:val="bottom"/>
            <w:shd w:val="clear" w:color="auto" w:fill="DCE2EF"/>
          </w:tcPr>
          <w:p>
            <w:pPr>
              <w:spacing w:after="0"/>
              <w:rPr>
                <w:sz w:val="23"/>
                <w:szCs w:val="23"/>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DCE2EF"/>
          </w:tcPr>
          <w:p>
            <w:pPr>
              <w:spacing w:after="0"/>
              <w:rPr>
                <w:sz w:val="23"/>
                <w:szCs w:val="23"/>
                <w:color w:val="auto"/>
              </w:rPr>
            </w:pPr>
          </w:p>
        </w:tc>
        <w:tc>
          <w:tcPr>
            <w:tcW w:w="220" w:type="dxa"/>
            <w:vAlign w:val="bottom"/>
            <w:shd w:val="clear" w:color="auto" w:fill="DCE2EF"/>
          </w:tcPr>
          <w:p>
            <w:pPr>
              <w:spacing w:after="0"/>
              <w:rPr>
                <w:sz w:val="23"/>
                <w:szCs w:val="23"/>
                <w:color w:val="auto"/>
              </w:rPr>
            </w:pPr>
          </w:p>
        </w:tc>
        <w:tc>
          <w:tcPr>
            <w:tcW w:w="11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DCE2EF"/>
          </w:tcPr>
          <w:p>
            <w:pPr>
              <w:spacing w:after="0"/>
              <w:rPr>
                <w:sz w:val="23"/>
                <w:szCs w:val="23"/>
                <w:color w:val="auto"/>
              </w:rPr>
            </w:pPr>
          </w:p>
        </w:tc>
        <w:tc>
          <w:tcPr>
            <w:tcW w:w="160" w:type="dxa"/>
            <w:vAlign w:val="bottom"/>
            <w:shd w:val="clear" w:color="auto" w:fill="DCE2EF"/>
          </w:tcPr>
          <w:p>
            <w:pPr>
              <w:spacing w:after="0"/>
              <w:rPr>
                <w:sz w:val="23"/>
                <w:szCs w:val="23"/>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DCE2EF"/>
          </w:tcPr>
          <w:p>
            <w:pPr>
              <w:spacing w:after="0"/>
              <w:rPr>
                <w:sz w:val="23"/>
                <w:szCs w:val="23"/>
                <w:color w:val="auto"/>
              </w:rPr>
            </w:pPr>
          </w:p>
        </w:tc>
        <w:tc>
          <w:tcPr>
            <w:tcW w:w="540" w:type="dxa"/>
            <w:vAlign w:val="bottom"/>
            <w:shd w:val="clear" w:color="auto" w:fill="DCE2EF"/>
          </w:tcPr>
          <w:p>
            <w:pPr>
              <w:spacing w:after="0"/>
              <w:rPr>
                <w:sz w:val="23"/>
                <w:szCs w:val="23"/>
                <w:color w:val="auto"/>
              </w:rPr>
            </w:pPr>
          </w:p>
        </w:tc>
        <w:tc>
          <w:tcPr>
            <w:tcW w:w="92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shd w:val="clear" w:color="auto" w:fill="DCE2EF"/>
          </w:tcPr>
          <w:p>
            <w:pPr>
              <w:spacing w:after="0"/>
              <w:rPr>
                <w:sz w:val="23"/>
                <w:szCs w:val="23"/>
                <w:color w:val="auto"/>
              </w:rPr>
            </w:pPr>
          </w:p>
        </w:tc>
        <w:tc>
          <w:tcPr>
            <w:tcW w:w="92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DCE2EF"/>
          </w:tcPr>
          <w:p>
            <w:pPr>
              <w:spacing w:after="0"/>
              <w:rPr>
                <w:sz w:val="23"/>
                <w:szCs w:val="23"/>
                <w:color w:val="auto"/>
              </w:rPr>
            </w:pPr>
          </w:p>
        </w:tc>
        <w:tc>
          <w:tcPr>
            <w:tcW w:w="10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64"/>
        </w:trPr>
        <w:tc>
          <w:tcPr>
            <w:tcW w:w="40" w:type="dxa"/>
            <w:vAlign w:val="bottom"/>
            <w:tcBorders>
              <w:bottom w:val="single" w:sz="8" w:color="DCE2EF"/>
            </w:tcBorders>
          </w:tcPr>
          <w:p>
            <w:pPr>
              <w:spacing w:after="0"/>
              <w:rPr>
                <w:sz w:val="22"/>
                <w:szCs w:val="22"/>
                <w:color w:val="auto"/>
              </w:rPr>
            </w:pPr>
          </w:p>
        </w:tc>
        <w:tc>
          <w:tcPr>
            <w:tcW w:w="2600" w:type="dxa"/>
            <w:vAlign w:val="bottom"/>
            <w:tcBorders>
              <w:bottom w:val="single" w:sz="8" w:color="DCE2EF"/>
            </w:tcBorders>
            <w:gridSpan w:val="2"/>
          </w:tcPr>
          <w:p>
            <w:pPr>
              <w:ind w:left="140"/>
              <w:spacing w:after="0"/>
              <w:rPr>
                <w:sz w:val="20"/>
                <w:szCs w:val="20"/>
                <w:color w:val="auto"/>
              </w:rPr>
            </w:pPr>
            <w:r>
              <w:rPr>
                <w:rFonts w:ascii="Arial" w:cs="Arial" w:eastAsia="Arial" w:hAnsi="Arial"/>
                <w:sz w:val="16"/>
                <w:szCs w:val="16"/>
                <w:color w:val="auto"/>
              </w:rPr>
              <w:t>Non-cash items</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DCE2E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CE2E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DCE2E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CE2E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DCE2E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43"/>
        </w:trPr>
        <w:tc>
          <w:tcPr>
            <w:tcW w:w="2640" w:type="dxa"/>
            <w:vAlign w:val="bottom"/>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Balance, October 31, 2015</w:t>
            </w:r>
          </w:p>
        </w:tc>
        <w:tc>
          <w:tcPr>
            <w:tcW w:w="320" w:type="dxa"/>
            <w:vAlign w:val="bottom"/>
            <w:shd w:val="clear" w:color="auto" w:fill="DCE2EF"/>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shd w:val="clear" w:color="auto" w:fill="DCE2EF"/>
          </w:tcPr>
          <w:p>
            <w:pPr>
              <w:spacing w:after="0"/>
              <w:rPr>
                <w:sz w:val="21"/>
                <w:szCs w:val="21"/>
                <w:color w:val="auto"/>
              </w:rPr>
            </w:pPr>
          </w:p>
        </w:tc>
        <w:tc>
          <w:tcPr>
            <w:tcW w:w="2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4.3</w:t>
            </w:r>
          </w:p>
        </w:tc>
        <w:tc>
          <w:tcPr>
            <w:tcW w:w="100" w:type="dxa"/>
            <w:vAlign w:val="bottom"/>
            <w:shd w:val="clear" w:color="auto" w:fill="DCE2EF"/>
          </w:tcPr>
          <w:p>
            <w:pPr>
              <w:spacing w:after="0"/>
              <w:rPr>
                <w:sz w:val="21"/>
                <w:szCs w:val="21"/>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shd w:val="clear" w:color="auto" w:fill="DCE2EF"/>
          </w:tcPr>
          <w:p>
            <w:pPr>
              <w:spacing w:after="0"/>
              <w:rPr>
                <w:sz w:val="21"/>
                <w:szCs w:val="21"/>
                <w:color w:val="auto"/>
              </w:rPr>
            </w:pPr>
          </w:p>
        </w:tc>
        <w:tc>
          <w:tcPr>
            <w:tcW w:w="540" w:type="dxa"/>
            <w:vAlign w:val="bottom"/>
            <w:shd w:val="clear" w:color="auto" w:fill="DCE2EF"/>
          </w:tcPr>
          <w:p>
            <w:pPr>
              <w:jc w:val="right"/>
              <w:ind w:right="360"/>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shd w:val="clear" w:color="auto" w:fill="DCE2EF"/>
          </w:tcPr>
          <w:p>
            <w:pPr>
              <w:ind w:left="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DCE2E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
        </w:trPr>
        <w:tc>
          <w:tcPr>
            <w:tcW w:w="40" w:type="dxa"/>
            <w:vAlign w:val="bottom"/>
            <w:tcBorders>
              <w:top w:val="single" w:sz="8" w:color="DCE2EF"/>
            </w:tcBorders>
          </w:tcPr>
          <w:p>
            <w:pPr>
              <w:spacing w:after="0" w:line="20" w:lineRule="exact"/>
              <w:rPr>
                <w:sz w:val="1"/>
                <w:szCs w:val="1"/>
                <w:color w:val="auto"/>
              </w:rPr>
            </w:pPr>
          </w:p>
        </w:tc>
        <w:tc>
          <w:tcPr>
            <w:tcW w:w="700" w:type="dxa"/>
            <w:vAlign w:val="bottom"/>
            <w:tcBorders>
              <w:top w:val="single" w:sz="8" w:color="DCE2EF"/>
            </w:tcBorders>
          </w:tcPr>
          <w:p>
            <w:pPr>
              <w:spacing w:after="0" w:line="20" w:lineRule="exact"/>
              <w:rPr>
                <w:sz w:val="1"/>
                <w:szCs w:val="1"/>
                <w:color w:val="auto"/>
              </w:rPr>
            </w:pPr>
          </w:p>
        </w:tc>
        <w:tc>
          <w:tcPr>
            <w:tcW w:w="1900" w:type="dxa"/>
            <w:vAlign w:val="bottom"/>
            <w:tcBorders>
              <w:top w:val="single" w:sz="8" w:color="DCE2E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tcPr>
          <w:p>
            <w:pPr>
              <w:spacing w:after="0"/>
              <w:rPr>
                <w:sz w:val="19"/>
                <w:szCs w:val="19"/>
                <w:color w:val="auto"/>
              </w:rPr>
            </w:pPr>
          </w:p>
        </w:tc>
        <w:tc>
          <w:tcPr>
            <w:tcW w:w="2600" w:type="dxa"/>
            <w:vAlign w:val="bottom"/>
            <w:gridSpan w:val="2"/>
          </w:tcPr>
          <w:p>
            <w:pPr>
              <w:ind w:left="140"/>
              <w:spacing w:after="0" w:line="224" w:lineRule="exact"/>
              <w:rPr>
                <w:sz w:val="20"/>
                <w:szCs w:val="20"/>
                <w:color w:val="auto"/>
              </w:rPr>
            </w:pPr>
            <w:r>
              <w:rPr>
                <w:rFonts w:ascii="Arial" w:cs="Arial" w:eastAsia="Arial" w:hAnsi="Arial"/>
                <w:sz w:val="16"/>
                <w:szCs w:val="16"/>
                <w:color w:val="auto"/>
              </w:rPr>
              <w:t>Costs recognized</w:t>
            </w:r>
            <w:r>
              <w:rPr>
                <w:rFonts w:ascii="Arial" w:cs="Arial" w:eastAsia="Arial" w:hAnsi="Arial"/>
                <w:sz w:val="21"/>
                <w:szCs w:val="21"/>
                <w:color w:val="auto"/>
                <w:vertAlign w:val="superscript"/>
              </w:rPr>
              <w:t>(1)</w:t>
            </w:r>
          </w:p>
        </w:tc>
        <w:tc>
          <w:tcPr>
            <w:tcW w:w="32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70"/>
        </w:trPr>
        <w:tc>
          <w:tcPr>
            <w:tcW w:w="40" w:type="dxa"/>
            <w:vAlign w:val="bottom"/>
            <w:shd w:val="clear" w:color="auto" w:fill="DCE2EF"/>
          </w:tcPr>
          <w:p>
            <w:pPr>
              <w:spacing w:after="0"/>
              <w:rPr>
                <w:sz w:val="23"/>
                <w:szCs w:val="23"/>
                <w:color w:val="auto"/>
              </w:rPr>
            </w:pPr>
          </w:p>
        </w:tc>
        <w:tc>
          <w:tcPr>
            <w:tcW w:w="2600" w:type="dxa"/>
            <w:vAlign w:val="bottom"/>
            <w:gridSpan w:val="2"/>
            <w:shd w:val="clear" w:color="auto" w:fill="DCE2EF"/>
          </w:tcPr>
          <w:p>
            <w:pPr>
              <w:ind w:left="140"/>
              <w:spacing w:after="0"/>
              <w:rPr>
                <w:sz w:val="20"/>
                <w:szCs w:val="20"/>
                <w:color w:val="auto"/>
              </w:rPr>
            </w:pPr>
            <w:r>
              <w:rPr>
                <w:rFonts w:ascii="Arial" w:cs="Arial" w:eastAsia="Arial" w:hAnsi="Arial"/>
                <w:sz w:val="16"/>
                <w:szCs w:val="16"/>
                <w:color w:val="auto"/>
              </w:rPr>
              <w:t>Payments</w:t>
            </w:r>
          </w:p>
        </w:tc>
        <w:tc>
          <w:tcPr>
            <w:tcW w:w="320" w:type="dxa"/>
            <w:vAlign w:val="bottom"/>
            <w:shd w:val="clear" w:color="auto" w:fill="DCE2EF"/>
          </w:tcPr>
          <w:p>
            <w:pPr>
              <w:spacing w:after="0"/>
              <w:rPr>
                <w:sz w:val="23"/>
                <w:szCs w:val="23"/>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(12.2)</w:t>
            </w:r>
          </w:p>
        </w:tc>
        <w:tc>
          <w:tcPr>
            <w:tcW w:w="120" w:type="dxa"/>
            <w:vAlign w:val="bottom"/>
            <w:shd w:val="clear" w:color="auto" w:fill="DCE2EF"/>
          </w:tcPr>
          <w:p>
            <w:pPr>
              <w:spacing w:after="0"/>
              <w:rPr>
                <w:sz w:val="23"/>
                <w:szCs w:val="23"/>
                <w:color w:val="auto"/>
              </w:rPr>
            </w:pPr>
          </w:p>
        </w:tc>
        <w:tc>
          <w:tcPr>
            <w:tcW w:w="220" w:type="dxa"/>
            <w:vAlign w:val="bottom"/>
            <w:shd w:val="clear" w:color="auto" w:fill="DCE2EF"/>
          </w:tcPr>
          <w:p>
            <w:pPr>
              <w:spacing w:after="0"/>
              <w:rPr>
                <w:sz w:val="23"/>
                <w:szCs w:val="23"/>
                <w:color w:val="auto"/>
              </w:rPr>
            </w:pPr>
          </w:p>
        </w:tc>
        <w:tc>
          <w:tcPr>
            <w:tcW w:w="11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DCE2EF"/>
          </w:tcPr>
          <w:p>
            <w:pPr>
              <w:spacing w:after="0"/>
              <w:rPr>
                <w:sz w:val="23"/>
                <w:szCs w:val="23"/>
                <w:color w:val="auto"/>
              </w:rPr>
            </w:pPr>
          </w:p>
        </w:tc>
        <w:tc>
          <w:tcPr>
            <w:tcW w:w="160" w:type="dxa"/>
            <w:vAlign w:val="bottom"/>
            <w:shd w:val="clear" w:color="auto" w:fill="DCE2EF"/>
          </w:tcPr>
          <w:p>
            <w:pPr>
              <w:spacing w:after="0"/>
              <w:rPr>
                <w:sz w:val="23"/>
                <w:szCs w:val="23"/>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DCE2EF"/>
          </w:tcPr>
          <w:p>
            <w:pPr>
              <w:spacing w:after="0"/>
              <w:rPr>
                <w:sz w:val="23"/>
                <w:szCs w:val="23"/>
                <w:color w:val="auto"/>
              </w:rPr>
            </w:pPr>
          </w:p>
        </w:tc>
        <w:tc>
          <w:tcPr>
            <w:tcW w:w="540" w:type="dxa"/>
            <w:vAlign w:val="bottom"/>
            <w:shd w:val="clear" w:color="auto" w:fill="DCE2EF"/>
          </w:tcPr>
          <w:p>
            <w:pPr>
              <w:spacing w:after="0"/>
              <w:rPr>
                <w:sz w:val="23"/>
                <w:szCs w:val="23"/>
                <w:color w:val="auto"/>
              </w:rPr>
            </w:pPr>
          </w:p>
        </w:tc>
        <w:tc>
          <w:tcPr>
            <w:tcW w:w="8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DCE2EF"/>
          </w:tcPr>
          <w:p>
            <w:pPr>
              <w:spacing w:after="0"/>
              <w:rPr>
                <w:sz w:val="23"/>
                <w:szCs w:val="23"/>
                <w:color w:val="auto"/>
              </w:rPr>
            </w:pPr>
          </w:p>
        </w:tc>
        <w:tc>
          <w:tcPr>
            <w:tcW w:w="560" w:type="dxa"/>
            <w:vAlign w:val="bottom"/>
            <w:shd w:val="clear" w:color="auto" w:fill="DCE2EF"/>
          </w:tcPr>
          <w:p>
            <w:pPr>
              <w:spacing w:after="0"/>
              <w:rPr>
                <w:sz w:val="23"/>
                <w:szCs w:val="23"/>
                <w:color w:val="auto"/>
              </w:rPr>
            </w:pPr>
          </w:p>
        </w:tc>
        <w:tc>
          <w:tcPr>
            <w:tcW w:w="92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DCE2EF"/>
          </w:tcPr>
          <w:p>
            <w:pPr>
              <w:spacing w:after="0"/>
              <w:rPr>
                <w:sz w:val="23"/>
                <w:szCs w:val="23"/>
                <w:color w:val="auto"/>
              </w:rPr>
            </w:pPr>
          </w:p>
        </w:tc>
        <w:tc>
          <w:tcPr>
            <w:tcW w:w="10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264"/>
        </w:trPr>
        <w:tc>
          <w:tcPr>
            <w:tcW w:w="40" w:type="dxa"/>
            <w:vAlign w:val="bottom"/>
            <w:tcBorders>
              <w:bottom w:val="single" w:sz="8" w:color="DCE2EF"/>
            </w:tcBorders>
          </w:tcPr>
          <w:p>
            <w:pPr>
              <w:spacing w:after="0"/>
              <w:rPr>
                <w:sz w:val="22"/>
                <w:szCs w:val="22"/>
                <w:color w:val="auto"/>
              </w:rPr>
            </w:pPr>
          </w:p>
        </w:tc>
        <w:tc>
          <w:tcPr>
            <w:tcW w:w="2600" w:type="dxa"/>
            <w:vAlign w:val="bottom"/>
            <w:tcBorders>
              <w:bottom w:val="single" w:sz="8" w:color="DCE2EF"/>
            </w:tcBorders>
            <w:gridSpan w:val="2"/>
          </w:tcPr>
          <w:p>
            <w:pPr>
              <w:ind w:left="140"/>
              <w:spacing w:after="0"/>
              <w:rPr>
                <w:sz w:val="20"/>
                <w:szCs w:val="20"/>
                <w:color w:val="auto"/>
              </w:rPr>
            </w:pPr>
            <w:r>
              <w:rPr>
                <w:rFonts w:ascii="Arial" w:cs="Arial" w:eastAsia="Arial" w:hAnsi="Arial"/>
                <w:sz w:val="16"/>
                <w:szCs w:val="16"/>
                <w:color w:val="auto"/>
              </w:rPr>
              <w:t>Non-cash items</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DCE2E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CE2E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DCE2E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DCE2E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DCE2E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43"/>
        </w:trPr>
        <w:tc>
          <w:tcPr>
            <w:tcW w:w="2640" w:type="dxa"/>
            <w:vAlign w:val="bottom"/>
            <w:tcBorders>
              <w:bottom w:val="single" w:sz="8" w:color="DCE2EF"/>
            </w:tcBorders>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Balance, October 31, 2016</w:t>
            </w:r>
          </w:p>
        </w:tc>
        <w:tc>
          <w:tcPr>
            <w:tcW w:w="320" w:type="dxa"/>
            <w:vAlign w:val="bottom"/>
            <w:tcBorders>
              <w:bottom w:val="single" w:sz="8" w:color="auto"/>
            </w:tcBorders>
            <w:shd w:val="clear" w:color="auto" w:fill="DCE2EF"/>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DCE2EF"/>
            </w:tcBorders>
            <w:shd w:val="clear" w:color="auto" w:fill="DCE2EF"/>
          </w:tcPr>
          <w:p>
            <w:pPr>
              <w:spacing w:after="0"/>
              <w:rPr>
                <w:sz w:val="21"/>
                <w:szCs w:val="21"/>
                <w:color w:val="auto"/>
              </w:rPr>
            </w:pPr>
          </w:p>
        </w:tc>
        <w:tc>
          <w:tcPr>
            <w:tcW w:w="22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DCE2EF"/>
            </w:tcBorders>
            <w:shd w:val="clear" w:color="auto" w:fill="DCE2EF"/>
          </w:tcPr>
          <w:p>
            <w:pPr>
              <w:spacing w:after="0"/>
              <w:rPr>
                <w:sz w:val="21"/>
                <w:szCs w:val="21"/>
                <w:color w:val="auto"/>
              </w:rPr>
            </w:pPr>
          </w:p>
        </w:tc>
        <w:tc>
          <w:tcPr>
            <w:tcW w:w="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DCE2EF"/>
            </w:tcBorders>
            <w:shd w:val="clear" w:color="auto" w:fill="DCE2EF"/>
          </w:tcPr>
          <w:p>
            <w:pPr>
              <w:spacing w:after="0"/>
              <w:rPr>
                <w:sz w:val="21"/>
                <w:szCs w:val="21"/>
                <w:color w:val="auto"/>
              </w:rPr>
            </w:pPr>
          </w:p>
        </w:tc>
        <w:tc>
          <w:tcPr>
            <w:tcW w:w="540" w:type="dxa"/>
            <w:vAlign w:val="bottom"/>
            <w:tcBorders>
              <w:bottom w:val="single" w:sz="8" w:color="auto"/>
            </w:tcBorders>
            <w:shd w:val="clear" w:color="auto" w:fill="DCE2EF"/>
          </w:tcPr>
          <w:p>
            <w:pPr>
              <w:jc w:val="right"/>
              <w:ind w:right="36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DCE2EF"/>
            </w:tcBorders>
            <w:shd w:val="clear" w:color="auto" w:fill="DCE2EF"/>
          </w:tcPr>
          <w:p>
            <w:pPr>
              <w:spacing w:after="0"/>
              <w:rPr>
                <w:sz w:val="21"/>
                <w:szCs w:val="21"/>
                <w:color w:val="auto"/>
              </w:rPr>
            </w:pPr>
          </w:p>
        </w:tc>
        <w:tc>
          <w:tcPr>
            <w:tcW w:w="560" w:type="dxa"/>
            <w:vAlign w:val="bottom"/>
            <w:tcBorders>
              <w:bottom w:val="single" w:sz="8" w:color="auto"/>
            </w:tcBorders>
            <w:shd w:val="clear" w:color="auto" w:fill="DCE2EF"/>
          </w:tcPr>
          <w:p>
            <w:pPr>
              <w:ind w:left="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DCE2EF"/>
            </w:tcBorders>
            <w:shd w:val="clear" w:color="auto" w:fill="DCE2EF"/>
          </w:tcPr>
          <w:p>
            <w:pPr>
              <w:spacing w:after="0"/>
              <w:rPr>
                <w:sz w:val="21"/>
                <w:szCs w:val="21"/>
                <w:color w:val="auto"/>
              </w:rPr>
            </w:pPr>
          </w:p>
        </w:tc>
        <w:tc>
          <w:tcPr>
            <w:tcW w:w="300" w:type="dxa"/>
            <w:vAlign w:val="bottom"/>
            <w:tcBorders>
              <w:bottom w:val="single" w:sz="8" w:color="auto"/>
            </w:tcBorders>
            <w:shd w:val="clear" w:color="auto" w:fill="DCE2E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tcPr>
          <w:p>
            <w:pPr>
              <w:spacing w:after="0"/>
              <w:rPr>
                <w:sz w:val="19"/>
                <w:szCs w:val="19"/>
                <w:color w:val="auto"/>
              </w:rPr>
            </w:pPr>
          </w:p>
        </w:tc>
        <w:tc>
          <w:tcPr>
            <w:tcW w:w="2600" w:type="dxa"/>
            <w:vAlign w:val="bottom"/>
            <w:gridSpan w:val="2"/>
          </w:tcPr>
          <w:p>
            <w:pPr>
              <w:ind w:left="140"/>
              <w:spacing w:after="0" w:line="224" w:lineRule="exact"/>
              <w:rPr>
                <w:sz w:val="20"/>
                <w:szCs w:val="20"/>
                <w:color w:val="auto"/>
              </w:rPr>
            </w:pPr>
            <w:r>
              <w:rPr>
                <w:rFonts w:ascii="Arial" w:cs="Arial" w:eastAsia="Arial" w:hAnsi="Arial"/>
                <w:sz w:val="16"/>
                <w:szCs w:val="16"/>
                <w:color w:val="auto"/>
              </w:rPr>
              <w:t>Costs recognized</w:t>
            </w:r>
            <w:r>
              <w:rPr>
                <w:rFonts w:ascii="Arial" w:cs="Arial" w:eastAsia="Arial" w:hAnsi="Arial"/>
                <w:sz w:val="21"/>
                <w:szCs w:val="21"/>
                <w:color w:val="auto"/>
                <w:vertAlign w:val="superscript"/>
              </w:rPr>
              <w:t>(1)</w:t>
            </w:r>
          </w:p>
        </w:tc>
        <w:tc>
          <w:tcPr>
            <w:tcW w:w="32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70"/>
        </w:trPr>
        <w:tc>
          <w:tcPr>
            <w:tcW w:w="40" w:type="dxa"/>
            <w:vAlign w:val="bottom"/>
            <w:shd w:val="clear" w:color="auto" w:fill="DCE2EF"/>
          </w:tcPr>
          <w:p>
            <w:pPr>
              <w:spacing w:after="0"/>
              <w:rPr>
                <w:sz w:val="23"/>
                <w:szCs w:val="23"/>
                <w:color w:val="auto"/>
              </w:rPr>
            </w:pPr>
          </w:p>
        </w:tc>
        <w:tc>
          <w:tcPr>
            <w:tcW w:w="2600" w:type="dxa"/>
            <w:vAlign w:val="bottom"/>
            <w:gridSpan w:val="2"/>
            <w:shd w:val="clear" w:color="auto" w:fill="DCE2EF"/>
          </w:tcPr>
          <w:p>
            <w:pPr>
              <w:ind w:left="140"/>
              <w:spacing w:after="0"/>
              <w:rPr>
                <w:sz w:val="20"/>
                <w:szCs w:val="20"/>
                <w:color w:val="auto"/>
              </w:rPr>
            </w:pPr>
            <w:r>
              <w:rPr>
                <w:rFonts w:ascii="Arial" w:cs="Arial" w:eastAsia="Arial" w:hAnsi="Arial"/>
                <w:sz w:val="16"/>
                <w:szCs w:val="16"/>
                <w:color w:val="auto"/>
              </w:rPr>
              <w:t>Payments</w:t>
            </w:r>
          </w:p>
        </w:tc>
        <w:tc>
          <w:tcPr>
            <w:tcW w:w="320" w:type="dxa"/>
            <w:vAlign w:val="bottom"/>
            <w:shd w:val="clear" w:color="auto" w:fill="DCE2EF"/>
          </w:tcPr>
          <w:p>
            <w:pPr>
              <w:spacing w:after="0"/>
              <w:rPr>
                <w:sz w:val="23"/>
                <w:szCs w:val="23"/>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(10.8)</w:t>
            </w:r>
          </w:p>
        </w:tc>
        <w:tc>
          <w:tcPr>
            <w:tcW w:w="120" w:type="dxa"/>
            <w:vAlign w:val="bottom"/>
            <w:shd w:val="clear" w:color="auto" w:fill="DCE2EF"/>
          </w:tcPr>
          <w:p>
            <w:pPr>
              <w:spacing w:after="0"/>
              <w:rPr>
                <w:sz w:val="23"/>
                <w:szCs w:val="23"/>
                <w:color w:val="auto"/>
              </w:rPr>
            </w:pPr>
          </w:p>
        </w:tc>
        <w:tc>
          <w:tcPr>
            <w:tcW w:w="220" w:type="dxa"/>
            <w:vAlign w:val="bottom"/>
            <w:shd w:val="clear" w:color="auto" w:fill="DCE2EF"/>
          </w:tcPr>
          <w:p>
            <w:pPr>
              <w:spacing w:after="0"/>
              <w:rPr>
                <w:sz w:val="23"/>
                <w:szCs w:val="23"/>
                <w:color w:val="auto"/>
              </w:rPr>
            </w:pPr>
          </w:p>
        </w:tc>
        <w:tc>
          <w:tcPr>
            <w:tcW w:w="11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DCE2EF"/>
          </w:tcPr>
          <w:p>
            <w:pPr>
              <w:spacing w:after="0"/>
              <w:rPr>
                <w:sz w:val="23"/>
                <w:szCs w:val="23"/>
                <w:color w:val="auto"/>
              </w:rPr>
            </w:pPr>
          </w:p>
        </w:tc>
        <w:tc>
          <w:tcPr>
            <w:tcW w:w="160" w:type="dxa"/>
            <w:vAlign w:val="bottom"/>
            <w:shd w:val="clear" w:color="auto" w:fill="DCE2EF"/>
          </w:tcPr>
          <w:p>
            <w:pPr>
              <w:spacing w:after="0"/>
              <w:rPr>
                <w:sz w:val="23"/>
                <w:szCs w:val="23"/>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(5.8)</w:t>
            </w:r>
          </w:p>
        </w:tc>
        <w:tc>
          <w:tcPr>
            <w:tcW w:w="120" w:type="dxa"/>
            <w:vAlign w:val="bottom"/>
            <w:shd w:val="clear" w:color="auto" w:fill="DCE2EF"/>
          </w:tcPr>
          <w:p>
            <w:pPr>
              <w:spacing w:after="0"/>
              <w:rPr>
                <w:sz w:val="23"/>
                <w:szCs w:val="23"/>
                <w:color w:val="auto"/>
              </w:rPr>
            </w:pPr>
          </w:p>
        </w:tc>
        <w:tc>
          <w:tcPr>
            <w:tcW w:w="540" w:type="dxa"/>
            <w:vAlign w:val="bottom"/>
            <w:shd w:val="clear" w:color="auto" w:fill="DCE2EF"/>
          </w:tcPr>
          <w:p>
            <w:pPr>
              <w:spacing w:after="0"/>
              <w:rPr>
                <w:sz w:val="23"/>
                <w:szCs w:val="23"/>
                <w:color w:val="auto"/>
              </w:rPr>
            </w:pPr>
          </w:p>
        </w:tc>
        <w:tc>
          <w:tcPr>
            <w:tcW w:w="8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DCE2EF"/>
          </w:tcPr>
          <w:p>
            <w:pPr>
              <w:spacing w:after="0"/>
              <w:rPr>
                <w:sz w:val="23"/>
                <w:szCs w:val="23"/>
                <w:color w:val="auto"/>
              </w:rPr>
            </w:pPr>
          </w:p>
        </w:tc>
        <w:tc>
          <w:tcPr>
            <w:tcW w:w="560" w:type="dxa"/>
            <w:vAlign w:val="bottom"/>
            <w:shd w:val="clear" w:color="auto" w:fill="DCE2EF"/>
          </w:tcPr>
          <w:p>
            <w:pPr>
              <w:spacing w:after="0"/>
              <w:rPr>
                <w:sz w:val="23"/>
                <w:szCs w:val="23"/>
                <w:color w:val="auto"/>
              </w:rPr>
            </w:pPr>
          </w:p>
        </w:tc>
        <w:tc>
          <w:tcPr>
            <w:tcW w:w="92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DCE2EF"/>
          </w:tcPr>
          <w:p>
            <w:pPr>
              <w:spacing w:after="0"/>
              <w:rPr>
                <w:sz w:val="23"/>
                <w:szCs w:val="23"/>
                <w:color w:val="auto"/>
              </w:rPr>
            </w:pPr>
          </w:p>
        </w:tc>
        <w:tc>
          <w:tcPr>
            <w:tcW w:w="10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64"/>
        </w:trPr>
        <w:tc>
          <w:tcPr>
            <w:tcW w:w="40" w:type="dxa"/>
            <w:vAlign w:val="bottom"/>
            <w:tcBorders>
              <w:bottom w:val="single" w:sz="8" w:color="DCE2EF"/>
            </w:tcBorders>
          </w:tcPr>
          <w:p>
            <w:pPr>
              <w:spacing w:after="0"/>
              <w:rPr>
                <w:sz w:val="22"/>
                <w:szCs w:val="22"/>
                <w:color w:val="auto"/>
              </w:rPr>
            </w:pPr>
          </w:p>
        </w:tc>
        <w:tc>
          <w:tcPr>
            <w:tcW w:w="2600" w:type="dxa"/>
            <w:vAlign w:val="bottom"/>
            <w:tcBorders>
              <w:bottom w:val="single" w:sz="8" w:color="DCE2EF"/>
            </w:tcBorders>
            <w:gridSpan w:val="2"/>
          </w:tcPr>
          <w:p>
            <w:pPr>
              <w:ind w:left="140"/>
              <w:spacing w:after="0"/>
              <w:rPr>
                <w:sz w:val="20"/>
                <w:szCs w:val="20"/>
                <w:color w:val="auto"/>
              </w:rPr>
            </w:pPr>
            <w:r>
              <w:rPr>
                <w:rFonts w:ascii="Arial" w:cs="Arial" w:eastAsia="Arial" w:hAnsi="Arial"/>
                <w:sz w:val="16"/>
                <w:szCs w:val="16"/>
                <w:color w:val="auto"/>
              </w:rPr>
              <w:t>Non-cash items</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DCE2E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CE2E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DCE2E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DCE2E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DCE2E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43"/>
        </w:trPr>
        <w:tc>
          <w:tcPr>
            <w:tcW w:w="2640" w:type="dxa"/>
            <w:vAlign w:val="bottom"/>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Balance, October 31, 2017</w:t>
            </w:r>
          </w:p>
        </w:tc>
        <w:tc>
          <w:tcPr>
            <w:tcW w:w="320" w:type="dxa"/>
            <w:vAlign w:val="bottom"/>
            <w:shd w:val="clear" w:color="auto" w:fill="DCE2EF"/>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shd w:val="clear" w:color="auto" w:fill="DCE2EF"/>
          </w:tcPr>
          <w:p>
            <w:pPr>
              <w:spacing w:after="0"/>
              <w:rPr>
                <w:sz w:val="21"/>
                <w:szCs w:val="21"/>
                <w:color w:val="auto"/>
              </w:rPr>
            </w:pPr>
          </w:p>
        </w:tc>
        <w:tc>
          <w:tcPr>
            <w:tcW w:w="2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shd w:val="clear" w:color="auto" w:fill="DCE2EF"/>
          </w:tcPr>
          <w:p>
            <w:pPr>
              <w:spacing w:after="0"/>
              <w:rPr>
                <w:sz w:val="21"/>
                <w:szCs w:val="21"/>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0.4</w:t>
            </w:r>
          </w:p>
        </w:tc>
        <w:tc>
          <w:tcPr>
            <w:tcW w:w="120" w:type="dxa"/>
            <w:vAlign w:val="bottom"/>
            <w:shd w:val="clear" w:color="auto" w:fill="DCE2EF"/>
          </w:tcPr>
          <w:p>
            <w:pPr>
              <w:spacing w:after="0"/>
              <w:rPr>
                <w:sz w:val="21"/>
                <w:szCs w:val="21"/>
                <w:color w:val="auto"/>
              </w:rPr>
            </w:pPr>
          </w:p>
        </w:tc>
        <w:tc>
          <w:tcPr>
            <w:tcW w:w="540" w:type="dxa"/>
            <w:vAlign w:val="bottom"/>
            <w:shd w:val="clear" w:color="auto" w:fill="DCE2EF"/>
          </w:tcPr>
          <w:p>
            <w:pPr>
              <w:jc w:val="right"/>
              <w:ind w:right="360"/>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shd w:val="clear" w:color="auto" w:fill="DCE2EF"/>
          </w:tcPr>
          <w:p>
            <w:pPr>
              <w:spacing w:after="0"/>
              <w:rPr>
                <w:sz w:val="21"/>
                <w:szCs w:val="21"/>
                <w:color w:val="auto"/>
              </w:rPr>
            </w:pPr>
          </w:p>
        </w:tc>
        <w:tc>
          <w:tcPr>
            <w:tcW w:w="560" w:type="dxa"/>
            <w:vAlign w:val="bottom"/>
            <w:shd w:val="clear" w:color="auto" w:fill="DCE2EF"/>
          </w:tcPr>
          <w:p>
            <w:pPr>
              <w:ind w:left="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DCE2E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0"/>
        </w:trPr>
        <w:tc>
          <w:tcPr>
            <w:tcW w:w="40" w:type="dxa"/>
            <w:vAlign w:val="bottom"/>
            <w:tcBorders>
              <w:top w:val="single" w:sz="8" w:color="DCE2EF"/>
            </w:tcBorders>
          </w:tcPr>
          <w:p>
            <w:pPr>
              <w:spacing w:after="0" w:line="20" w:lineRule="exact"/>
              <w:rPr>
                <w:sz w:val="1"/>
                <w:szCs w:val="1"/>
                <w:color w:val="auto"/>
              </w:rPr>
            </w:pPr>
          </w:p>
        </w:tc>
        <w:tc>
          <w:tcPr>
            <w:tcW w:w="700" w:type="dxa"/>
            <w:vAlign w:val="bottom"/>
            <w:tcBorders>
              <w:top w:val="single" w:sz="8" w:color="DCE2EF"/>
            </w:tcBorders>
          </w:tcPr>
          <w:p>
            <w:pPr>
              <w:spacing w:after="0" w:line="20" w:lineRule="exact"/>
              <w:rPr>
                <w:sz w:val="1"/>
                <w:szCs w:val="1"/>
                <w:color w:val="auto"/>
              </w:rPr>
            </w:pPr>
          </w:p>
        </w:tc>
        <w:tc>
          <w:tcPr>
            <w:tcW w:w="1900" w:type="dxa"/>
            <w:vAlign w:val="bottom"/>
            <w:tcBorders>
              <w:top w:val="single" w:sz="8" w:color="DCE2E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tcPr>
          <w:p>
            <w:pPr>
              <w:spacing w:after="0"/>
              <w:rPr>
                <w:sz w:val="19"/>
                <w:szCs w:val="19"/>
                <w:color w:val="auto"/>
              </w:rPr>
            </w:pPr>
          </w:p>
        </w:tc>
        <w:tc>
          <w:tcPr>
            <w:tcW w:w="2600" w:type="dxa"/>
            <w:vAlign w:val="bottom"/>
            <w:gridSpan w:val="2"/>
          </w:tcPr>
          <w:p>
            <w:pPr>
              <w:ind w:left="140"/>
              <w:spacing w:after="0" w:line="224" w:lineRule="exact"/>
              <w:rPr>
                <w:sz w:val="20"/>
                <w:szCs w:val="20"/>
                <w:color w:val="auto"/>
              </w:rPr>
            </w:pPr>
            <w:r>
              <w:rPr>
                <w:rFonts w:ascii="Arial" w:cs="Arial" w:eastAsia="Arial" w:hAnsi="Arial"/>
                <w:sz w:val="16"/>
                <w:szCs w:val="16"/>
                <w:color w:val="auto"/>
              </w:rPr>
              <w:t>Costs recognized</w:t>
            </w:r>
            <w:r>
              <w:rPr>
                <w:rFonts w:ascii="Arial" w:cs="Arial" w:eastAsia="Arial" w:hAnsi="Arial"/>
                <w:sz w:val="21"/>
                <w:szCs w:val="21"/>
                <w:color w:val="auto"/>
                <w:vertAlign w:val="superscript"/>
              </w:rPr>
              <w:t>(1)</w:t>
            </w:r>
          </w:p>
        </w:tc>
        <w:tc>
          <w:tcPr>
            <w:tcW w:w="32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270"/>
        </w:trPr>
        <w:tc>
          <w:tcPr>
            <w:tcW w:w="40" w:type="dxa"/>
            <w:vAlign w:val="bottom"/>
            <w:shd w:val="clear" w:color="auto" w:fill="DCE2EF"/>
          </w:tcPr>
          <w:p>
            <w:pPr>
              <w:spacing w:after="0"/>
              <w:rPr>
                <w:sz w:val="23"/>
                <w:szCs w:val="23"/>
                <w:color w:val="auto"/>
              </w:rPr>
            </w:pPr>
          </w:p>
        </w:tc>
        <w:tc>
          <w:tcPr>
            <w:tcW w:w="2600" w:type="dxa"/>
            <w:vAlign w:val="bottom"/>
            <w:gridSpan w:val="2"/>
            <w:shd w:val="clear" w:color="auto" w:fill="DCE2EF"/>
          </w:tcPr>
          <w:p>
            <w:pPr>
              <w:ind w:left="140"/>
              <w:spacing w:after="0"/>
              <w:rPr>
                <w:sz w:val="20"/>
                <w:szCs w:val="20"/>
                <w:color w:val="auto"/>
              </w:rPr>
            </w:pPr>
            <w:r>
              <w:rPr>
                <w:rFonts w:ascii="Arial" w:cs="Arial" w:eastAsia="Arial" w:hAnsi="Arial"/>
                <w:sz w:val="16"/>
                <w:szCs w:val="16"/>
                <w:color w:val="auto"/>
              </w:rPr>
              <w:t>Payments</w:t>
            </w:r>
          </w:p>
        </w:tc>
        <w:tc>
          <w:tcPr>
            <w:tcW w:w="320" w:type="dxa"/>
            <w:vAlign w:val="bottom"/>
            <w:shd w:val="clear" w:color="auto" w:fill="DCE2EF"/>
          </w:tcPr>
          <w:p>
            <w:pPr>
              <w:spacing w:after="0"/>
              <w:rPr>
                <w:sz w:val="23"/>
                <w:szCs w:val="23"/>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(6.5)</w:t>
            </w:r>
          </w:p>
        </w:tc>
        <w:tc>
          <w:tcPr>
            <w:tcW w:w="120" w:type="dxa"/>
            <w:vAlign w:val="bottom"/>
            <w:shd w:val="clear" w:color="auto" w:fill="DCE2EF"/>
          </w:tcPr>
          <w:p>
            <w:pPr>
              <w:spacing w:after="0"/>
              <w:rPr>
                <w:sz w:val="23"/>
                <w:szCs w:val="23"/>
                <w:color w:val="auto"/>
              </w:rPr>
            </w:pPr>
          </w:p>
        </w:tc>
        <w:tc>
          <w:tcPr>
            <w:tcW w:w="220" w:type="dxa"/>
            <w:vAlign w:val="bottom"/>
            <w:shd w:val="clear" w:color="auto" w:fill="DCE2EF"/>
          </w:tcPr>
          <w:p>
            <w:pPr>
              <w:spacing w:after="0"/>
              <w:rPr>
                <w:sz w:val="23"/>
                <w:szCs w:val="23"/>
                <w:color w:val="auto"/>
              </w:rPr>
            </w:pPr>
          </w:p>
        </w:tc>
        <w:tc>
          <w:tcPr>
            <w:tcW w:w="11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DCE2EF"/>
          </w:tcPr>
          <w:p>
            <w:pPr>
              <w:spacing w:after="0"/>
              <w:rPr>
                <w:sz w:val="23"/>
                <w:szCs w:val="23"/>
                <w:color w:val="auto"/>
              </w:rPr>
            </w:pPr>
          </w:p>
        </w:tc>
        <w:tc>
          <w:tcPr>
            <w:tcW w:w="160" w:type="dxa"/>
            <w:vAlign w:val="bottom"/>
            <w:shd w:val="clear" w:color="auto" w:fill="DCE2EF"/>
          </w:tcPr>
          <w:p>
            <w:pPr>
              <w:spacing w:after="0"/>
              <w:rPr>
                <w:sz w:val="23"/>
                <w:szCs w:val="23"/>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(6.7)</w:t>
            </w:r>
          </w:p>
        </w:tc>
        <w:tc>
          <w:tcPr>
            <w:tcW w:w="120" w:type="dxa"/>
            <w:vAlign w:val="bottom"/>
            <w:shd w:val="clear" w:color="auto" w:fill="DCE2EF"/>
          </w:tcPr>
          <w:p>
            <w:pPr>
              <w:spacing w:after="0"/>
              <w:rPr>
                <w:sz w:val="23"/>
                <w:szCs w:val="23"/>
                <w:color w:val="auto"/>
              </w:rPr>
            </w:pPr>
          </w:p>
        </w:tc>
        <w:tc>
          <w:tcPr>
            <w:tcW w:w="540" w:type="dxa"/>
            <w:vAlign w:val="bottom"/>
            <w:shd w:val="clear" w:color="auto" w:fill="DCE2EF"/>
          </w:tcPr>
          <w:p>
            <w:pPr>
              <w:spacing w:after="0"/>
              <w:rPr>
                <w:sz w:val="23"/>
                <w:szCs w:val="23"/>
                <w:color w:val="auto"/>
              </w:rPr>
            </w:pPr>
          </w:p>
        </w:tc>
        <w:tc>
          <w:tcPr>
            <w:tcW w:w="8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DCE2EF"/>
          </w:tcPr>
          <w:p>
            <w:pPr>
              <w:spacing w:after="0"/>
              <w:rPr>
                <w:sz w:val="23"/>
                <w:szCs w:val="23"/>
                <w:color w:val="auto"/>
              </w:rPr>
            </w:pPr>
          </w:p>
        </w:tc>
        <w:tc>
          <w:tcPr>
            <w:tcW w:w="560" w:type="dxa"/>
            <w:vAlign w:val="bottom"/>
            <w:shd w:val="clear" w:color="auto" w:fill="DCE2EF"/>
          </w:tcPr>
          <w:p>
            <w:pPr>
              <w:spacing w:after="0"/>
              <w:rPr>
                <w:sz w:val="23"/>
                <w:szCs w:val="23"/>
                <w:color w:val="auto"/>
              </w:rPr>
            </w:pPr>
          </w:p>
        </w:tc>
        <w:tc>
          <w:tcPr>
            <w:tcW w:w="92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DCE2EF"/>
          </w:tcPr>
          <w:p>
            <w:pPr>
              <w:spacing w:after="0"/>
              <w:rPr>
                <w:sz w:val="23"/>
                <w:szCs w:val="23"/>
                <w:color w:val="auto"/>
              </w:rPr>
            </w:pPr>
          </w:p>
        </w:tc>
        <w:tc>
          <w:tcPr>
            <w:tcW w:w="10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64"/>
        </w:trPr>
        <w:tc>
          <w:tcPr>
            <w:tcW w:w="40" w:type="dxa"/>
            <w:vAlign w:val="bottom"/>
            <w:tcBorders>
              <w:bottom w:val="single" w:sz="8" w:color="DCE2EF"/>
            </w:tcBorders>
          </w:tcPr>
          <w:p>
            <w:pPr>
              <w:spacing w:after="0"/>
              <w:rPr>
                <w:sz w:val="22"/>
                <w:szCs w:val="22"/>
                <w:color w:val="auto"/>
              </w:rPr>
            </w:pPr>
          </w:p>
        </w:tc>
        <w:tc>
          <w:tcPr>
            <w:tcW w:w="2600" w:type="dxa"/>
            <w:vAlign w:val="bottom"/>
            <w:tcBorders>
              <w:bottom w:val="single" w:sz="8" w:color="DCE2EF"/>
            </w:tcBorders>
            <w:gridSpan w:val="2"/>
          </w:tcPr>
          <w:p>
            <w:pPr>
              <w:ind w:left="140"/>
              <w:spacing w:after="0"/>
              <w:rPr>
                <w:sz w:val="20"/>
                <w:szCs w:val="20"/>
                <w:color w:val="auto"/>
              </w:rPr>
            </w:pPr>
            <w:r>
              <w:rPr>
                <w:rFonts w:ascii="Arial" w:cs="Arial" w:eastAsia="Arial" w:hAnsi="Arial"/>
                <w:sz w:val="16"/>
                <w:szCs w:val="16"/>
                <w:color w:val="auto"/>
              </w:rPr>
              <w:t>Non-cash items</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DCE2E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CE2E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DCE2E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DCE2E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DCE2E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43"/>
        </w:trPr>
        <w:tc>
          <w:tcPr>
            <w:tcW w:w="2640" w:type="dxa"/>
            <w:vAlign w:val="bottom"/>
            <w:tcBorders>
              <w:bottom w:val="single" w:sz="8" w:color="DCE2EF"/>
            </w:tcBorders>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Balance, October 31, 2018</w:t>
            </w:r>
          </w:p>
        </w:tc>
        <w:tc>
          <w:tcPr>
            <w:tcW w:w="320" w:type="dxa"/>
            <w:vAlign w:val="bottom"/>
            <w:tcBorders>
              <w:bottom w:val="single" w:sz="8" w:color="auto"/>
            </w:tcBorders>
            <w:shd w:val="clear" w:color="auto" w:fill="DCE2EF"/>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DCE2EF"/>
            </w:tcBorders>
            <w:shd w:val="clear" w:color="auto" w:fill="DCE2EF"/>
          </w:tcPr>
          <w:p>
            <w:pPr>
              <w:spacing w:after="0"/>
              <w:rPr>
                <w:sz w:val="21"/>
                <w:szCs w:val="21"/>
                <w:color w:val="auto"/>
              </w:rPr>
            </w:pPr>
          </w:p>
        </w:tc>
        <w:tc>
          <w:tcPr>
            <w:tcW w:w="22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DCE2EF"/>
            </w:tcBorders>
            <w:shd w:val="clear" w:color="auto" w:fill="DCE2EF"/>
          </w:tcPr>
          <w:p>
            <w:pPr>
              <w:spacing w:after="0"/>
              <w:rPr>
                <w:sz w:val="21"/>
                <w:szCs w:val="21"/>
                <w:color w:val="auto"/>
              </w:rPr>
            </w:pPr>
          </w:p>
        </w:tc>
        <w:tc>
          <w:tcPr>
            <w:tcW w:w="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DCE2EF"/>
            </w:tcBorders>
            <w:shd w:val="clear" w:color="auto" w:fill="DCE2EF"/>
          </w:tcPr>
          <w:p>
            <w:pPr>
              <w:spacing w:after="0"/>
              <w:rPr>
                <w:sz w:val="21"/>
                <w:szCs w:val="21"/>
                <w:color w:val="auto"/>
              </w:rPr>
            </w:pPr>
          </w:p>
        </w:tc>
        <w:tc>
          <w:tcPr>
            <w:tcW w:w="540" w:type="dxa"/>
            <w:vAlign w:val="bottom"/>
            <w:tcBorders>
              <w:bottom w:val="single" w:sz="8" w:color="auto"/>
            </w:tcBorders>
            <w:shd w:val="clear" w:color="auto" w:fill="DCE2EF"/>
          </w:tcPr>
          <w:p>
            <w:pPr>
              <w:jc w:val="right"/>
              <w:ind w:right="36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DCE2EF"/>
            </w:tcBorders>
            <w:shd w:val="clear" w:color="auto" w:fill="DCE2EF"/>
          </w:tcPr>
          <w:p>
            <w:pPr>
              <w:spacing w:after="0"/>
              <w:rPr>
                <w:sz w:val="21"/>
                <w:szCs w:val="21"/>
                <w:color w:val="auto"/>
              </w:rPr>
            </w:pPr>
          </w:p>
        </w:tc>
        <w:tc>
          <w:tcPr>
            <w:tcW w:w="560" w:type="dxa"/>
            <w:vAlign w:val="bottom"/>
            <w:tcBorders>
              <w:bottom w:val="single" w:sz="8" w:color="auto"/>
            </w:tcBorders>
            <w:shd w:val="clear" w:color="auto" w:fill="DCE2EF"/>
          </w:tcPr>
          <w:p>
            <w:pPr>
              <w:ind w:left="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DCE2EF"/>
            </w:tcBorders>
            <w:shd w:val="clear" w:color="auto" w:fill="DCE2EF"/>
          </w:tcPr>
          <w:p>
            <w:pPr>
              <w:spacing w:after="0"/>
              <w:rPr>
                <w:sz w:val="21"/>
                <w:szCs w:val="21"/>
                <w:color w:val="auto"/>
              </w:rPr>
            </w:pPr>
          </w:p>
        </w:tc>
        <w:tc>
          <w:tcPr>
            <w:tcW w:w="300" w:type="dxa"/>
            <w:vAlign w:val="bottom"/>
            <w:tcBorders>
              <w:bottom w:val="single" w:sz="8" w:color="auto"/>
            </w:tcBorders>
            <w:shd w:val="clear" w:color="auto" w:fill="DCE2E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tcPr>
          <w:p>
            <w:pPr>
              <w:spacing w:after="0"/>
              <w:rPr>
                <w:sz w:val="19"/>
                <w:szCs w:val="19"/>
                <w:color w:val="auto"/>
              </w:rPr>
            </w:pPr>
          </w:p>
        </w:tc>
        <w:tc>
          <w:tcPr>
            <w:tcW w:w="2600" w:type="dxa"/>
            <w:vAlign w:val="bottom"/>
            <w:gridSpan w:val="2"/>
          </w:tcPr>
          <w:p>
            <w:pPr>
              <w:ind w:left="140"/>
              <w:spacing w:after="0" w:line="224" w:lineRule="exact"/>
              <w:rPr>
                <w:sz w:val="20"/>
                <w:szCs w:val="20"/>
                <w:color w:val="auto"/>
              </w:rPr>
            </w:pPr>
            <w:r>
              <w:rPr>
                <w:rFonts w:ascii="Arial" w:cs="Arial" w:eastAsia="Arial" w:hAnsi="Arial"/>
                <w:sz w:val="16"/>
                <w:szCs w:val="16"/>
                <w:color w:val="auto"/>
              </w:rPr>
              <w:t>Costs recognized</w:t>
            </w:r>
            <w:r>
              <w:rPr>
                <w:rFonts w:ascii="Arial" w:cs="Arial" w:eastAsia="Arial" w:hAnsi="Arial"/>
                <w:sz w:val="21"/>
                <w:szCs w:val="21"/>
                <w:color w:val="auto"/>
                <w:vertAlign w:val="superscript"/>
              </w:rPr>
              <w:t>(1)</w:t>
            </w:r>
          </w:p>
        </w:tc>
        <w:tc>
          <w:tcPr>
            <w:tcW w:w="32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64"/>
        </w:trPr>
        <w:tc>
          <w:tcPr>
            <w:tcW w:w="40" w:type="dxa"/>
            <w:vAlign w:val="bottom"/>
            <w:shd w:val="clear" w:color="auto" w:fill="DCE2EF"/>
          </w:tcPr>
          <w:p>
            <w:pPr>
              <w:spacing w:after="0"/>
              <w:rPr>
                <w:sz w:val="22"/>
                <w:szCs w:val="22"/>
                <w:color w:val="auto"/>
              </w:rPr>
            </w:pPr>
          </w:p>
        </w:tc>
        <w:tc>
          <w:tcPr>
            <w:tcW w:w="2600" w:type="dxa"/>
            <w:vAlign w:val="bottom"/>
            <w:gridSpan w:val="2"/>
            <w:shd w:val="clear" w:color="auto" w:fill="DCE2EF"/>
          </w:tcPr>
          <w:p>
            <w:pPr>
              <w:ind w:left="140"/>
              <w:spacing w:after="0"/>
              <w:rPr>
                <w:sz w:val="20"/>
                <w:szCs w:val="20"/>
                <w:color w:val="auto"/>
              </w:rPr>
            </w:pPr>
            <w:r>
              <w:rPr>
                <w:rFonts w:ascii="Arial" w:cs="Arial" w:eastAsia="Arial" w:hAnsi="Arial"/>
                <w:sz w:val="16"/>
                <w:szCs w:val="16"/>
                <w:color w:val="auto"/>
              </w:rPr>
              <w:t>Payments</w:t>
            </w:r>
          </w:p>
        </w:tc>
        <w:tc>
          <w:tcPr>
            <w:tcW w:w="320" w:type="dxa"/>
            <w:vAlign w:val="bottom"/>
            <w:tcBorders>
              <w:bottom w:val="single" w:sz="8" w:color="auto"/>
            </w:tcBorders>
            <w:shd w:val="clear" w:color="auto" w:fill="DCE2EF"/>
          </w:tcPr>
          <w:p>
            <w:pPr>
              <w:spacing w:after="0"/>
              <w:rPr>
                <w:sz w:val="22"/>
                <w:szCs w:val="22"/>
                <w:color w:val="auto"/>
              </w:rPr>
            </w:pPr>
          </w:p>
        </w:tc>
        <w:tc>
          <w:tcPr>
            <w:tcW w:w="10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DCE2EF"/>
          </w:tcPr>
          <w:p>
            <w:pPr>
              <w:spacing w:after="0"/>
              <w:rPr>
                <w:sz w:val="22"/>
                <w:szCs w:val="22"/>
                <w:color w:val="auto"/>
              </w:rPr>
            </w:pPr>
          </w:p>
        </w:tc>
        <w:tc>
          <w:tcPr>
            <w:tcW w:w="220" w:type="dxa"/>
            <w:vAlign w:val="bottom"/>
            <w:tcBorders>
              <w:bottom w:val="single" w:sz="8" w:color="auto"/>
            </w:tcBorders>
            <w:shd w:val="clear" w:color="auto" w:fill="DCE2EF"/>
          </w:tcPr>
          <w:p>
            <w:pPr>
              <w:spacing w:after="0"/>
              <w:rPr>
                <w:sz w:val="22"/>
                <w:szCs w:val="22"/>
                <w:color w:val="auto"/>
              </w:rPr>
            </w:pPr>
          </w:p>
        </w:tc>
        <w:tc>
          <w:tcPr>
            <w:tcW w:w="1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DCE2EF"/>
          </w:tcPr>
          <w:p>
            <w:pPr>
              <w:spacing w:after="0"/>
              <w:rPr>
                <w:sz w:val="22"/>
                <w:szCs w:val="22"/>
                <w:color w:val="auto"/>
              </w:rPr>
            </w:pPr>
          </w:p>
        </w:tc>
        <w:tc>
          <w:tcPr>
            <w:tcW w:w="160" w:type="dxa"/>
            <w:vAlign w:val="bottom"/>
            <w:tcBorders>
              <w:bottom w:val="single" w:sz="8" w:color="auto"/>
            </w:tcBorders>
            <w:shd w:val="clear" w:color="auto" w:fill="DCE2EF"/>
          </w:tcPr>
          <w:p>
            <w:pPr>
              <w:spacing w:after="0"/>
              <w:rPr>
                <w:sz w:val="22"/>
                <w:szCs w:val="22"/>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(5.6)</w:t>
            </w:r>
          </w:p>
        </w:tc>
        <w:tc>
          <w:tcPr>
            <w:tcW w:w="120" w:type="dxa"/>
            <w:vAlign w:val="bottom"/>
            <w:shd w:val="clear" w:color="auto" w:fill="DCE2EF"/>
          </w:tcPr>
          <w:p>
            <w:pPr>
              <w:spacing w:after="0"/>
              <w:rPr>
                <w:sz w:val="22"/>
                <w:szCs w:val="22"/>
                <w:color w:val="auto"/>
              </w:rPr>
            </w:pPr>
          </w:p>
        </w:tc>
        <w:tc>
          <w:tcPr>
            <w:tcW w:w="540" w:type="dxa"/>
            <w:vAlign w:val="bottom"/>
            <w:tcBorders>
              <w:bottom w:val="single" w:sz="8" w:color="auto"/>
            </w:tcBorders>
            <w:shd w:val="clear" w:color="auto" w:fill="DCE2EF"/>
          </w:tcPr>
          <w:p>
            <w:pPr>
              <w:spacing w:after="0"/>
              <w:rPr>
                <w:sz w:val="22"/>
                <w:szCs w:val="22"/>
                <w:color w:val="auto"/>
              </w:rPr>
            </w:pPr>
          </w:p>
        </w:tc>
        <w:tc>
          <w:tcPr>
            <w:tcW w:w="8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DCE2EF"/>
          </w:tcPr>
          <w:p>
            <w:pPr>
              <w:spacing w:after="0"/>
              <w:rPr>
                <w:sz w:val="22"/>
                <w:szCs w:val="22"/>
                <w:color w:val="auto"/>
              </w:rPr>
            </w:pPr>
          </w:p>
        </w:tc>
        <w:tc>
          <w:tcPr>
            <w:tcW w:w="560" w:type="dxa"/>
            <w:vAlign w:val="bottom"/>
            <w:tcBorders>
              <w:bottom w:val="single" w:sz="8" w:color="auto"/>
            </w:tcBorders>
            <w:shd w:val="clear" w:color="auto" w:fill="DCE2EF"/>
          </w:tcPr>
          <w:p>
            <w:pPr>
              <w:spacing w:after="0"/>
              <w:rPr>
                <w:sz w:val="22"/>
                <w:szCs w:val="22"/>
                <w:color w:val="auto"/>
              </w:rPr>
            </w:pPr>
          </w:p>
        </w:tc>
        <w:tc>
          <w:tcPr>
            <w:tcW w:w="80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DCE2EF"/>
          </w:tcPr>
          <w:p>
            <w:pPr>
              <w:spacing w:after="0"/>
              <w:rPr>
                <w:sz w:val="22"/>
                <w:szCs w:val="22"/>
                <w:color w:val="auto"/>
              </w:rPr>
            </w:pPr>
          </w:p>
        </w:tc>
        <w:tc>
          <w:tcPr>
            <w:tcW w:w="300" w:type="dxa"/>
            <w:vAlign w:val="bottom"/>
            <w:tcBorders>
              <w:bottom w:val="single" w:sz="8" w:color="auto"/>
            </w:tcBorders>
            <w:shd w:val="clear" w:color="auto" w:fill="DCE2EF"/>
          </w:tcPr>
          <w:p>
            <w:pPr>
              <w:spacing w:after="0"/>
              <w:rPr>
                <w:sz w:val="22"/>
                <w:szCs w:val="22"/>
                <w:color w:val="auto"/>
              </w:rPr>
            </w:pPr>
          </w:p>
        </w:tc>
        <w:tc>
          <w:tcPr>
            <w:tcW w:w="10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43"/>
        </w:trPr>
        <w:tc>
          <w:tcPr>
            <w:tcW w:w="2640" w:type="dxa"/>
            <w:vAlign w:val="bottom"/>
            <w:gridSpan w:val="3"/>
          </w:tcPr>
          <w:p>
            <w:pPr>
              <w:ind w:left="40"/>
              <w:spacing w:after="0"/>
              <w:rPr>
                <w:sz w:val="20"/>
                <w:szCs w:val="20"/>
                <w:color w:val="auto"/>
              </w:rPr>
            </w:pPr>
            <w:r>
              <w:rPr>
                <w:rFonts w:ascii="Arial" w:cs="Arial" w:eastAsia="Arial" w:hAnsi="Arial"/>
                <w:sz w:val="16"/>
                <w:szCs w:val="16"/>
                <w:b w:val="1"/>
                <w:bCs w:val="1"/>
                <w:color w:val="auto"/>
              </w:rPr>
              <w:t>Balance, October 31, 2019</w:t>
            </w: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1"/>
                <w:szCs w:val="21"/>
                <w:color w:val="auto"/>
              </w:rPr>
            </w:pPr>
          </w:p>
        </w:tc>
        <w:tc>
          <w:tcPr>
            <w:tcW w:w="540" w:type="dxa"/>
            <w:vAlign w:val="bottom"/>
          </w:tcPr>
          <w:p>
            <w:pPr>
              <w:jc w:val="right"/>
              <w:ind w:right="36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1"/>
                <w:szCs w:val="21"/>
                <w:color w:val="auto"/>
              </w:rPr>
            </w:pPr>
          </w:p>
        </w:tc>
        <w:tc>
          <w:tcPr>
            <w:tcW w:w="560" w:type="dxa"/>
            <w:vAlign w:val="bottom"/>
          </w:tcPr>
          <w:p>
            <w:pPr>
              <w:ind w:left="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180" w:hanging="172"/>
        <w:spacing w:after="0"/>
        <w:tabs>
          <w:tab w:leader="none" w:pos="180" w:val="left"/>
        </w:tabs>
        <w:numPr>
          <w:ilvl w:val="0"/>
          <w:numId w:val="31"/>
        </w:numPr>
        <w:rPr>
          <w:rFonts w:ascii="Arial" w:cs="Arial" w:eastAsia="Arial" w:hAnsi="Arial"/>
          <w:sz w:val="21"/>
          <w:szCs w:val="21"/>
          <w:color w:val="auto"/>
          <w:vertAlign w:val="superscript"/>
        </w:rPr>
      </w:pPr>
      <w:r>
        <w:rPr>
          <w:rFonts w:ascii="Arial" w:cs="Arial" w:eastAsia="Arial" w:hAnsi="Arial"/>
          <w:sz w:val="15"/>
          <w:szCs w:val="15"/>
          <w:color w:val="auto"/>
        </w:rPr>
        <w:t>We include these costs within corporate expenses.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Cumulative Restructuring and Related Charges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52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rPr>
              <w:t>External Support</w:t>
            </w:r>
          </w:p>
        </w:tc>
        <w:tc>
          <w:tcPr>
            <w:tcW w:w="22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Arial" w:cs="Arial" w:eastAsia="Arial" w:hAnsi="Arial"/>
                <w:sz w:val="15"/>
                <w:szCs w:val="15"/>
                <w:b w:val="1"/>
                <w:bCs w:val="1"/>
                <w:color w:val="auto"/>
              </w:rPr>
              <w:t>Employee</w:t>
            </w:r>
          </w:p>
        </w:tc>
        <w:tc>
          <w:tcPr>
            <w:tcW w:w="160" w:type="dxa"/>
            <w:vAlign w:val="bottom"/>
          </w:tcPr>
          <w:p>
            <w:pPr>
              <w:spacing w:after="0"/>
              <w:rPr>
                <w:sz w:val="15"/>
                <w:szCs w:val="15"/>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rPr>
              <w:t>Other Project</w:t>
            </w:r>
          </w:p>
        </w:tc>
        <w:tc>
          <w:tcPr>
            <w:tcW w:w="1460" w:type="dxa"/>
            <w:vAlign w:val="bottom"/>
            <w:gridSpan w:val="3"/>
            <w:vMerge w:val="restart"/>
          </w:tcPr>
          <w:p>
            <w:pPr>
              <w:ind w:left="60"/>
              <w:spacing w:after="0"/>
              <w:rPr>
                <w:sz w:val="20"/>
                <w:szCs w:val="20"/>
                <w:color w:val="auto"/>
              </w:rPr>
            </w:pPr>
            <w:r>
              <w:rPr>
                <w:rFonts w:ascii="Arial" w:cs="Arial" w:eastAsia="Arial" w:hAnsi="Arial"/>
                <w:sz w:val="15"/>
                <w:szCs w:val="15"/>
                <w:b w:val="1"/>
                <w:bCs w:val="1"/>
                <w:color w:val="auto"/>
              </w:rPr>
              <w:t>Lease Exit Costs</w:t>
            </w:r>
          </w:p>
        </w:tc>
        <w:tc>
          <w:tcPr>
            <w:tcW w:w="1480" w:type="dxa"/>
            <w:vAlign w:val="bottom"/>
            <w:gridSpan w:val="3"/>
            <w:vMerge w:val="restart"/>
          </w:tcPr>
          <w:p>
            <w:pPr>
              <w:ind w:left="40"/>
              <w:spacing w:after="0"/>
              <w:rPr>
                <w:sz w:val="20"/>
                <w:szCs w:val="20"/>
                <w:color w:val="auto"/>
              </w:rPr>
            </w:pPr>
            <w:r>
              <w:rPr>
                <w:rFonts w:ascii="Arial" w:cs="Arial" w:eastAsia="Arial" w:hAnsi="Arial"/>
                <w:sz w:val="15"/>
                <w:szCs w:val="15"/>
                <w:b w:val="1"/>
                <w:bCs w:val="1"/>
                <w:color w:val="auto"/>
              </w:rPr>
              <w:t>Asset Impairment</w:t>
            </w:r>
          </w:p>
        </w:tc>
        <w:tc>
          <w:tcPr>
            <w:tcW w:w="300" w:type="dxa"/>
            <w:vAlign w:val="bottom"/>
          </w:tcPr>
          <w:p>
            <w:pPr>
              <w:spacing w:after="0"/>
              <w:rPr>
                <w:sz w:val="15"/>
                <w:szCs w:val="15"/>
                <w:color w:val="auto"/>
              </w:rPr>
            </w:pPr>
          </w:p>
        </w:tc>
        <w:tc>
          <w:tcPr>
            <w:tcW w:w="1060" w:type="dxa"/>
            <w:vAlign w:val="bottom"/>
            <w:vMerge w:val="restart"/>
          </w:tcPr>
          <w:p>
            <w:pPr>
              <w:jc w:val="right"/>
              <w:ind w:right="42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72"/>
        </w:trPr>
        <w:tc>
          <w:tcPr>
            <w:tcW w:w="264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5"/>
                <w:szCs w:val="15"/>
                <w:b w:val="1"/>
                <w:bCs w:val="1"/>
                <w:color w:val="auto"/>
              </w:rPr>
              <w:t>Fees</w:t>
            </w:r>
          </w:p>
        </w:tc>
        <w:tc>
          <w:tcPr>
            <w:tcW w:w="22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5"/>
                <w:szCs w:val="15"/>
                <w:b w:val="1"/>
                <w:bCs w:val="1"/>
                <w:color w:val="auto"/>
              </w:rPr>
              <w:t>Severance</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rPr>
              <w:t>Fees</w:t>
            </w:r>
          </w:p>
        </w:tc>
        <w:tc>
          <w:tcPr>
            <w:tcW w:w="1460" w:type="dxa"/>
            <w:vAlign w:val="bottom"/>
            <w:gridSpan w:val="3"/>
            <w:vMerge w:val="continue"/>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190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64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GCA and Other</w:t>
            </w:r>
          </w:p>
        </w:tc>
        <w:tc>
          <w:tcPr>
            <w:tcW w:w="320" w:type="dxa"/>
            <w:vAlign w:val="bottom"/>
            <w:shd w:val="clear" w:color="auto" w:fill="DCE2EF"/>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DCE2EF"/>
          </w:tcPr>
          <w:p>
            <w:pPr>
              <w:jc w:val="right"/>
              <w:ind w:right="40"/>
              <w:spacing w:after="0"/>
              <w:rPr>
                <w:sz w:val="20"/>
                <w:szCs w:val="20"/>
                <w:color w:val="auto"/>
              </w:rPr>
            </w:pPr>
            <w:r>
              <w:rPr>
                <w:rFonts w:ascii="Arial" w:cs="Arial" w:eastAsia="Arial" w:hAnsi="Arial"/>
                <w:sz w:val="16"/>
                <w:szCs w:val="16"/>
                <w:color w:val="auto"/>
              </w:rPr>
              <w:t>3.5</w:t>
            </w:r>
          </w:p>
        </w:tc>
        <w:tc>
          <w:tcPr>
            <w:tcW w:w="120" w:type="dxa"/>
            <w:vAlign w:val="bottom"/>
            <w:shd w:val="clear" w:color="auto" w:fill="DCE2EF"/>
          </w:tcPr>
          <w:p>
            <w:pPr>
              <w:spacing w:after="0"/>
              <w:rPr>
                <w:sz w:val="21"/>
                <w:szCs w:val="21"/>
                <w:color w:val="auto"/>
              </w:rPr>
            </w:pPr>
          </w:p>
        </w:tc>
        <w:tc>
          <w:tcPr>
            <w:tcW w:w="2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DCE2EF"/>
          </w:tcPr>
          <w:p>
            <w:pPr>
              <w:spacing w:after="0"/>
              <w:rPr>
                <w:sz w:val="21"/>
                <w:szCs w:val="21"/>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12.3</w:t>
            </w:r>
          </w:p>
        </w:tc>
        <w:tc>
          <w:tcPr>
            <w:tcW w:w="120" w:type="dxa"/>
            <w:vAlign w:val="bottom"/>
            <w:shd w:val="clear" w:color="auto" w:fill="DCE2EF"/>
          </w:tcPr>
          <w:p>
            <w:pPr>
              <w:spacing w:after="0"/>
              <w:rPr>
                <w:sz w:val="21"/>
                <w:szCs w:val="21"/>
                <w:color w:val="auto"/>
              </w:rPr>
            </w:pPr>
          </w:p>
        </w:tc>
        <w:tc>
          <w:tcPr>
            <w:tcW w:w="560" w:type="dxa"/>
            <w:vAlign w:val="bottom"/>
            <w:shd w:val="clear" w:color="auto" w:fill="DCE2EF"/>
          </w:tcPr>
          <w:p>
            <w:pPr>
              <w:jc w:val="right"/>
              <w:ind w:right="380"/>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0.7</w:t>
            </w:r>
          </w:p>
        </w:tc>
        <w:tc>
          <w:tcPr>
            <w:tcW w:w="100" w:type="dxa"/>
            <w:vAlign w:val="bottom"/>
            <w:shd w:val="clear" w:color="auto" w:fill="DCE2EF"/>
          </w:tcPr>
          <w:p>
            <w:pPr>
              <w:spacing w:after="0"/>
              <w:rPr>
                <w:sz w:val="21"/>
                <w:szCs w:val="21"/>
                <w:color w:val="auto"/>
              </w:rPr>
            </w:pPr>
          </w:p>
        </w:tc>
        <w:tc>
          <w:tcPr>
            <w:tcW w:w="580" w:type="dxa"/>
            <w:vAlign w:val="bottom"/>
            <w:shd w:val="clear" w:color="auto" w:fill="DCE2EF"/>
          </w:tcPr>
          <w:p>
            <w:pPr>
              <w:ind w:left="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DCE2E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CE2EF"/>
          </w:tcPr>
          <w:p>
            <w:pPr>
              <w:jc w:val="right"/>
              <w:ind w:right="20"/>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266"/>
        </w:trPr>
        <w:tc>
          <w:tcPr>
            <w:tcW w:w="2640" w:type="dxa"/>
            <w:vAlign w:val="bottom"/>
            <w:tcBorders>
              <w:bottom w:val="single" w:sz="8" w:color="DCE2EF"/>
            </w:tcBorders>
            <w:gridSpan w:val="3"/>
          </w:tcPr>
          <w:p>
            <w:pPr>
              <w:ind w:left="40"/>
              <w:spacing w:after="0"/>
              <w:rPr>
                <w:sz w:val="20"/>
                <w:szCs w:val="20"/>
                <w:color w:val="auto"/>
              </w:rPr>
            </w:pPr>
            <w:r>
              <w:rPr>
                <w:rFonts w:ascii="Arial" w:cs="Arial" w:eastAsia="Arial" w:hAnsi="Arial"/>
                <w:sz w:val="16"/>
                <w:szCs w:val="16"/>
                <w:b w:val="1"/>
                <w:bCs w:val="1"/>
                <w:color w:val="FF9900"/>
              </w:rPr>
              <w:t xml:space="preserve">2020 </w:t>
            </w:r>
            <w:r>
              <w:rPr>
                <w:rFonts w:ascii="Arial" w:cs="Arial" w:eastAsia="Arial" w:hAnsi="Arial"/>
                <w:sz w:val="16"/>
                <w:szCs w:val="16"/>
                <w:b w:val="1"/>
                <w:bCs w:val="1"/>
                <w:color w:val="0070C0"/>
              </w:rPr>
              <w:t>Vision</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30.0</w:t>
            </w:r>
          </w:p>
        </w:tc>
        <w:tc>
          <w:tcPr>
            <w:tcW w:w="120" w:type="dxa"/>
            <w:vAlign w:val="bottom"/>
            <w:tcBorders>
              <w:bottom w:val="single" w:sz="8" w:color="DCE2E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DCE2E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DCE2EF"/>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DCE2E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DCE2E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66.5</w:t>
            </w:r>
          </w:p>
        </w:tc>
        <w:tc>
          <w:tcPr>
            <w:tcW w:w="0" w:type="dxa"/>
            <w:vAlign w:val="bottom"/>
          </w:tcPr>
          <w:p>
            <w:pPr>
              <w:spacing w:after="0"/>
              <w:rPr>
                <w:sz w:val="1"/>
                <w:szCs w:val="1"/>
                <w:color w:val="auto"/>
              </w:rPr>
            </w:pPr>
          </w:p>
        </w:tc>
      </w:tr>
      <w:tr>
        <w:trPr>
          <w:trHeight w:val="240"/>
        </w:trPr>
        <w:tc>
          <w:tcPr>
            <w:tcW w:w="2640" w:type="dxa"/>
            <w:vAlign w:val="bottom"/>
            <w:tcBorders>
              <w:bottom w:val="single" w:sz="8" w:color="DCE2EF"/>
            </w:tcBorders>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bottom w:val="single" w:sz="8" w:color="auto"/>
            </w:tcBorders>
            <w:shd w:val="clear" w:color="auto" w:fill="DCE2EF"/>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DCE2EF"/>
          </w:tcPr>
          <w:p>
            <w:pPr>
              <w:jc w:val="right"/>
              <w:ind w:right="40"/>
              <w:spacing w:after="0"/>
              <w:rPr>
                <w:sz w:val="20"/>
                <w:szCs w:val="20"/>
                <w:color w:val="auto"/>
              </w:rPr>
            </w:pPr>
            <w:r>
              <w:rPr>
                <w:rFonts w:ascii="Arial" w:cs="Arial" w:eastAsia="Arial" w:hAnsi="Arial"/>
                <w:sz w:val="16"/>
                <w:szCs w:val="16"/>
                <w:color w:val="auto"/>
              </w:rPr>
              <w:t>33.5</w:t>
            </w:r>
          </w:p>
        </w:tc>
        <w:tc>
          <w:tcPr>
            <w:tcW w:w="120" w:type="dxa"/>
            <w:vAlign w:val="bottom"/>
            <w:tcBorders>
              <w:bottom w:val="single" w:sz="8" w:color="DCE2EF"/>
            </w:tcBorders>
            <w:shd w:val="clear" w:color="auto" w:fill="DCE2EF"/>
          </w:tcPr>
          <w:p>
            <w:pPr>
              <w:spacing w:after="0"/>
              <w:rPr>
                <w:sz w:val="20"/>
                <w:szCs w:val="20"/>
                <w:color w:val="auto"/>
              </w:rPr>
            </w:pPr>
          </w:p>
        </w:tc>
        <w:tc>
          <w:tcPr>
            <w:tcW w:w="22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DCE2EF"/>
          </w:tcPr>
          <w:p>
            <w:pPr>
              <w:jc w:val="right"/>
              <w:ind w:right="41"/>
              <w:spacing w:after="0"/>
              <w:rPr>
                <w:sz w:val="20"/>
                <w:szCs w:val="20"/>
                <w:color w:val="auto"/>
              </w:rPr>
            </w:pPr>
            <w:r>
              <w:rPr>
                <w:rFonts w:ascii="Arial" w:cs="Arial" w:eastAsia="Arial" w:hAnsi="Arial"/>
                <w:sz w:val="16"/>
                <w:szCs w:val="16"/>
                <w:color w:val="auto"/>
              </w:rPr>
              <w:t>31.0</w:t>
            </w:r>
          </w:p>
        </w:tc>
        <w:tc>
          <w:tcPr>
            <w:tcW w:w="100" w:type="dxa"/>
            <w:vAlign w:val="bottom"/>
            <w:tcBorders>
              <w:bottom w:val="single" w:sz="8" w:color="DCE2EF"/>
            </w:tcBorders>
            <w:shd w:val="clear" w:color="auto" w:fill="DCE2EF"/>
          </w:tcPr>
          <w:p>
            <w:pPr>
              <w:spacing w:after="0"/>
              <w:rPr>
                <w:sz w:val="20"/>
                <w:szCs w:val="20"/>
                <w:color w:val="auto"/>
              </w:rPr>
            </w:pPr>
          </w:p>
        </w:tc>
        <w:tc>
          <w:tcPr>
            <w:tcW w:w="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DCE2EF"/>
          </w:tcPr>
          <w:p>
            <w:pPr>
              <w:jc w:val="right"/>
              <w:ind w:right="21"/>
              <w:spacing w:after="0"/>
              <w:rPr>
                <w:sz w:val="20"/>
                <w:szCs w:val="20"/>
                <w:color w:val="auto"/>
              </w:rPr>
            </w:pPr>
            <w:r>
              <w:rPr>
                <w:rFonts w:ascii="Arial" w:cs="Arial" w:eastAsia="Arial" w:hAnsi="Arial"/>
                <w:sz w:val="16"/>
                <w:szCs w:val="16"/>
                <w:color w:val="auto"/>
              </w:rPr>
              <w:t>23.0</w:t>
            </w:r>
          </w:p>
        </w:tc>
        <w:tc>
          <w:tcPr>
            <w:tcW w:w="120" w:type="dxa"/>
            <w:vAlign w:val="bottom"/>
            <w:tcBorders>
              <w:bottom w:val="single" w:sz="8" w:color="DCE2EF"/>
            </w:tcBorders>
            <w:shd w:val="clear" w:color="auto" w:fill="DCE2EF"/>
          </w:tcPr>
          <w:p>
            <w:pPr>
              <w:spacing w:after="0"/>
              <w:rPr>
                <w:sz w:val="20"/>
                <w:szCs w:val="20"/>
                <w:color w:val="auto"/>
              </w:rPr>
            </w:pPr>
          </w:p>
        </w:tc>
        <w:tc>
          <w:tcPr>
            <w:tcW w:w="560" w:type="dxa"/>
            <w:vAlign w:val="bottom"/>
            <w:tcBorders>
              <w:bottom w:val="single" w:sz="8" w:color="auto"/>
            </w:tcBorders>
            <w:shd w:val="clear" w:color="auto" w:fill="DCE2EF"/>
          </w:tcPr>
          <w:p>
            <w:pPr>
              <w:jc w:val="right"/>
              <w:ind w:right="38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DCE2EF"/>
            </w:tcBorders>
            <w:shd w:val="clear" w:color="auto" w:fill="DCE2EF"/>
          </w:tcPr>
          <w:p>
            <w:pPr>
              <w:spacing w:after="0"/>
              <w:rPr>
                <w:sz w:val="20"/>
                <w:szCs w:val="20"/>
                <w:color w:val="auto"/>
              </w:rPr>
            </w:pPr>
          </w:p>
        </w:tc>
        <w:tc>
          <w:tcPr>
            <w:tcW w:w="580" w:type="dxa"/>
            <w:vAlign w:val="bottom"/>
            <w:tcBorders>
              <w:bottom w:val="single" w:sz="8" w:color="auto"/>
            </w:tcBorders>
            <w:shd w:val="clear" w:color="auto" w:fill="DCE2EF"/>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DCE2EF"/>
            </w:tcBorders>
            <w:shd w:val="clear" w:color="auto" w:fill="DCE2EF"/>
          </w:tcPr>
          <w:p>
            <w:pPr>
              <w:spacing w:after="0"/>
              <w:rPr>
                <w:sz w:val="20"/>
                <w:szCs w:val="20"/>
                <w:color w:val="auto"/>
              </w:rPr>
            </w:pPr>
          </w:p>
        </w:tc>
        <w:tc>
          <w:tcPr>
            <w:tcW w:w="300" w:type="dxa"/>
            <w:vAlign w:val="bottom"/>
            <w:tcBorders>
              <w:bottom w:val="single" w:sz="8" w:color="auto"/>
            </w:tcBorders>
            <w:shd w:val="clear" w:color="auto" w:fill="DCE2E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DCE2EF"/>
          </w:tcPr>
          <w:p>
            <w:pPr>
              <w:jc w:val="right"/>
              <w:ind w:right="20"/>
              <w:spacing w:after="0"/>
              <w:rPr>
                <w:sz w:val="20"/>
                <w:szCs w:val="20"/>
                <w:color w:val="auto"/>
              </w:rPr>
            </w:pPr>
            <w:r>
              <w:rPr>
                <w:rFonts w:ascii="Arial" w:cs="Arial" w:eastAsia="Arial" w:hAnsi="Arial"/>
                <w:sz w:val="16"/>
                <w:szCs w:val="16"/>
                <w:color w:val="auto"/>
              </w:rPr>
              <w:t>101.1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93"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0046AD"/>
        </w:rPr>
        <w:t>6.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On October 26, 2015, in connection with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we sold substantially all of the assets of our Security business for cash proceeds of $131.0 million and recorded a pre-tax gain on sale of $23.6 million, which was subsequently reduced by a $3.1 million working capital adjustment in 2016. Following the sale, we record all costs associated with this former business in discontinued operations. Such costs generally relate to litigation we retained and insurance reserves. In 2017, we incurred a net loss from discontinued operations of $74.3 million (a pre-tax loss of $123.7 million) primarily due to legal settlements. In 2018, we had net income from discontinued operations of $1.8 million (pre-tax income of $2.6 million) due to an insurance reimbursement on a legal settlement and collection of previously written off receivables, partially offset by union audit settlements. In 2019, net loss from discontinued operations was </w:t>
      </w:r>
      <w:r>
        <w:rPr>
          <w:rFonts w:ascii="Arial" w:cs="Arial" w:eastAsia="Arial" w:hAnsi="Arial"/>
          <w:sz w:val="18"/>
          <w:szCs w:val="18"/>
          <w:i w:val="1"/>
          <w:iCs w:val="1"/>
          <w:color w:val="auto"/>
        </w:rPr>
        <w:t>de minimis</w:t>
      </w:r>
      <w:r>
        <w:rPr>
          <w:rFonts w:ascii="Arial" w:cs="Arial" w:eastAsia="Arial" w:hAnsi="Arial"/>
          <w:sz w:val="18"/>
          <w:szCs w:val="18"/>
          <w:color w:val="auto"/>
        </w:rPr>
        <w:t>.</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7. NET INCOME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3773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Basic and Diluted Net Income Per Common Share Calculations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gridSpan w:val="10"/>
          </w:tcPr>
          <w:p>
            <w:pPr>
              <w:jc w:val="center"/>
              <w:ind w:right="360"/>
              <w:spacing w:after="0"/>
              <w:rPr>
                <w:sz w:val="20"/>
                <w:szCs w:val="20"/>
                <w:color w:val="auto"/>
              </w:rPr>
            </w:pPr>
            <w:r>
              <w:rPr>
                <w:rFonts w:ascii="Arial" w:cs="Arial" w:eastAsia="Arial" w:hAnsi="Arial"/>
                <w:sz w:val="18"/>
                <w:szCs w:val="18"/>
                <w:b w:val="1"/>
                <w:bCs w:val="1"/>
                <w:color w:val="auto"/>
                <w:w w:val="99"/>
              </w:rPr>
              <w:t>Years Ended October 31,</w:t>
            </w:r>
          </w:p>
        </w:tc>
        <w:tc>
          <w:tcPr>
            <w:tcW w:w="14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680" w:type="dxa"/>
            <w:vAlign w:val="bottom"/>
            <w:gridSpan w:val="4"/>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center"/>
              <w:ind w:right="330"/>
              <w:spacing w:after="0"/>
              <w:rPr>
                <w:sz w:val="20"/>
                <w:szCs w:val="20"/>
                <w:color w:val="auto"/>
              </w:rPr>
            </w:pPr>
            <w:r>
              <w:rPr>
                <w:rFonts w:ascii="Arial" w:cs="Arial" w:eastAsia="Arial" w:hAnsi="Arial"/>
                <w:sz w:val="18"/>
                <w:szCs w:val="18"/>
                <w:b w:val="1"/>
                <w:bCs w:val="1"/>
                <w:color w:val="auto"/>
                <w:w w:val="99"/>
              </w:rPr>
              <w:t>2018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1540" w:type="dxa"/>
            <w:vAlign w:val="bottom"/>
            <w:tcBorders>
              <w:top w:val="single" w:sz="8" w:color="auto"/>
              <w:bottom w:val="single" w:sz="8" w:color="DCE2EF"/>
            </w:tcBorders>
          </w:tcPr>
          <w:p>
            <w:pPr>
              <w:spacing w:after="0" w:line="20" w:lineRule="exact"/>
              <w:rPr>
                <w:sz w:val="1"/>
                <w:szCs w:val="1"/>
                <w:color w:val="auto"/>
              </w:rPr>
            </w:pPr>
          </w:p>
        </w:tc>
        <w:tc>
          <w:tcPr>
            <w:tcW w:w="3400" w:type="dxa"/>
            <w:vAlign w:val="bottom"/>
            <w:tcBorders>
              <w:bottom w:val="single" w:sz="8" w:color="DCE2E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DCE2EF"/>
            </w:tcBorders>
          </w:tcPr>
          <w:p>
            <w:pPr>
              <w:spacing w:after="0" w:line="20" w:lineRule="exact"/>
              <w:rPr>
                <w:sz w:val="1"/>
                <w:szCs w:val="1"/>
                <w:color w:val="auto"/>
              </w:rPr>
            </w:pPr>
          </w:p>
        </w:tc>
        <w:tc>
          <w:tcPr>
            <w:tcW w:w="60" w:type="dxa"/>
            <w:vAlign w:val="bottom"/>
            <w:tcBorders>
              <w:bottom w:val="single" w:sz="8" w:color="DCE2E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DCE2EF"/>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680" w:type="dxa"/>
            <w:vAlign w:val="bottom"/>
            <w:gridSpan w:val="4"/>
            <w:shd w:val="clear" w:color="auto" w:fill="DCE2EF"/>
          </w:tcPr>
          <w:p>
            <w:pPr>
              <w:ind w:left="40"/>
              <w:spacing w:after="0"/>
              <w:rPr>
                <w:sz w:val="20"/>
                <w:szCs w:val="20"/>
                <w:color w:val="auto"/>
              </w:rPr>
            </w:pPr>
            <w:r>
              <w:rPr>
                <w:rFonts w:ascii="Arial" w:cs="Arial" w:eastAsia="Arial" w:hAnsi="Arial"/>
                <w:sz w:val="18"/>
                <w:szCs w:val="18"/>
                <w:color w:val="auto"/>
              </w:rPr>
              <w:t>Income from continuing operations</w:t>
            </w:r>
          </w:p>
        </w:tc>
        <w:tc>
          <w:tcPr>
            <w:tcW w:w="420" w:type="dxa"/>
            <w:vAlign w:val="bottom"/>
            <w:gridSpan w:val="2"/>
            <w:shd w:val="clear" w:color="auto" w:fill="DCE2EF"/>
          </w:tcPr>
          <w:p>
            <w:pPr>
              <w:jc w:val="right"/>
              <w:ind w:right="30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127.5</w:t>
            </w:r>
          </w:p>
        </w:tc>
        <w:tc>
          <w:tcPr>
            <w:tcW w:w="560" w:type="dxa"/>
            <w:vAlign w:val="bottom"/>
            <w:gridSpan w:val="5"/>
            <w:shd w:val="clear" w:color="auto" w:fill="DCE2E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95.9</w:t>
            </w:r>
          </w:p>
        </w:tc>
        <w:tc>
          <w:tcPr>
            <w:tcW w:w="20" w:type="dxa"/>
            <w:vAlign w:val="bottom"/>
            <w:shd w:val="clear" w:color="auto" w:fill="DCE2EF"/>
          </w:tcPr>
          <w:p>
            <w:pPr>
              <w:spacing w:after="0"/>
              <w:rPr>
                <w:sz w:val="21"/>
                <w:szCs w:val="21"/>
                <w:color w:val="auto"/>
              </w:rPr>
            </w:pPr>
          </w:p>
        </w:tc>
        <w:tc>
          <w:tcPr>
            <w:tcW w:w="80" w:type="dxa"/>
            <w:vAlign w:val="bottom"/>
            <w:shd w:val="clear" w:color="auto" w:fill="DCE2EF"/>
          </w:tcPr>
          <w:p>
            <w:pPr>
              <w:spacing w:after="0"/>
              <w:rPr>
                <w:sz w:val="21"/>
                <w:szCs w:val="21"/>
                <w:color w:val="auto"/>
              </w:rPr>
            </w:pPr>
          </w:p>
        </w:tc>
        <w:tc>
          <w:tcPr>
            <w:tcW w:w="440" w:type="dxa"/>
            <w:vAlign w:val="bottom"/>
            <w:gridSpan w:val="2"/>
            <w:shd w:val="clear" w:color="auto" w:fill="DCE2EF"/>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65"/>
        </w:trPr>
        <w:tc>
          <w:tcPr>
            <w:tcW w:w="5680" w:type="dxa"/>
            <w:vAlign w:val="bottom"/>
            <w:tcBorders>
              <w:bottom w:val="single" w:sz="8" w:color="DCE2EF"/>
            </w:tcBorders>
            <w:gridSpan w:val="4"/>
          </w:tcPr>
          <w:p>
            <w:pPr>
              <w:ind w:left="40"/>
              <w:spacing w:after="0"/>
              <w:rPr>
                <w:sz w:val="20"/>
                <w:szCs w:val="20"/>
                <w:color w:val="auto"/>
              </w:rPr>
            </w:pPr>
            <w:r>
              <w:rPr>
                <w:rFonts w:ascii="Arial" w:cs="Arial" w:eastAsia="Arial" w:hAnsi="Arial"/>
                <w:sz w:val="18"/>
                <w:szCs w:val="18"/>
                <w:color w:val="auto"/>
              </w:rPr>
              <w:t>(Loss) income from discontinued operations, net of taxes</w:t>
            </w:r>
          </w:p>
        </w:tc>
        <w:tc>
          <w:tcPr>
            <w:tcW w:w="4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40" w:type="dxa"/>
            <w:vAlign w:val="bottom"/>
            <w:tcBorders>
              <w:bottom w:val="single" w:sz="8" w:color="auto"/>
            </w:tcBorders>
          </w:tcPr>
          <w:p>
            <w:pPr>
              <w:spacing w:after="0"/>
              <w:rPr>
                <w:sz w:val="23"/>
                <w:szCs w:val="23"/>
                <w:color w:val="auto"/>
              </w:rPr>
            </w:pPr>
          </w:p>
        </w:tc>
        <w:tc>
          <w:tcPr>
            <w:tcW w:w="40" w:type="dxa"/>
            <w:vAlign w:val="bottom"/>
            <w:tcBorders>
              <w:bottom w:val="single" w:sz="8" w:color="DCE2EF"/>
            </w:tcBorders>
          </w:tcPr>
          <w:p>
            <w:pPr>
              <w:spacing w:after="0"/>
              <w:rPr>
                <w:sz w:val="23"/>
                <w:szCs w:val="23"/>
                <w:color w:val="auto"/>
              </w:rPr>
            </w:pPr>
          </w:p>
        </w:tc>
        <w:tc>
          <w:tcPr>
            <w:tcW w:w="60" w:type="dxa"/>
            <w:vAlign w:val="bottom"/>
            <w:tcBorders>
              <w:bottom w:val="single" w:sz="8" w:color="DCE2EF"/>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DCE2EF"/>
            </w:tcBorders>
          </w:tcPr>
          <w:p>
            <w:pPr>
              <w:spacing w:after="0"/>
              <w:rPr>
                <w:sz w:val="23"/>
                <w:szCs w:val="23"/>
                <w:color w:val="auto"/>
              </w:rPr>
            </w:pPr>
          </w:p>
        </w:tc>
        <w:tc>
          <w:tcPr>
            <w:tcW w:w="80" w:type="dxa"/>
            <w:vAlign w:val="bottom"/>
            <w:tcBorders>
              <w:bottom w:val="single" w:sz="8" w:color="DCE2E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55"/>
        </w:trPr>
        <w:tc>
          <w:tcPr>
            <w:tcW w:w="5680" w:type="dxa"/>
            <w:vAlign w:val="bottom"/>
            <w:gridSpan w:val="4"/>
            <w:shd w:val="clear" w:color="auto" w:fill="DCE2EF"/>
          </w:tcPr>
          <w:p>
            <w:pPr>
              <w:ind w:left="40"/>
              <w:spacing w:after="0"/>
              <w:rPr>
                <w:sz w:val="20"/>
                <w:szCs w:val="20"/>
                <w:color w:val="auto"/>
              </w:rPr>
            </w:pPr>
            <w:r>
              <w:rPr>
                <w:rFonts w:ascii="Arial" w:cs="Arial" w:eastAsia="Arial" w:hAnsi="Arial"/>
                <w:sz w:val="18"/>
                <w:szCs w:val="18"/>
                <w:color w:val="auto"/>
              </w:rPr>
              <w:t>Net income</w:t>
            </w:r>
          </w:p>
        </w:tc>
        <w:tc>
          <w:tcPr>
            <w:tcW w:w="420" w:type="dxa"/>
            <w:vAlign w:val="bottom"/>
            <w:gridSpan w:val="2"/>
            <w:shd w:val="clear" w:color="auto" w:fill="DCE2EF"/>
          </w:tcPr>
          <w:p>
            <w:pPr>
              <w:jc w:val="right"/>
              <w:ind w:right="30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127.4</w:t>
            </w:r>
          </w:p>
        </w:tc>
        <w:tc>
          <w:tcPr>
            <w:tcW w:w="560" w:type="dxa"/>
            <w:vAlign w:val="bottom"/>
            <w:gridSpan w:val="5"/>
            <w:shd w:val="clear" w:color="auto" w:fill="DCE2E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97.8</w:t>
            </w:r>
          </w:p>
        </w:tc>
        <w:tc>
          <w:tcPr>
            <w:tcW w:w="20" w:type="dxa"/>
            <w:vAlign w:val="bottom"/>
            <w:shd w:val="clear" w:color="auto" w:fill="DCE2EF"/>
          </w:tcPr>
          <w:p>
            <w:pPr>
              <w:spacing w:after="0"/>
              <w:rPr>
                <w:sz w:val="22"/>
                <w:szCs w:val="22"/>
                <w:color w:val="auto"/>
              </w:rPr>
            </w:pPr>
          </w:p>
        </w:tc>
        <w:tc>
          <w:tcPr>
            <w:tcW w:w="80" w:type="dxa"/>
            <w:vAlign w:val="bottom"/>
            <w:shd w:val="clear" w:color="auto" w:fill="DCE2EF"/>
          </w:tcPr>
          <w:p>
            <w:pPr>
              <w:spacing w:after="0"/>
              <w:rPr>
                <w:sz w:val="22"/>
                <w:szCs w:val="22"/>
                <w:color w:val="auto"/>
              </w:rPr>
            </w:pPr>
          </w:p>
        </w:tc>
        <w:tc>
          <w:tcPr>
            <w:tcW w:w="440" w:type="dxa"/>
            <w:vAlign w:val="bottom"/>
            <w:gridSpan w:val="2"/>
            <w:shd w:val="clear" w:color="auto" w:fill="DCE2EF"/>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40" w:type="dxa"/>
            <w:vAlign w:val="bottom"/>
            <w:tcBorders>
              <w:top w:val="single" w:sz="8" w:color="DCE2EF"/>
            </w:tcBorders>
          </w:tcPr>
          <w:p>
            <w:pPr>
              <w:spacing w:after="0" w:line="20" w:lineRule="exact"/>
              <w:rPr>
                <w:sz w:val="1"/>
                <w:szCs w:val="1"/>
                <w:color w:val="auto"/>
              </w:rPr>
            </w:pPr>
          </w:p>
        </w:tc>
        <w:tc>
          <w:tcPr>
            <w:tcW w:w="700" w:type="dxa"/>
            <w:vAlign w:val="bottom"/>
            <w:tcBorders>
              <w:top w:val="single" w:sz="8" w:color="DCE2EF"/>
            </w:tcBorders>
          </w:tcPr>
          <w:p>
            <w:pPr>
              <w:spacing w:after="0" w:line="20" w:lineRule="exact"/>
              <w:rPr>
                <w:sz w:val="1"/>
                <w:szCs w:val="1"/>
                <w:color w:val="auto"/>
              </w:rPr>
            </w:pPr>
          </w:p>
        </w:tc>
        <w:tc>
          <w:tcPr>
            <w:tcW w:w="1540" w:type="dxa"/>
            <w:vAlign w:val="bottom"/>
            <w:tcBorders>
              <w:top w:val="single" w:sz="8" w:color="DCE2EF"/>
            </w:tcBorders>
          </w:tcPr>
          <w:p>
            <w:pPr>
              <w:spacing w:after="0" w:line="20" w:lineRule="exact"/>
              <w:rPr>
                <w:sz w:val="1"/>
                <w:szCs w:val="1"/>
                <w:color w:val="auto"/>
              </w:rPr>
            </w:pPr>
          </w:p>
        </w:tc>
        <w:tc>
          <w:tcPr>
            <w:tcW w:w="3400" w:type="dxa"/>
            <w:vAlign w:val="bottom"/>
            <w:tcBorders>
              <w:top w:val="single" w:sz="8" w:color="DCE2E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DCE2EF"/>
            </w:tcBorders>
          </w:tcPr>
          <w:p>
            <w:pPr>
              <w:spacing w:after="0" w:line="20" w:lineRule="exact"/>
              <w:rPr>
                <w:sz w:val="1"/>
                <w:szCs w:val="1"/>
                <w:color w:val="auto"/>
              </w:rPr>
            </w:pPr>
          </w:p>
        </w:tc>
        <w:tc>
          <w:tcPr>
            <w:tcW w:w="60" w:type="dxa"/>
            <w:vAlign w:val="bottom"/>
            <w:tcBorders>
              <w:top w:val="single" w:sz="8" w:color="DCE2E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DCE2EF"/>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680" w:type="dxa"/>
            <w:vAlign w:val="bottom"/>
            <w:gridSpan w:val="4"/>
            <w:shd w:val="clear" w:color="auto" w:fill="DCE2EF"/>
          </w:tcPr>
          <w:p>
            <w:pPr>
              <w:ind w:left="40"/>
              <w:spacing w:after="0" w:line="205" w:lineRule="exact"/>
              <w:rPr>
                <w:sz w:val="20"/>
                <w:szCs w:val="20"/>
                <w:color w:val="auto"/>
              </w:rPr>
            </w:pPr>
            <w:r>
              <w:rPr>
                <w:rFonts w:ascii="Arial" w:cs="Arial" w:eastAsia="Arial" w:hAnsi="Arial"/>
                <w:sz w:val="18"/>
                <w:szCs w:val="18"/>
                <w:b w:val="1"/>
                <w:bCs w:val="1"/>
                <w:color w:val="auto"/>
              </w:rPr>
              <w:t>Weighted-average common and common equivalent shares</w:t>
            </w:r>
          </w:p>
        </w:tc>
        <w:tc>
          <w:tcPr>
            <w:tcW w:w="40" w:type="dxa"/>
            <w:vAlign w:val="bottom"/>
            <w:shd w:val="clear" w:color="auto" w:fill="DCE2EF"/>
          </w:tcPr>
          <w:p>
            <w:pPr>
              <w:spacing w:after="0"/>
              <w:rPr>
                <w:sz w:val="17"/>
                <w:szCs w:val="17"/>
                <w:color w:val="auto"/>
              </w:rPr>
            </w:pPr>
          </w:p>
        </w:tc>
        <w:tc>
          <w:tcPr>
            <w:tcW w:w="380" w:type="dxa"/>
            <w:vAlign w:val="bottom"/>
            <w:shd w:val="clear" w:color="auto" w:fill="DCE2EF"/>
          </w:tcPr>
          <w:p>
            <w:pPr>
              <w:spacing w:after="0"/>
              <w:rPr>
                <w:sz w:val="17"/>
                <w:szCs w:val="17"/>
                <w:color w:val="auto"/>
              </w:rPr>
            </w:pPr>
          </w:p>
        </w:tc>
        <w:tc>
          <w:tcPr>
            <w:tcW w:w="1380" w:type="dxa"/>
            <w:vAlign w:val="bottom"/>
            <w:shd w:val="clear" w:color="auto" w:fill="DCE2EF"/>
          </w:tcPr>
          <w:p>
            <w:pPr>
              <w:spacing w:after="0"/>
              <w:rPr>
                <w:sz w:val="17"/>
                <w:szCs w:val="17"/>
                <w:color w:val="auto"/>
              </w:rPr>
            </w:pPr>
          </w:p>
        </w:tc>
        <w:tc>
          <w:tcPr>
            <w:tcW w:w="40" w:type="dxa"/>
            <w:vAlign w:val="bottom"/>
            <w:shd w:val="clear" w:color="auto" w:fill="DCE2EF"/>
          </w:tcPr>
          <w:p>
            <w:pPr>
              <w:spacing w:after="0"/>
              <w:rPr>
                <w:sz w:val="17"/>
                <w:szCs w:val="17"/>
                <w:color w:val="auto"/>
              </w:rPr>
            </w:pPr>
          </w:p>
        </w:tc>
        <w:tc>
          <w:tcPr>
            <w:tcW w:w="40" w:type="dxa"/>
            <w:vAlign w:val="bottom"/>
            <w:shd w:val="clear" w:color="auto" w:fill="DCE2EF"/>
          </w:tcPr>
          <w:p>
            <w:pPr>
              <w:spacing w:after="0"/>
              <w:rPr>
                <w:sz w:val="17"/>
                <w:szCs w:val="17"/>
                <w:color w:val="auto"/>
              </w:rPr>
            </w:pPr>
          </w:p>
        </w:tc>
        <w:tc>
          <w:tcPr>
            <w:tcW w:w="60" w:type="dxa"/>
            <w:vAlign w:val="bottom"/>
            <w:shd w:val="clear" w:color="auto" w:fill="DCE2EF"/>
          </w:tcPr>
          <w:p>
            <w:pPr>
              <w:spacing w:after="0"/>
              <w:rPr>
                <w:sz w:val="17"/>
                <w:szCs w:val="17"/>
                <w:color w:val="auto"/>
              </w:rPr>
            </w:pPr>
          </w:p>
        </w:tc>
        <w:tc>
          <w:tcPr>
            <w:tcW w:w="60" w:type="dxa"/>
            <w:vAlign w:val="bottom"/>
            <w:shd w:val="clear" w:color="auto" w:fill="DCE2EF"/>
          </w:tcPr>
          <w:p>
            <w:pPr>
              <w:spacing w:after="0"/>
              <w:rPr>
                <w:sz w:val="17"/>
                <w:szCs w:val="17"/>
                <w:color w:val="auto"/>
              </w:rPr>
            </w:pPr>
          </w:p>
        </w:tc>
        <w:tc>
          <w:tcPr>
            <w:tcW w:w="360" w:type="dxa"/>
            <w:vAlign w:val="bottom"/>
            <w:shd w:val="clear" w:color="auto" w:fill="DCE2EF"/>
          </w:tcPr>
          <w:p>
            <w:pPr>
              <w:spacing w:after="0"/>
              <w:rPr>
                <w:sz w:val="17"/>
                <w:szCs w:val="17"/>
                <w:color w:val="auto"/>
              </w:rPr>
            </w:pPr>
          </w:p>
        </w:tc>
        <w:tc>
          <w:tcPr>
            <w:tcW w:w="1420" w:type="dxa"/>
            <w:vAlign w:val="bottom"/>
            <w:shd w:val="clear" w:color="auto" w:fill="DCE2EF"/>
          </w:tcPr>
          <w:p>
            <w:pPr>
              <w:spacing w:after="0"/>
              <w:rPr>
                <w:sz w:val="17"/>
                <w:szCs w:val="17"/>
                <w:color w:val="auto"/>
              </w:rPr>
            </w:pPr>
          </w:p>
        </w:tc>
        <w:tc>
          <w:tcPr>
            <w:tcW w:w="20" w:type="dxa"/>
            <w:vAlign w:val="bottom"/>
            <w:shd w:val="clear" w:color="auto" w:fill="DCE2EF"/>
          </w:tcPr>
          <w:p>
            <w:pPr>
              <w:spacing w:after="0"/>
              <w:rPr>
                <w:sz w:val="17"/>
                <w:szCs w:val="17"/>
                <w:color w:val="auto"/>
              </w:rPr>
            </w:pPr>
          </w:p>
        </w:tc>
        <w:tc>
          <w:tcPr>
            <w:tcW w:w="80" w:type="dxa"/>
            <w:vAlign w:val="bottom"/>
            <w:shd w:val="clear" w:color="auto" w:fill="DCE2EF"/>
          </w:tcPr>
          <w:p>
            <w:pPr>
              <w:spacing w:after="0"/>
              <w:rPr>
                <w:sz w:val="17"/>
                <w:szCs w:val="17"/>
                <w:color w:val="auto"/>
              </w:rPr>
            </w:pPr>
          </w:p>
        </w:tc>
        <w:tc>
          <w:tcPr>
            <w:tcW w:w="40" w:type="dxa"/>
            <w:vAlign w:val="bottom"/>
            <w:shd w:val="clear" w:color="auto" w:fill="DCE2EF"/>
          </w:tcPr>
          <w:p>
            <w:pPr>
              <w:spacing w:after="0"/>
              <w:rPr>
                <w:sz w:val="17"/>
                <w:szCs w:val="17"/>
                <w:color w:val="auto"/>
              </w:rPr>
            </w:pPr>
          </w:p>
        </w:tc>
        <w:tc>
          <w:tcPr>
            <w:tcW w:w="400" w:type="dxa"/>
            <w:vAlign w:val="bottom"/>
            <w:shd w:val="clear" w:color="auto" w:fill="DCE2EF"/>
          </w:tcPr>
          <w:p>
            <w:pPr>
              <w:spacing w:after="0"/>
              <w:rPr>
                <w:sz w:val="17"/>
                <w:szCs w:val="17"/>
                <w:color w:val="auto"/>
              </w:rPr>
            </w:pPr>
          </w:p>
        </w:tc>
        <w:tc>
          <w:tcPr>
            <w:tcW w:w="140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40" w:type="dxa"/>
            <w:vAlign w:val="bottom"/>
            <w:shd w:val="clear" w:color="auto" w:fill="DCE2EF"/>
          </w:tcPr>
          <w:p>
            <w:pPr>
              <w:spacing w:after="0"/>
              <w:rPr>
                <w:sz w:val="22"/>
                <w:szCs w:val="22"/>
                <w:color w:val="auto"/>
              </w:rPr>
            </w:pPr>
          </w:p>
        </w:tc>
        <w:tc>
          <w:tcPr>
            <w:tcW w:w="5640" w:type="dxa"/>
            <w:vAlign w:val="bottom"/>
            <w:gridSpan w:val="3"/>
            <w:shd w:val="clear" w:color="auto" w:fill="DCE2EF"/>
          </w:tcPr>
          <w:p>
            <w:pPr>
              <w:ind w:left="160"/>
              <w:spacing w:after="0"/>
              <w:rPr>
                <w:sz w:val="20"/>
                <w:szCs w:val="20"/>
                <w:color w:val="auto"/>
              </w:rPr>
            </w:pPr>
            <w:r>
              <w:rPr>
                <w:rFonts w:ascii="Arial" w:cs="Arial" w:eastAsia="Arial" w:hAnsi="Arial"/>
                <w:sz w:val="18"/>
                <w:szCs w:val="18"/>
                <w:b w:val="1"/>
                <w:bCs w:val="1"/>
                <w:color w:val="auto"/>
              </w:rPr>
              <w:t>outstanding — Basic</w:t>
            </w:r>
          </w:p>
        </w:tc>
        <w:tc>
          <w:tcPr>
            <w:tcW w:w="40" w:type="dxa"/>
            <w:vAlign w:val="bottom"/>
            <w:shd w:val="clear" w:color="auto" w:fill="DCE2EF"/>
          </w:tcPr>
          <w:p>
            <w:pPr>
              <w:spacing w:after="0"/>
              <w:rPr>
                <w:sz w:val="22"/>
                <w:szCs w:val="22"/>
                <w:color w:val="auto"/>
              </w:rPr>
            </w:pPr>
          </w:p>
        </w:tc>
        <w:tc>
          <w:tcPr>
            <w:tcW w:w="380" w:type="dxa"/>
            <w:vAlign w:val="bottom"/>
            <w:shd w:val="clear" w:color="auto" w:fill="DCE2EF"/>
          </w:tcPr>
          <w:p>
            <w:pPr>
              <w:spacing w:after="0"/>
              <w:rPr>
                <w:sz w:val="22"/>
                <w:szCs w:val="22"/>
                <w:color w:val="auto"/>
              </w:rPr>
            </w:pPr>
          </w:p>
        </w:tc>
        <w:tc>
          <w:tcPr>
            <w:tcW w:w="13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66.6</w:t>
            </w:r>
          </w:p>
        </w:tc>
        <w:tc>
          <w:tcPr>
            <w:tcW w:w="40" w:type="dxa"/>
            <w:vAlign w:val="bottom"/>
            <w:shd w:val="clear" w:color="auto" w:fill="DCE2EF"/>
          </w:tcPr>
          <w:p>
            <w:pPr>
              <w:spacing w:after="0"/>
              <w:rPr>
                <w:sz w:val="22"/>
                <w:szCs w:val="22"/>
                <w:color w:val="auto"/>
              </w:rPr>
            </w:pPr>
          </w:p>
        </w:tc>
        <w:tc>
          <w:tcPr>
            <w:tcW w:w="40" w:type="dxa"/>
            <w:vAlign w:val="bottom"/>
            <w:shd w:val="clear" w:color="auto" w:fill="DCE2EF"/>
          </w:tcPr>
          <w:p>
            <w:pPr>
              <w:spacing w:after="0"/>
              <w:rPr>
                <w:sz w:val="22"/>
                <w:szCs w:val="22"/>
                <w:color w:val="auto"/>
              </w:rPr>
            </w:pPr>
          </w:p>
        </w:tc>
        <w:tc>
          <w:tcPr>
            <w:tcW w:w="60" w:type="dxa"/>
            <w:vAlign w:val="bottom"/>
            <w:shd w:val="clear" w:color="auto" w:fill="DCE2EF"/>
          </w:tcPr>
          <w:p>
            <w:pPr>
              <w:spacing w:after="0"/>
              <w:rPr>
                <w:sz w:val="22"/>
                <w:szCs w:val="22"/>
                <w:color w:val="auto"/>
              </w:rPr>
            </w:pPr>
          </w:p>
        </w:tc>
        <w:tc>
          <w:tcPr>
            <w:tcW w:w="60" w:type="dxa"/>
            <w:vAlign w:val="bottom"/>
            <w:shd w:val="clear" w:color="auto" w:fill="DCE2EF"/>
          </w:tcPr>
          <w:p>
            <w:pPr>
              <w:spacing w:after="0"/>
              <w:rPr>
                <w:sz w:val="22"/>
                <w:szCs w:val="22"/>
                <w:color w:val="auto"/>
              </w:rPr>
            </w:pPr>
          </w:p>
        </w:tc>
        <w:tc>
          <w:tcPr>
            <w:tcW w:w="360" w:type="dxa"/>
            <w:vAlign w:val="bottom"/>
            <w:shd w:val="clear" w:color="auto" w:fill="DCE2EF"/>
          </w:tcPr>
          <w:p>
            <w:pPr>
              <w:spacing w:after="0"/>
              <w:rPr>
                <w:sz w:val="22"/>
                <w:szCs w:val="22"/>
                <w:color w:val="auto"/>
              </w:rPr>
            </w:pPr>
          </w:p>
        </w:tc>
        <w:tc>
          <w:tcPr>
            <w:tcW w:w="14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66.1</w:t>
            </w:r>
          </w:p>
        </w:tc>
        <w:tc>
          <w:tcPr>
            <w:tcW w:w="20" w:type="dxa"/>
            <w:vAlign w:val="bottom"/>
            <w:shd w:val="clear" w:color="auto" w:fill="DCE2EF"/>
          </w:tcPr>
          <w:p>
            <w:pPr>
              <w:spacing w:after="0"/>
              <w:rPr>
                <w:sz w:val="22"/>
                <w:szCs w:val="22"/>
                <w:color w:val="auto"/>
              </w:rPr>
            </w:pPr>
          </w:p>
        </w:tc>
        <w:tc>
          <w:tcPr>
            <w:tcW w:w="80" w:type="dxa"/>
            <w:vAlign w:val="bottom"/>
            <w:shd w:val="clear" w:color="auto" w:fill="DCE2EF"/>
          </w:tcPr>
          <w:p>
            <w:pPr>
              <w:spacing w:after="0"/>
              <w:rPr>
                <w:sz w:val="22"/>
                <w:szCs w:val="22"/>
                <w:color w:val="auto"/>
              </w:rPr>
            </w:pPr>
          </w:p>
        </w:tc>
        <w:tc>
          <w:tcPr>
            <w:tcW w:w="40" w:type="dxa"/>
            <w:vAlign w:val="bottom"/>
            <w:shd w:val="clear" w:color="auto" w:fill="DCE2EF"/>
          </w:tcPr>
          <w:p>
            <w:pPr>
              <w:spacing w:after="0"/>
              <w:rPr>
                <w:sz w:val="22"/>
                <w:szCs w:val="22"/>
                <w:color w:val="auto"/>
              </w:rPr>
            </w:pPr>
          </w:p>
        </w:tc>
        <w:tc>
          <w:tcPr>
            <w:tcW w:w="400" w:type="dxa"/>
            <w:vAlign w:val="bottom"/>
            <w:shd w:val="clear" w:color="auto" w:fill="DCE2EF"/>
          </w:tcPr>
          <w:p>
            <w:pPr>
              <w:spacing w:after="0"/>
              <w:rPr>
                <w:sz w:val="22"/>
                <w:szCs w:val="22"/>
                <w:color w:val="auto"/>
              </w:rPr>
            </w:pPr>
          </w:p>
        </w:tc>
        <w:tc>
          <w:tcPr>
            <w:tcW w:w="14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65"/>
        </w:trPr>
        <w:tc>
          <w:tcPr>
            <w:tcW w:w="5680" w:type="dxa"/>
            <w:vAlign w:val="bottom"/>
            <w:gridSpan w:val="4"/>
          </w:tcPr>
          <w:p>
            <w:pPr>
              <w:ind w:left="40"/>
              <w:spacing w:after="0"/>
              <w:rPr>
                <w:sz w:val="20"/>
                <w:szCs w:val="20"/>
                <w:color w:val="auto"/>
              </w:rPr>
            </w:pPr>
            <w:r>
              <w:rPr>
                <w:rFonts w:ascii="Arial" w:cs="Arial" w:eastAsia="Arial" w:hAnsi="Arial"/>
                <w:sz w:val="18"/>
                <w:szCs w:val="18"/>
                <w:color w:val="auto"/>
              </w:rPr>
              <w:t>Effect of dilutive securities</w:t>
            </w: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0" w:type="dxa"/>
            <w:vAlign w:val="bottom"/>
            <w:shd w:val="clear" w:color="auto" w:fill="DCE2EF"/>
          </w:tcPr>
          <w:p>
            <w:pPr>
              <w:spacing w:after="0"/>
              <w:rPr>
                <w:sz w:val="23"/>
                <w:szCs w:val="23"/>
                <w:color w:val="auto"/>
              </w:rPr>
            </w:pPr>
          </w:p>
        </w:tc>
        <w:tc>
          <w:tcPr>
            <w:tcW w:w="5640" w:type="dxa"/>
            <w:vAlign w:val="bottom"/>
            <w:gridSpan w:val="3"/>
            <w:shd w:val="clear" w:color="auto" w:fill="DCE2EF"/>
          </w:tcPr>
          <w:p>
            <w:pPr>
              <w:ind w:left="340"/>
              <w:spacing w:after="0"/>
              <w:rPr>
                <w:sz w:val="20"/>
                <w:szCs w:val="20"/>
                <w:color w:val="auto"/>
              </w:rPr>
            </w:pPr>
            <w:r>
              <w:rPr>
                <w:rFonts w:ascii="Arial" w:cs="Arial" w:eastAsia="Arial" w:hAnsi="Arial"/>
                <w:sz w:val="18"/>
                <w:szCs w:val="18"/>
                <w:color w:val="auto"/>
              </w:rPr>
              <w:t>RSUs</w:t>
            </w:r>
          </w:p>
        </w:tc>
        <w:tc>
          <w:tcPr>
            <w:tcW w:w="40" w:type="dxa"/>
            <w:vAlign w:val="bottom"/>
            <w:shd w:val="clear" w:color="auto" w:fill="DCE2EF"/>
          </w:tcPr>
          <w:p>
            <w:pPr>
              <w:spacing w:after="0"/>
              <w:rPr>
                <w:sz w:val="23"/>
                <w:szCs w:val="23"/>
                <w:color w:val="auto"/>
              </w:rPr>
            </w:pPr>
          </w:p>
        </w:tc>
        <w:tc>
          <w:tcPr>
            <w:tcW w:w="380" w:type="dxa"/>
            <w:vAlign w:val="bottom"/>
            <w:shd w:val="clear" w:color="auto" w:fill="DCE2EF"/>
          </w:tcPr>
          <w:p>
            <w:pPr>
              <w:spacing w:after="0"/>
              <w:rPr>
                <w:sz w:val="23"/>
                <w:szCs w:val="23"/>
                <w:color w:val="auto"/>
              </w:rPr>
            </w:pPr>
          </w:p>
        </w:tc>
        <w:tc>
          <w:tcPr>
            <w:tcW w:w="13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0.2</w:t>
            </w:r>
          </w:p>
        </w:tc>
        <w:tc>
          <w:tcPr>
            <w:tcW w:w="40" w:type="dxa"/>
            <w:vAlign w:val="bottom"/>
            <w:shd w:val="clear" w:color="auto" w:fill="DCE2EF"/>
          </w:tcPr>
          <w:p>
            <w:pPr>
              <w:spacing w:after="0"/>
              <w:rPr>
                <w:sz w:val="23"/>
                <w:szCs w:val="23"/>
                <w:color w:val="auto"/>
              </w:rPr>
            </w:pPr>
          </w:p>
        </w:tc>
        <w:tc>
          <w:tcPr>
            <w:tcW w:w="40" w:type="dxa"/>
            <w:vAlign w:val="bottom"/>
            <w:shd w:val="clear" w:color="auto" w:fill="DCE2EF"/>
          </w:tcPr>
          <w:p>
            <w:pPr>
              <w:spacing w:after="0"/>
              <w:rPr>
                <w:sz w:val="23"/>
                <w:szCs w:val="23"/>
                <w:color w:val="auto"/>
              </w:rPr>
            </w:pPr>
          </w:p>
        </w:tc>
        <w:tc>
          <w:tcPr>
            <w:tcW w:w="60" w:type="dxa"/>
            <w:vAlign w:val="bottom"/>
            <w:shd w:val="clear" w:color="auto" w:fill="DCE2EF"/>
          </w:tcPr>
          <w:p>
            <w:pPr>
              <w:spacing w:after="0"/>
              <w:rPr>
                <w:sz w:val="23"/>
                <w:szCs w:val="23"/>
                <w:color w:val="auto"/>
              </w:rPr>
            </w:pPr>
          </w:p>
        </w:tc>
        <w:tc>
          <w:tcPr>
            <w:tcW w:w="60" w:type="dxa"/>
            <w:vAlign w:val="bottom"/>
            <w:shd w:val="clear" w:color="auto" w:fill="DCE2EF"/>
          </w:tcPr>
          <w:p>
            <w:pPr>
              <w:spacing w:after="0"/>
              <w:rPr>
                <w:sz w:val="23"/>
                <w:szCs w:val="23"/>
                <w:color w:val="auto"/>
              </w:rPr>
            </w:pPr>
          </w:p>
        </w:tc>
        <w:tc>
          <w:tcPr>
            <w:tcW w:w="360" w:type="dxa"/>
            <w:vAlign w:val="bottom"/>
            <w:shd w:val="clear" w:color="auto" w:fill="DCE2EF"/>
          </w:tcPr>
          <w:p>
            <w:pPr>
              <w:spacing w:after="0"/>
              <w:rPr>
                <w:sz w:val="23"/>
                <w:szCs w:val="23"/>
                <w:color w:val="auto"/>
              </w:rPr>
            </w:pPr>
          </w:p>
        </w:tc>
        <w:tc>
          <w:tcPr>
            <w:tcW w:w="14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0.1</w:t>
            </w:r>
          </w:p>
        </w:tc>
        <w:tc>
          <w:tcPr>
            <w:tcW w:w="20" w:type="dxa"/>
            <w:vAlign w:val="bottom"/>
            <w:shd w:val="clear" w:color="auto" w:fill="DCE2EF"/>
          </w:tcPr>
          <w:p>
            <w:pPr>
              <w:spacing w:after="0"/>
              <w:rPr>
                <w:sz w:val="23"/>
                <w:szCs w:val="23"/>
                <w:color w:val="auto"/>
              </w:rPr>
            </w:pPr>
          </w:p>
        </w:tc>
        <w:tc>
          <w:tcPr>
            <w:tcW w:w="80" w:type="dxa"/>
            <w:vAlign w:val="bottom"/>
            <w:shd w:val="clear" w:color="auto" w:fill="DCE2EF"/>
          </w:tcPr>
          <w:p>
            <w:pPr>
              <w:spacing w:after="0"/>
              <w:rPr>
                <w:sz w:val="23"/>
                <w:szCs w:val="23"/>
                <w:color w:val="auto"/>
              </w:rPr>
            </w:pPr>
          </w:p>
        </w:tc>
        <w:tc>
          <w:tcPr>
            <w:tcW w:w="40" w:type="dxa"/>
            <w:vAlign w:val="bottom"/>
            <w:shd w:val="clear" w:color="auto" w:fill="DCE2EF"/>
          </w:tcPr>
          <w:p>
            <w:pPr>
              <w:spacing w:after="0"/>
              <w:rPr>
                <w:sz w:val="23"/>
                <w:szCs w:val="23"/>
                <w:color w:val="auto"/>
              </w:rPr>
            </w:pPr>
          </w:p>
        </w:tc>
        <w:tc>
          <w:tcPr>
            <w:tcW w:w="400" w:type="dxa"/>
            <w:vAlign w:val="bottom"/>
            <w:shd w:val="clear" w:color="auto" w:fill="DCE2EF"/>
          </w:tcPr>
          <w:p>
            <w:pPr>
              <w:spacing w:after="0"/>
              <w:rPr>
                <w:sz w:val="23"/>
                <w:szCs w:val="23"/>
                <w:color w:val="auto"/>
              </w:rPr>
            </w:pPr>
          </w:p>
        </w:tc>
        <w:tc>
          <w:tcPr>
            <w:tcW w:w="14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5640" w:type="dxa"/>
            <w:vAlign w:val="bottom"/>
            <w:gridSpan w:val="3"/>
          </w:tcPr>
          <w:p>
            <w:pPr>
              <w:ind w:left="340"/>
              <w:spacing w:after="0"/>
              <w:rPr>
                <w:sz w:val="20"/>
                <w:szCs w:val="20"/>
                <w:color w:val="auto"/>
              </w:rPr>
            </w:pPr>
            <w:r>
              <w:rPr>
                <w:rFonts w:ascii="Arial" w:cs="Arial" w:eastAsia="Arial" w:hAnsi="Arial"/>
                <w:sz w:val="18"/>
                <w:szCs w:val="18"/>
                <w:color w:val="auto"/>
              </w:rPr>
              <w:t>Stock options</w:t>
            </w: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5"/>
        </w:trPr>
        <w:tc>
          <w:tcPr>
            <w:tcW w:w="40" w:type="dxa"/>
            <w:vAlign w:val="bottom"/>
            <w:shd w:val="clear" w:color="auto" w:fill="DCE2EF"/>
          </w:tcPr>
          <w:p>
            <w:pPr>
              <w:spacing w:after="0"/>
              <w:rPr>
                <w:sz w:val="23"/>
                <w:szCs w:val="23"/>
                <w:color w:val="auto"/>
              </w:rPr>
            </w:pPr>
          </w:p>
        </w:tc>
        <w:tc>
          <w:tcPr>
            <w:tcW w:w="5640" w:type="dxa"/>
            <w:vAlign w:val="bottom"/>
            <w:gridSpan w:val="3"/>
            <w:shd w:val="clear" w:color="auto" w:fill="DCE2EF"/>
          </w:tcPr>
          <w:p>
            <w:pPr>
              <w:ind w:left="340"/>
              <w:spacing w:after="0"/>
              <w:rPr>
                <w:sz w:val="20"/>
                <w:szCs w:val="20"/>
                <w:color w:val="auto"/>
              </w:rPr>
            </w:pPr>
            <w:r>
              <w:rPr>
                <w:rFonts w:ascii="Arial" w:cs="Arial" w:eastAsia="Arial" w:hAnsi="Arial"/>
                <w:sz w:val="18"/>
                <w:szCs w:val="18"/>
                <w:color w:val="auto"/>
              </w:rPr>
              <w:t>Performance shares</w:t>
            </w:r>
          </w:p>
        </w:tc>
        <w:tc>
          <w:tcPr>
            <w:tcW w:w="40" w:type="dxa"/>
            <w:vAlign w:val="bottom"/>
            <w:shd w:val="clear" w:color="auto" w:fill="DCE2EF"/>
          </w:tcPr>
          <w:p>
            <w:pPr>
              <w:spacing w:after="0"/>
              <w:rPr>
                <w:sz w:val="23"/>
                <w:szCs w:val="23"/>
                <w:color w:val="auto"/>
              </w:rPr>
            </w:pPr>
          </w:p>
        </w:tc>
        <w:tc>
          <w:tcPr>
            <w:tcW w:w="380" w:type="dxa"/>
            <w:vAlign w:val="bottom"/>
            <w:shd w:val="clear" w:color="auto" w:fill="DCE2EF"/>
          </w:tcPr>
          <w:p>
            <w:pPr>
              <w:spacing w:after="0"/>
              <w:rPr>
                <w:sz w:val="23"/>
                <w:szCs w:val="23"/>
                <w:color w:val="auto"/>
              </w:rPr>
            </w:pPr>
          </w:p>
        </w:tc>
        <w:tc>
          <w:tcPr>
            <w:tcW w:w="13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0.1</w:t>
            </w:r>
          </w:p>
        </w:tc>
        <w:tc>
          <w:tcPr>
            <w:tcW w:w="40" w:type="dxa"/>
            <w:vAlign w:val="bottom"/>
            <w:shd w:val="clear" w:color="auto" w:fill="DCE2EF"/>
          </w:tcPr>
          <w:p>
            <w:pPr>
              <w:spacing w:after="0"/>
              <w:rPr>
                <w:sz w:val="23"/>
                <w:szCs w:val="23"/>
                <w:color w:val="auto"/>
              </w:rPr>
            </w:pPr>
          </w:p>
        </w:tc>
        <w:tc>
          <w:tcPr>
            <w:tcW w:w="40" w:type="dxa"/>
            <w:vAlign w:val="bottom"/>
            <w:shd w:val="clear" w:color="auto" w:fill="DCE2EF"/>
          </w:tcPr>
          <w:p>
            <w:pPr>
              <w:spacing w:after="0"/>
              <w:rPr>
                <w:sz w:val="23"/>
                <w:szCs w:val="23"/>
                <w:color w:val="auto"/>
              </w:rPr>
            </w:pPr>
          </w:p>
        </w:tc>
        <w:tc>
          <w:tcPr>
            <w:tcW w:w="60" w:type="dxa"/>
            <w:vAlign w:val="bottom"/>
            <w:shd w:val="clear" w:color="auto" w:fill="DCE2EF"/>
          </w:tcPr>
          <w:p>
            <w:pPr>
              <w:spacing w:after="0"/>
              <w:rPr>
                <w:sz w:val="23"/>
                <w:szCs w:val="23"/>
                <w:color w:val="auto"/>
              </w:rPr>
            </w:pPr>
          </w:p>
        </w:tc>
        <w:tc>
          <w:tcPr>
            <w:tcW w:w="60" w:type="dxa"/>
            <w:vAlign w:val="bottom"/>
            <w:shd w:val="clear" w:color="auto" w:fill="DCE2EF"/>
          </w:tcPr>
          <w:p>
            <w:pPr>
              <w:spacing w:after="0"/>
              <w:rPr>
                <w:sz w:val="23"/>
                <w:szCs w:val="23"/>
                <w:color w:val="auto"/>
              </w:rPr>
            </w:pPr>
          </w:p>
        </w:tc>
        <w:tc>
          <w:tcPr>
            <w:tcW w:w="360" w:type="dxa"/>
            <w:vAlign w:val="bottom"/>
            <w:shd w:val="clear" w:color="auto" w:fill="DCE2EF"/>
          </w:tcPr>
          <w:p>
            <w:pPr>
              <w:spacing w:after="0"/>
              <w:rPr>
                <w:sz w:val="23"/>
                <w:szCs w:val="23"/>
                <w:color w:val="auto"/>
              </w:rPr>
            </w:pPr>
          </w:p>
        </w:tc>
        <w:tc>
          <w:tcPr>
            <w:tcW w:w="1520" w:type="dxa"/>
            <w:vAlign w:val="bottom"/>
            <w:gridSpan w:val="3"/>
            <w:shd w:val="clear" w:color="auto" w:fill="DCE2E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DCE2EF"/>
          </w:tcPr>
          <w:p>
            <w:pPr>
              <w:spacing w:after="0"/>
              <w:rPr>
                <w:sz w:val="23"/>
                <w:szCs w:val="23"/>
                <w:color w:val="auto"/>
              </w:rPr>
            </w:pPr>
          </w:p>
        </w:tc>
        <w:tc>
          <w:tcPr>
            <w:tcW w:w="400" w:type="dxa"/>
            <w:vAlign w:val="bottom"/>
            <w:shd w:val="clear" w:color="auto" w:fill="DCE2EF"/>
          </w:tcPr>
          <w:p>
            <w:pPr>
              <w:spacing w:after="0"/>
              <w:rPr>
                <w:sz w:val="23"/>
                <w:szCs w:val="23"/>
                <w:color w:val="auto"/>
              </w:rPr>
            </w:pPr>
          </w:p>
        </w:tc>
        <w:tc>
          <w:tcPr>
            <w:tcW w:w="14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85"/>
        </w:trPr>
        <w:tc>
          <w:tcPr>
            <w:tcW w:w="5680" w:type="dxa"/>
            <w:vAlign w:val="bottom"/>
            <w:gridSpan w:val="4"/>
          </w:tcPr>
          <w:p>
            <w:pPr>
              <w:ind w:left="40"/>
              <w:spacing w:after="0" w:line="185" w:lineRule="exact"/>
              <w:rPr>
                <w:sz w:val="20"/>
                <w:szCs w:val="20"/>
                <w:color w:val="auto"/>
              </w:rPr>
            </w:pPr>
            <w:r>
              <w:rPr>
                <w:rFonts w:ascii="Arial" w:cs="Arial" w:eastAsia="Arial" w:hAnsi="Arial"/>
                <w:sz w:val="18"/>
                <w:szCs w:val="18"/>
                <w:b w:val="1"/>
                <w:bCs w:val="1"/>
                <w:color w:val="auto"/>
              </w:rPr>
              <w:t>Weighted-average common and common equivalent shares</w:t>
            </w:r>
          </w:p>
        </w:tc>
        <w:tc>
          <w:tcPr>
            <w:tcW w:w="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66.9</w:t>
            </w:r>
          </w:p>
        </w:tc>
        <w:tc>
          <w:tcPr>
            <w:tcW w:w="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66.4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81"/>
        </w:trPr>
        <w:tc>
          <w:tcPr>
            <w:tcW w:w="40" w:type="dxa"/>
            <w:vAlign w:val="bottom"/>
            <w:tcBorders>
              <w:bottom w:val="single" w:sz="8" w:color="DCE2EF"/>
            </w:tcBorders>
          </w:tcPr>
          <w:p>
            <w:pPr>
              <w:spacing w:after="0"/>
              <w:rPr>
                <w:sz w:val="24"/>
                <w:szCs w:val="24"/>
                <w:color w:val="auto"/>
              </w:rPr>
            </w:pPr>
          </w:p>
        </w:tc>
        <w:tc>
          <w:tcPr>
            <w:tcW w:w="5640" w:type="dxa"/>
            <w:vAlign w:val="bottom"/>
            <w:tcBorders>
              <w:bottom w:val="single" w:sz="8" w:color="DCE2EF"/>
            </w:tcBorders>
            <w:gridSpan w:val="3"/>
          </w:tcPr>
          <w:p>
            <w:pPr>
              <w:ind w:left="160"/>
              <w:spacing w:after="0"/>
              <w:rPr>
                <w:sz w:val="20"/>
                <w:szCs w:val="20"/>
                <w:color w:val="auto"/>
              </w:rPr>
            </w:pPr>
            <w:r>
              <w:rPr>
                <w:rFonts w:ascii="Arial" w:cs="Arial" w:eastAsia="Arial" w:hAnsi="Arial"/>
                <w:sz w:val="18"/>
                <w:szCs w:val="18"/>
                <w:b w:val="1"/>
                <w:bCs w:val="1"/>
                <w:color w:val="auto"/>
              </w:rPr>
              <w:t>outstanding — Diluted</w:t>
            </w: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vMerge w:val="continue"/>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DCE2EF"/>
            </w:tcBorders>
          </w:tcPr>
          <w:p>
            <w:pPr>
              <w:spacing w:after="0"/>
              <w:rPr>
                <w:sz w:val="24"/>
                <w:szCs w:val="24"/>
                <w:color w:val="auto"/>
              </w:rPr>
            </w:pPr>
          </w:p>
        </w:tc>
        <w:tc>
          <w:tcPr>
            <w:tcW w:w="60" w:type="dxa"/>
            <w:vAlign w:val="bottom"/>
            <w:tcBorders>
              <w:bottom w:val="single" w:sz="8" w:color="DCE2E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DCE2EF"/>
            </w:tcBorders>
          </w:tcPr>
          <w:p>
            <w:pPr>
              <w:spacing w:after="0"/>
              <w:rPr>
                <w:sz w:val="24"/>
                <w:szCs w:val="24"/>
                <w:color w:val="auto"/>
              </w:rPr>
            </w:pPr>
          </w:p>
        </w:tc>
        <w:tc>
          <w:tcPr>
            <w:tcW w:w="80" w:type="dxa"/>
            <w:vAlign w:val="bottom"/>
            <w:tcBorders>
              <w:bottom w:val="single" w:sz="8" w:color="DCE2E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 w:type="dxa"/>
            <w:vAlign w:val="bottom"/>
            <w:shd w:val="clear" w:color="auto" w:fill="DCE2EF"/>
          </w:tcPr>
          <w:p>
            <w:pPr>
              <w:spacing w:after="0"/>
              <w:rPr>
                <w:sz w:val="24"/>
                <w:szCs w:val="24"/>
                <w:color w:val="auto"/>
              </w:rPr>
            </w:pPr>
          </w:p>
        </w:tc>
        <w:tc>
          <w:tcPr>
            <w:tcW w:w="700" w:type="dxa"/>
            <w:vAlign w:val="bottom"/>
            <w:shd w:val="clear" w:color="auto" w:fill="DCE2EF"/>
          </w:tcPr>
          <w:p>
            <w:pPr>
              <w:spacing w:after="0"/>
              <w:rPr>
                <w:sz w:val="24"/>
                <w:szCs w:val="24"/>
                <w:color w:val="auto"/>
              </w:rPr>
            </w:pPr>
          </w:p>
        </w:tc>
        <w:tc>
          <w:tcPr>
            <w:tcW w:w="1540" w:type="dxa"/>
            <w:vAlign w:val="bottom"/>
            <w:shd w:val="clear" w:color="auto" w:fill="DCE2EF"/>
          </w:tcPr>
          <w:p>
            <w:pPr>
              <w:spacing w:after="0"/>
              <w:rPr>
                <w:sz w:val="24"/>
                <w:szCs w:val="24"/>
                <w:color w:val="auto"/>
              </w:rPr>
            </w:pPr>
          </w:p>
        </w:tc>
        <w:tc>
          <w:tcPr>
            <w:tcW w:w="3400" w:type="dxa"/>
            <w:vAlign w:val="bottom"/>
            <w:shd w:val="clear" w:color="auto" w:fill="DCE2EF"/>
          </w:tcPr>
          <w:p>
            <w:pPr>
              <w:spacing w:after="0"/>
              <w:rPr>
                <w:sz w:val="24"/>
                <w:szCs w:val="24"/>
                <w:color w:val="auto"/>
              </w:rPr>
            </w:pPr>
          </w:p>
        </w:tc>
        <w:tc>
          <w:tcPr>
            <w:tcW w:w="40" w:type="dxa"/>
            <w:vAlign w:val="bottom"/>
            <w:shd w:val="clear" w:color="auto" w:fill="DCE2EF"/>
          </w:tcPr>
          <w:p>
            <w:pPr>
              <w:spacing w:after="0"/>
              <w:rPr>
                <w:sz w:val="24"/>
                <w:szCs w:val="24"/>
                <w:color w:val="auto"/>
              </w:rPr>
            </w:pPr>
          </w:p>
        </w:tc>
        <w:tc>
          <w:tcPr>
            <w:tcW w:w="380" w:type="dxa"/>
            <w:vAlign w:val="bottom"/>
            <w:shd w:val="clear" w:color="auto" w:fill="DCE2EF"/>
          </w:tcPr>
          <w:p>
            <w:pPr>
              <w:spacing w:after="0"/>
              <w:rPr>
                <w:sz w:val="24"/>
                <w:szCs w:val="24"/>
                <w:color w:val="auto"/>
              </w:rPr>
            </w:pPr>
          </w:p>
        </w:tc>
        <w:tc>
          <w:tcPr>
            <w:tcW w:w="1380" w:type="dxa"/>
            <w:vAlign w:val="bottom"/>
            <w:shd w:val="clear" w:color="auto" w:fill="DCE2EF"/>
          </w:tcPr>
          <w:p>
            <w:pPr>
              <w:spacing w:after="0"/>
              <w:rPr>
                <w:sz w:val="24"/>
                <w:szCs w:val="24"/>
                <w:color w:val="auto"/>
              </w:rPr>
            </w:pPr>
          </w:p>
        </w:tc>
        <w:tc>
          <w:tcPr>
            <w:tcW w:w="40" w:type="dxa"/>
            <w:vAlign w:val="bottom"/>
            <w:shd w:val="clear" w:color="auto" w:fill="DCE2EF"/>
          </w:tcPr>
          <w:p>
            <w:pPr>
              <w:spacing w:after="0"/>
              <w:rPr>
                <w:sz w:val="24"/>
                <w:szCs w:val="24"/>
                <w:color w:val="auto"/>
              </w:rPr>
            </w:pPr>
          </w:p>
        </w:tc>
        <w:tc>
          <w:tcPr>
            <w:tcW w:w="40" w:type="dxa"/>
            <w:vAlign w:val="bottom"/>
            <w:shd w:val="clear" w:color="auto" w:fill="DCE2EF"/>
          </w:tcPr>
          <w:p>
            <w:pPr>
              <w:spacing w:after="0"/>
              <w:rPr>
                <w:sz w:val="24"/>
                <w:szCs w:val="24"/>
                <w:color w:val="auto"/>
              </w:rPr>
            </w:pPr>
          </w:p>
        </w:tc>
        <w:tc>
          <w:tcPr>
            <w:tcW w:w="60" w:type="dxa"/>
            <w:vAlign w:val="bottom"/>
            <w:shd w:val="clear" w:color="auto" w:fill="DCE2EF"/>
          </w:tcPr>
          <w:p>
            <w:pPr>
              <w:spacing w:after="0"/>
              <w:rPr>
                <w:sz w:val="24"/>
                <w:szCs w:val="24"/>
                <w:color w:val="auto"/>
              </w:rPr>
            </w:pPr>
          </w:p>
        </w:tc>
        <w:tc>
          <w:tcPr>
            <w:tcW w:w="60" w:type="dxa"/>
            <w:vAlign w:val="bottom"/>
            <w:shd w:val="clear" w:color="auto" w:fill="DCE2EF"/>
          </w:tcPr>
          <w:p>
            <w:pPr>
              <w:spacing w:after="0"/>
              <w:rPr>
                <w:sz w:val="24"/>
                <w:szCs w:val="24"/>
                <w:color w:val="auto"/>
              </w:rPr>
            </w:pPr>
          </w:p>
        </w:tc>
        <w:tc>
          <w:tcPr>
            <w:tcW w:w="360" w:type="dxa"/>
            <w:vAlign w:val="bottom"/>
            <w:shd w:val="clear" w:color="auto" w:fill="DCE2EF"/>
          </w:tcPr>
          <w:p>
            <w:pPr>
              <w:spacing w:after="0"/>
              <w:rPr>
                <w:sz w:val="24"/>
                <w:szCs w:val="24"/>
                <w:color w:val="auto"/>
              </w:rPr>
            </w:pPr>
          </w:p>
        </w:tc>
        <w:tc>
          <w:tcPr>
            <w:tcW w:w="1420" w:type="dxa"/>
            <w:vAlign w:val="bottom"/>
            <w:shd w:val="clear" w:color="auto" w:fill="DCE2EF"/>
          </w:tcPr>
          <w:p>
            <w:pPr>
              <w:spacing w:after="0"/>
              <w:rPr>
                <w:sz w:val="24"/>
                <w:szCs w:val="24"/>
                <w:color w:val="auto"/>
              </w:rPr>
            </w:pPr>
          </w:p>
        </w:tc>
        <w:tc>
          <w:tcPr>
            <w:tcW w:w="20" w:type="dxa"/>
            <w:vAlign w:val="bottom"/>
            <w:shd w:val="clear" w:color="auto" w:fill="DCE2EF"/>
          </w:tcPr>
          <w:p>
            <w:pPr>
              <w:spacing w:after="0"/>
              <w:rPr>
                <w:sz w:val="24"/>
                <w:szCs w:val="24"/>
                <w:color w:val="auto"/>
              </w:rPr>
            </w:pPr>
          </w:p>
        </w:tc>
        <w:tc>
          <w:tcPr>
            <w:tcW w:w="80" w:type="dxa"/>
            <w:vAlign w:val="bottom"/>
            <w:shd w:val="clear" w:color="auto" w:fill="DCE2EF"/>
          </w:tcPr>
          <w:p>
            <w:pPr>
              <w:spacing w:after="0"/>
              <w:rPr>
                <w:sz w:val="24"/>
                <w:szCs w:val="24"/>
                <w:color w:val="auto"/>
              </w:rPr>
            </w:pPr>
          </w:p>
        </w:tc>
        <w:tc>
          <w:tcPr>
            <w:tcW w:w="40" w:type="dxa"/>
            <w:vAlign w:val="bottom"/>
            <w:shd w:val="clear" w:color="auto" w:fill="DCE2EF"/>
          </w:tcPr>
          <w:p>
            <w:pPr>
              <w:spacing w:after="0"/>
              <w:rPr>
                <w:sz w:val="24"/>
                <w:szCs w:val="24"/>
                <w:color w:val="auto"/>
              </w:rPr>
            </w:pPr>
          </w:p>
        </w:tc>
        <w:tc>
          <w:tcPr>
            <w:tcW w:w="400" w:type="dxa"/>
            <w:vAlign w:val="bottom"/>
            <w:shd w:val="clear" w:color="auto" w:fill="DCE2EF"/>
          </w:tcPr>
          <w:p>
            <w:pPr>
              <w:spacing w:after="0"/>
              <w:rPr>
                <w:sz w:val="24"/>
                <w:szCs w:val="24"/>
                <w:color w:val="auto"/>
              </w:rPr>
            </w:pPr>
          </w:p>
        </w:tc>
        <w:tc>
          <w:tcPr>
            <w:tcW w:w="1400" w:type="dxa"/>
            <w:vAlign w:val="bottom"/>
            <w:shd w:val="clear" w:color="auto" w:fill="DCE2EF"/>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5680" w:type="dxa"/>
            <w:vAlign w:val="bottom"/>
            <w:gridSpan w:val="4"/>
          </w:tcPr>
          <w:p>
            <w:pPr>
              <w:ind w:left="40"/>
              <w:spacing w:after="0"/>
              <w:rPr>
                <w:sz w:val="20"/>
                <w:szCs w:val="20"/>
                <w:color w:val="auto"/>
              </w:rPr>
            </w:pPr>
            <w:r>
              <w:rPr>
                <w:rFonts w:ascii="Arial" w:cs="Arial" w:eastAsia="Arial" w:hAnsi="Arial"/>
                <w:sz w:val="18"/>
                <w:szCs w:val="18"/>
                <w:b w:val="1"/>
                <w:bCs w:val="1"/>
                <w:color w:val="auto"/>
              </w:rPr>
              <w:t>Net income per common share — Basic</w:t>
            </w: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40" w:type="dxa"/>
            <w:vAlign w:val="bottom"/>
            <w:shd w:val="clear" w:color="auto" w:fill="DCE2EF"/>
          </w:tcPr>
          <w:p>
            <w:pPr>
              <w:spacing w:after="0"/>
              <w:rPr>
                <w:sz w:val="23"/>
                <w:szCs w:val="23"/>
                <w:color w:val="auto"/>
              </w:rPr>
            </w:pPr>
          </w:p>
        </w:tc>
        <w:tc>
          <w:tcPr>
            <w:tcW w:w="5640" w:type="dxa"/>
            <w:vAlign w:val="bottom"/>
            <w:gridSpan w:val="3"/>
            <w:shd w:val="clear" w:color="auto" w:fill="DCE2EF"/>
          </w:tcPr>
          <w:p>
            <w:pPr>
              <w:ind w:left="340"/>
              <w:spacing w:after="0"/>
              <w:rPr>
                <w:sz w:val="20"/>
                <w:szCs w:val="20"/>
                <w:color w:val="auto"/>
              </w:rPr>
            </w:pPr>
            <w:r>
              <w:rPr>
                <w:rFonts w:ascii="Arial" w:cs="Arial" w:eastAsia="Arial" w:hAnsi="Arial"/>
                <w:sz w:val="18"/>
                <w:szCs w:val="18"/>
                <w:color w:val="auto"/>
              </w:rPr>
              <w:t>Income from continuing operations</w:t>
            </w:r>
          </w:p>
        </w:tc>
        <w:tc>
          <w:tcPr>
            <w:tcW w:w="420" w:type="dxa"/>
            <w:vAlign w:val="bottom"/>
            <w:gridSpan w:val="2"/>
            <w:shd w:val="clear" w:color="auto" w:fill="DCE2EF"/>
          </w:tcPr>
          <w:p>
            <w:pPr>
              <w:jc w:val="right"/>
              <w:ind w:right="30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1.92</w:t>
            </w:r>
          </w:p>
        </w:tc>
        <w:tc>
          <w:tcPr>
            <w:tcW w:w="560" w:type="dxa"/>
            <w:vAlign w:val="bottom"/>
            <w:gridSpan w:val="5"/>
            <w:shd w:val="clear" w:color="auto" w:fill="DCE2E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1.45</w:t>
            </w:r>
          </w:p>
        </w:tc>
        <w:tc>
          <w:tcPr>
            <w:tcW w:w="20" w:type="dxa"/>
            <w:vAlign w:val="bottom"/>
            <w:shd w:val="clear" w:color="auto" w:fill="DCE2EF"/>
          </w:tcPr>
          <w:p>
            <w:pPr>
              <w:spacing w:after="0"/>
              <w:rPr>
                <w:sz w:val="23"/>
                <w:szCs w:val="23"/>
                <w:color w:val="auto"/>
              </w:rPr>
            </w:pPr>
          </w:p>
        </w:tc>
        <w:tc>
          <w:tcPr>
            <w:tcW w:w="80" w:type="dxa"/>
            <w:vAlign w:val="bottom"/>
            <w:shd w:val="clear" w:color="auto" w:fill="DCE2EF"/>
          </w:tcPr>
          <w:p>
            <w:pPr>
              <w:spacing w:after="0"/>
              <w:rPr>
                <w:sz w:val="23"/>
                <w:szCs w:val="23"/>
                <w:color w:val="auto"/>
              </w:rPr>
            </w:pPr>
          </w:p>
        </w:tc>
        <w:tc>
          <w:tcPr>
            <w:tcW w:w="440" w:type="dxa"/>
            <w:vAlign w:val="bottom"/>
            <w:gridSpan w:val="2"/>
            <w:shd w:val="clear" w:color="auto" w:fill="DCE2EF"/>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65"/>
        </w:trPr>
        <w:tc>
          <w:tcPr>
            <w:tcW w:w="40" w:type="dxa"/>
            <w:vAlign w:val="bottom"/>
            <w:tcBorders>
              <w:bottom w:val="single" w:sz="8" w:color="DCE2EF"/>
            </w:tcBorders>
          </w:tcPr>
          <w:p>
            <w:pPr>
              <w:spacing w:after="0"/>
              <w:rPr>
                <w:sz w:val="23"/>
                <w:szCs w:val="23"/>
                <w:color w:val="auto"/>
              </w:rPr>
            </w:pPr>
          </w:p>
        </w:tc>
        <w:tc>
          <w:tcPr>
            <w:tcW w:w="5640" w:type="dxa"/>
            <w:vAlign w:val="bottom"/>
            <w:tcBorders>
              <w:bottom w:val="single" w:sz="8" w:color="DCE2EF"/>
            </w:tcBorders>
            <w:gridSpan w:val="3"/>
          </w:tcPr>
          <w:p>
            <w:pPr>
              <w:ind w:left="340"/>
              <w:spacing w:after="0"/>
              <w:rPr>
                <w:sz w:val="20"/>
                <w:szCs w:val="20"/>
                <w:color w:val="auto"/>
              </w:rPr>
            </w:pPr>
            <w:r>
              <w:rPr>
                <w:rFonts w:ascii="Arial" w:cs="Arial" w:eastAsia="Arial" w:hAnsi="Arial"/>
                <w:sz w:val="18"/>
                <w:szCs w:val="18"/>
                <w:color w:val="auto"/>
              </w:rPr>
              <w:t>Income (loss) from discontinued operations</w:t>
            </w:r>
          </w:p>
        </w:tc>
        <w:tc>
          <w:tcPr>
            <w:tcW w:w="4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23"/>
                <w:szCs w:val="23"/>
                <w:color w:val="auto"/>
              </w:rPr>
            </w:pPr>
          </w:p>
        </w:tc>
        <w:tc>
          <w:tcPr>
            <w:tcW w:w="40" w:type="dxa"/>
            <w:vAlign w:val="bottom"/>
            <w:tcBorders>
              <w:bottom w:val="single" w:sz="8" w:color="DCE2EF"/>
            </w:tcBorders>
          </w:tcPr>
          <w:p>
            <w:pPr>
              <w:spacing w:after="0"/>
              <w:rPr>
                <w:sz w:val="23"/>
                <w:szCs w:val="23"/>
                <w:color w:val="auto"/>
              </w:rPr>
            </w:pPr>
          </w:p>
        </w:tc>
        <w:tc>
          <w:tcPr>
            <w:tcW w:w="60" w:type="dxa"/>
            <w:vAlign w:val="bottom"/>
            <w:tcBorders>
              <w:bottom w:val="single" w:sz="8" w:color="DCE2EF"/>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0.03</w:t>
            </w:r>
          </w:p>
        </w:tc>
        <w:tc>
          <w:tcPr>
            <w:tcW w:w="20" w:type="dxa"/>
            <w:vAlign w:val="bottom"/>
            <w:tcBorders>
              <w:bottom w:val="single" w:sz="8" w:color="DCE2EF"/>
            </w:tcBorders>
          </w:tcPr>
          <w:p>
            <w:pPr>
              <w:spacing w:after="0"/>
              <w:rPr>
                <w:sz w:val="23"/>
                <w:szCs w:val="23"/>
                <w:color w:val="auto"/>
              </w:rPr>
            </w:pPr>
          </w:p>
        </w:tc>
        <w:tc>
          <w:tcPr>
            <w:tcW w:w="80" w:type="dxa"/>
            <w:vAlign w:val="bottom"/>
            <w:tcBorders>
              <w:bottom w:val="single" w:sz="8" w:color="DCE2E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55"/>
        </w:trPr>
        <w:tc>
          <w:tcPr>
            <w:tcW w:w="40" w:type="dxa"/>
            <w:vAlign w:val="bottom"/>
            <w:shd w:val="clear" w:color="auto" w:fill="DCE2EF"/>
          </w:tcPr>
          <w:p>
            <w:pPr>
              <w:spacing w:after="0"/>
              <w:rPr>
                <w:sz w:val="22"/>
                <w:szCs w:val="22"/>
                <w:color w:val="auto"/>
              </w:rPr>
            </w:pPr>
          </w:p>
        </w:tc>
        <w:tc>
          <w:tcPr>
            <w:tcW w:w="5640" w:type="dxa"/>
            <w:vAlign w:val="bottom"/>
            <w:gridSpan w:val="3"/>
            <w:shd w:val="clear" w:color="auto" w:fill="DCE2EF"/>
          </w:tcPr>
          <w:p>
            <w:pPr>
              <w:ind w:left="340"/>
              <w:spacing w:after="0"/>
              <w:rPr>
                <w:sz w:val="20"/>
                <w:szCs w:val="20"/>
                <w:color w:val="auto"/>
              </w:rPr>
            </w:pPr>
            <w:r>
              <w:rPr>
                <w:rFonts w:ascii="Arial" w:cs="Arial" w:eastAsia="Arial" w:hAnsi="Arial"/>
                <w:sz w:val="18"/>
                <w:szCs w:val="18"/>
                <w:color w:val="auto"/>
              </w:rPr>
              <w:t>Net income</w:t>
            </w:r>
          </w:p>
        </w:tc>
        <w:tc>
          <w:tcPr>
            <w:tcW w:w="420" w:type="dxa"/>
            <w:vAlign w:val="bottom"/>
            <w:gridSpan w:val="2"/>
            <w:shd w:val="clear" w:color="auto" w:fill="DCE2EF"/>
          </w:tcPr>
          <w:p>
            <w:pPr>
              <w:jc w:val="right"/>
              <w:ind w:right="30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1.91</w:t>
            </w:r>
          </w:p>
        </w:tc>
        <w:tc>
          <w:tcPr>
            <w:tcW w:w="560" w:type="dxa"/>
            <w:vAlign w:val="bottom"/>
            <w:gridSpan w:val="5"/>
            <w:shd w:val="clear" w:color="auto" w:fill="DCE2E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1.48</w:t>
            </w:r>
          </w:p>
        </w:tc>
        <w:tc>
          <w:tcPr>
            <w:tcW w:w="20" w:type="dxa"/>
            <w:vAlign w:val="bottom"/>
            <w:shd w:val="clear" w:color="auto" w:fill="DCE2EF"/>
          </w:tcPr>
          <w:p>
            <w:pPr>
              <w:spacing w:after="0"/>
              <w:rPr>
                <w:sz w:val="22"/>
                <w:szCs w:val="22"/>
                <w:color w:val="auto"/>
              </w:rPr>
            </w:pPr>
          </w:p>
        </w:tc>
        <w:tc>
          <w:tcPr>
            <w:tcW w:w="80" w:type="dxa"/>
            <w:vAlign w:val="bottom"/>
            <w:shd w:val="clear" w:color="auto" w:fill="DCE2EF"/>
          </w:tcPr>
          <w:p>
            <w:pPr>
              <w:spacing w:after="0"/>
              <w:rPr>
                <w:sz w:val="22"/>
                <w:szCs w:val="22"/>
                <w:color w:val="auto"/>
              </w:rPr>
            </w:pPr>
          </w:p>
        </w:tc>
        <w:tc>
          <w:tcPr>
            <w:tcW w:w="440" w:type="dxa"/>
            <w:vAlign w:val="bottom"/>
            <w:gridSpan w:val="2"/>
            <w:shd w:val="clear" w:color="auto" w:fill="DCE2EF"/>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40" w:type="dxa"/>
            <w:vAlign w:val="bottom"/>
            <w:tcBorders>
              <w:top w:val="single" w:sz="8" w:color="DCE2EF"/>
            </w:tcBorders>
          </w:tcPr>
          <w:p>
            <w:pPr>
              <w:spacing w:after="0" w:line="20" w:lineRule="exact"/>
              <w:rPr>
                <w:sz w:val="1"/>
                <w:szCs w:val="1"/>
                <w:color w:val="auto"/>
              </w:rPr>
            </w:pPr>
          </w:p>
        </w:tc>
        <w:tc>
          <w:tcPr>
            <w:tcW w:w="700" w:type="dxa"/>
            <w:vAlign w:val="bottom"/>
            <w:tcBorders>
              <w:top w:val="single" w:sz="8" w:color="DCE2EF"/>
            </w:tcBorders>
          </w:tcPr>
          <w:p>
            <w:pPr>
              <w:spacing w:after="0" w:line="20" w:lineRule="exact"/>
              <w:rPr>
                <w:sz w:val="1"/>
                <w:szCs w:val="1"/>
                <w:color w:val="auto"/>
              </w:rPr>
            </w:pPr>
          </w:p>
        </w:tc>
        <w:tc>
          <w:tcPr>
            <w:tcW w:w="1540" w:type="dxa"/>
            <w:vAlign w:val="bottom"/>
            <w:tcBorders>
              <w:top w:val="single" w:sz="8" w:color="DCE2EF"/>
            </w:tcBorders>
          </w:tcPr>
          <w:p>
            <w:pPr>
              <w:spacing w:after="0" w:line="20" w:lineRule="exact"/>
              <w:rPr>
                <w:sz w:val="1"/>
                <w:szCs w:val="1"/>
                <w:color w:val="auto"/>
              </w:rPr>
            </w:pPr>
          </w:p>
        </w:tc>
        <w:tc>
          <w:tcPr>
            <w:tcW w:w="3400" w:type="dxa"/>
            <w:vAlign w:val="bottom"/>
            <w:tcBorders>
              <w:top w:val="single" w:sz="8" w:color="DCE2E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DCE2EF"/>
            </w:tcBorders>
          </w:tcPr>
          <w:p>
            <w:pPr>
              <w:spacing w:after="0" w:line="20" w:lineRule="exact"/>
              <w:rPr>
                <w:sz w:val="1"/>
                <w:szCs w:val="1"/>
                <w:color w:val="auto"/>
              </w:rPr>
            </w:pPr>
          </w:p>
        </w:tc>
        <w:tc>
          <w:tcPr>
            <w:tcW w:w="60" w:type="dxa"/>
            <w:vAlign w:val="bottom"/>
            <w:tcBorders>
              <w:top w:val="single" w:sz="8" w:color="DCE2E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DCE2EF"/>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80" w:type="dxa"/>
            <w:vAlign w:val="bottom"/>
            <w:gridSpan w:val="4"/>
            <w:shd w:val="clear" w:color="auto" w:fill="DCE2EF"/>
          </w:tcPr>
          <w:p>
            <w:pPr>
              <w:ind w:left="40"/>
              <w:spacing w:after="0"/>
              <w:rPr>
                <w:sz w:val="20"/>
                <w:szCs w:val="20"/>
                <w:color w:val="auto"/>
              </w:rPr>
            </w:pPr>
            <w:r>
              <w:rPr>
                <w:rFonts w:ascii="Arial" w:cs="Arial" w:eastAsia="Arial" w:hAnsi="Arial"/>
                <w:sz w:val="18"/>
                <w:szCs w:val="18"/>
                <w:b w:val="1"/>
                <w:bCs w:val="1"/>
                <w:color w:val="auto"/>
              </w:rPr>
              <w:t>Net income per common share — Diluted</w:t>
            </w:r>
          </w:p>
        </w:tc>
        <w:tc>
          <w:tcPr>
            <w:tcW w:w="40" w:type="dxa"/>
            <w:vAlign w:val="bottom"/>
            <w:shd w:val="clear" w:color="auto" w:fill="DCE2EF"/>
          </w:tcPr>
          <w:p>
            <w:pPr>
              <w:spacing w:after="0"/>
              <w:rPr>
                <w:sz w:val="23"/>
                <w:szCs w:val="23"/>
                <w:color w:val="auto"/>
              </w:rPr>
            </w:pPr>
          </w:p>
        </w:tc>
        <w:tc>
          <w:tcPr>
            <w:tcW w:w="380" w:type="dxa"/>
            <w:vAlign w:val="bottom"/>
            <w:shd w:val="clear" w:color="auto" w:fill="DCE2EF"/>
          </w:tcPr>
          <w:p>
            <w:pPr>
              <w:spacing w:after="0"/>
              <w:rPr>
                <w:sz w:val="23"/>
                <w:szCs w:val="23"/>
                <w:color w:val="auto"/>
              </w:rPr>
            </w:pPr>
          </w:p>
        </w:tc>
        <w:tc>
          <w:tcPr>
            <w:tcW w:w="1380" w:type="dxa"/>
            <w:vAlign w:val="bottom"/>
            <w:shd w:val="clear" w:color="auto" w:fill="DCE2EF"/>
          </w:tcPr>
          <w:p>
            <w:pPr>
              <w:spacing w:after="0"/>
              <w:rPr>
                <w:sz w:val="23"/>
                <w:szCs w:val="23"/>
                <w:color w:val="auto"/>
              </w:rPr>
            </w:pPr>
          </w:p>
        </w:tc>
        <w:tc>
          <w:tcPr>
            <w:tcW w:w="40" w:type="dxa"/>
            <w:vAlign w:val="bottom"/>
            <w:shd w:val="clear" w:color="auto" w:fill="DCE2EF"/>
          </w:tcPr>
          <w:p>
            <w:pPr>
              <w:spacing w:after="0"/>
              <w:rPr>
                <w:sz w:val="23"/>
                <w:szCs w:val="23"/>
                <w:color w:val="auto"/>
              </w:rPr>
            </w:pPr>
          </w:p>
        </w:tc>
        <w:tc>
          <w:tcPr>
            <w:tcW w:w="40" w:type="dxa"/>
            <w:vAlign w:val="bottom"/>
            <w:shd w:val="clear" w:color="auto" w:fill="DCE2EF"/>
          </w:tcPr>
          <w:p>
            <w:pPr>
              <w:spacing w:after="0"/>
              <w:rPr>
                <w:sz w:val="23"/>
                <w:szCs w:val="23"/>
                <w:color w:val="auto"/>
              </w:rPr>
            </w:pPr>
          </w:p>
        </w:tc>
        <w:tc>
          <w:tcPr>
            <w:tcW w:w="60" w:type="dxa"/>
            <w:vAlign w:val="bottom"/>
            <w:shd w:val="clear" w:color="auto" w:fill="DCE2EF"/>
          </w:tcPr>
          <w:p>
            <w:pPr>
              <w:spacing w:after="0"/>
              <w:rPr>
                <w:sz w:val="23"/>
                <w:szCs w:val="23"/>
                <w:color w:val="auto"/>
              </w:rPr>
            </w:pPr>
          </w:p>
        </w:tc>
        <w:tc>
          <w:tcPr>
            <w:tcW w:w="60" w:type="dxa"/>
            <w:vAlign w:val="bottom"/>
            <w:shd w:val="clear" w:color="auto" w:fill="DCE2EF"/>
          </w:tcPr>
          <w:p>
            <w:pPr>
              <w:spacing w:after="0"/>
              <w:rPr>
                <w:sz w:val="23"/>
                <w:szCs w:val="23"/>
                <w:color w:val="auto"/>
              </w:rPr>
            </w:pPr>
          </w:p>
        </w:tc>
        <w:tc>
          <w:tcPr>
            <w:tcW w:w="360" w:type="dxa"/>
            <w:vAlign w:val="bottom"/>
            <w:shd w:val="clear" w:color="auto" w:fill="DCE2EF"/>
          </w:tcPr>
          <w:p>
            <w:pPr>
              <w:spacing w:after="0"/>
              <w:rPr>
                <w:sz w:val="23"/>
                <w:szCs w:val="23"/>
                <w:color w:val="auto"/>
              </w:rPr>
            </w:pPr>
          </w:p>
        </w:tc>
        <w:tc>
          <w:tcPr>
            <w:tcW w:w="1420" w:type="dxa"/>
            <w:vAlign w:val="bottom"/>
            <w:shd w:val="clear" w:color="auto" w:fill="DCE2EF"/>
          </w:tcPr>
          <w:p>
            <w:pPr>
              <w:spacing w:after="0"/>
              <w:rPr>
                <w:sz w:val="23"/>
                <w:szCs w:val="23"/>
                <w:color w:val="auto"/>
              </w:rPr>
            </w:pPr>
          </w:p>
        </w:tc>
        <w:tc>
          <w:tcPr>
            <w:tcW w:w="20" w:type="dxa"/>
            <w:vAlign w:val="bottom"/>
            <w:shd w:val="clear" w:color="auto" w:fill="DCE2EF"/>
          </w:tcPr>
          <w:p>
            <w:pPr>
              <w:spacing w:after="0"/>
              <w:rPr>
                <w:sz w:val="23"/>
                <w:szCs w:val="23"/>
                <w:color w:val="auto"/>
              </w:rPr>
            </w:pPr>
          </w:p>
        </w:tc>
        <w:tc>
          <w:tcPr>
            <w:tcW w:w="80" w:type="dxa"/>
            <w:vAlign w:val="bottom"/>
            <w:shd w:val="clear" w:color="auto" w:fill="DCE2EF"/>
          </w:tcPr>
          <w:p>
            <w:pPr>
              <w:spacing w:after="0"/>
              <w:rPr>
                <w:sz w:val="23"/>
                <w:szCs w:val="23"/>
                <w:color w:val="auto"/>
              </w:rPr>
            </w:pPr>
          </w:p>
        </w:tc>
        <w:tc>
          <w:tcPr>
            <w:tcW w:w="40" w:type="dxa"/>
            <w:vAlign w:val="bottom"/>
            <w:shd w:val="clear" w:color="auto" w:fill="DCE2EF"/>
          </w:tcPr>
          <w:p>
            <w:pPr>
              <w:spacing w:after="0"/>
              <w:rPr>
                <w:sz w:val="23"/>
                <w:szCs w:val="23"/>
                <w:color w:val="auto"/>
              </w:rPr>
            </w:pPr>
          </w:p>
        </w:tc>
        <w:tc>
          <w:tcPr>
            <w:tcW w:w="400" w:type="dxa"/>
            <w:vAlign w:val="bottom"/>
            <w:shd w:val="clear" w:color="auto" w:fill="DCE2EF"/>
          </w:tcPr>
          <w:p>
            <w:pPr>
              <w:spacing w:after="0"/>
              <w:rPr>
                <w:sz w:val="23"/>
                <w:szCs w:val="23"/>
                <w:color w:val="auto"/>
              </w:rPr>
            </w:pPr>
          </w:p>
        </w:tc>
        <w:tc>
          <w:tcPr>
            <w:tcW w:w="1400" w:type="dxa"/>
            <w:vAlign w:val="bottom"/>
            <w:shd w:val="clear" w:color="auto" w:fill="DCE2E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5640" w:type="dxa"/>
            <w:vAlign w:val="bottom"/>
            <w:gridSpan w:val="3"/>
          </w:tcPr>
          <w:p>
            <w:pPr>
              <w:ind w:left="340"/>
              <w:spacing w:after="0"/>
              <w:rPr>
                <w:sz w:val="20"/>
                <w:szCs w:val="20"/>
                <w:color w:val="auto"/>
              </w:rPr>
            </w:pPr>
            <w:r>
              <w:rPr>
                <w:rFonts w:ascii="Arial" w:cs="Arial" w:eastAsia="Arial" w:hAnsi="Arial"/>
                <w:sz w:val="18"/>
                <w:szCs w:val="18"/>
                <w:color w:val="auto"/>
              </w:rPr>
              <w:t>Income from continuing operations</w:t>
            </w:r>
          </w:p>
        </w:tc>
        <w:tc>
          <w:tcPr>
            <w:tcW w:w="4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1.91</w:t>
            </w:r>
          </w:p>
        </w:tc>
        <w:tc>
          <w:tcPr>
            <w:tcW w:w="560" w:type="dxa"/>
            <w:vAlign w:val="bottom"/>
            <w:gridSpan w:val="5"/>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0"/>
        </w:trPr>
        <w:tc>
          <w:tcPr>
            <w:tcW w:w="40" w:type="dxa"/>
            <w:vAlign w:val="bottom"/>
            <w:shd w:val="clear" w:color="auto" w:fill="DCE2EF"/>
          </w:tcPr>
          <w:p>
            <w:pPr>
              <w:spacing w:after="0"/>
              <w:rPr>
                <w:sz w:val="23"/>
                <w:szCs w:val="23"/>
                <w:color w:val="auto"/>
              </w:rPr>
            </w:pPr>
          </w:p>
        </w:tc>
        <w:tc>
          <w:tcPr>
            <w:tcW w:w="5640" w:type="dxa"/>
            <w:vAlign w:val="bottom"/>
            <w:gridSpan w:val="3"/>
            <w:shd w:val="clear" w:color="auto" w:fill="DCE2EF"/>
          </w:tcPr>
          <w:p>
            <w:pPr>
              <w:ind w:left="340"/>
              <w:spacing w:after="0"/>
              <w:rPr>
                <w:sz w:val="20"/>
                <w:szCs w:val="20"/>
                <w:color w:val="auto"/>
              </w:rPr>
            </w:pPr>
            <w:r>
              <w:rPr>
                <w:rFonts w:ascii="Arial" w:cs="Arial" w:eastAsia="Arial" w:hAnsi="Arial"/>
                <w:sz w:val="18"/>
                <w:szCs w:val="18"/>
                <w:color w:val="auto"/>
              </w:rPr>
              <w:t>Income (loss) from discontinued operations</w:t>
            </w:r>
          </w:p>
        </w:tc>
        <w:tc>
          <w:tcPr>
            <w:tcW w:w="40" w:type="dxa"/>
            <w:vAlign w:val="bottom"/>
            <w:tcBorders>
              <w:bottom w:val="single" w:sz="8" w:color="auto"/>
            </w:tcBorders>
            <w:shd w:val="clear" w:color="auto" w:fill="DCE2EF"/>
          </w:tcPr>
          <w:p>
            <w:pPr>
              <w:spacing w:after="0"/>
              <w:rPr>
                <w:sz w:val="23"/>
                <w:szCs w:val="23"/>
                <w:color w:val="auto"/>
              </w:rPr>
            </w:pPr>
          </w:p>
        </w:tc>
        <w:tc>
          <w:tcPr>
            <w:tcW w:w="380" w:type="dxa"/>
            <w:vAlign w:val="bottom"/>
            <w:tcBorders>
              <w:bottom w:val="single" w:sz="8" w:color="auto"/>
            </w:tcBorders>
            <w:shd w:val="clear" w:color="auto" w:fill="DCE2EF"/>
          </w:tcPr>
          <w:p>
            <w:pPr>
              <w:spacing w:after="0"/>
              <w:rPr>
                <w:sz w:val="23"/>
                <w:szCs w:val="23"/>
                <w:color w:val="auto"/>
              </w:rPr>
            </w:pPr>
          </w:p>
        </w:tc>
        <w:tc>
          <w:tcPr>
            <w:tcW w:w="13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DCE2EF"/>
          </w:tcPr>
          <w:p>
            <w:pPr>
              <w:spacing w:after="0"/>
              <w:rPr>
                <w:sz w:val="23"/>
                <w:szCs w:val="23"/>
                <w:color w:val="auto"/>
              </w:rPr>
            </w:pPr>
          </w:p>
        </w:tc>
        <w:tc>
          <w:tcPr>
            <w:tcW w:w="40" w:type="dxa"/>
            <w:vAlign w:val="bottom"/>
            <w:shd w:val="clear" w:color="auto" w:fill="DCE2EF"/>
          </w:tcPr>
          <w:p>
            <w:pPr>
              <w:spacing w:after="0"/>
              <w:rPr>
                <w:sz w:val="23"/>
                <w:szCs w:val="23"/>
                <w:color w:val="auto"/>
              </w:rPr>
            </w:pPr>
          </w:p>
        </w:tc>
        <w:tc>
          <w:tcPr>
            <w:tcW w:w="60" w:type="dxa"/>
            <w:vAlign w:val="bottom"/>
            <w:shd w:val="clear" w:color="auto" w:fill="DCE2EF"/>
          </w:tcPr>
          <w:p>
            <w:pPr>
              <w:spacing w:after="0"/>
              <w:rPr>
                <w:sz w:val="23"/>
                <w:szCs w:val="23"/>
                <w:color w:val="auto"/>
              </w:rPr>
            </w:pPr>
          </w:p>
        </w:tc>
        <w:tc>
          <w:tcPr>
            <w:tcW w:w="60" w:type="dxa"/>
            <w:vAlign w:val="bottom"/>
            <w:tcBorders>
              <w:bottom w:val="single" w:sz="8" w:color="auto"/>
            </w:tcBorders>
            <w:shd w:val="clear" w:color="auto" w:fill="DCE2EF"/>
          </w:tcPr>
          <w:p>
            <w:pPr>
              <w:spacing w:after="0"/>
              <w:rPr>
                <w:sz w:val="23"/>
                <w:szCs w:val="23"/>
                <w:color w:val="auto"/>
              </w:rPr>
            </w:pPr>
          </w:p>
        </w:tc>
        <w:tc>
          <w:tcPr>
            <w:tcW w:w="360" w:type="dxa"/>
            <w:vAlign w:val="bottom"/>
            <w:tcBorders>
              <w:bottom w:val="single" w:sz="8" w:color="auto"/>
            </w:tcBorders>
            <w:shd w:val="clear" w:color="auto" w:fill="DCE2EF"/>
          </w:tcPr>
          <w:p>
            <w:pPr>
              <w:spacing w:after="0"/>
              <w:rPr>
                <w:sz w:val="23"/>
                <w:szCs w:val="23"/>
                <w:color w:val="auto"/>
              </w:rPr>
            </w:pPr>
          </w:p>
        </w:tc>
        <w:tc>
          <w:tcPr>
            <w:tcW w:w="142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0.03</w:t>
            </w:r>
          </w:p>
        </w:tc>
        <w:tc>
          <w:tcPr>
            <w:tcW w:w="20" w:type="dxa"/>
            <w:vAlign w:val="bottom"/>
            <w:shd w:val="clear" w:color="auto" w:fill="DCE2EF"/>
          </w:tcPr>
          <w:p>
            <w:pPr>
              <w:spacing w:after="0"/>
              <w:rPr>
                <w:sz w:val="23"/>
                <w:szCs w:val="23"/>
                <w:color w:val="auto"/>
              </w:rPr>
            </w:pPr>
          </w:p>
        </w:tc>
        <w:tc>
          <w:tcPr>
            <w:tcW w:w="80" w:type="dxa"/>
            <w:vAlign w:val="bottom"/>
            <w:shd w:val="clear" w:color="auto" w:fill="DCE2EF"/>
          </w:tcPr>
          <w:p>
            <w:pPr>
              <w:spacing w:after="0"/>
              <w:rPr>
                <w:sz w:val="23"/>
                <w:szCs w:val="23"/>
                <w:color w:val="auto"/>
              </w:rPr>
            </w:pPr>
          </w:p>
        </w:tc>
        <w:tc>
          <w:tcPr>
            <w:tcW w:w="40" w:type="dxa"/>
            <w:vAlign w:val="bottom"/>
            <w:tcBorders>
              <w:bottom w:val="single" w:sz="8" w:color="auto"/>
            </w:tcBorders>
            <w:shd w:val="clear" w:color="auto" w:fill="DCE2EF"/>
          </w:tcPr>
          <w:p>
            <w:pPr>
              <w:spacing w:after="0"/>
              <w:rPr>
                <w:sz w:val="23"/>
                <w:szCs w:val="23"/>
                <w:color w:val="auto"/>
              </w:rPr>
            </w:pPr>
          </w:p>
        </w:tc>
        <w:tc>
          <w:tcPr>
            <w:tcW w:w="400" w:type="dxa"/>
            <w:vAlign w:val="bottom"/>
            <w:tcBorders>
              <w:bottom w:val="single" w:sz="8" w:color="auto"/>
            </w:tcBorders>
            <w:shd w:val="clear" w:color="auto" w:fill="DCE2EF"/>
          </w:tcPr>
          <w:p>
            <w:pPr>
              <w:spacing w:after="0"/>
              <w:rPr>
                <w:sz w:val="23"/>
                <w:szCs w:val="23"/>
                <w:color w:val="auto"/>
              </w:rPr>
            </w:pPr>
          </w:p>
        </w:tc>
        <w:tc>
          <w:tcPr>
            <w:tcW w:w="14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5640" w:type="dxa"/>
            <w:vAlign w:val="bottom"/>
            <w:gridSpan w:val="3"/>
          </w:tcPr>
          <w:p>
            <w:pPr>
              <w:ind w:left="340"/>
              <w:spacing w:after="0"/>
              <w:rPr>
                <w:sz w:val="20"/>
                <w:szCs w:val="20"/>
                <w:color w:val="auto"/>
              </w:rPr>
            </w:pPr>
            <w:r>
              <w:rPr>
                <w:rFonts w:ascii="Arial" w:cs="Arial" w:eastAsia="Arial" w:hAnsi="Arial"/>
                <w:sz w:val="18"/>
                <w:szCs w:val="18"/>
                <w:color w:val="auto"/>
              </w:rPr>
              <w:t>Net income</w:t>
            </w:r>
          </w:p>
        </w:tc>
        <w:tc>
          <w:tcPr>
            <w:tcW w:w="4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40" w:type="dxa"/>
            <w:vAlign w:val="bottom"/>
            <w:tcBorders>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4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8040" w:type="dxa"/>
            <w:vAlign w:val="bottom"/>
            <w:gridSpan w:val="12"/>
          </w:tcPr>
          <w:p>
            <w:pPr>
              <w:spacing w:after="0"/>
              <w:rPr>
                <w:sz w:val="20"/>
                <w:szCs w:val="20"/>
                <w:color w:val="auto"/>
              </w:rPr>
            </w:pPr>
            <w:r>
              <w:rPr>
                <w:rFonts w:ascii="Arial" w:cs="Arial" w:eastAsia="Arial" w:hAnsi="Arial"/>
                <w:sz w:val="18"/>
                <w:szCs w:val="18"/>
                <w:b w:val="1"/>
                <w:bCs w:val="1"/>
                <w:color w:val="0046AD"/>
              </w:rPr>
              <w:t>Anti-Dilutive Outstanding Stock Awards Issued Under Share-Based Compensation Plans</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10"/>
          </w:tcPr>
          <w:p>
            <w:pPr>
              <w:jc w:val="center"/>
              <w:ind w:right="320"/>
              <w:spacing w:after="0"/>
              <w:rPr>
                <w:sz w:val="20"/>
                <w:szCs w:val="20"/>
                <w:color w:val="auto"/>
              </w:rPr>
            </w:pPr>
            <w:r>
              <w:rPr>
                <w:rFonts w:ascii="Arial" w:cs="Arial" w:eastAsia="Arial" w:hAnsi="Arial"/>
                <w:sz w:val="18"/>
                <w:szCs w:val="18"/>
                <w:b w:val="1"/>
                <w:bCs w:val="1"/>
                <w:color w:val="auto"/>
                <w:w w:val="99"/>
              </w:rPr>
              <w:t>Years Ended October 31,</w:t>
            </w: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680" w:type="dxa"/>
            <w:vAlign w:val="bottom"/>
            <w:gridSpan w:val="4"/>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ind w:right="6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1540" w:type="dxa"/>
            <w:vAlign w:val="bottom"/>
            <w:tcBorders>
              <w:bottom w:val="single" w:sz="8" w:color="DCE2EF"/>
            </w:tcBorders>
          </w:tcPr>
          <w:p>
            <w:pPr>
              <w:spacing w:after="0" w:line="20" w:lineRule="exact"/>
              <w:rPr>
                <w:sz w:val="1"/>
                <w:szCs w:val="1"/>
                <w:color w:val="auto"/>
              </w:rPr>
            </w:pPr>
          </w:p>
        </w:tc>
        <w:tc>
          <w:tcPr>
            <w:tcW w:w="3400" w:type="dxa"/>
            <w:vAlign w:val="bottom"/>
            <w:tcBorders>
              <w:bottom w:val="single" w:sz="8" w:color="DCE2EF"/>
            </w:tcBorders>
          </w:tcPr>
          <w:p>
            <w:pPr>
              <w:spacing w:after="0" w:line="20" w:lineRule="exact"/>
              <w:rPr>
                <w:sz w:val="1"/>
                <w:szCs w:val="1"/>
                <w:color w:val="auto"/>
              </w:rPr>
            </w:pPr>
          </w:p>
        </w:tc>
        <w:tc>
          <w:tcPr>
            <w:tcW w:w="4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CE2EF"/>
            </w:tcBorders>
          </w:tcPr>
          <w:p>
            <w:pPr>
              <w:spacing w:after="0" w:line="20" w:lineRule="exact"/>
              <w:rPr>
                <w:sz w:val="1"/>
                <w:szCs w:val="1"/>
                <w:color w:val="auto"/>
              </w:rPr>
            </w:pPr>
          </w:p>
        </w:tc>
        <w:tc>
          <w:tcPr>
            <w:tcW w:w="6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4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680" w:type="dxa"/>
            <w:vAlign w:val="bottom"/>
            <w:gridSpan w:val="4"/>
            <w:shd w:val="clear" w:color="auto" w:fill="DCE2EF"/>
          </w:tcPr>
          <w:p>
            <w:pPr>
              <w:ind w:left="40"/>
              <w:spacing w:after="0"/>
              <w:rPr>
                <w:sz w:val="20"/>
                <w:szCs w:val="20"/>
                <w:color w:val="auto"/>
              </w:rPr>
            </w:pPr>
            <w:r>
              <w:rPr>
                <w:rFonts w:ascii="Arial" w:cs="Arial" w:eastAsia="Arial" w:hAnsi="Arial"/>
                <w:sz w:val="18"/>
                <w:szCs w:val="18"/>
                <w:b w:val="1"/>
                <w:bCs w:val="1"/>
                <w:color w:val="auto"/>
              </w:rPr>
              <w:t>Anti-dilutive</w:t>
            </w:r>
          </w:p>
        </w:tc>
        <w:tc>
          <w:tcPr>
            <w:tcW w:w="40" w:type="dxa"/>
            <w:vAlign w:val="bottom"/>
            <w:shd w:val="clear" w:color="auto" w:fill="DCE2EF"/>
          </w:tcPr>
          <w:p>
            <w:pPr>
              <w:spacing w:after="0"/>
              <w:rPr>
                <w:sz w:val="21"/>
                <w:szCs w:val="21"/>
                <w:color w:val="auto"/>
              </w:rPr>
            </w:pPr>
          </w:p>
        </w:tc>
        <w:tc>
          <w:tcPr>
            <w:tcW w:w="380" w:type="dxa"/>
            <w:vAlign w:val="bottom"/>
            <w:shd w:val="clear" w:color="auto" w:fill="DCE2EF"/>
          </w:tcPr>
          <w:p>
            <w:pPr>
              <w:spacing w:after="0"/>
              <w:rPr>
                <w:sz w:val="21"/>
                <w:szCs w:val="21"/>
                <w:color w:val="auto"/>
              </w:rPr>
            </w:pPr>
          </w:p>
        </w:tc>
        <w:tc>
          <w:tcPr>
            <w:tcW w:w="13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0.3</w:t>
            </w:r>
          </w:p>
        </w:tc>
        <w:tc>
          <w:tcPr>
            <w:tcW w:w="40" w:type="dxa"/>
            <w:vAlign w:val="bottom"/>
            <w:shd w:val="clear" w:color="auto" w:fill="DCE2EF"/>
          </w:tcPr>
          <w:p>
            <w:pPr>
              <w:spacing w:after="0"/>
              <w:rPr>
                <w:sz w:val="21"/>
                <w:szCs w:val="21"/>
                <w:color w:val="auto"/>
              </w:rPr>
            </w:pPr>
          </w:p>
        </w:tc>
        <w:tc>
          <w:tcPr>
            <w:tcW w:w="40" w:type="dxa"/>
            <w:vAlign w:val="bottom"/>
            <w:shd w:val="clear" w:color="auto" w:fill="DCE2EF"/>
          </w:tcPr>
          <w:p>
            <w:pPr>
              <w:spacing w:after="0"/>
              <w:rPr>
                <w:sz w:val="21"/>
                <w:szCs w:val="21"/>
                <w:color w:val="auto"/>
              </w:rPr>
            </w:pPr>
          </w:p>
        </w:tc>
        <w:tc>
          <w:tcPr>
            <w:tcW w:w="60" w:type="dxa"/>
            <w:vAlign w:val="bottom"/>
            <w:shd w:val="clear" w:color="auto" w:fill="DCE2EF"/>
          </w:tcPr>
          <w:p>
            <w:pPr>
              <w:spacing w:after="0"/>
              <w:rPr>
                <w:sz w:val="21"/>
                <w:szCs w:val="21"/>
                <w:color w:val="auto"/>
              </w:rPr>
            </w:pPr>
          </w:p>
        </w:tc>
        <w:tc>
          <w:tcPr>
            <w:tcW w:w="60" w:type="dxa"/>
            <w:vAlign w:val="bottom"/>
            <w:shd w:val="clear" w:color="auto" w:fill="DCE2EF"/>
          </w:tcPr>
          <w:p>
            <w:pPr>
              <w:spacing w:after="0"/>
              <w:rPr>
                <w:sz w:val="21"/>
                <w:szCs w:val="21"/>
                <w:color w:val="auto"/>
              </w:rPr>
            </w:pPr>
          </w:p>
        </w:tc>
        <w:tc>
          <w:tcPr>
            <w:tcW w:w="360" w:type="dxa"/>
            <w:vAlign w:val="bottom"/>
            <w:shd w:val="clear" w:color="auto" w:fill="DCE2EF"/>
          </w:tcPr>
          <w:p>
            <w:pPr>
              <w:spacing w:after="0"/>
              <w:rPr>
                <w:sz w:val="21"/>
                <w:szCs w:val="21"/>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0.4</w:t>
            </w:r>
          </w:p>
        </w:tc>
        <w:tc>
          <w:tcPr>
            <w:tcW w:w="20" w:type="dxa"/>
            <w:vAlign w:val="bottom"/>
            <w:shd w:val="clear" w:color="auto" w:fill="DCE2EF"/>
          </w:tcPr>
          <w:p>
            <w:pPr>
              <w:spacing w:after="0"/>
              <w:rPr>
                <w:sz w:val="21"/>
                <w:szCs w:val="21"/>
                <w:color w:val="auto"/>
              </w:rPr>
            </w:pPr>
          </w:p>
        </w:tc>
        <w:tc>
          <w:tcPr>
            <w:tcW w:w="80" w:type="dxa"/>
            <w:vAlign w:val="bottom"/>
            <w:shd w:val="clear" w:color="auto" w:fill="DCE2EF"/>
          </w:tcPr>
          <w:p>
            <w:pPr>
              <w:spacing w:after="0"/>
              <w:rPr>
                <w:sz w:val="21"/>
                <w:szCs w:val="21"/>
                <w:color w:val="auto"/>
              </w:rPr>
            </w:pPr>
          </w:p>
        </w:tc>
        <w:tc>
          <w:tcPr>
            <w:tcW w:w="40" w:type="dxa"/>
            <w:vAlign w:val="bottom"/>
            <w:shd w:val="clear" w:color="auto" w:fill="DCE2EF"/>
          </w:tcPr>
          <w:p>
            <w:pPr>
              <w:spacing w:after="0"/>
              <w:rPr>
                <w:sz w:val="21"/>
                <w:szCs w:val="21"/>
                <w:color w:val="auto"/>
              </w:rPr>
            </w:pPr>
          </w:p>
        </w:tc>
        <w:tc>
          <w:tcPr>
            <w:tcW w:w="400" w:type="dxa"/>
            <w:vAlign w:val="bottom"/>
            <w:shd w:val="clear" w:color="auto" w:fill="DCE2EF"/>
          </w:tcPr>
          <w:p>
            <w:pPr>
              <w:spacing w:after="0"/>
              <w:rPr>
                <w:sz w:val="21"/>
                <w:szCs w:val="21"/>
                <w:color w:val="auto"/>
              </w:rPr>
            </w:pPr>
          </w:p>
        </w:tc>
        <w:tc>
          <w:tcPr>
            <w:tcW w:w="14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93"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0046AD"/>
        </w:rPr>
        <w:t>8. FAIR VALUE OF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Fair Value Hierarchy of Our Financial Instruments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Financial Assets and Liabilities Measured at Fair Value on a Recurring Basis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As of October 31,</w:t>
            </w:r>
          </w:p>
        </w:tc>
      </w:tr>
      <w:tr>
        <w:trPr>
          <w:trHeight w:val="186"/>
        </w:trPr>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1600" w:type="dxa"/>
            <w:vAlign w:val="bottom"/>
            <w:gridSpan w:val="2"/>
          </w:tcPr>
          <w:p>
            <w:pPr>
              <w:jc w:val="center"/>
              <w:ind w:right="100"/>
              <w:spacing w:after="0" w:line="186" w:lineRule="exact"/>
              <w:rPr>
                <w:sz w:val="20"/>
                <w:szCs w:val="20"/>
                <w:color w:val="auto"/>
              </w:rPr>
            </w:pPr>
            <w:r>
              <w:rPr>
                <w:rFonts w:ascii="Arial" w:cs="Arial" w:eastAsia="Arial" w:hAnsi="Arial"/>
                <w:sz w:val="18"/>
                <w:szCs w:val="18"/>
                <w:b w:val="1"/>
                <w:bCs w:val="1"/>
                <w:color w:val="auto"/>
                <w:w w:val="99"/>
              </w:rPr>
              <w:t>Fair Value</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4"/>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Hierarchy</w:t>
            </w:r>
          </w:p>
        </w:tc>
        <w:tc>
          <w:tcPr>
            <w:tcW w:w="340" w:type="dxa"/>
            <w:vAlign w:val="bottom"/>
          </w:tcPr>
          <w:p>
            <w:pPr>
              <w:spacing w:after="0"/>
              <w:rPr>
                <w:sz w:val="18"/>
                <w:szCs w:val="18"/>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6000" w:type="dxa"/>
            <w:vAlign w:val="bottom"/>
            <w:tcBorders>
              <w:bottom w:val="single" w:sz="8" w:color="DCE2E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50"/>
        </w:trPr>
        <w:tc>
          <w:tcPr>
            <w:tcW w:w="674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Cash and cash equivalents</w:t>
            </w:r>
            <w:r>
              <w:rPr>
                <w:rFonts w:ascii="Arial" w:cs="Arial" w:eastAsia="Arial" w:hAnsi="Arial"/>
                <w:sz w:val="21"/>
                <w:szCs w:val="21"/>
                <w:color w:val="auto"/>
                <w:vertAlign w:val="superscript"/>
              </w:rPr>
              <w:t>(1)</w:t>
            </w:r>
          </w:p>
        </w:tc>
        <w:tc>
          <w:tcPr>
            <w:tcW w:w="1500" w:type="dxa"/>
            <w:vAlign w:val="bottom"/>
            <w:shd w:val="clear" w:color="auto" w:fill="DCE2E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DCE2EF"/>
          </w:tcPr>
          <w:p>
            <w:pPr>
              <w:spacing w:after="0"/>
              <w:rPr>
                <w:sz w:val="21"/>
                <w:szCs w:val="21"/>
                <w:color w:val="auto"/>
              </w:rPr>
            </w:pPr>
          </w:p>
        </w:tc>
        <w:tc>
          <w:tcPr>
            <w:tcW w:w="340" w:type="dxa"/>
            <w:vAlign w:val="bottom"/>
            <w:shd w:val="clear" w:color="auto" w:fill="DCE2E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58.5</w:t>
            </w:r>
          </w:p>
        </w:tc>
        <w:tc>
          <w:tcPr>
            <w:tcW w:w="120" w:type="dxa"/>
            <w:vAlign w:val="bottom"/>
            <w:shd w:val="clear" w:color="auto" w:fill="DCE2EF"/>
          </w:tcPr>
          <w:p>
            <w:pPr>
              <w:spacing w:after="0"/>
              <w:rPr>
                <w:sz w:val="21"/>
                <w:szCs w:val="21"/>
                <w:color w:val="auto"/>
              </w:rPr>
            </w:pPr>
          </w:p>
        </w:tc>
        <w:tc>
          <w:tcPr>
            <w:tcW w:w="320" w:type="dxa"/>
            <w:vAlign w:val="bottom"/>
            <w:shd w:val="clear" w:color="auto" w:fill="DCE2E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39.1</w:t>
            </w:r>
          </w:p>
        </w:tc>
      </w:tr>
      <w:tr>
        <w:trPr>
          <w:trHeight w:val="270"/>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Insurance deposits</w:t>
            </w:r>
            <w:r>
              <w:rPr>
                <w:rFonts w:ascii="Arial" w:cs="Arial" w:eastAsia="Arial" w:hAnsi="Arial"/>
                <w:sz w:val="21"/>
                <w:szCs w:val="21"/>
                <w:color w:val="auto"/>
                <w:vertAlign w:val="superscript"/>
              </w:rPr>
              <w:t>(2)</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0"/>
        </w:trPr>
        <w:tc>
          <w:tcPr>
            <w:tcW w:w="674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Assets held in funded deferred compensation plan</w:t>
            </w:r>
            <w:r>
              <w:rPr>
                <w:rFonts w:ascii="Arial" w:cs="Arial" w:eastAsia="Arial" w:hAnsi="Arial"/>
                <w:sz w:val="21"/>
                <w:szCs w:val="21"/>
                <w:color w:val="auto"/>
                <w:vertAlign w:val="superscript"/>
              </w:rPr>
              <w:t>(3)</w:t>
            </w:r>
          </w:p>
        </w:tc>
        <w:tc>
          <w:tcPr>
            <w:tcW w:w="1500" w:type="dxa"/>
            <w:vAlign w:val="bottom"/>
            <w:shd w:val="clear" w:color="auto" w:fill="DCE2E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1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DCE2EF"/>
          </w:tcPr>
          <w:p>
            <w:pPr>
              <w:spacing w:after="0"/>
              <w:rPr>
                <w:sz w:val="23"/>
                <w:szCs w:val="23"/>
                <w:color w:val="auto"/>
              </w:rPr>
            </w:pPr>
          </w:p>
        </w:tc>
        <w:tc>
          <w:tcPr>
            <w:tcW w:w="320" w:type="dxa"/>
            <w:vAlign w:val="bottom"/>
            <w:shd w:val="clear" w:color="auto" w:fill="DCE2EF"/>
          </w:tcPr>
          <w:p>
            <w:pPr>
              <w:spacing w:after="0"/>
              <w:rPr>
                <w:sz w:val="23"/>
                <w:szCs w:val="23"/>
                <w:color w:val="auto"/>
              </w:rPr>
            </w:pPr>
          </w:p>
        </w:tc>
        <w:tc>
          <w:tcPr>
            <w:tcW w:w="11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2.7</w:t>
            </w:r>
          </w:p>
        </w:tc>
      </w:tr>
      <w:tr>
        <w:trPr>
          <w:trHeight w:val="270"/>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Credit facility</w:t>
            </w:r>
            <w:r>
              <w:rPr>
                <w:rFonts w:ascii="Arial" w:cs="Arial" w:eastAsia="Arial" w:hAnsi="Arial"/>
                <w:sz w:val="21"/>
                <w:szCs w:val="21"/>
                <w:color w:val="auto"/>
                <w:vertAlign w:val="superscript"/>
              </w:rPr>
              <w:t>(4)</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808.4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949.0</w:t>
            </w:r>
          </w:p>
        </w:tc>
      </w:tr>
      <w:tr>
        <w:trPr>
          <w:trHeight w:val="270"/>
        </w:trPr>
        <w:tc>
          <w:tcPr>
            <w:tcW w:w="674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Interest rate swap (liabilities) assets</w:t>
            </w:r>
            <w:r>
              <w:rPr>
                <w:rFonts w:ascii="Arial" w:cs="Arial" w:eastAsia="Arial" w:hAnsi="Arial"/>
                <w:sz w:val="21"/>
                <w:szCs w:val="21"/>
                <w:color w:val="auto"/>
                <w:vertAlign w:val="superscript"/>
              </w:rPr>
              <w:t>(5)</w:t>
            </w:r>
          </w:p>
        </w:tc>
        <w:tc>
          <w:tcPr>
            <w:tcW w:w="1500" w:type="dxa"/>
            <w:vAlign w:val="bottom"/>
            <w:shd w:val="clear" w:color="auto" w:fill="DCE2E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DCE2EF"/>
          </w:tcPr>
          <w:p>
            <w:pPr>
              <w:spacing w:after="0"/>
              <w:rPr>
                <w:sz w:val="23"/>
                <w:szCs w:val="23"/>
                <w:color w:val="auto"/>
              </w:rPr>
            </w:pPr>
          </w:p>
        </w:tc>
        <w:tc>
          <w:tcPr>
            <w:tcW w:w="320" w:type="dxa"/>
            <w:vAlign w:val="bottom"/>
            <w:shd w:val="clear" w:color="auto" w:fill="DCE2EF"/>
          </w:tcPr>
          <w:p>
            <w:pPr>
              <w:spacing w:after="0"/>
              <w:rPr>
                <w:sz w:val="23"/>
                <w:szCs w:val="23"/>
                <w:color w:val="auto"/>
              </w:rPr>
            </w:pPr>
          </w:p>
        </w:tc>
        <w:tc>
          <w:tcPr>
            <w:tcW w:w="11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1.3</w:t>
            </w:r>
          </w:p>
        </w:tc>
      </w:tr>
      <w:tr>
        <w:trPr>
          <w:trHeight w:val="316"/>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Investments in auction rate securities</w:t>
            </w:r>
            <w:r>
              <w:rPr>
                <w:rFonts w:ascii="Arial" w:cs="Arial" w:eastAsia="Arial" w:hAnsi="Arial"/>
                <w:sz w:val="21"/>
                <w:szCs w:val="21"/>
                <w:color w:val="auto"/>
                <w:vertAlign w:val="superscript"/>
              </w:rPr>
              <w:t>(6)</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5.0</w:t>
            </w:r>
          </w:p>
        </w:tc>
      </w:tr>
    </w:tbl>
    <w:p>
      <w:pPr>
        <w:spacing w:after="0" w:line="292" w:lineRule="exact"/>
        <w:rPr>
          <w:sz w:val="20"/>
          <w:szCs w:val="20"/>
          <w:color w:val="auto"/>
        </w:rPr>
      </w:pPr>
    </w:p>
    <w:p>
      <w:pPr>
        <w:ind w:left="180" w:hanging="172"/>
        <w:spacing w:after="0"/>
        <w:tabs>
          <w:tab w:leader="none" w:pos="180" w:val="left"/>
        </w:tabs>
        <w:numPr>
          <w:ilvl w:val="0"/>
          <w:numId w:val="32"/>
        </w:numPr>
        <w:rPr>
          <w:rFonts w:ascii="Arial" w:cs="Arial" w:eastAsia="Arial" w:hAnsi="Arial"/>
          <w:sz w:val="21"/>
          <w:szCs w:val="21"/>
          <w:color w:val="auto"/>
          <w:vertAlign w:val="superscript"/>
        </w:rPr>
      </w:pPr>
      <w:r>
        <w:rPr>
          <w:rFonts w:ascii="Arial" w:cs="Arial" w:eastAsia="Arial" w:hAnsi="Arial"/>
          <w:sz w:val="15"/>
          <w:szCs w:val="15"/>
          <w:color w:val="auto"/>
        </w:rPr>
        <w:t>Cash and cash equivalents are stated at nominal value, which equals fair value.</w:t>
      </w:r>
    </w:p>
    <w:p>
      <w:pPr>
        <w:spacing w:after="0" w:line="132" w:lineRule="exact"/>
        <w:rPr>
          <w:rFonts w:ascii="Arial" w:cs="Arial" w:eastAsia="Arial" w:hAnsi="Arial"/>
          <w:sz w:val="21"/>
          <w:szCs w:val="21"/>
          <w:color w:val="auto"/>
          <w:vertAlign w:val="superscript"/>
        </w:rPr>
      </w:pPr>
    </w:p>
    <w:p>
      <w:pPr>
        <w:jc w:val="both"/>
        <w:ind w:right="20" w:firstLine="8"/>
        <w:spacing w:after="0" w:line="230" w:lineRule="auto"/>
        <w:tabs>
          <w:tab w:leader="none" w:pos="202" w:val="left"/>
        </w:tabs>
        <w:numPr>
          <w:ilvl w:val="0"/>
          <w:numId w:val="32"/>
        </w:numPr>
        <w:rPr>
          <w:rFonts w:ascii="Arial" w:cs="Arial" w:eastAsia="Arial" w:hAnsi="Arial"/>
          <w:sz w:val="22"/>
          <w:szCs w:val="22"/>
          <w:color w:val="auto"/>
          <w:vertAlign w:val="superscript"/>
        </w:rPr>
      </w:pPr>
      <w:r>
        <w:rPr>
          <w:rFonts w:ascii="Arial" w:cs="Arial" w:eastAsia="Arial" w:hAnsi="Arial"/>
          <w:sz w:val="16"/>
          <w:szCs w:val="16"/>
          <w:color w:val="auto"/>
        </w:rPr>
        <w:t>Represents restricted deposits that are used to collateralize our insurance obligations and are stated at nominal value, which equals fair value. These insurance deposits are included in “Other noncurrent assets” on the accompanying consolidated balance sheets. See Note 12, “Insurance,” for further information.</w:t>
      </w:r>
    </w:p>
    <w:p>
      <w:pPr>
        <w:spacing w:after="0" w:line="134" w:lineRule="exact"/>
        <w:rPr>
          <w:rFonts w:ascii="Arial" w:cs="Arial" w:eastAsia="Arial" w:hAnsi="Arial"/>
          <w:sz w:val="22"/>
          <w:szCs w:val="22"/>
          <w:color w:val="auto"/>
          <w:vertAlign w:val="superscript"/>
        </w:rPr>
      </w:pPr>
    </w:p>
    <w:p>
      <w:pPr>
        <w:jc w:val="both"/>
        <w:ind w:firstLine="8"/>
        <w:spacing w:after="0" w:line="246" w:lineRule="auto"/>
        <w:tabs>
          <w:tab w:leader="none" w:pos="180" w:val="left"/>
        </w:tabs>
        <w:numPr>
          <w:ilvl w:val="0"/>
          <w:numId w:val="32"/>
        </w:numPr>
        <w:rPr>
          <w:rFonts w:ascii="Arial" w:cs="Arial" w:eastAsia="Arial" w:hAnsi="Arial"/>
          <w:sz w:val="21"/>
          <w:szCs w:val="21"/>
          <w:color w:val="auto"/>
          <w:vertAlign w:val="superscript"/>
        </w:rPr>
      </w:pPr>
      <w:r>
        <w:rPr>
          <w:rFonts w:ascii="Arial" w:cs="Arial" w:eastAsia="Arial" w:hAnsi="Arial"/>
          <w:sz w:val="15"/>
          <w:szCs w:val="15"/>
          <w:color w:val="auto"/>
        </w:rPr>
        <w:t>Represents investments held in a Rabbi trust associated with one of our deferred compensation plans, which we include in “Other noncurrent assets” on the accompanying consolidated balance sheets. The fair value of the assets held in the funded deferred compensation plan is based on quoted market prices. See Note 14, “Employee Benefit Plans,” for further information.</w:t>
      </w:r>
    </w:p>
    <w:p>
      <w:pPr>
        <w:spacing w:after="0" w:line="128" w:lineRule="exact"/>
        <w:rPr>
          <w:rFonts w:ascii="Arial" w:cs="Arial" w:eastAsia="Arial" w:hAnsi="Arial"/>
          <w:sz w:val="21"/>
          <w:szCs w:val="21"/>
          <w:color w:val="auto"/>
          <w:vertAlign w:val="superscript"/>
        </w:rPr>
      </w:pPr>
    </w:p>
    <w:p>
      <w:pPr>
        <w:ind w:firstLine="8"/>
        <w:spacing w:after="0" w:line="299" w:lineRule="auto"/>
        <w:tabs>
          <w:tab w:leader="none" w:pos="162"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Represents gross outstanding borrowings under our syndicated line of credit and term loan. Due to variable interest rates, the carrying value of outstanding borrowings under our line of credit and term loan approximates the fair value. See Note 13, “Credit Facility,” for further information.</w:t>
      </w:r>
    </w:p>
    <w:p>
      <w:pPr>
        <w:spacing w:after="0" w:line="81" w:lineRule="exact"/>
        <w:rPr>
          <w:rFonts w:ascii="Arial" w:cs="Arial" w:eastAsia="Arial" w:hAnsi="Arial"/>
          <w:sz w:val="18"/>
          <w:szCs w:val="18"/>
          <w:color w:val="auto"/>
          <w:vertAlign w:val="superscript"/>
        </w:rPr>
      </w:pPr>
    </w:p>
    <w:p>
      <w:pPr>
        <w:jc w:val="both"/>
        <w:ind w:right="20" w:firstLine="8"/>
        <w:spacing w:after="0" w:line="280" w:lineRule="auto"/>
        <w:tabs>
          <w:tab w:leader="none" w:pos="162"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Represents interest rate swap derivatives designated as cash flow hedges. The fair values of the interest rate swaps are estimated based on the present value of the difference between expected cash flows calculated at the contracted interest rates and the expected cash flows at current market interest rates using observable benchmarks for the London Interbank Offered Rate (“LIBOR”) forward rates at the end of the period. At October 31, 2019 and 2018, our interest rate swaps are included in “Other noncurrent liabilities” and “Other noncurrent assets,” respectively, on the accompanying consolidated balance sheets. See Note 13, “Credit Facility,” for further information.</w:t>
      </w:r>
    </w:p>
    <w:p>
      <w:pPr>
        <w:spacing w:after="0" w:line="302" w:lineRule="exact"/>
        <w:rPr>
          <w:rFonts w:ascii="Arial" w:cs="Arial" w:eastAsia="Arial" w:hAnsi="Arial"/>
          <w:sz w:val="18"/>
          <w:szCs w:val="18"/>
          <w:color w:val="auto"/>
          <w:vertAlign w:val="superscript"/>
        </w:rPr>
      </w:pPr>
    </w:p>
    <w:p>
      <w:pPr>
        <w:jc w:val="both"/>
        <w:ind w:firstLine="8"/>
        <w:spacing w:after="0" w:line="283" w:lineRule="auto"/>
        <w:tabs>
          <w:tab w:leader="none" w:pos="162"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The fair value of investments in auction rate securities is based on discounted cash flow valuation models, primarily utilizing unobservable inputs, including assumptions about the underlying collateral, credit risks associated with the issuer, credit enhancements associated with financial insurance guarantees, and the possibility of the security being re-financed by the issuer or having a successful auction. These amounts are included in “Other investments” on the accompanying consolidated balance sheets. See Note 9, “Auction Rate Securities,” for further information.</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2019 and 2018, we had no transfers of assets or liabilities between any of the above hierarchy levels.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Non-Financial Assets Measured at Fair Value on a Non-Recurring Basis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assets and liabilities that are measured at fair value on a recurring basis, we are also required to measure certain non-financial assets at fair value on a non-recurring basis that are subject to fair value adjustments in specific circumstances. These assets can include: goodwill; intangible assets; property, plant and equipment; and long-lived assets that have been reduced to fair value when they are held for sale. We estimate the fair value of these assets using primarily unobservable Level 3 inputs.</w:t>
      </w:r>
    </w:p>
    <w:p>
      <w:pPr>
        <w:spacing w:after="0" w:line="1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In connection with the reorganization of our Healthcare business, in the third quarter of 2019 we performed a goodwill impairment test on the underlying reporting unit immediately before the reorganization. We estimated the fair value of goodwill using the income and market approaches, which utilize expected cash flows using Level 3 inputs. This analysis required the exercise of significant judgments, including the identification of reporting units as well as the evaluation of recent indicators of market activity, future cash flow estimates, discount rates, and other factors. As a result of this analysis, we concluded that the estimated fair value of the Healthcare reporting unit substantially</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93"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exceeded its carrying value immediately before the reorganization and that no further evaluation of impairment was necessary.</w:t>
      </w:r>
    </w:p>
    <w:p>
      <w:pPr>
        <w:spacing w:after="0" w:line="17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During 2018, we recorded impairment charges on goodwill and customer relationships in connection with our annual assessment of goodwill. See Note 11, “Goodwill and Other Intangible Assets,” for further information. The fair value of these items was determined based on unobservable Level 3 inputs. The fair value of goodwill was determined based on discounted cash flow analyses that include significant management assumptions, such as revenue growth rates, operating margins, weighted average cost of capital, and future economic and market conditions. The fair value of customer relationships was determined based on discounted cash flows associated with the customer relationships that include significant management assumptions, including expected proceeds.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9. AUCTION RATE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October 31, 2019 and 2018, we held an investment in one auction rate security that had an aggregate original principal amount, amortized cost, and fair value of $5.0 million. This auction rate security is a debt instrument with a stated maturity in 2050. The interest rate for this security is designed to be reset through Dutch auctions approximately every thirty days; however, auctions for this security have not occurred since August 2007.</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October 31, 2019 and 2018, there were no unrealized gains or losses on our auction rate security included in AOCI.</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Significant Assumptions Used to Determine the Fair Value of Our Auction Rate Security</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Assumption</w:t>
            </w:r>
          </w:p>
        </w:tc>
        <w:tc>
          <w:tcPr>
            <w:tcW w:w="120" w:type="dxa"/>
            <w:vAlign w:val="bottom"/>
            <w:tcBorders>
              <w:bottom w:val="single" w:sz="8" w:color="DCE2EF"/>
            </w:tcBorders>
          </w:tcPr>
          <w:p>
            <w:pPr>
              <w:spacing w:after="0"/>
              <w:rPr>
                <w:sz w:val="22"/>
                <w:szCs w:val="22"/>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October 31, 2019</w:t>
            </w:r>
          </w:p>
        </w:tc>
        <w:tc>
          <w:tcPr>
            <w:tcW w:w="100" w:type="dxa"/>
            <w:vAlign w:val="bottom"/>
            <w:tcBorders>
              <w:bottom w:val="single" w:sz="8" w:color="DCE2EF"/>
            </w:tcBorders>
          </w:tcPr>
          <w:p>
            <w:pPr>
              <w:spacing w:after="0"/>
              <w:rPr>
                <w:sz w:val="22"/>
                <w:szCs w:val="22"/>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October 31, 2018</w:t>
            </w:r>
          </w:p>
        </w:tc>
      </w:tr>
      <w:tr>
        <w:trPr>
          <w:trHeight w:val="251"/>
        </w:trPr>
        <w:tc>
          <w:tcPr>
            <w:tcW w:w="5280" w:type="dxa"/>
            <w:vAlign w:val="bottom"/>
            <w:gridSpan w:val="2"/>
            <w:shd w:val="clear" w:color="auto" w:fill="DCE2EF"/>
          </w:tcPr>
          <w:p>
            <w:pPr>
              <w:ind w:left="40"/>
              <w:spacing w:after="0"/>
              <w:rPr>
                <w:sz w:val="20"/>
                <w:szCs w:val="20"/>
                <w:color w:val="auto"/>
              </w:rPr>
            </w:pPr>
            <w:r>
              <w:rPr>
                <w:rFonts w:ascii="Arial" w:cs="Arial" w:eastAsia="Arial" w:hAnsi="Arial"/>
                <w:sz w:val="18"/>
                <w:szCs w:val="18"/>
                <w:color w:val="auto"/>
              </w:rPr>
              <w:t>Discount rates</w:t>
            </w:r>
          </w:p>
        </w:tc>
        <w:tc>
          <w:tcPr>
            <w:tcW w:w="3060" w:type="dxa"/>
            <w:vAlign w:val="bottom"/>
            <w:gridSpan w:val="2"/>
            <w:shd w:val="clear" w:color="auto" w:fill="DCE2EF"/>
          </w:tcPr>
          <w:p>
            <w:pPr>
              <w:jc w:val="center"/>
              <w:ind w:right="120"/>
              <w:spacing w:after="0"/>
              <w:rPr>
                <w:sz w:val="20"/>
                <w:szCs w:val="20"/>
                <w:color w:val="auto"/>
              </w:rPr>
            </w:pPr>
            <w:r>
              <w:rPr>
                <w:rFonts w:ascii="Arial" w:cs="Arial" w:eastAsia="Arial" w:hAnsi="Arial"/>
                <w:sz w:val="18"/>
                <w:szCs w:val="18"/>
                <w:color w:val="auto"/>
              </w:rPr>
              <w:t>L + 0.34%</w:t>
            </w:r>
          </w:p>
        </w:tc>
        <w:tc>
          <w:tcPr>
            <w:tcW w:w="3080" w:type="dxa"/>
            <w:vAlign w:val="bottom"/>
            <w:shd w:val="clear" w:color="auto" w:fill="DCE2EF"/>
          </w:tcPr>
          <w:p>
            <w:pPr>
              <w:jc w:val="center"/>
              <w:spacing w:after="0"/>
              <w:rPr>
                <w:sz w:val="20"/>
                <w:szCs w:val="20"/>
                <w:color w:val="auto"/>
              </w:rPr>
            </w:pPr>
            <w:r>
              <w:rPr>
                <w:rFonts w:ascii="Arial" w:cs="Arial" w:eastAsia="Arial" w:hAnsi="Arial"/>
                <w:sz w:val="18"/>
                <w:szCs w:val="18"/>
                <w:color w:val="auto"/>
                <w:w w:val="98"/>
              </w:rPr>
              <w:t>L + 0.37%</w:t>
            </w:r>
          </w:p>
        </w:tc>
      </w:tr>
      <w:tr>
        <w:trPr>
          <w:trHeight w:val="265"/>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Yields</w:t>
            </w:r>
          </w:p>
        </w:tc>
        <w:tc>
          <w:tcPr>
            <w:tcW w:w="3060" w:type="dxa"/>
            <w:vAlign w:val="bottom"/>
            <w:gridSpan w:val="2"/>
          </w:tcPr>
          <w:p>
            <w:pPr>
              <w:jc w:val="center"/>
              <w:ind w:right="120"/>
              <w:spacing w:after="0"/>
              <w:rPr>
                <w:sz w:val="20"/>
                <w:szCs w:val="20"/>
                <w:color w:val="auto"/>
              </w:rPr>
            </w:pPr>
            <w:r>
              <w:rPr>
                <w:rFonts w:ascii="Arial" w:cs="Arial" w:eastAsia="Arial" w:hAnsi="Arial"/>
                <w:sz w:val="18"/>
                <w:szCs w:val="18"/>
                <w:color w:val="auto"/>
              </w:rPr>
              <w:t>L + 2.00%</w:t>
            </w:r>
          </w:p>
        </w:tc>
        <w:tc>
          <w:tcPr>
            <w:tcW w:w="3080" w:type="dxa"/>
            <w:vAlign w:val="bottom"/>
          </w:tcPr>
          <w:p>
            <w:pPr>
              <w:jc w:val="center"/>
              <w:spacing w:after="0"/>
              <w:rPr>
                <w:sz w:val="20"/>
                <w:szCs w:val="20"/>
                <w:color w:val="auto"/>
              </w:rPr>
            </w:pPr>
            <w:r>
              <w:rPr>
                <w:rFonts w:ascii="Arial" w:cs="Arial" w:eastAsia="Arial" w:hAnsi="Arial"/>
                <w:sz w:val="18"/>
                <w:szCs w:val="18"/>
                <w:color w:val="auto"/>
                <w:w w:val="98"/>
              </w:rPr>
              <w:t>L + 2.00%</w:t>
            </w:r>
          </w:p>
        </w:tc>
      </w:tr>
      <w:tr>
        <w:trPr>
          <w:trHeight w:val="275"/>
        </w:trPr>
        <w:tc>
          <w:tcPr>
            <w:tcW w:w="5280" w:type="dxa"/>
            <w:vAlign w:val="bottom"/>
            <w:gridSpan w:val="2"/>
            <w:shd w:val="clear" w:color="auto" w:fill="DCE2EF"/>
          </w:tcPr>
          <w:p>
            <w:pPr>
              <w:ind w:left="40"/>
              <w:spacing w:after="0"/>
              <w:rPr>
                <w:sz w:val="20"/>
                <w:szCs w:val="20"/>
                <w:color w:val="auto"/>
              </w:rPr>
            </w:pPr>
            <w:r>
              <w:rPr>
                <w:rFonts w:ascii="Arial" w:cs="Arial" w:eastAsia="Arial" w:hAnsi="Arial"/>
                <w:sz w:val="18"/>
                <w:szCs w:val="18"/>
                <w:color w:val="auto"/>
              </w:rPr>
              <w:t>Average expected lives</w:t>
            </w:r>
          </w:p>
        </w:tc>
        <w:tc>
          <w:tcPr>
            <w:tcW w:w="3060" w:type="dxa"/>
            <w:vAlign w:val="bottom"/>
            <w:gridSpan w:val="2"/>
            <w:shd w:val="clear" w:color="auto" w:fill="DCE2EF"/>
          </w:tcPr>
          <w:p>
            <w:pPr>
              <w:jc w:val="center"/>
              <w:ind w:right="120"/>
              <w:spacing w:after="0"/>
              <w:rPr>
                <w:sz w:val="20"/>
                <w:szCs w:val="20"/>
                <w:color w:val="auto"/>
              </w:rPr>
            </w:pPr>
            <w:r>
              <w:rPr>
                <w:rFonts w:ascii="Arial" w:cs="Arial" w:eastAsia="Arial" w:hAnsi="Arial"/>
                <w:sz w:val="18"/>
                <w:szCs w:val="18"/>
                <w:color w:val="auto"/>
                <w:w w:val="98"/>
              </w:rPr>
              <w:t>4 years</w:t>
            </w:r>
          </w:p>
        </w:tc>
        <w:tc>
          <w:tcPr>
            <w:tcW w:w="3080" w:type="dxa"/>
            <w:vAlign w:val="bottom"/>
            <w:shd w:val="clear" w:color="auto" w:fill="DCE2EF"/>
          </w:tcPr>
          <w:p>
            <w:pPr>
              <w:jc w:val="center"/>
              <w:spacing w:after="0"/>
              <w:rPr>
                <w:sz w:val="20"/>
                <w:szCs w:val="20"/>
                <w:color w:val="auto"/>
              </w:rPr>
            </w:pPr>
            <w:r>
              <w:rPr>
                <w:rFonts w:ascii="Arial" w:cs="Arial" w:eastAsia="Arial" w:hAnsi="Arial"/>
                <w:sz w:val="18"/>
                <w:szCs w:val="18"/>
                <w:color w:val="auto"/>
              </w:rPr>
              <w:t>4 years</w:t>
            </w:r>
          </w:p>
        </w:tc>
      </w:tr>
      <w:tr>
        <w:trPr>
          <w:trHeight w:val="598"/>
        </w:trPr>
        <w:tc>
          <w:tcPr>
            <w:tcW w:w="5280" w:type="dxa"/>
            <w:vAlign w:val="bottom"/>
            <w:gridSpan w:val="2"/>
          </w:tcPr>
          <w:p>
            <w:pPr>
              <w:spacing w:after="0"/>
              <w:rPr>
                <w:sz w:val="20"/>
                <w:szCs w:val="20"/>
                <w:color w:val="auto"/>
              </w:rPr>
            </w:pPr>
            <w:r>
              <w:rPr>
                <w:rFonts w:ascii="Arial" w:cs="Arial" w:eastAsia="Arial" w:hAnsi="Arial"/>
                <w:sz w:val="16"/>
                <w:szCs w:val="16"/>
                <w:color w:val="auto"/>
              </w:rPr>
              <w:t xml:space="preserve">L </w:t>
            </w:r>
            <w:r>
              <w:rPr>
                <w:rFonts w:ascii="Arial" w:cs="Arial" w:eastAsia="Arial" w:hAnsi="Arial"/>
                <w:sz w:val="18"/>
                <w:szCs w:val="18"/>
                <w:color w:val="auto"/>
              </w:rPr>
              <w:t>–</w:t>
            </w:r>
            <w:r>
              <w:rPr>
                <w:rFonts w:ascii="Arial" w:cs="Arial" w:eastAsia="Arial" w:hAnsi="Arial"/>
                <w:sz w:val="16"/>
                <w:szCs w:val="16"/>
                <w:color w:val="auto"/>
              </w:rPr>
              <w:t xml:space="preserve"> One Month LIBOR</w:t>
            </w: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r>
    </w:tbl>
    <w:p>
      <w:pPr>
        <w:spacing w:after="0" w:line="349" w:lineRule="exact"/>
        <w:rPr>
          <w:sz w:val="20"/>
          <w:szCs w:val="20"/>
          <w:color w:val="auto"/>
        </w:rPr>
      </w:pPr>
    </w:p>
    <w:p>
      <w:pPr>
        <w:ind w:right="7880" w:firstLine="8"/>
        <w:spacing w:after="0" w:line="638" w:lineRule="auto"/>
        <w:tabs>
          <w:tab w:leader="none" w:pos="300" w:val="left"/>
        </w:tabs>
        <w:numPr>
          <w:ilvl w:val="0"/>
          <w:numId w:val="33"/>
        </w:numPr>
        <w:rPr>
          <w:rFonts w:ascii="Arial" w:cs="Arial" w:eastAsia="Arial" w:hAnsi="Arial"/>
          <w:sz w:val="17"/>
          <w:szCs w:val="17"/>
          <w:b w:val="1"/>
          <w:bCs w:val="1"/>
          <w:color w:val="0046AD"/>
        </w:rPr>
      </w:pPr>
      <w:r>
        <w:rPr>
          <w:rFonts w:ascii="Arial" w:cs="Arial" w:eastAsia="Arial" w:hAnsi="Arial"/>
          <w:sz w:val="17"/>
          <w:szCs w:val="17"/>
          <w:b w:val="1"/>
          <w:bCs w:val="1"/>
          <w:color w:val="0046AD"/>
        </w:rPr>
        <w:t>PROPERTY, PLANT AND EQUIPMENT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4"/>
        </w:trPr>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4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October 31,</w:t>
            </w:r>
          </w:p>
        </w:tc>
        <w:tc>
          <w:tcPr>
            <w:tcW w:w="1300" w:type="dxa"/>
            <w:vAlign w:val="bottom"/>
            <w:tcBorders>
              <w:bottom w:val="single" w:sz="8" w:color="auto"/>
            </w:tcBorders>
          </w:tcPr>
          <w:p>
            <w:pPr>
              <w:spacing w:after="0"/>
              <w:rPr>
                <w:sz w:val="22"/>
                <w:szCs w:val="22"/>
                <w:color w:val="auto"/>
              </w:rPr>
            </w:pPr>
          </w:p>
        </w:tc>
      </w:tr>
      <w:tr>
        <w:trPr>
          <w:trHeight w:val="224"/>
        </w:trPr>
        <w:tc>
          <w:tcPr>
            <w:tcW w:w="718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80" w:type="dxa"/>
            <w:vAlign w:val="bottom"/>
          </w:tcPr>
          <w:p>
            <w:pPr>
              <w:spacing w:after="0"/>
              <w:rPr>
                <w:sz w:val="19"/>
                <w:szCs w:val="19"/>
                <w:color w:val="auto"/>
              </w:rPr>
            </w:pPr>
          </w:p>
        </w:tc>
        <w:tc>
          <w:tcPr>
            <w:tcW w:w="1580" w:type="dxa"/>
            <w:vAlign w:val="bottom"/>
          </w:tcPr>
          <w:p>
            <w:pPr>
              <w:jc w:val="right"/>
              <w:ind w:right="7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00" w:type="dxa"/>
            <w:vAlign w:val="bottom"/>
          </w:tcPr>
          <w:p>
            <w:pPr>
              <w:jc w:val="right"/>
              <w:ind w:right="750"/>
              <w:spacing w:after="0"/>
              <w:rPr>
                <w:sz w:val="20"/>
                <w:szCs w:val="20"/>
                <w:color w:val="auto"/>
              </w:rPr>
            </w:pPr>
            <w:r>
              <w:rPr>
                <w:rFonts w:ascii="Arial" w:cs="Arial" w:eastAsia="Arial" w:hAnsi="Arial"/>
                <w:sz w:val="18"/>
                <w:szCs w:val="18"/>
                <w:b w:val="1"/>
                <w:bCs w:val="1"/>
                <w:color w:val="auto"/>
              </w:rPr>
              <w:t>2018</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6440" w:type="dxa"/>
            <w:vAlign w:val="bottom"/>
            <w:tcBorders>
              <w:bottom w:val="single" w:sz="8" w:color="DCE2E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50"/>
        </w:trPr>
        <w:tc>
          <w:tcPr>
            <w:tcW w:w="71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Machinery and other equipment</w:t>
            </w:r>
          </w:p>
        </w:tc>
        <w:tc>
          <w:tcPr>
            <w:tcW w:w="480" w:type="dxa"/>
            <w:vAlign w:val="bottom"/>
            <w:shd w:val="clear" w:color="auto" w:fill="DCE2E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118.8</w:t>
            </w:r>
          </w:p>
        </w:tc>
        <w:tc>
          <w:tcPr>
            <w:tcW w:w="120" w:type="dxa"/>
            <w:vAlign w:val="bottom"/>
            <w:shd w:val="clear" w:color="auto" w:fill="DCE2EF"/>
          </w:tcPr>
          <w:p>
            <w:pPr>
              <w:spacing w:after="0"/>
              <w:rPr>
                <w:sz w:val="21"/>
                <w:szCs w:val="21"/>
                <w:color w:val="auto"/>
              </w:rPr>
            </w:pPr>
          </w:p>
        </w:tc>
        <w:tc>
          <w:tcPr>
            <w:tcW w:w="760" w:type="dxa"/>
            <w:vAlign w:val="bottom"/>
            <w:shd w:val="clear" w:color="auto" w:fill="DCE2EF"/>
          </w:tcPr>
          <w:p>
            <w:pPr>
              <w:jc w:val="right"/>
              <w:ind w:right="5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94.0</w:t>
            </w:r>
          </w:p>
        </w:tc>
      </w:tr>
      <w:tr>
        <w:trPr>
          <w:trHeight w:val="265"/>
        </w:trPr>
        <w:tc>
          <w:tcPr>
            <w:tcW w:w="7180" w:type="dxa"/>
            <w:vAlign w:val="bottom"/>
            <w:gridSpan w:val="3"/>
          </w:tcPr>
          <w:p>
            <w:pPr>
              <w:ind w:left="40"/>
              <w:spacing w:after="0"/>
              <w:rPr>
                <w:sz w:val="20"/>
                <w:szCs w:val="20"/>
                <w:color w:val="auto"/>
              </w:rPr>
            </w:pPr>
            <w:r>
              <w:rPr>
                <w:rFonts w:ascii="Arial" w:cs="Arial" w:eastAsia="Arial" w:hAnsi="Arial"/>
                <w:sz w:val="18"/>
                <w:szCs w:val="18"/>
                <w:color w:val="auto"/>
              </w:rPr>
              <w:t>Computer equipment and software</w:t>
            </w:r>
          </w:p>
        </w:tc>
        <w:tc>
          <w:tcPr>
            <w:tcW w:w="48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91.7</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71.5</w:t>
            </w:r>
          </w:p>
        </w:tc>
      </w:tr>
      <w:tr>
        <w:trPr>
          <w:trHeight w:val="275"/>
        </w:trPr>
        <w:tc>
          <w:tcPr>
            <w:tcW w:w="71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Leasehold improvements</w:t>
            </w:r>
          </w:p>
        </w:tc>
        <w:tc>
          <w:tcPr>
            <w:tcW w:w="480" w:type="dxa"/>
            <w:vAlign w:val="bottom"/>
            <w:shd w:val="clear" w:color="auto" w:fill="DCE2EF"/>
          </w:tcPr>
          <w:p>
            <w:pPr>
              <w:spacing w:after="0"/>
              <w:rPr>
                <w:sz w:val="23"/>
                <w:szCs w:val="23"/>
                <w:color w:val="auto"/>
              </w:rPr>
            </w:pPr>
          </w:p>
        </w:tc>
        <w:tc>
          <w:tcPr>
            <w:tcW w:w="15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59.5</w:t>
            </w:r>
          </w:p>
        </w:tc>
        <w:tc>
          <w:tcPr>
            <w:tcW w:w="120" w:type="dxa"/>
            <w:vAlign w:val="bottom"/>
            <w:shd w:val="clear" w:color="auto" w:fill="DCE2EF"/>
          </w:tcPr>
          <w:p>
            <w:pPr>
              <w:spacing w:after="0"/>
              <w:rPr>
                <w:sz w:val="23"/>
                <w:szCs w:val="23"/>
                <w:color w:val="auto"/>
              </w:rPr>
            </w:pPr>
          </w:p>
        </w:tc>
        <w:tc>
          <w:tcPr>
            <w:tcW w:w="760" w:type="dxa"/>
            <w:vAlign w:val="bottom"/>
            <w:shd w:val="clear" w:color="auto" w:fill="DCE2EF"/>
          </w:tcPr>
          <w:p>
            <w:pPr>
              <w:spacing w:after="0"/>
              <w:rPr>
                <w:sz w:val="23"/>
                <w:szCs w:val="23"/>
                <w:color w:val="auto"/>
              </w:rPr>
            </w:pPr>
          </w:p>
        </w:tc>
        <w:tc>
          <w:tcPr>
            <w:tcW w:w="13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54.6</w:t>
            </w:r>
          </w:p>
        </w:tc>
      </w:tr>
      <w:tr>
        <w:trPr>
          <w:trHeight w:val="265"/>
        </w:trPr>
        <w:tc>
          <w:tcPr>
            <w:tcW w:w="7180" w:type="dxa"/>
            <w:vAlign w:val="bottom"/>
            <w:gridSpan w:val="3"/>
          </w:tcPr>
          <w:p>
            <w:pPr>
              <w:ind w:left="40"/>
              <w:spacing w:after="0"/>
              <w:rPr>
                <w:sz w:val="20"/>
                <w:szCs w:val="20"/>
                <w:color w:val="auto"/>
              </w:rPr>
            </w:pPr>
            <w:r>
              <w:rPr>
                <w:rFonts w:ascii="Arial" w:cs="Arial" w:eastAsia="Arial" w:hAnsi="Arial"/>
                <w:sz w:val="18"/>
                <w:szCs w:val="18"/>
                <w:color w:val="auto"/>
              </w:rPr>
              <w:t>Transportation equipment</w:t>
            </w:r>
          </w:p>
        </w:tc>
        <w:tc>
          <w:tcPr>
            <w:tcW w:w="48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57.4</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49.7</w:t>
            </w:r>
          </w:p>
        </w:tc>
      </w:tr>
      <w:tr>
        <w:trPr>
          <w:trHeight w:val="275"/>
        </w:trPr>
        <w:tc>
          <w:tcPr>
            <w:tcW w:w="71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Furniture and fixtures</w:t>
            </w:r>
          </w:p>
        </w:tc>
        <w:tc>
          <w:tcPr>
            <w:tcW w:w="480" w:type="dxa"/>
            <w:vAlign w:val="bottom"/>
            <w:shd w:val="clear" w:color="auto" w:fill="DCE2EF"/>
          </w:tcPr>
          <w:p>
            <w:pPr>
              <w:spacing w:after="0"/>
              <w:rPr>
                <w:sz w:val="23"/>
                <w:szCs w:val="23"/>
                <w:color w:val="auto"/>
              </w:rPr>
            </w:pPr>
          </w:p>
        </w:tc>
        <w:tc>
          <w:tcPr>
            <w:tcW w:w="15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DCE2EF"/>
          </w:tcPr>
          <w:p>
            <w:pPr>
              <w:spacing w:after="0"/>
              <w:rPr>
                <w:sz w:val="23"/>
                <w:szCs w:val="23"/>
                <w:color w:val="auto"/>
              </w:rPr>
            </w:pPr>
          </w:p>
        </w:tc>
        <w:tc>
          <w:tcPr>
            <w:tcW w:w="760" w:type="dxa"/>
            <w:vAlign w:val="bottom"/>
            <w:shd w:val="clear" w:color="auto" w:fill="DCE2EF"/>
          </w:tcPr>
          <w:p>
            <w:pPr>
              <w:spacing w:after="0"/>
              <w:rPr>
                <w:sz w:val="23"/>
                <w:szCs w:val="23"/>
                <w:color w:val="auto"/>
              </w:rPr>
            </w:pPr>
          </w:p>
        </w:tc>
        <w:tc>
          <w:tcPr>
            <w:tcW w:w="13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14.9</w:t>
            </w:r>
          </w:p>
        </w:tc>
      </w:tr>
      <w:tr>
        <w:trPr>
          <w:trHeight w:val="265"/>
        </w:trPr>
        <w:tc>
          <w:tcPr>
            <w:tcW w:w="7180" w:type="dxa"/>
            <w:vAlign w:val="bottom"/>
            <w:gridSpan w:val="3"/>
          </w:tcPr>
          <w:p>
            <w:pPr>
              <w:ind w:left="40"/>
              <w:spacing w:after="0"/>
              <w:rPr>
                <w:sz w:val="20"/>
                <w:szCs w:val="20"/>
                <w:color w:val="auto"/>
              </w:rPr>
            </w:pPr>
            <w:r>
              <w:rPr>
                <w:rFonts w:ascii="Arial" w:cs="Arial" w:eastAsia="Arial" w:hAnsi="Arial"/>
                <w:sz w:val="18"/>
                <w:szCs w:val="18"/>
                <w:color w:val="auto"/>
              </w:rPr>
              <w:t>Buildings</w:t>
            </w:r>
          </w:p>
        </w:tc>
        <w:tc>
          <w:tcPr>
            <w:tcW w:w="48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8.2</w:t>
            </w:r>
          </w:p>
        </w:tc>
      </w:tr>
      <w:tr>
        <w:trPr>
          <w:trHeight w:val="270"/>
        </w:trPr>
        <w:tc>
          <w:tcPr>
            <w:tcW w:w="71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Land</w:t>
            </w:r>
          </w:p>
        </w:tc>
        <w:tc>
          <w:tcPr>
            <w:tcW w:w="480" w:type="dxa"/>
            <w:vAlign w:val="bottom"/>
            <w:tcBorders>
              <w:bottom w:val="single" w:sz="8" w:color="auto"/>
            </w:tcBorders>
            <w:shd w:val="clear" w:color="auto" w:fill="DCE2EF"/>
          </w:tcPr>
          <w:p>
            <w:pPr>
              <w:spacing w:after="0"/>
              <w:rPr>
                <w:sz w:val="23"/>
                <w:szCs w:val="23"/>
                <w:color w:val="auto"/>
              </w:rPr>
            </w:pPr>
          </w:p>
        </w:tc>
        <w:tc>
          <w:tcPr>
            <w:tcW w:w="158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DCE2EF"/>
          </w:tcPr>
          <w:p>
            <w:pPr>
              <w:spacing w:after="0"/>
              <w:rPr>
                <w:sz w:val="23"/>
                <w:szCs w:val="23"/>
                <w:color w:val="auto"/>
              </w:rPr>
            </w:pPr>
          </w:p>
        </w:tc>
        <w:tc>
          <w:tcPr>
            <w:tcW w:w="760" w:type="dxa"/>
            <w:vAlign w:val="bottom"/>
            <w:tcBorders>
              <w:bottom w:val="single" w:sz="8" w:color="auto"/>
            </w:tcBorders>
            <w:shd w:val="clear" w:color="auto" w:fill="DCE2EF"/>
          </w:tcPr>
          <w:p>
            <w:pPr>
              <w:spacing w:after="0"/>
              <w:rPr>
                <w:sz w:val="23"/>
                <w:szCs w:val="23"/>
                <w:color w:val="auto"/>
              </w:rPr>
            </w:pPr>
          </w:p>
        </w:tc>
        <w:tc>
          <w:tcPr>
            <w:tcW w:w="130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1.0</w:t>
            </w:r>
          </w:p>
        </w:tc>
      </w:tr>
      <w:tr>
        <w:trPr>
          <w:trHeight w:val="250"/>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349.8</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294.0</w:t>
            </w:r>
          </w:p>
        </w:tc>
      </w:tr>
      <w:tr>
        <w:trPr>
          <w:trHeight w:val="275"/>
        </w:trPr>
        <w:tc>
          <w:tcPr>
            <w:tcW w:w="71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Less: Accumulated depreciation</w:t>
            </w:r>
            <w:r>
              <w:rPr>
                <w:rFonts w:ascii="Arial" w:cs="Arial" w:eastAsia="Arial" w:hAnsi="Arial"/>
                <w:sz w:val="21"/>
                <w:szCs w:val="21"/>
                <w:color w:val="auto"/>
                <w:vertAlign w:val="superscript"/>
              </w:rPr>
              <w:t>(1)</w:t>
            </w:r>
          </w:p>
        </w:tc>
        <w:tc>
          <w:tcPr>
            <w:tcW w:w="480" w:type="dxa"/>
            <w:vAlign w:val="bottom"/>
            <w:tcBorders>
              <w:bottom w:val="single" w:sz="8" w:color="auto"/>
            </w:tcBorders>
            <w:shd w:val="clear" w:color="auto" w:fill="DCE2EF"/>
          </w:tcPr>
          <w:p>
            <w:pPr>
              <w:spacing w:after="0"/>
              <w:rPr>
                <w:sz w:val="23"/>
                <w:szCs w:val="23"/>
                <w:color w:val="auto"/>
              </w:rPr>
            </w:pPr>
          </w:p>
        </w:tc>
        <w:tc>
          <w:tcPr>
            <w:tcW w:w="158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199.5</w:t>
            </w:r>
          </w:p>
        </w:tc>
        <w:tc>
          <w:tcPr>
            <w:tcW w:w="120" w:type="dxa"/>
            <w:vAlign w:val="bottom"/>
            <w:shd w:val="clear" w:color="auto" w:fill="DCE2EF"/>
          </w:tcPr>
          <w:p>
            <w:pPr>
              <w:spacing w:after="0"/>
              <w:rPr>
                <w:sz w:val="23"/>
                <w:szCs w:val="23"/>
                <w:color w:val="auto"/>
              </w:rPr>
            </w:pPr>
          </w:p>
        </w:tc>
        <w:tc>
          <w:tcPr>
            <w:tcW w:w="760" w:type="dxa"/>
            <w:vAlign w:val="bottom"/>
            <w:tcBorders>
              <w:bottom w:val="single" w:sz="8" w:color="auto"/>
            </w:tcBorders>
            <w:shd w:val="clear" w:color="auto" w:fill="DCE2EF"/>
          </w:tcPr>
          <w:p>
            <w:pPr>
              <w:spacing w:after="0"/>
              <w:rPr>
                <w:sz w:val="23"/>
                <w:szCs w:val="23"/>
                <w:color w:val="auto"/>
              </w:rPr>
            </w:pPr>
          </w:p>
        </w:tc>
        <w:tc>
          <w:tcPr>
            <w:tcW w:w="130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153.9</w:t>
            </w:r>
          </w:p>
        </w:tc>
      </w:tr>
      <w:tr>
        <w:trPr>
          <w:trHeight w:val="245"/>
        </w:trPr>
        <w:tc>
          <w:tcPr>
            <w:tcW w:w="718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150.3</w:t>
            </w:r>
          </w:p>
        </w:tc>
        <w:tc>
          <w:tcPr>
            <w:tcW w:w="120" w:type="dxa"/>
            <w:vAlign w:val="bottom"/>
          </w:tcPr>
          <w:p>
            <w:pPr>
              <w:spacing w:after="0"/>
              <w:rPr>
                <w:sz w:val="21"/>
                <w:szCs w:val="21"/>
                <w:color w:val="auto"/>
              </w:rPr>
            </w:pPr>
          </w:p>
        </w:tc>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140.1</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180" w:hanging="172"/>
        <w:spacing w:after="0"/>
        <w:tabs>
          <w:tab w:leader="none" w:pos="180" w:val="left"/>
        </w:tabs>
        <w:numPr>
          <w:ilvl w:val="0"/>
          <w:numId w:val="34"/>
        </w:numPr>
        <w:rPr>
          <w:rFonts w:ascii="Arial" w:cs="Arial" w:eastAsia="Arial" w:hAnsi="Arial"/>
          <w:sz w:val="21"/>
          <w:szCs w:val="21"/>
          <w:color w:val="auto"/>
          <w:vertAlign w:val="superscript"/>
        </w:rPr>
      </w:pPr>
      <w:r>
        <w:rPr>
          <w:rFonts w:ascii="Arial" w:cs="Arial" w:eastAsia="Arial" w:hAnsi="Arial"/>
          <w:sz w:val="15"/>
          <w:szCs w:val="15"/>
          <w:color w:val="auto"/>
        </w:rPr>
        <w:t>For 2019, 2018, and 2017, depreciation expense was $48.9 million, $46.5 million, and $38.5 million, respectively.</w:t>
      </w:r>
    </w:p>
    <w:p>
      <w:pPr>
        <w:spacing w:after="0" w:line="343" w:lineRule="exact"/>
        <w:rPr>
          <w:rFonts w:ascii="Arial" w:cs="Arial" w:eastAsia="Arial" w:hAnsi="Arial"/>
          <w:sz w:val="21"/>
          <w:szCs w:val="21"/>
          <w:color w:val="auto"/>
          <w:vertAlign w:val="superscript"/>
        </w:rPr>
      </w:pPr>
    </w:p>
    <w:p>
      <w:pPr>
        <w:ind w:left="5620"/>
        <w:spacing w:after="0"/>
        <w:rPr>
          <w:rFonts w:ascii="Arial" w:cs="Arial" w:eastAsia="Arial" w:hAnsi="Arial"/>
          <w:sz w:val="21"/>
          <w:szCs w:val="21"/>
          <w:color w:val="auto"/>
          <w:vertAlign w:val="superscript"/>
        </w:rPr>
      </w:pPr>
      <w:r>
        <w:rPr>
          <w:rFonts w:ascii="Arial" w:cs="Arial" w:eastAsia="Arial" w:hAnsi="Arial"/>
          <w:sz w:val="18"/>
          <w:szCs w:val="18"/>
          <w:color w:val="auto"/>
        </w:rPr>
        <w:t>75</w:t>
      </w:r>
    </w:p>
    <w:p>
      <w:pPr>
        <w:sectPr>
          <w:pgSz w:w="11900" w:h="16838" w:orient="portrait"/>
          <w:cols w:equalWidth="0" w:num="1">
            <w:col w:w="11420"/>
          </w:cols>
          <w:pgMar w:left="240" w:top="495"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0046AD"/>
        </w:rPr>
        <w:t>Capital Leases Included in Property, Plant and Equipment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4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October 31,</w:t>
            </w:r>
          </w:p>
        </w:tc>
        <w:tc>
          <w:tcPr>
            <w:tcW w:w="1300" w:type="dxa"/>
            <w:vAlign w:val="bottom"/>
            <w:tcBorders>
              <w:bottom w:val="single" w:sz="8" w:color="auto"/>
            </w:tcBorders>
          </w:tcPr>
          <w:p>
            <w:pPr>
              <w:spacing w:after="0"/>
              <w:rPr>
                <w:sz w:val="22"/>
                <w:szCs w:val="22"/>
                <w:color w:val="auto"/>
              </w:rPr>
            </w:pPr>
          </w:p>
        </w:tc>
      </w:tr>
      <w:tr>
        <w:trPr>
          <w:trHeight w:val="224"/>
        </w:trPr>
        <w:tc>
          <w:tcPr>
            <w:tcW w:w="718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80" w:type="dxa"/>
            <w:vAlign w:val="bottom"/>
          </w:tcPr>
          <w:p>
            <w:pPr>
              <w:spacing w:after="0"/>
              <w:rPr>
                <w:sz w:val="19"/>
                <w:szCs w:val="19"/>
                <w:color w:val="auto"/>
              </w:rPr>
            </w:pPr>
          </w:p>
        </w:tc>
        <w:tc>
          <w:tcPr>
            <w:tcW w:w="1580" w:type="dxa"/>
            <w:vAlign w:val="bottom"/>
          </w:tcPr>
          <w:p>
            <w:pPr>
              <w:jc w:val="right"/>
              <w:ind w:right="7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00" w:type="dxa"/>
            <w:vAlign w:val="bottom"/>
          </w:tcPr>
          <w:p>
            <w:pPr>
              <w:jc w:val="right"/>
              <w:ind w:right="750"/>
              <w:spacing w:after="0"/>
              <w:rPr>
                <w:sz w:val="20"/>
                <w:szCs w:val="20"/>
                <w:color w:val="auto"/>
              </w:rPr>
            </w:pPr>
            <w:r>
              <w:rPr>
                <w:rFonts w:ascii="Arial" w:cs="Arial" w:eastAsia="Arial" w:hAnsi="Arial"/>
                <w:sz w:val="18"/>
                <w:szCs w:val="18"/>
                <w:b w:val="1"/>
                <w:bCs w:val="1"/>
                <w:color w:val="auto"/>
              </w:rPr>
              <w:t>2018</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6440" w:type="dxa"/>
            <w:vAlign w:val="bottom"/>
            <w:tcBorders>
              <w:bottom w:val="single" w:sz="8" w:color="DCE2E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50"/>
        </w:trPr>
        <w:tc>
          <w:tcPr>
            <w:tcW w:w="71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Transportation equipment</w:t>
            </w:r>
          </w:p>
        </w:tc>
        <w:tc>
          <w:tcPr>
            <w:tcW w:w="480" w:type="dxa"/>
            <w:vAlign w:val="bottom"/>
            <w:shd w:val="clear" w:color="auto" w:fill="DCE2E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DCE2EF"/>
          </w:tcPr>
          <w:p>
            <w:pPr>
              <w:spacing w:after="0"/>
              <w:rPr>
                <w:sz w:val="21"/>
                <w:szCs w:val="21"/>
                <w:color w:val="auto"/>
              </w:rPr>
            </w:pPr>
          </w:p>
        </w:tc>
        <w:tc>
          <w:tcPr>
            <w:tcW w:w="760" w:type="dxa"/>
            <w:vAlign w:val="bottom"/>
            <w:shd w:val="clear" w:color="auto" w:fill="DCE2EF"/>
          </w:tcPr>
          <w:p>
            <w:pPr>
              <w:jc w:val="right"/>
              <w:ind w:right="5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20.7</w:t>
            </w:r>
          </w:p>
        </w:tc>
      </w:tr>
      <w:tr>
        <w:trPr>
          <w:trHeight w:val="265"/>
        </w:trPr>
        <w:tc>
          <w:tcPr>
            <w:tcW w:w="7180" w:type="dxa"/>
            <w:vAlign w:val="bottom"/>
            <w:gridSpan w:val="3"/>
          </w:tcPr>
          <w:p>
            <w:pPr>
              <w:ind w:left="40"/>
              <w:spacing w:after="0"/>
              <w:rPr>
                <w:sz w:val="20"/>
                <w:szCs w:val="20"/>
                <w:color w:val="auto"/>
              </w:rPr>
            </w:pPr>
            <w:r>
              <w:rPr>
                <w:rFonts w:ascii="Arial" w:cs="Arial" w:eastAsia="Arial" w:hAnsi="Arial"/>
                <w:sz w:val="18"/>
                <w:szCs w:val="18"/>
                <w:color w:val="auto"/>
              </w:rPr>
              <w:t>Machinery and other equipment</w:t>
            </w:r>
          </w:p>
        </w:tc>
        <w:tc>
          <w:tcPr>
            <w:tcW w:w="48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0.3</w:t>
            </w:r>
          </w:p>
        </w:tc>
      </w:tr>
      <w:tr>
        <w:trPr>
          <w:trHeight w:val="275"/>
        </w:trPr>
        <w:tc>
          <w:tcPr>
            <w:tcW w:w="71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Furniture and fixtures</w:t>
            </w:r>
          </w:p>
        </w:tc>
        <w:tc>
          <w:tcPr>
            <w:tcW w:w="480" w:type="dxa"/>
            <w:vAlign w:val="bottom"/>
            <w:shd w:val="clear" w:color="auto" w:fill="DCE2EF"/>
          </w:tcPr>
          <w:p>
            <w:pPr>
              <w:spacing w:after="0"/>
              <w:rPr>
                <w:sz w:val="23"/>
                <w:szCs w:val="23"/>
                <w:color w:val="auto"/>
              </w:rPr>
            </w:pPr>
          </w:p>
        </w:tc>
        <w:tc>
          <w:tcPr>
            <w:tcW w:w="15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DCE2EF"/>
          </w:tcPr>
          <w:p>
            <w:pPr>
              <w:spacing w:after="0"/>
              <w:rPr>
                <w:sz w:val="23"/>
                <w:szCs w:val="23"/>
                <w:color w:val="auto"/>
              </w:rPr>
            </w:pPr>
          </w:p>
        </w:tc>
        <w:tc>
          <w:tcPr>
            <w:tcW w:w="760" w:type="dxa"/>
            <w:vAlign w:val="bottom"/>
            <w:shd w:val="clear" w:color="auto" w:fill="DCE2EF"/>
          </w:tcPr>
          <w:p>
            <w:pPr>
              <w:spacing w:after="0"/>
              <w:rPr>
                <w:sz w:val="23"/>
                <w:szCs w:val="23"/>
                <w:color w:val="auto"/>
              </w:rPr>
            </w:pPr>
          </w:p>
        </w:tc>
        <w:tc>
          <w:tcPr>
            <w:tcW w:w="13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0.2</w:t>
            </w:r>
          </w:p>
        </w:tc>
      </w:tr>
      <w:tr>
        <w:trPr>
          <w:trHeight w:val="265"/>
        </w:trPr>
        <w:tc>
          <w:tcPr>
            <w:tcW w:w="7180" w:type="dxa"/>
            <w:vAlign w:val="bottom"/>
            <w:tcBorders>
              <w:bottom w:val="single" w:sz="8" w:color="DCE2EF"/>
            </w:tcBorders>
            <w:gridSpan w:val="3"/>
          </w:tcPr>
          <w:p>
            <w:pPr>
              <w:ind w:left="40"/>
              <w:spacing w:after="0"/>
              <w:rPr>
                <w:sz w:val="20"/>
                <w:szCs w:val="20"/>
                <w:color w:val="auto"/>
              </w:rPr>
            </w:pPr>
            <w:r>
              <w:rPr>
                <w:rFonts w:ascii="Arial" w:cs="Arial" w:eastAsia="Arial" w:hAnsi="Arial"/>
                <w:sz w:val="18"/>
                <w:szCs w:val="18"/>
                <w:color w:val="auto"/>
              </w:rPr>
              <w:t>Computer equipment and software</w:t>
            </w:r>
          </w:p>
        </w:tc>
        <w:tc>
          <w:tcPr>
            <w:tcW w:w="48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DCE2EF"/>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0.9</w:t>
            </w:r>
          </w:p>
        </w:tc>
      </w:tr>
      <w:tr>
        <w:trPr>
          <w:trHeight w:val="255"/>
        </w:trPr>
        <w:tc>
          <w:tcPr>
            <w:tcW w:w="40" w:type="dxa"/>
            <w:vAlign w:val="bottom"/>
            <w:shd w:val="clear" w:color="auto" w:fill="DCE2EF"/>
          </w:tcPr>
          <w:p>
            <w:pPr>
              <w:spacing w:after="0"/>
              <w:rPr>
                <w:sz w:val="22"/>
                <w:szCs w:val="22"/>
                <w:color w:val="auto"/>
              </w:rPr>
            </w:pPr>
          </w:p>
        </w:tc>
        <w:tc>
          <w:tcPr>
            <w:tcW w:w="700" w:type="dxa"/>
            <w:vAlign w:val="bottom"/>
            <w:shd w:val="clear" w:color="auto" w:fill="DCE2EF"/>
          </w:tcPr>
          <w:p>
            <w:pPr>
              <w:spacing w:after="0"/>
              <w:rPr>
                <w:sz w:val="22"/>
                <w:szCs w:val="22"/>
                <w:color w:val="auto"/>
              </w:rPr>
            </w:pPr>
          </w:p>
        </w:tc>
        <w:tc>
          <w:tcPr>
            <w:tcW w:w="6440" w:type="dxa"/>
            <w:vAlign w:val="bottom"/>
            <w:shd w:val="clear" w:color="auto" w:fill="DCE2EF"/>
          </w:tcPr>
          <w:p>
            <w:pPr>
              <w:spacing w:after="0"/>
              <w:rPr>
                <w:sz w:val="22"/>
                <w:szCs w:val="22"/>
                <w:color w:val="auto"/>
              </w:rPr>
            </w:pPr>
          </w:p>
        </w:tc>
        <w:tc>
          <w:tcPr>
            <w:tcW w:w="480" w:type="dxa"/>
            <w:vAlign w:val="bottom"/>
            <w:shd w:val="clear" w:color="auto" w:fill="DCE2EF"/>
          </w:tcPr>
          <w:p>
            <w:pPr>
              <w:spacing w:after="0"/>
              <w:rPr>
                <w:sz w:val="22"/>
                <w:szCs w:val="22"/>
                <w:color w:val="auto"/>
              </w:rPr>
            </w:pPr>
          </w:p>
        </w:tc>
        <w:tc>
          <w:tcPr>
            <w:tcW w:w="15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DCE2EF"/>
          </w:tcPr>
          <w:p>
            <w:pPr>
              <w:spacing w:after="0"/>
              <w:rPr>
                <w:sz w:val="22"/>
                <w:szCs w:val="22"/>
                <w:color w:val="auto"/>
              </w:rPr>
            </w:pPr>
          </w:p>
        </w:tc>
        <w:tc>
          <w:tcPr>
            <w:tcW w:w="760" w:type="dxa"/>
            <w:vAlign w:val="bottom"/>
            <w:shd w:val="clear" w:color="auto" w:fill="DCE2EF"/>
          </w:tcPr>
          <w:p>
            <w:pPr>
              <w:spacing w:after="0"/>
              <w:rPr>
                <w:sz w:val="22"/>
                <w:szCs w:val="22"/>
                <w:color w:val="auto"/>
              </w:rPr>
            </w:pPr>
          </w:p>
        </w:tc>
        <w:tc>
          <w:tcPr>
            <w:tcW w:w="13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22.1</w:t>
            </w:r>
          </w:p>
        </w:tc>
      </w:tr>
      <w:tr>
        <w:trPr>
          <w:trHeight w:val="265"/>
        </w:trPr>
        <w:tc>
          <w:tcPr>
            <w:tcW w:w="7180" w:type="dxa"/>
            <w:vAlign w:val="bottom"/>
            <w:tcBorders>
              <w:bottom w:val="single" w:sz="8" w:color="DCE2EF"/>
            </w:tcBorders>
            <w:gridSpan w:val="3"/>
          </w:tcPr>
          <w:p>
            <w:pPr>
              <w:ind w:left="40"/>
              <w:spacing w:after="0"/>
              <w:rPr>
                <w:sz w:val="20"/>
                <w:szCs w:val="20"/>
                <w:color w:val="auto"/>
              </w:rPr>
            </w:pPr>
            <w:r>
              <w:rPr>
                <w:rFonts w:ascii="Arial" w:cs="Arial" w:eastAsia="Arial" w:hAnsi="Arial"/>
                <w:sz w:val="18"/>
                <w:szCs w:val="18"/>
                <w:color w:val="auto"/>
              </w:rPr>
              <w:t>Less: Accumulated depreciation</w:t>
            </w:r>
          </w:p>
        </w:tc>
        <w:tc>
          <w:tcPr>
            <w:tcW w:w="48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DCE2EF"/>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w:t>
            </w:r>
          </w:p>
        </w:tc>
      </w:tr>
      <w:tr>
        <w:trPr>
          <w:trHeight w:val="250"/>
        </w:trPr>
        <w:tc>
          <w:tcPr>
            <w:tcW w:w="7180" w:type="dxa"/>
            <w:vAlign w:val="bottom"/>
            <w:tcBorders>
              <w:bottom w:val="single" w:sz="8" w:color="DCE2EF"/>
            </w:tcBorders>
            <w:gridSpan w:val="3"/>
            <w:shd w:val="clear" w:color="auto" w:fill="DCE2EF"/>
          </w:tcPr>
          <w:p>
            <w:pPr>
              <w:ind w:left="40"/>
              <w:spacing w:after="0"/>
              <w:rPr>
                <w:sz w:val="20"/>
                <w:szCs w:val="20"/>
                <w:color w:val="auto"/>
              </w:rPr>
            </w:pPr>
            <w:r>
              <w:rPr>
                <w:rFonts w:ascii="Arial" w:cs="Arial" w:eastAsia="Arial" w:hAnsi="Arial"/>
                <w:sz w:val="18"/>
                <w:szCs w:val="18"/>
                <w:b w:val="1"/>
                <w:bCs w:val="1"/>
                <w:color w:val="auto"/>
              </w:rPr>
              <w:t>Total</w:t>
            </w:r>
          </w:p>
        </w:tc>
        <w:tc>
          <w:tcPr>
            <w:tcW w:w="480" w:type="dxa"/>
            <w:vAlign w:val="bottom"/>
            <w:tcBorders>
              <w:bottom w:val="single" w:sz="8" w:color="auto"/>
            </w:tcBorders>
            <w:shd w:val="clear" w:color="auto" w:fill="DCE2E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DCE2EF"/>
            </w:tcBorders>
            <w:shd w:val="clear" w:color="auto" w:fill="DCE2EF"/>
          </w:tcPr>
          <w:p>
            <w:pPr>
              <w:spacing w:after="0"/>
              <w:rPr>
                <w:sz w:val="21"/>
                <w:szCs w:val="21"/>
                <w:color w:val="auto"/>
              </w:rPr>
            </w:pPr>
          </w:p>
        </w:tc>
        <w:tc>
          <w:tcPr>
            <w:tcW w:w="760" w:type="dxa"/>
            <w:vAlign w:val="bottom"/>
            <w:tcBorders>
              <w:bottom w:val="single" w:sz="8" w:color="auto"/>
            </w:tcBorders>
            <w:shd w:val="clear" w:color="auto" w:fill="DCE2EF"/>
          </w:tcPr>
          <w:p>
            <w:pPr>
              <w:jc w:val="right"/>
              <w:ind w:right="5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12.9</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11. GOODWILL AND OTHER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Goodwill</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Business &amp;</w:t>
            </w:r>
          </w:p>
        </w:tc>
        <w:tc>
          <w:tcPr>
            <w:tcW w:w="160" w:type="dxa"/>
            <w:vAlign w:val="bottom"/>
          </w:tcPr>
          <w:p>
            <w:pPr>
              <w:spacing w:after="0"/>
              <w:rPr>
                <w:sz w:val="16"/>
                <w:szCs w:val="16"/>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Aviation</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Technology &amp;</w:t>
            </w:r>
          </w:p>
        </w:tc>
        <w:tc>
          <w:tcPr>
            <w:tcW w:w="160" w:type="dxa"/>
            <w:vAlign w:val="bottom"/>
          </w:tcPr>
          <w:p>
            <w:pPr>
              <w:spacing w:after="0"/>
              <w:rPr>
                <w:sz w:val="16"/>
                <w:szCs w:val="16"/>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Education</w:t>
            </w:r>
          </w:p>
        </w:tc>
        <w:tc>
          <w:tcPr>
            <w:tcW w:w="18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Technical</w:t>
            </w:r>
          </w:p>
        </w:tc>
        <w:tc>
          <w:tcPr>
            <w:tcW w:w="140" w:type="dxa"/>
            <w:vAlign w:val="bottom"/>
          </w:tcPr>
          <w:p>
            <w:pPr>
              <w:spacing w:after="0"/>
              <w:rPr>
                <w:sz w:val="16"/>
                <w:szCs w:val="16"/>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Healthcare</w:t>
            </w:r>
          </w:p>
        </w:tc>
        <w:tc>
          <w:tcPr>
            <w:tcW w:w="220" w:type="dxa"/>
            <w:vAlign w:val="bottom"/>
          </w:tcPr>
          <w:p>
            <w:pPr>
              <w:spacing w:after="0"/>
              <w:rPr>
                <w:sz w:val="16"/>
                <w:szCs w:val="16"/>
                <w:color w:val="auto"/>
              </w:rPr>
            </w:pPr>
          </w:p>
        </w:tc>
        <w:tc>
          <w:tcPr>
            <w:tcW w:w="80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9"/>
        </w:trPr>
        <w:tc>
          <w:tcPr>
            <w:tcW w:w="252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Pr>
          <w:p>
            <w:pPr>
              <w:spacing w:after="0"/>
              <w:rPr>
                <w:sz w:val="15"/>
                <w:szCs w:val="15"/>
                <w:color w:val="auto"/>
              </w:rPr>
            </w:pPr>
          </w:p>
        </w:tc>
        <w:tc>
          <w:tcPr>
            <w:tcW w:w="1260" w:type="dxa"/>
            <w:vAlign w:val="bottom"/>
            <w:gridSpan w:val="2"/>
          </w:tcPr>
          <w:p>
            <w:pPr>
              <w:jc w:val="center"/>
              <w:ind w:right="280"/>
              <w:spacing w:after="0" w:line="179" w:lineRule="exact"/>
              <w:rPr>
                <w:sz w:val="20"/>
                <w:szCs w:val="20"/>
                <w:color w:val="auto"/>
              </w:rPr>
            </w:pPr>
            <w:r>
              <w:rPr>
                <w:rFonts w:ascii="Arial" w:cs="Arial" w:eastAsia="Arial" w:hAnsi="Arial"/>
                <w:sz w:val="16"/>
                <w:szCs w:val="16"/>
                <w:b w:val="1"/>
                <w:bCs w:val="1"/>
                <w:color w:val="auto"/>
                <w:w w:val="98"/>
              </w:rPr>
              <w:t>Industry</w:t>
            </w:r>
          </w:p>
        </w:tc>
        <w:tc>
          <w:tcPr>
            <w:tcW w:w="1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260"/>
              <w:spacing w:after="0" w:line="179" w:lineRule="exact"/>
              <w:rPr>
                <w:sz w:val="20"/>
                <w:szCs w:val="20"/>
                <w:color w:val="auto"/>
              </w:rPr>
            </w:pPr>
            <w:r>
              <w:rPr>
                <w:rFonts w:ascii="Arial" w:cs="Arial" w:eastAsia="Arial" w:hAnsi="Arial"/>
                <w:sz w:val="16"/>
                <w:szCs w:val="16"/>
                <w:b w:val="1"/>
                <w:bCs w:val="1"/>
                <w:color w:val="auto"/>
                <w:w w:val="97"/>
              </w:rPr>
              <w:t>Manufacturing</w:t>
            </w:r>
          </w:p>
        </w:tc>
        <w:tc>
          <w:tcPr>
            <w:tcW w:w="1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ind w:left="40"/>
              <w:spacing w:after="0" w:line="179" w:lineRule="exact"/>
              <w:rPr>
                <w:sz w:val="20"/>
                <w:szCs w:val="20"/>
                <w:color w:val="auto"/>
              </w:rPr>
            </w:pPr>
            <w:r>
              <w:rPr>
                <w:rFonts w:ascii="Arial" w:cs="Arial" w:eastAsia="Arial" w:hAnsi="Arial"/>
                <w:sz w:val="16"/>
                <w:szCs w:val="16"/>
                <w:b w:val="1"/>
                <w:bCs w:val="1"/>
                <w:color w:val="auto"/>
              </w:rPr>
              <w:t>Solutions</w:t>
            </w:r>
          </w:p>
        </w:tc>
        <w:tc>
          <w:tcPr>
            <w:tcW w:w="1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178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520" w:type="dxa"/>
            <w:vAlign w:val="bottom"/>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Balance at October 31, 2017</w:t>
            </w:r>
          </w:p>
        </w:tc>
        <w:tc>
          <w:tcPr>
            <w:tcW w:w="1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529.9</w:t>
            </w:r>
          </w:p>
        </w:tc>
        <w:tc>
          <w:tcPr>
            <w:tcW w:w="120" w:type="dxa"/>
            <w:vAlign w:val="bottom"/>
            <w:shd w:val="clear" w:color="auto" w:fill="DCE2EF"/>
          </w:tcPr>
          <w:p>
            <w:pPr>
              <w:spacing w:after="0"/>
              <w:rPr>
                <w:sz w:val="21"/>
                <w:szCs w:val="21"/>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124.8</w:t>
            </w:r>
          </w:p>
        </w:tc>
        <w:tc>
          <w:tcPr>
            <w:tcW w:w="100" w:type="dxa"/>
            <w:vAlign w:val="bottom"/>
            <w:shd w:val="clear" w:color="auto" w:fill="DCE2EF"/>
          </w:tcPr>
          <w:p>
            <w:pPr>
              <w:spacing w:after="0"/>
              <w:rPr>
                <w:sz w:val="21"/>
                <w:szCs w:val="21"/>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409.3</w:t>
            </w:r>
          </w:p>
        </w:tc>
        <w:tc>
          <w:tcPr>
            <w:tcW w:w="100" w:type="dxa"/>
            <w:vAlign w:val="bottom"/>
            <w:shd w:val="clear" w:color="auto" w:fill="DCE2EF"/>
          </w:tcPr>
          <w:p>
            <w:pPr>
              <w:spacing w:after="0"/>
              <w:rPr>
                <w:sz w:val="21"/>
                <w:szCs w:val="21"/>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561.3</w:t>
            </w:r>
          </w:p>
        </w:tc>
        <w:tc>
          <w:tcPr>
            <w:tcW w:w="100" w:type="dxa"/>
            <w:vAlign w:val="bottom"/>
            <w:shd w:val="clear" w:color="auto" w:fill="DCE2EF"/>
          </w:tcPr>
          <w:p>
            <w:pPr>
              <w:spacing w:after="0"/>
              <w:rPr>
                <w:sz w:val="21"/>
                <w:szCs w:val="21"/>
                <w:color w:val="auto"/>
              </w:rPr>
            </w:pPr>
          </w:p>
        </w:tc>
        <w:tc>
          <w:tcPr>
            <w:tcW w:w="1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180.0</w:t>
            </w:r>
          </w:p>
        </w:tc>
        <w:tc>
          <w:tcPr>
            <w:tcW w:w="120" w:type="dxa"/>
            <w:vAlign w:val="bottom"/>
            <w:shd w:val="clear" w:color="auto" w:fill="DCE2EF"/>
          </w:tcPr>
          <w:p>
            <w:pPr>
              <w:spacing w:after="0"/>
              <w:rPr>
                <w:sz w:val="21"/>
                <w:szCs w:val="21"/>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58.9</w:t>
            </w:r>
          </w:p>
        </w:tc>
        <w:tc>
          <w:tcPr>
            <w:tcW w:w="120" w:type="dxa"/>
            <w:vAlign w:val="bottom"/>
            <w:shd w:val="clear" w:color="auto" w:fill="DCE2EF"/>
          </w:tcPr>
          <w:p>
            <w:pPr>
              <w:spacing w:after="0"/>
              <w:rPr>
                <w:sz w:val="21"/>
                <w:szCs w:val="21"/>
                <w:color w:val="auto"/>
              </w:rPr>
            </w:pPr>
          </w:p>
        </w:tc>
        <w:tc>
          <w:tcPr>
            <w:tcW w:w="2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1,864.2</w:t>
            </w:r>
          </w:p>
        </w:tc>
        <w:tc>
          <w:tcPr>
            <w:tcW w:w="0" w:type="dxa"/>
            <w:vAlign w:val="bottom"/>
          </w:tcPr>
          <w:p>
            <w:pPr>
              <w:spacing w:after="0"/>
              <w:rPr>
                <w:sz w:val="1"/>
                <w:szCs w:val="1"/>
                <w:color w:val="auto"/>
              </w:rPr>
            </w:pPr>
          </w:p>
        </w:tc>
      </w:tr>
      <w:tr>
        <w:trPr>
          <w:trHeight w:val="262"/>
        </w:trPr>
        <w:tc>
          <w:tcPr>
            <w:tcW w:w="2520" w:type="dxa"/>
            <w:vAlign w:val="bottom"/>
            <w:gridSpan w:val="3"/>
          </w:tcPr>
          <w:p>
            <w:pPr>
              <w:ind w:left="40"/>
              <w:spacing w:after="0"/>
              <w:rPr>
                <w:sz w:val="20"/>
                <w:szCs w:val="20"/>
                <w:color w:val="auto"/>
              </w:rPr>
            </w:pPr>
            <w:r>
              <w:rPr>
                <w:rFonts w:ascii="Arial" w:cs="Arial" w:eastAsia="Arial" w:hAnsi="Arial"/>
                <w:sz w:val="16"/>
                <w:szCs w:val="16"/>
                <w:color w:val="auto"/>
              </w:rPr>
              <w:t>Purchase price adjustments</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78"/>
        </w:trPr>
        <w:tc>
          <w:tcPr>
            <w:tcW w:w="252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Foreign currency translation</w:t>
            </w:r>
          </w:p>
        </w:tc>
        <w:tc>
          <w:tcPr>
            <w:tcW w:w="160" w:type="dxa"/>
            <w:vAlign w:val="bottom"/>
            <w:shd w:val="clear" w:color="auto" w:fill="DCE2EF"/>
          </w:tcPr>
          <w:p>
            <w:pPr>
              <w:spacing w:after="0"/>
              <w:rPr>
                <w:sz w:val="24"/>
                <w:szCs w:val="24"/>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8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1420" w:type="dxa"/>
            <w:vAlign w:val="bottom"/>
            <w:gridSpan w:val="2"/>
            <w:shd w:val="clear" w:color="auto" w:fill="DCE2E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DCE2EF"/>
          </w:tcPr>
          <w:p>
            <w:pPr>
              <w:spacing w:after="0"/>
              <w:rPr>
                <w:sz w:val="24"/>
                <w:szCs w:val="24"/>
                <w:color w:val="auto"/>
              </w:rPr>
            </w:pPr>
          </w:p>
        </w:tc>
        <w:tc>
          <w:tcPr>
            <w:tcW w:w="1080" w:type="dxa"/>
            <w:vAlign w:val="bottom"/>
            <w:gridSpan w:val="2"/>
            <w:shd w:val="clear" w:color="auto" w:fill="DCE2E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DCE2EF"/>
          </w:tcPr>
          <w:p>
            <w:pPr>
              <w:spacing w:after="0"/>
              <w:rPr>
                <w:sz w:val="24"/>
                <w:szCs w:val="24"/>
                <w:color w:val="auto"/>
              </w:rPr>
            </w:pPr>
          </w:p>
        </w:tc>
        <w:tc>
          <w:tcPr>
            <w:tcW w:w="9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DCE2EF"/>
          </w:tcPr>
          <w:p>
            <w:pPr>
              <w:spacing w:after="0"/>
              <w:rPr>
                <w:sz w:val="24"/>
                <w:szCs w:val="24"/>
                <w:color w:val="auto"/>
              </w:rPr>
            </w:pPr>
          </w:p>
        </w:tc>
        <w:tc>
          <w:tcPr>
            <w:tcW w:w="140" w:type="dxa"/>
            <w:vAlign w:val="bottom"/>
            <w:shd w:val="clear" w:color="auto" w:fill="DCE2EF"/>
          </w:tcPr>
          <w:p>
            <w:pPr>
              <w:spacing w:after="0"/>
              <w:rPr>
                <w:sz w:val="24"/>
                <w:szCs w:val="24"/>
                <w:color w:val="auto"/>
              </w:rPr>
            </w:pPr>
          </w:p>
        </w:tc>
        <w:tc>
          <w:tcPr>
            <w:tcW w:w="110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DCE2EF"/>
          </w:tcPr>
          <w:p>
            <w:pPr>
              <w:spacing w:after="0"/>
              <w:rPr>
                <w:sz w:val="24"/>
                <w:szCs w:val="24"/>
                <w:color w:val="auto"/>
              </w:rPr>
            </w:pPr>
          </w:p>
        </w:tc>
        <w:tc>
          <w:tcPr>
            <w:tcW w:w="8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70"/>
        </w:trPr>
        <w:tc>
          <w:tcPr>
            <w:tcW w:w="2520" w:type="dxa"/>
            <w:vAlign w:val="bottom"/>
            <w:gridSpan w:val="3"/>
          </w:tcPr>
          <w:p>
            <w:pPr>
              <w:ind w:left="40"/>
              <w:spacing w:after="0"/>
              <w:rPr>
                <w:sz w:val="20"/>
                <w:szCs w:val="20"/>
                <w:color w:val="auto"/>
              </w:rPr>
            </w:pPr>
            <w:r>
              <w:rPr>
                <w:rFonts w:ascii="Arial" w:cs="Arial" w:eastAsia="Arial" w:hAnsi="Arial"/>
                <w:sz w:val="16"/>
                <w:szCs w:val="16"/>
                <w:color w:val="auto"/>
              </w:rPr>
              <w:t>Impairment loss</w:t>
            </w:r>
            <w:r>
              <w:rPr>
                <w:rFonts w:ascii="Arial" w:cs="Arial" w:eastAsia="Arial" w:hAnsi="Arial"/>
                <w:sz w:val="21"/>
                <w:szCs w:val="21"/>
                <w:color w:val="auto"/>
                <w:vertAlign w:val="superscript"/>
              </w:rPr>
              <w:t>(1)</w:t>
            </w:r>
          </w:p>
        </w:tc>
        <w:tc>
          <w:tcPr>
            <w:tcW w:w="1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37"/>
        </w:trPr>
        <w:tc>
          <w:tcPr>
            <w:tcW w:w="2520" w:type="dxa"/>
            <w:vAlign w:val="bottom"/>
            <w:tcBorders>
              <w:top w:val="single" w:sz="8" w:color="DCE2EF"/>
              <w:bottom w:val="single" w:sz="8" w:color="DCE2EF"/>
            </w:tcBorders>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Balance at October 31, 2018</w:t>
            </w:r>
          </w:p>
        </w:tc>
        <w:tc>
          <w:tcPr>
            <w:tcW w:w="16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rPr>
              <w:t>527.9</w:t>
            </w:r>
          </w:p>
        </w:tc>
        <w:tc>
          <w:tcPr>
            <w:tcW w:w="120" w:type="dxa"/>
            <w:vAlign w:val="bottom"/>
            <w:tcBorders>
              <w:top w:val="single" w:sz="8" w:color="DCE2EF"/>
              <w:bottom w:val="single" w:sz="8" w:color="DCE2EF"/>
            </w:tcBorders>
            <w:shd w:val="clear" w:color="auto" w:fill="DCE2EF"/>
          </w:tcPr>
          <w:p>
            <w:pPr>
              <w:spacing w:after="0"/>
              <w:rPr>
                <w:sz w:val="20"/>
                <w:szCs w:val="20"/>
                <w:color w:val="auto"/>
              </w:rPr>
            </w:pPr>
          </w:p>
        </w:tc>
        <w:tc>
          <w:tcPr>
            <w:tcW w:w="16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124.9</w:t>
            </w:r>
          </w:p>
        </w:tc>
        <w:tc>
          <w:tcPr>
            <w:tcW w:w="100" w:type="dxa"/>
            <w:vAlign w:val="bottom"/>
            <w:tcBorders>
              <w:top w:val="single" w:sz="8" w:color="DCE2EF"/>
              <w:bottom w:val="single" w:sz="8" w:color="DCE2EF"/>
            </w:tcBorders>
            <w:shd w:val="clear" w:color="auto" w:fill="DCE2EF"/>
          </w:tcPr>
          <w:p>
            <w:pPr>
              <w:spacing w:after="0"/>
              <w:rPr>
                <w:sz w:val="20"/>
                <w:szCs w:val="20"/>
                <w:color w:val="auto"/>
              </w:rPr>
            </w:pPr>
          </w:p>
        </w:tc>
        <w:tc>
          <w:tcPr>
            <w:tcW w:w="16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407.2</w:t>
            </w:r>
          </w:p>
        </w:tc>
        <w:tc>
          <w:tcPr>
            <w:tcW w:w="100" w:type="dxa"/>
            <w:vAlign w:val="bottom"/>
            <w:tcBorders>
              <w:top w:val="single" w:sz="8" w:color="DCE2EF"/>
              <w:bottom w:val="single" w:sz="8" w:color="DCE2EF"/>
            </w:tcBorders>
            <w:shd w:val="clear" w:color="auto" w:fill="DCE2EF"/>
          </w:tcPr>
          <w:p>
            <w:pPr>
              <w:spacing w:after="0"/>
              <w:rPr>
                <w:sz w:val="20"/>
                <w:szCs w:val="20"/>
                <w:color w:val="auto"/>
              </w:rPr>
            </w:pPr>
          </w:p>
        </w:tc>
        <w:tc>
          <w:tcPr>
            <w:tcW w:w="16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557.4</w:t>
            </w:r>
          </w:p>
        </w:tc>
        <w:tc>
          <w:tcPr>
            <w:tcW w:w="100" w:type="dxa"/>
            <w:vAlign w:val="bottom"/>
            <w:tcBorders>
              <w:top w:val="single" w:sz="8" w:color="DCE2EF"/>
              <w:bottom w:val="single" w:sz="8" w:color="DCE2EF"/>
            </w:tcBorders>
            <w:shd w:val="clear" w:color="auto" w:fill="DCE2EF"/>
          </w:tcPr>
          <w:p>
            <w:pPr>
              <w:spacing w:after="0"/>
              <w:rPr>
                <w:sz w:val="20"/>
                <w:szCs w:val="20"/>
                <w:color w:val="auto"/>
              </w:rPr>
            </w:pPr>
          </w:p>
        </w:tc>
        <w:tc>
          <w:tcPr>
            <w:tcW w:w="18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158.7</w:t>
            </w:r>
          </w:p>
        </w:tc>
        <w:tc>
          <w:tcPr>
            <w:tcW w:w="120" w:type="dxa"/>
            <w:vAlign w:val="bottom"/>
            <w:tcBorders>
              <w:top w:val="single" w:sz="8" w:color="DCE2EF"/>
              <w:bottom w:val="single" w:sz="8" w:color="DCE2EF"/>
            </w:tcBorders>
            <w:shd w:val="clear" w:color="auto" w:fill="DCE2EF"/>
          </w:tcPr>
          <w:p>
            <w:pPr>
              <w:spacing w:after="0"/>
              <w:rPr>
                <w:sz w:val="20"/>
                <w:szCs w:val="20"/>
                <w:color w:val="auto"/>
              </w:rPr>
            </w:pPr>
          </w:p>
        </w:tc>
        <w:tc>
          <w:tcPr>
            <w:tcW w:w="14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58.7</w:t>
            </w:r>
          </w:p>
        </w:tc>
        <w:tc>
          <w:tcPr>
            <w:tcW w:w="120" w:type="dxa"/>
            <w:vAlign w:val="bottom"/>
            <w:tcBorders>
              <w:top w:val="single" w:sz="8" w:color="DCE2EF"/>
              <w:bottom w:val="single" w:sz="8" w:color="DCE2EF"/>
            </w:tcBorders>
            <w:shd w:val="clear" w:color="auto" w:fill="DCE2EF"/>
          </w:tcPr>
          <w:p>
            <w:pPr>
              <w:spacing w:after="0"/>
              <w:rPr>
                <w:sz w:val="20"/>
                <w:szCs w:val="20"/>
                <w:color w:val="auto"/>
              </w:rPr>
            </w:pPr>
          </w:p>
        </w:tc>
        <w:tc>
          <w:tcPr>
            <w:tcW w:w="220" w:type="dxa"/>
            <w:vAlign w:val="bottom"/>
            <w:tcBorders>
              <w:top w:val="single" w:sz="8" w:color="auto"/>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1,834.8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520" w:type="dxa"/>
            <w:vAlign w:val="bottom"/>
            <w:gridSpan w:val="3"/>
          </w:tcPr>
          <w:p>
            <w:pPr>
              <w:ind w:left="40"/>
              <w:spacing w:after="0" w:line="224" w:lineRule="exact"/>
              <w:rPr>
                <w:sz w:val="20"/>
                <w:szCs w:val="20"/>
                <w:color w:val="auto"/>
              </w:rPr>
            </w:pPr>
            <w:r>
              <w:rPr>
                <w:rFonts w:ascii="Arial" w:cs="Arial" w:eastAsia="Arial" w:hAnsi="Arial"/>
                <w:sz w:val="16"/>
                <w:szCs w:val="16"/>
                <w:color w:val="auto"/>
              </w:rPr>
              <w:t>Reallocation</w:t>
            </w:r>
            <w:r>
              <w:rPr>
                <w:rFonts w:ascii="Arial" w:cs="Arial" w:eastAsia="Arial" w:hAnsi="Arial"/>
                <w:sz w:val="21"/>
                <w:szCs w:val="21"/>
                <w:color w:val="auto"/>
                <w:vertAlign w:val="superscript"/>
              </w:rPr>
              <w:t>(2)</w:t>
            </w:r>
          </w:p>
        </w:tc>
        <w:tc>
          <w:tcPr>
            <w:tcW w:w="16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(58.7)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252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Foreign currency translation</w:t>
            </w:r>
          </w:p>
        </w:tc>
        <w:tc>
          <w:tcPr>
            <w:tcW w:w="160" w:type="dxa"/>
            <w:vAlign w:val="bottom"/>
            <w:tcBorders>
              <w:bottom w:val="single" w:sz="8" w:color="auto"/>
            </w:tcBorders>
            <w:shd w:val="clear" w:color="auto" w:fill="DCE2EF"/>
          </w:tcPr>
          <w:p>
            <w:pPr>
              <w:spacing w:after="0"/>
              <w:rPr>
                <w:sz w:val="22"/>
                <w:szCs w:val="22"/>
                <w:color w:val="auto"/>
              </w:rPr>
            </w:pPr>
          </w:p>
        </w:tc>
        <w:tc>
          <w:tcPr>
            <w:tcW w:w="1140" w:type="dxa"/>
            <w:vAlign w:val="bottom"/>
            <w:tcBorders>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shd w:val="clear" w:color="auto" w:fill="DCE2EF"/>
          </w:tcPr>
          <w:p>
            <w:pPr>
              <w:spacing w:after="0"/>
              <w:rPr>
                <w:sz w:val="22"/>
                <w:szCs w:val="22"/>
                <w:color w:val="auto"/>
              </w:rPr>
            </w:pPr>
          </w:p>
        </w:tc>
        <w:tc>
          <w:tcPr>
            <w:tcW w:w="160" w:type="dxa"/>
            <w:vAlign w:val="bottom"/>
            <w:tcBorders>
              <w:bottom w:val="single" w:sz="8" w:color="auto"/>
            </w:tcBorders>
            <w:shd w:val="clear" w:color="auto" w:fill="DCE2EF"/>
          </w:tcPr>
          <w:p>
            <w:pPr>
              <w:spacing w:after="0"/>
              <w:rPr>
                <w:sz w:val="22"/>
                <w:szCs w:val="22"/>
                <w:color w:val="auto"/>
              </w:rPr>
            </w:pPr>
          </w:p>
        </w:tc>
        <w:tc>
          <w:tcPr>
            <w:tcW w:w="88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0.1</w:t>
            </w:r>
          </w:p>
        </w:tc>
        <w:tc>
          <w:tcPr>
            <w:tcW w:w="100" w:type="dxa"/>
            <w:vAlign w:val="bottom"/>
            <w:shd w:val="clear" w:color="auto" w:fill="DCE2EF"/>
          </w:tcPr>
          <w:p>
            <w:pPr>
              <w:spacing w:after="0"/>
              <w:rPr>
                <w:sz w:val="22"/>
                <w:szCs w:val="22"/>
                <w:color w:val="auto"/>
              </w:rPr>
            </w:pPr>
          </w:p>
        </w:tc>
        <w:tc>
          <w:tcPr>
            <w:tcW w:w="160" w:type="dxa"/>
            <w:vAlign w:val="bottom"/>
            <w:tcBorders>
              <w:bottom w:val="single" w:sz="8" w:color="auto"/>
            </w:tcBorders>
            <w:shd w:val="clear" w:color="auto" w:fill="DCE2EF"/>
          </w:tcPr>
          <w:p>
            <w:pPr>
              <w:spacing w:after="0"/>
              <w:rPr>
                <w:sz w:val="22"/>
                <w:szCs w:val="22"/>
                <w:color w:val="auto"/>
              </w:rPr>
            </w:pPr>
          </w:p>
        </w:tc>
        <w:tc>
          <w:tcPr>
            <w:tcW w:w="132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DCE2EF"/>
          </w:tcPr>
          <w:p>
            <w:pPr>
              <w:spacing w:after="0"/>
              <w:rPr>
                <w:sz w:val="22"/>
                <w:szCs w:val="22"/>
                <w:color w:val="auto"/>
              </w:rPr>
            </w:pPr>
          </w:p>
        </w:tc>
        <w:tc>
          <w:tcPr>
            <w:tcW w:w="160" w:type="dxa"/>
            <w:vAlign w:val="bottom"/>
            <w:tcBorders>
              <w:bottom w:val="single" w:sz="8" w:color="auto"/>
            </w:tcBorders>
            <w:shd w:val="clear" w:color="auto" w:fill="DCE2EF"/>
          </w:tcPr>
          <w:p>
            <w:pPr>
              <w:spacing w:after="0"/>
              <w:rPr>
                <w:sz w:val="22"/>
                <w:szCs w:val="22"/>
                <w:color w:val="auto"/>
              </w:rPr>
            </w:pPr>
          </w:p>
        </w:tc>
        <w:tc>
          <w:tcPr>
            <w:tcW w:w="98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DCE2EF"/>
          </w:tcPr>
          <w:p>
            <w:pPr>
              <w:spacing w:after="0"/>
              <w:rPr>
                <w:sz w:val="22"/>
                <w:szCs w:val="22"/>
                <w:color w:val="auto"/>
              </w:rPr>
            </w:pPr>
          </w:p>
        </w:tc>
        <w:tc>
          <w:tcPr>
            <w:tcW w:w="180" w:type="dxa"/>
            <w:vAlign w:val="bottom"/>
            <w:tcBorders>
              <w:bottom w:val="single" w:sz="8" w:color="auto"/>
            </w:tcBorders>
            <w:shd w:val="clear" w:color="auto" w:fill="DCE2EF"/>
          </w:tcPr>
          <w:p>
            <w:pPr>
              <w:spacing w:after="0"/>
              <w:rPr>
                <w:sz w:val="22"/>
                <w:szCs w:val="22"/>
                <w:color w:val="auto"/>
              </w:rPr>
            </w:pPr>
          </w:p>
        </w:tc>
        <w:tc>
          <w:tcPr>
            <w:tcW w:w="96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0.3</w:t>
            </w:r>
          </w:p>
        </w:tc>
        <w:tc>
          <w:tcPr>
            <w:tcW w:w="120" w:type="dxa"/>
            <w:vAlign w:val="bottom"/>
            <w:shd w:val="clear" w:color="auto" w:fill="DCE2EF"/>
          </w:tcPr>
          <w:p>
            <w:pPr>
              <w:spacing w:after="0"/>
              <w:rPr>
                <w:sz w:val="22"/>
                <w:szCs w:val="22"/>
                <w:color w:val="auto"/>
              </w:rPr>
            </w:pPr>
          </w:p>
        </w:tc>
        <w:tc>
          <w:tcPr>
            <w:tcW w:w="140" w:type="dxa"/>
            <w:vAlign w:val="bottom"/>
            <w:tcBorders>
              <w:bottom w:val="single" w:sz="8" w:color="auto"/>
            </w:tcBorders>
            <w:shd w:val="clear" w:color="auto" w:fill="DCE2EF"/>
          </w:tcPr>
          <w:p>
            <w:pPr>
              <w:spacing w:after="0"/>
              <w:rPr>
                <w:sz w:val="22"/>
                <w:szCs w:val="22"/>
                <w:color w:val="auto"/>
              </w:rPr>
            </w:pPr>
          </w:p>
        </w:tc>
        <w:tc>
          <w:tcPr>
            <w:tcW w:w="98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DCE2EF"/>
          </w:tcPr>
          <w:p>
            <w:pPr>
              <w:spacing w:after="0"/>
              <w:rPr>
                <w:sz w:val="22"/>
                <w:szCs w:val="22"/>
                <w:color w:val="auto"/>
              </w:rPr>
            </w:pPr>
          </w:p>
        </w:tc>
        <w:tc>
          <w:tcPr>
            <w:tcW w:w="220" w:type="dxa"/>
            <w:vAlign w:val="bottom"/>
            <w:tcBorders>
              <w:bottom w:val="single" w:sz="8" w:color="auto"/>
            </w:tcBorders>
            <w:shd w:val="clear" w:color="auto" w:fill="DCE2EF"/>
          </w:tcPr>
          <w:p>
            <w:pPr>
              <w:spacing w:after="0"/>
              <w:rPr>
                <w:sz w:val="22"/>
                <w:szCs w:val="22"/>
                <w:color w:val="auto"/>
              </w:rPr>
            </w:pPr>
          </w:p>
        </w:tc>
        <w:tc>
          <w:tcPr>
            <w:tcW w:w="80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43"/>
        </w:trPr>
        <w:tc>
          <w:tcPr>
            <w:tcW w:w="2520" w:type="dxa"/>
            <w:vAlign w:val="bottom"/>
            <w:gridSpan w:val="3"/>
          </w:tcPr>
          <w:p>
            <w:pPr>
              <w:ind w:left="40"/>
              <w:spacing w:after="0"/>
              <w:rPr>
                <w:sz w:val="20"/>
                <w:szCs w:val="20"/>
                <w:color w:val="auto"/>
              </w:rPr>
            </w:pPr>
            <w:r>
              <w:rPr>
                <w:rFonts w:ascii="Arial" w:cs="Arial" w:eastAsia="Arial" w:hAnsi="Arial"/>
                <w:sz w:val="16"/>
                <w:szCs w:val="16"/>
                <w:b w:val="1"/>
                <w:bCs w:val="1"/>
                <w:color w:val="auto"/>
              </w:rPr>
              <w:t>Balance at October 31, 2019</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573.9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407.2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558.6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170.7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1,835.4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180" w:hanging="172"/>
        <w:spacing w:after="0"/>
        <w:tabs>
          <w:tab w:leader="none" w:pos="180" w:val="left"/>
        </w:tabs>
        <w:numPr>
          <w:ilvl w:val="0"/>
          <w:numId w:val="35"/>
        </w:numPr>
        <w:rPr>
          <w:rFonts w:ascii="Arial" w:cs="Arial" w:eastAsia="Arial" w:hAnsi="Arial"/>
          <w:sz w:val="21"/>
          <w:szCs w:val="21"/>
          <w:color w:val="auto"/>
          <w:vertAlign w:val="superscript"/>
        </w:rPr>
      </w:pPr>
      <w:r>
        <w:rPr>
          <w:rFonts w:ascii="Arial" w:cs="Arial" w:eastAsia="Arial" w:hAnsi="Arial"/>
          <w:sz w:val="15"/>
          <w:szCs w:val="15"/>
          <w:color w:val="auto"/>
        </w:rPr>
        <w:t>Represents accumulated impairment charges at October 31, 2019.</w:t>
      </w:r>
    </w:p>
    <w:p>
      <w:pPr>
        <w:spacing w:after="0" w:line="109"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35"/>
        </w:numPr>
        <w:rPr>
          <w:rFonts w:ascii="Arial" w:cs="Arial" w:eastAsia="Arial" w:hAnsi="Arial"/>
          <w:sz w:val="21"/>
          <w:szCs w:val="21"/>
          <w:color w:val="auto"/>
          <w:vertAlign w:val="superscript"/>
        </w:rPr>
      </w:pPr>
      <w:r>
        <w:rPr>
          <w:rFonts w:ascii="Arial" w:cs="Arial" w:eastAsia="Arial" w:hAnsi="Arial"/>
          <w:sz w:val="15"/>
          <w:szCs w:val="15"/>
          <w:color w:val="auto"/>
        </w:rPr>
        <w:t>Goodwill associated with our Healthcare business was reallocated in connection with the reorganization of this business during the third quarter of 2019.</w:t>
      </w:r>
    </w:p>
    <w:p>
      <w:pPr>
        <w:spacing w:after="0" w:line="12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During the fourth quarter of 2018, as part of our annual assessment of goodwill, we recorded a goodwill impairment charge of $20.3 million for one of our reporting units within the Technical Solutions segment. In 2018, this reporting unit’s performance primarily reflected the adverse impact of Brexit and the resulting impact on microeconomic conditions in the U.K. retail sector and the anticipated loss of a significant customer contract. The impairment was also attributable to a decline in profitability in the second half of 2018 and a revised future outlook for the business, including reduced expectations of future sales, operating margins, and cash flows. We did not record goodwill impairment charges during 2019 or 2017.</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Other Intangible Assets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rPr>
              <w:t>October 31, 2019</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rPr>
              <w:t>October 31, 2018</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center"/>
              <w:ind w:right="119"/>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99"/>
              <w:spacing w:after="0"/>
              <w:rPr>
                <w:sz w:val="20"/>
                <w:szCs w:val="20"/>
                <w:color w:val="auto"/>
              </w:rPr>
            </w:pPr>
            <w:r>
              <w:rPr>
                <w:rFonts w:ascii="Arial" w:cs="Arial" w:eastAsia="Arial" w:hAnsi="Arial"/>
                <w:sz w:val="16"/>
                <w:szCs w:val="16"/>
                <w:b w:val="1"/>
                <w:bCs w:val="1"/>
                <w:color w:val="auto"/>
                <w:w w:val="99"/>
              </w:rPr>
              <w:t>Gross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center"/>
              <w:ind w:right="99"/>
              <w:spacing w:after="0"/>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ind w:left="20"/>
              <w:spacing w:after="0"/>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99"/>
              <w:spacing w:after="0"/>
              <w:rPr>
                <w:sz w:val="20"/>
                <w:szCs w:val="20"/>
                <w:color w:val="auto"/>
              </w:rPr>
            </w:pPr>
            <w:r>
              <w:rPr>
                <w:rFonts w:ascii="Arial" w:cs="Arial" w:eastAsia="Arial" w:hAnsi="Arial"/>
                <w:sz w:val="16"/>
                <w:szCs w:val="16"/>
                <w:b w:val="1"/>
                <w:bCs w:val="1"/>
                <w:color w:val="auto"/>
              </w:rPr>
              <w:t>Carrying</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80" w:type="dxa"/>
            <w:vAlign w:val="bottom"/>
            <w:gridSpan w:val="4"/>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17"/>
                <w:szCs w:val="17"/>
                <w:color w:val="auto"/>
              </w:rPr>
            </w:pPr>
          </w:p>
        </w:tc>
        <w:tc>
          <w:tcPr>
            <w:tcW w:w="100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7"/>
                <w:szCs w:val="17"/>
                <w:color w:val="auto"/>
              </w:rPr>
            </w:pPr>
          </w:p>
        </w:tc>
        <w:tc>
          <w:tcPr>
            <w:tcW w:w="92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7"/>
                <w:szCs w:val="17"/>
                <w:color w:val="auto"/>
              </w:rPr>
            </w:pPr>
          </w:p>
        </w:tc>
        <w:tc>
          <w:tcPr>
            <w:tcW w:w="960" w:type="dxa"/>
            <w:vAlign w:val="bottom"/>
          </w:tcPr>
          <w:p>
            <w:pPr>
              <w:jc w:val="center"/>
              <w:ind w:right="99"/>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7"/>
                <w:szCs w:val="17"/>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1960" w:type="dxa"/>
            <w:vAlign w:val="bottom"/>
            <w:tcBorders>
              <w:bottom w:val="single" w:sz="8" w:color="DCE2EF"/>
            </w:tcBorders>
          </w:tcPr>
          <w:p>
            <w:pPr>
              <w:spacing w:after="0" w:line="20" w:lineRule="exact"/>
              <w:rPr>
                <w:sz w:val="1"/>
                <w:szCs w:val="1"/>
                <w:color w:val="auto"/>
              </w:rPr>
            </w:pPr>
          </w:p>
        </w:tc>
        <w:tc>
          <w:tcPr>
            <w:tcW w:w="108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shd w:val="clear" w:color="auto" w:fill="DCE2EF"/>
          </w:tcPr>
          <w:p>
            <w:pPr>
              <w:spacing w:after="0"/>
              <w:rPr>
                <w:sz w:val="14"/>
                <w:szCs w:val="14"/>
                <w:color w:val="auto"/>
              </w:rPr>
            </w:pPr>
          </w:p>
        </w:tc>
        <w:tc>
          <w:tcPr>
            <w:tcW w:w="2660" w:type="dxa"/>
            <w:vAlign w:val="bottom"/>
            <w:gridSpan w:val="2"/>
            <w:vMerge w:val="restart"/>
            <w:shd w:val="clear" w:color="auto" w:fill="DCE2EF"/>
          </w:tcPr>
          <w:p>
            <w:pPr>
              <w:spacing w:after="0"/>
              <w:rPr>
                <w:sz w:val="20"/>
                <w:szCs w:val="20"/>
                <w:color w:val="auto"/>
              </w:rPr>
            </w:pPr>
            <w:r>
              <w:rPr>
                <w:rFonts w:ascii="Arial" w:cs="Arial" w:eastAsia="Arial" w:hAnsi="Arial"/>
                <w:sz w:val="16"/>
                <w:szCs w:val="16"/>
                <w:color w:val="auto"/>
                <w:w w:val="99"/>
                <w:shd w:val="clear" w:color="auto" w:fill="DCE2EF"/>
              </w:rPr>
              <w:t>Customer contracts and relationships</w:t>
            </w:r>
          </w:p>
        </w:tc>
        <w:tc>
          <w:tcPr>
            <w:tcW w:w="1080" w:type="dxa"/>
            <w:vAlign w:val="bottom"/>
            <w:shd w:val="clear" w:color="auto" w:fill="DCE2EF"/>
          </w:tcPr>
          <w:p>
            <w:pPr>
              <w:jc w:val="right"/>
              <w:ind w:right="886"/>
              <w:spacing w:after="0"/>
              <w:rPr>
                <w:sz w:val="20"/>
                <w:szCs w:val="20"/>
                <w:color w:val="auto"/>
              </w:rPr>
            </w:pPr>
            <w:r>
              <w:rPr>
                <w:rFonts w:ascii="Arial" w:cs="Arial" w:eastAsia="Arial" w:hAnsi="Arial"/>
                <w:sz w:val="11"/>
                <w:szCs w:val="11"/>
                <w:color w:val="auto"/>
                <w:w w:val="88"/>
                <w:shd w:val="clear" w:color="auto" w:fill="DCE2EF"/>
              </w:rPr>
              <w:t>(1)</w:t>
            </w:r>
          </w:p>
        </w:tc>
        <w:tc>
          <w:tcPr>
            <w:tcW w:w="180" w:type="dxa"/>
            <w:vAlign w:val="bottom"/>
            <w:vMerge w:val="restart"/>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DCE2EF"/>
          </w:tcPr>
          <w:p>
            <w:pPr>
              <w:jc w:val="right"/>
              <w:ind w:right="59"/>
              <w:spacing w:after="0"/>
              <w:rPr>
                <w:sz w:val="20"/>
                <w:szCs w:val="20"/>
                <w:color w:val="auto"/>
              </w:rPr>
            </w:pPr>
            <w:r>
              <w:rPr>
                <w:rFonts w:ascii="Arial" w:cs="Arial" w:eastAsia="Arial" w:hAnsi="Arial"/>
                <w:sz w:val="16"/>
                <w:szCs w:val="16"/>
                <w:color w:val="auto"/>
              </w:rPr>
              <w:t>595.9</w:t>
            </w:r>
          </w:p>
        </w:tc>
        <w:tc>
          <w:tcPr>
            <w:tcW w:w="260" w:type="dxa"/>
            <w:vAlign w:val="bottom"/>
            <w:gridSpan w:val="2"/>
            <w:vMerge w:val="restart"/>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DCE2EF"/>
          </w:tcPr>
          <w:p>
            <w:pPr>
              <w:jc w:val="right"/>
              <w:spacing w:after="0"/>
              <w:rPr>
                <w:sz w:val="20"/>
                <w:szCs w:val="20"/>
                <w:color w:val="auto"/>
              </w:rPr>
            </w:pPr>
            <w:r>
              <w:rPr>
                <w:rFonts w:ascii="Arial" w:cs="Arial" w:eastAsia="Arial" w:hAnsi="Arial"/>
                <w:sz w:val="16"/>
                <w:szCs w:val="16"/>
                <w:color w:val="auto"/>
              </w:rPr>
              <w:t>(298.9)</w:t>
            </w:r>
          </w:p>
        </w:tc>
        <w:tc>
          <w:tcPr>
            <w:tcW w:w="100" w:type="dxa"/>
            <w:vAlign w:val="bottom"/>
            <w:shd w:val="clear" w:color="auto" w:fill="DCE2EF"/>
          </w:tcPr>
          <w:p>
            <w:pPr>
              <w:spacing w:after="0"/>
              <w:rPr>
                <w:sz w:val="14"/>
                <w:szCs w:val="14"/>
                <w:color w:val="auto"/>
              </w:rPr>
            </w:pPr>
          </w:p>
        </w:tc>
        <w:tc>
          <w:tcPr>
            <w:tcW w:w="220" w:type="dxa"/>
            <w:vAlign w:val="bottom"/>
            <w:vMerge w:val="restart"/>
            <w:shd w:val="clear" w:color="auto" w:fill="DCE2E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DCE2EF"/>
          </w:tcPr>
          <w:p>
            <w:pPr>
              <w:jc w:val="right"/>
              <w:ind w:right="39"/>
              <w:spacing w:after="0"/>
              <w:rPr>
                <w:sz w:val="20"/>
                <w:szCs w:val="20"/>
                <w:color w:val="auto"/>
              </w:rPr>
            </w:pPr>
            <w:r>
              <w:rPr>
                <w:rFonts w:ascii="Arial" w:cs="Arial" w:eastAsia="Arial" w:hAnsi="Arial"/>
                <w:sz w:val="16"/>
                <w:szCs w:val="16"/>
                <w:color w:val="auto"/>
              </w:rPr>
              <w:t>297.0</w:t>
            </w:r>
          </w:p>
        </w:tc>
        <w:tc>
          <w:tcPr>
            <w:tcW w:w="100" w:type="dxa"/>
            <w:vAlign w:val="bottom"/>
            <w:shd w:val="clear" w:color="auto" w:fill="DCE2EF"/>
          </w:tcPr>
          <w:p>
            <w:pPr>
              <w:spacing w:after="0"/>
              <w:rPr>
                <w:sz w:val="14"/>
                <w:szCs w:val="14"/>
                <w:color w:val="auto"/>
              </w:rPr>
            </w:pPr>
          </w:p>
        </w:tc>
        <w:tc>
          <w:tcPr>
            <w:tcW w:w="180" w:type="dxa"/>
            <w:vAlign w:val="bottom"/>
            <w:vMerge w:val="restart"/>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DCE2EF"/>
          </w:tcPr>
          <w:p>
            <w:pPr>
              <w:jc w:val="right"/>
              <w:ind w:right="39"/>
              <w:spacing w:after="0"/>
              <w:rPr>
                <w:sz w:val="20"/>
                <w:szCs w:val="20"/>
                <w:color w:val="auto"/>
              </w:rPr>
            </w:pPr>
            <w:r>
              <w:rPr>
                <w:rFonts w:ascii="Arial" w:cs="Arial" w:eastAsia="Arial" w:hAnsi="Arial"/>
                <w:sz w:val="16"/>
                <w:szCs w:val="16"/>
                <w:color w:val="auto"/>
              </w:rPr>
              <w:t>595.7</w:t>
            </w:r>
          </w:p>
        </w:tc>
        <w:tc>
          <w:tcPr>
            <w:tcW w:w="240" w:type="dxa"/>
            <w:vAlign w:val="bottom"/>
            <w:gridSpan w:val="2"/>
            <w:vMerge w:val="restart"/>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DCE2EF"/>
          </w:tcPr>
          <w:p>
            <w:pPr>
              <w:jc w:val="right"/>
              <w:spacing w:after="0"/>
              <w:rPr>
                <w:sz w:val="20"/>
                <w:szCs w:val="20"/>
                <w:color w:val="auto"/>
              </w:rPr>
            </w:pPr>
            <w:r>
              <w:rPr>
                <w:rFonts w:ascii="Arial" w:cs="Arial" w:eastAsia="Arial" w:hAnsi="Arial"/>
                <w:sz w:val="16"/>
                <w:szCs w:val="16"/>
                <w:color w:val="auto"/>
              </w:rPr>
              <w:t>(243.6)</w:t>
            </w:r>
          </w:p>
        </w:tc>
        <w:tc>
          <w:tcPr>
            <w:tcW w:w="120" w:type="dxa"/>
            <w:vAlign w:val="bottom"/>
            <w:shd w:val="clear" w:color="auto" w:fill="DCE2EF"/>
          </w:tcPr>
          <w:p>
            <w:pPr>
              <w:spacing w:after="0"/>
              <w:rPr>
                <w:sz w:val="14"/>
                <w:szCs w:val="14"/>
                <w:color w:val="auto"/>
              </w:rPr>
            </w:pPr>
          </w:p>
        </w:tc>
        <w:tc>
          <w:tcPr>
            <w:tcW w:w="220" w:type="dxa"/>
            <w:vAlign w:val="bottom"/>
            <w:vMerge w:val="restart"/>
            <w:shd w:val="clear" w:color="auto" w:fill="DCE2E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DCE2EF"/>
          </w:tcPr>
          <w:p>
            <w:pPr>
              <w:jc w:val="right"/>
              <w:ind w:right="19"/>
              <w:spacing w:after="0"/>
              <w:rPr>
                <w:sz w:val="20"/>
                <w:szCs w:val="20"/>
                <w:color w:val="auto"/>
              </w:rPr>
            </w:pPr>
            <w:r>
              <w:rPr>
                <w:rFonts w:ascii="Arial" w:cs="Arial" w:eastAsia="Arial" w:hAnsi="Arial"/>
                <w:sz w:val="16"/>
                <w:szCs w:val="16"/>
                <w:color w:val="auto"/>
              </w:rPr>
              <w:t>352.2</w:t>
            </w:r>
          </w:p>
        </w:tc>
        <w:tc>
          <w:tcPr>
            <w:tcW w:w="0" w:type="dxa"/>
            <w:vAlign w:val="bottom"/>
          </w:tcPr>
          <w:p>
            <w:pPr>
              <w:spacing w:after="0"/>
              <w:rPr>
                <w:sz w:val="1"/>
                <w:szCs w:val="1"/>
                <w:color w:val="auto"/>
              </w:rPr>
            </w:pPr>
          </w:p>
        </w:tc>
      </w:tr>
      <w:tr>
        <w:trPr>
          <w:trHeight w:val="68"/>
        </w:trPr>
        <w:tc>
          <w:tcPr>
            <w:tcW w:w="40" w:type="dxa"/>
            <w:vAlign w:val="bottom"/>
            <w:tcBorders>
              <w:bottom w:val="single" w:sz="8" w:color="DCE2EF"/>
            </w:tcBorders>
            <w:shd w:val="clear" w:color="auto" w:fill="DCE2EF"/>
          </w:tcPr>
          <w:p>
            <w:pPr>
              <w:spacing w:after="0"/>
              <w:rPr>
                <w:sz w:val="5"/>
                <w:szCs w:val="5"/>
                <w:color w:val="auto"/>
              </w:rPr>
            </w:pPr>
          </w:p>
        </w:tc>
        <w:tc>
          <w:tcPr>
            <w:tcW w:w="2660" w:type="dxa"/>
            <w:vAlign w:val="bottom"/>
            <w:tcBorders>
              <w:bottom w:val="single" w:sz="8" w:color="DCE2EF"/>
            </w:tcBorders>
            <w:gridSpan w:val="2"/>
            <w:vMerge w:val="continue"/>
            <w:shd w:val="clear" w:color="auto" w:fill="DCE2EF"/>
          </w:tcPr>
          <w:p>
            <w:pPr>
              <w:spacing w:after="0"/>
              <w:rPr>
                <w:sz w:val="5"/>
                <w:szCs w:val="5"/>
                <w:color w:val="auto"/>
              </w:rPr>
            </w:pPr>
          </w:p>
        </w:tc>
        <w:tc>
          <w:tcPr>
            <w:tcW w:w="1080" w:type="dxa"/>
            <w:vAlign w:val="bottom"/>
            <w:tcBorders>
              <w:bottom w:val="single" w:sz="8" w:color="DCE2EF"/>
            </w:tcBorders>
            <w:shd w:val="clear" w:color="auto" w:fill="DCE2EF"/>
          </w:tcPr>
          <w:p>
            <w:pPr>
              <w:spacing w:after="0"/>
              <w:rPr>
                <w:sz w:val="5"/>
                <w:szCs w:val="5"/>
                <w:color w:val="auto"/>
              </w:rPr>
            </w:pPr>
          </w:p>
        </w:tc>
        <w:tc>
          <w:tcPr>
            <w:tcW w:w="180" w:type="dxa"/>
            <w:vAlign w:val="bottom"/>
            <w:tcBorders>
              <w:bottom w:val="single" w:sz="8" w:color="DCE2EF"/>
            </w:tcBorders>
            <w:vMerge w:val="continue"/>
            <w:shd w:val="clear" w:color="auto" w:fill="DCE2EF"/>
          </w:tcPr>
          <w:p>
            <w:pPr>
              <w:spacing w:after="0"/>
              <w:rPr>
                <w:sz w:val="5"/>
                <w:szCs w:val="5"/>
                <w:color w:val="auto"/>
              </w:rPr>
            </w:pPr>
          </w:p>
        </w:tc>
        <w:tc>
          <w:tcPr>
            <w:tcW w:w="1000" w:type="dxa"/>
            <w:vAlign w:val="bottom"/>
            <w:tcBorders>
              <w:bottom w:val="single" w:sz="8" w:color="DCE2EF"/>
            </w:tcBorders>
            <w:vMerge w:val="continue"/>
            <w:shd w:val="clear" w:color="auto" w:fill="DCE2EF"/>
          </w:tcPr>
          <w:p>
            <w:pPr>
              <w:spacing w:after="0"/>
              <w:rPr>
                <w:sz w:val="5"/>
                <w:szCs w:val="5"/>
                <w:color w:val="auto"/>
              </w:rPr>
            </w:pPr>
          </w:p>
        </w:tc>
        <w:tc>
          <w:tcPr>
            <w:tcW w:w="260" w:type="dxa"/>
            <w:vAlign w:val="bottom"/>
            <w:tcBorders>
              <w:bottom w:val="single" w:sz="8" w:color="DCE2EF"/>
            </w:tcBorders>
            <w:gridSpan w:val="2"/>
            <w:vMerge w:val="continue"/>
            <w:shd w:val="clear" w:color="auto" w:fill="DCE2EF"/>
          </w:tcPr>
          <w:p>
            <w:pPr>
              <w:spacing w:after="0"/>
              <w:rPr>
                <w:sz w:val="5"/>
                <w:szCs w:val="5"/>
                <w:color w:val="auto"/>
              </w:rPr>
            </w:pPr>
          </w:p>
        </w:tc>
        <w:tc>
          <w:tcPr>
            <w:tcW w:w="1220" w:type="dxa"/>
            <w:vAlign w:val="bottom"/>
            <w:tcBorders>
              <w:bottom w:val="single" w:sz="8" w:color="DCE2EF"/>
            </w:tcBorders>
            <w:vMerge w:val="continue"/>
            <w:shd w:val="clear" w:color="auto" w:fill="DCE2EF"/>
          </w:tcPr>
          <w:p>
            <w:pPr>
              <w:spacing w:after="0"/>
              <w:rPr>
                <w:sz w:val="5"/>
                <w:szCs w:val="5"/>
                <w:color w:val="auto"/>
              </w:rPr>
            </w:pPr>
          </w:p>
        </w:tc>
        <w:tc>
          <w:tcPr>
            <w:tcW w:w="100" w:type="dxa"/>
            <w:vAlign w:val="bottom"/>
            <w:tcBorders>
              <w:bottom w:val="single" w:sz="8" w:color="DCE2EF"/>
            </w:tcBorders>
            <w:shd w:val="clear" w:color="auto" w:fill="DCE2EF"/>
          </w:tcPr>
          <w:p>
            <w:pPr>
              <w:spacing w:after="0"/>
              <w:rPr>
                <w:sz w:val="5"/>
                <w:szCs w:val="5"/>
                <w:color w:val="auto"/>
              </w:rPr>
            </w:pPr>
          </w:p>
        </w:tc>
        <w:tc>
          <w:tcPr>
            <w:tcW w:w="220" w:type="dxa"/>
            <w:vAlign w:val="bottom"/>
            <w:tcBorders>
              <w:bottom w:val="single" w:sz="8" w:color="DCE2EF"/>
            </w:tcBorders>
            <w:vMerge w:val="continue"/>
            <w:shd w:val="clear" w:color="auto" w:fill="DCE2EF"/>
          </w:tcPr>
          <w:p>
            <w:pPr>
              <w:spacing w:after="0"/>
              <w:rPr>
                <w:sz w:val="5"/>
                <w:szCs w:val="5"/>
                <w:color w:val="auto"/>
              </w:rPr>
            </w:pPr>
          </w:p>
        </w:tc>
        <w:tc>
          <w:tcPr>
            <w:tcW w:w="820" w:type="dxa"/>
            <w:vAlign w:val="bottom"/>
            <w:tcBorders>
              <w:bottom w:val="single" w:sz="8" w:color="DCE2EF"/>
            </w:tcBorders>
            <w:vMerge w:val="continue"/>
            <w:shd w:val="clear" w:color="auto" w:fill="DCE2EF"/>
          </w:tcPr>
          <w:p>
            <w:pPr>
              <w:spacing w:after="0"/>
              <w:rPr>
                <w:sz w:val="5"/>
                <w:szCs w:val="5"/>
                <w:color w:val="auto"/>
              </w:rPr>
            </w:pPr>
          </w:p>
        </w:tc>
        <w:tc>
          <w:tcPr>
            <w:tcW w:w="100" w:type="dxa"/>
            <w:vAlign w:val="bottom"/>
            <w:tcBorders>
              <w:bottom w:val="single" w:sz="8" w:color="DCE2EF"/>
            </w:tcBorders>
            <w:shd w:val="clear" w:color="auto" w:fill="DCE2EF"/>
          </w:tcPr>
          <w:p>
            <w:pPr>
              <w:spacing w:after="0"/>
              <w:rPr>
                <w:sz w:val="5"/>
                <w:szCs w:val="5"/>
                <w:color w:val="auto"/>
              </w:rPr>
            </w:pPr>
          </w:p>
        </w:tc>
        <w:tc>
          <w:tcPr>
            <w:tcW w:w="180" w:type="dxa"/>
            <w:vAlign w:val="bottom"/>
            <w:tcBorders>
              <w:bottom w:val="single" w:sz="8" w:color="DCE2EF"/>
            </w:tcBorders>
            <w:vMerge w:val="continue"/>
            <w:shd w:val="clear" w:color="auto" w:fill="DCE2EF"/>
          </w:tcPr>
          <w:p>
            <w:pPr>
              <w:spacing w:after="0"/>
              <w:rPr>
                <w:sz w:val="5"/>
                <w:szCs w:val="5"/>
                <w:color w:val="auto"/>
              </w:rPr>
            </w:pPr>
          </w:p>
        </w:tc>
        <w:tc>
          <w:tcPr>
            <w:tcW w:w="960" w:type="dxa"/>
            <w:vAlign w:val="bottom"/>
            <w:tcBorders>
              <w:bottom w:val="single" w:sz="8" w:color="DCE2EF"/>
            </w:tcBorders>
            <w:vMerge w:val="continue"/>
            <w:shd w:val="clear" w:color="auto" w:fill="DCE2EF"/>
          </w:tcPr>
          <w:p>
            <w:pPr>
              <w:spacing w:after="0"/>
              <w:rPr>
                <w:sz w:val="5"/>
                <w:szCs w:val="5"/>
                <w:color w:val="auto"/>
              </w:rPr>
            </w:pPr>
          </w:p>
        </w:tc>
        <w:tc>
          <w:tcPr>
            <w:tcW w:w="240" w:type="dxa"/>
            <w:vAlign w:val="bottom"/>
            <w:tcBorders>
              <w:bottom w:val="single" w:sz="8" w:color="DCE2EF"/>
            </w:tcBorders>
            <w:gridSpan w:val="2"/>
            <w:vMerge w:val="continue"/>
            <w:shd w:val="clear" w:color="auto" w:fill="DCE2EF"/>
          </w:tcPr>
          <w:p>
            <w:pPr>
              <w:spacing w:after="0"/>
              <w:rPr>
                <w:sz w:val="5"/>
                <w:szCs w:val="5"/>
                <w:color w:val="auto"/>
              </w:rPr>
            </w:pPr>
          </w:p>
        </w:tc>
        <w:tc>
          <w:tcPr>
            <w:tcW w:w="1220" w:type="dxa"/>
            <w:vAlign w:val="bottom"/>
            <w:tcBorders>
              <w:bottom w:val="single" w:sz="8" w:color="DCE2EF"/>
            </w:tcBorders>
            <w:vMerge w:val="continue"/>
            <w:shd w:val="clear" w:color="auto" w:fill="DCE2EF"/>
          </w:tcPr>
          <w:p>
            <w:pPr>
              <w:spacing w:after="0"/>
              <w:rPr>
                <w:sz w:val="5"/>
                <w:szCs w:val="5"/>
                <w:color w:val="auto"/>
              </w:rPr>
            </w:pPr>
          </w:p>
        </w:tc>
        <w:tc>
          <w:tcPr>
            <w:tcW w:w="120" w:type="dxa"/>
            <w:vAlign w:val="bottom"/>
            <w:tcBorders>
              <w:bottom w:val="single" w:sz="8" w:color="DCE2EF"/>
            </w:tcBorders>
            <w:shd w:val="clear" w:color="auto" w:fill="DCE2EF"/>
          </w:tcPr>
          <w:p>
            <w:pPr>
              <w:spacing w:after="0"/>
              <w:rPr>
                <w:sz w:val="5"/>
                <w:szCs w:val="5"/>
                <w:color w:val="auto"/>
              </w:rPr>
            </w:pPr>
          </w:p>
        </w:tc>
        <w:tc>
          <w:tcPr>
            <w:tcW w:w="220" w:type="dxa"/>
            <w:vAlign w:val="bottom"/>
            <w:tcBorders>
              <w:bottom w:val="single" w:sz="8" w:color="DCE2EF"/>
            </w:tcBorders>
            <w:vMerge w:val="continue"/>
            <w:shd w:val="clear" w:color="auto" w:fill="DCE2EF"/>
          </w:tcPr>
          <w:p>
            <w:pPr>
              <w:spacing w:after="0"/>
              <w:rPr>
                <w:sz w:val="5"/>
                <w:szCs w:val="5"/>
                <w:color w:val="auto"/>
              </w:rPr>
            </w:pPr>
          </w:p>
        </w:tc>
        <w:tc>
          <w:tcPr>
            <w:tcW w:w="800" w:type="dxa"/>
            <w:vAlign w:val="bottom"/>
            <w:tcBorders>
              <w:bottom w:val="single" w:sz="8" w:color="DCE2EF"/>
            </w:tcBorders>
            <w:vMerge w:val="continue"/>
            <w:shd w:val="clear" w:color="auto" w:fill="DCE2EF"/>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780" w:type="dxa"/>
            <w:vAlign w:val="bottom"/>
            <w:gridSpan w:val="4"/>
          </w:tcPr>
          <w:p>
            <w:pPr>
              <w:ind w:left="40"/>
              <w:spacing w:after="0"/>
              <w:rPr>
                <w:sz w:val="20"/>
                <w:szCs w:val="20"/>
                <w:color w:val="auto"/>
              </w:rPr>
            </w:pPr>
            <w:r>
              <w:rPr>
                <w:rFonts w:ascii="Arial" w:cs="Arial" w:eastAsia="Arial" w:hAnsi="Arial"/>
                <w:sz w:val="16"/>
                <w:szCs w:val="16"/>
                <w:color w:val="auto"/>
              </w:rPr>
              <w:t>Trademarks and trade names</w:t>
            </w:r>
          </w:p>
        </w:tc>
        <w:tc>
          <w:tcPr>
            <w:tcW w:w="180" w:type="dxa"/>
            <w:vAlign w:val="bottom"/>
          </w:tcPr>
          <w:p>
            <w:pPr>
              <w:spacing w:after="0"/>
              <w:rPr>
                <w:sz w:val="22"/>
                <w:szCs w:val="22"/>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78"/>
        </w:trPr>
        <w:tc>
          <w:tcPr>
            <w:tcW w:w="40" w:type="dxa"/>
            <w:vAlign w:val="bottom"/>
            <w:tcBorders>
              <w:bottom w:val="single" w:sz="8" w:color="DCE2EF"/>
            </w:tcBorders>
            <w:shd w:val="clear" w:color="auto" w:fill="DCE2EF"/>
          </w:tcPr>
          <w:p>
            <w:pPr>
              <w:spacing w:after="0"/>
              <w:rPr>
                <w:sz w:val="24"/>
                <w:szCs w:val="24"/>
                <w:color w:val="auto"/>
              </w:rPr>
            </w:pPr>
          </w:p>
        </w:tc>
        <w:tc>
          <w:tcPr>
            <w:tcW w:w="266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6"/>
                <w:szCs w:val="16"/>
                <w:color w:val="auto"/>
                <w:shd w:val="clear" w:color="auto" w:fill="DCE2EF"/>
              </w:rPr>
              <w:t>Contract rights and other</w:t>
            </w:r>
          </w:p>
        </w:tc>
        <w:tc>
          <w:tcPr>
            <w:tcW w:w="1080" w:type="dxa"/>
            <w:vAlign w:val="bottom"/>
            <w:tcBorders>
              <w:bottom w:val="single" w:sz="8" w:color="DCE2EF"/>
            </w:tcBorders>
            <w:shd w:val="clear" w:color="auto" w:fill="DCE2EF"/>
          </w:tcPr>
          <w:p>
            <w:pPr>
              <w:spacing w:after="0"/>
              <w:rPr>
                <w:sz w:val="24"/>
                <w:szCs w:val="24"/>
                <w:color w:val="auto"/>
              </w:rPr>
            </w:pPr>
          </w:p>
        </w:tc>
        <w:tc>
          <w:tcPr>
            <w:tcW w:w="180" w:type="dxa"/>
            <w:vAlign w:val="bottom"/>
            <w:tcBorders>
              <w:bottom w:val="single" w:sz="8" w:color="DCE2EF"/>
            </w:tcBorders>
            <w:shd w:val="clear" w:color="auto" w:fill="DCE2EF"/>
          </w:tcPr>
          <w:p>
            <w:pPr>
              <w:spacing w:after="0"/>
              <w:rPr>
                <w:sz w:val="24"/>
                <w:szCs w:val="24"/>
                <w:color w:val="auto"/>
              </w:rPr>
            </w:pPr>
          </w:p>
        </w:tc>
        <w:tc>
          <w:tcPr>
            <w:tcW w:w="1000" w:type="dxa"/>
            <w:vAlign w:val="bottom"/>
            <w:tcBorders>
              <w:bottom w:val="single" w:sz="8" w:color="DCE2EF"/>
            </w:tcBorders>
            <w:shd w:val="clear" w:color="auto" w:fill="DCE2EF"/>
          </w:tcPr>
          <w:p>
            <w:pPr>
              <w:jc w:val="right"/>
              <w:ind w:right="59"/>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DCE2EF"/>
            </w:tcBorders>
            <w:shd w:val="clear" w:color="auto" w:fill="DCE2EF"/>
          </w:tcPr>
          <w:p>
            <w:pPr>
              <w:spacing w:after="0"/>
              <w:rPr>
                <w:sz w:val="24"/>
                <w:szCs w:val="24"/>
                <w:color w:val="auto"/>
              </w:rPr>
            </w:pPr>
          </w:p>
        </w:tc>
        <w:tc>
          <w:tcPr>
            <w:tcW w:w="140" w:type="dxa"/>
            <w:vAlign w:val="bottom"/>
            <w:tcBorders>
              <w:bottom w:val="single" w:sz="8" w:color="DCE2EF"/>
            </w:tcBorders>
            <w:shd w:val="clear" w:color="auto" w:fill="DCE2EF"/>
          </w:tcPr>
          <w:p>
            <w:pPr>
              <w:spacing w:after="0"/>
              <w:rPr>
                <w:sz w:val="24"/>
                <w:szCs w:val="24"/>
                <w:color w:val="auto"/>
              </w:rPr>
            </w:pPr>
          </w:p>
        </w:tc>
        <w:tc>
          <w:tcPr>
            <w:tcW w:w="122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DCE2EF"/>
            </w:tcBorders>
            <w:shd w:val="clear" w:color="auto" w:fill="DCE2EF"/>
          </w:tcPr>
          <w:p>
            <w:pPr>
              <w:spacing w:after="0"/>
              <w:rPr>
                <w:sz w:val="24"/>
                <w:szCs w:val="24"/>
                <w:color w:val="auto"/>
              </w:rPr>
            </w:pPr>
          </w:p>
        </w:tc>
        <w:tc>
          <w:tcPr>
            <w:tcW w:w="220" w:type="dxa"/>
            <w:vAlign w:val="bottom"/>
            <w:tcBorders>
              <w:bottom w:val="single" w:sz="8" w:color="DCE2EF"/>
            </w:tcBorders>
            <w:shd w:val="clear" w:color="auto" w:fill="DCE2EF"/>
          </w:tcPr>
          <w:p>
            <w:pPr>
              <w:spacing w:after="0"/>
              <w:rPr>
                <w:sz w:val="24"/>
                <w:szCs w:val="24"/>
                <w:color w:val="auto"/>
              </w:rPr>
            </w:pPr>
          </w:p>
        </w:tc>
        <w:tc>
          <w:tcPr>
            <w:tcW w:w="820" w:type="dxa"/>
            <w:vAlign w:val="bottom"/>
            <w:tcBorders>
              <w:bottom w:val="single" w:sz="8" w:color="DCE2EF"/>
            </w:tcBorders>
            <w:shd w:val="clear" w:color="auto" w:fill="DCE2EF"/>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DCE2EF"/>
            </w:tcBorders>
            <w:shd w:val="clear" w:color="auto" w:fill="DCE2EF"/>
          </w:tcPr>
          <w:p>
            <w:pPr>
              <w:spacing w:after="0"/>
              <w:rPr>
                <w:sz w:val="24"/>
                <w:szCs w:val="24"/>
                <w:color w:val="auto"/>
              </w:rPr>
            </w:pPr>
          </w:p>
        </w:tc>
        <w:tc>
          <w:tcPr>
            <w:tcW w:w="180" w:type="dxa"/>
            <w:vAlign w:val="bottom"/>
            <w:tcBorders>
              <w:bottom w:val="single" w:sz="8" w:color="DCE2EF"/>
            </w:tcBorders>
            <w:shd w:val="clear" w:color="auto" w:fill="DCE2EF"/>
          </w:tcPr>
          <w:p>
            <w:pPr>
              <w:spacing w:after="0"/>
              <w:rPr>
                <w:sz w:val="24"/>
                <w:szCs w:val="24"/>
                <w:color w:val="auto"/>
              </w:rPr>
            </w:pPr>
          </w:p>
        </w:tc>
        <w:tc>
          <w:tcPr>
            <w:tcW w:w="960" w:type="dxa"/>
            <w:vAlign w:val="bottom"/>
            <w:tcBorders>
              <w:bottom w:val="single" w:sz="8" w:color="DCE2EF"/>
            </w:tcBorders>
            <w:shd w:val="clear" w:color="auto" w:fill="DCE2EF"/>
          </w:tcPr>
          <w:p>
            <w:pPr>
              <w:jc w:val="right"/>
              <w:ind w:right="39"/>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DCE2EF"/>
            </w:tcBorders>
            <w:shd w:val="clear" w:color="auto" w:fill="DCE2EF"/>
          </w:tcPr>
          <w:p>
            <w:pPr>
              <w:spacing w:after="0"/>
              <w:rPr>
                <w:sz w:val="24"/>
                <w:szCs w:val="24"/>
                <w:color w:val="auto"/>
              </w:rPr>
            </w:pPr>
          </w:p>
        </w:tc>
        <w:tc>
          <w:tcPr>
            <w:tcW w:w="140" w:type="dxa"/>
            <w:vAlign w:val="bottom"/>
            <w:tcBorders>
              <w:bottom w:val="single" w:sz="8" w:color="DCE2EF"/>
            </w:tcBorders>
            <w:shd w:val="clear" w:color="auto" w:fill="DCE2EF"/>
          </w:tcPr>
          <w:p>
            <w:pPr>
              <w:spacing w:after="0"/>
              <w:rPr>
                <w:sz w:val="24"/>
                <w:szCs w:val="24"/>
                <w:color w:val="auto"/>
              </w:rPr>
            </w:pPr>
          </w:p>
        </w:tc>
        <w:tc>
          <w:tcPr>
            <w:tcW w:w="122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DCE2EF"/>
            </w:tcBorders>
            <w:shd w:val="clear" w:color="auto" w:fill="DCE2EF"/>
          </w:tcPr>
          <w:p>
            <w:pPr>
              <w:spacing w:after="0"/>
              <w:rPr>
                <w:sz w:val="24"/>
                <w:szCs w:val="24"/>
                <w:color w:val="auto"/>
              </w:rPr>
            </w:pPr>
          </w:p>
        </w:tc>
        <w:tc>
          <w:tcPr>
            <w:tcW w:w="220" w:type="dxa"/>
            <w:vAlign w:val="bottom"/>
            <w:tcBorders>
              <w:bottom w:val="single" w:sz="8" w:color="DCE2EF"/>
            </w:tcBorders>
            <w:shd w:val="clear" w:color="auto" w:fill="DCE2EF"/>
          </w:tcPr>
          <w:p>
            <w:pPr>
              <w:spacing w:after="0"/>
              <w:rPr>
                <w:sz w:val="24"/>
                <w:szCs w:val="24"/>
                <w:color w:val="auto"/>
              </w:rPr>
            </w:pPr>
          </w:p>
        </w:tc>
        <w:tc>
          <w:tcPr>
            <w:tcW w:w="800" w:type="dxa"/>
            <w:vAlign w:val="bottom"/>
            <w:tcBorders>
              <w:bottom w:val="single" w:sz="8" w:color="DCE2EF"/>
            </w:tcBorders>
            <w:shd w:val="clear" w:color="auto" w:fill="DCE2EF"/>
          </w:tcPr>
          <w:p>
            <w:pPr>
              <w:jc w:val="right"/>
              <w:ind w:right="1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7"/>
        </w:trPr>
        <w:tc>
          <w:tcPr>
            <w:tcW w:w="3780" w:type="dxa"/>
            <w:vAlign w:val="bottom"/>
            <w:gridSpan w:val="4"/>
          </w:tcPr>
          <w:p>
            <w:pPr>
              <w:ind w:left="40"/>
              <w:spacing w:after="0" w:line="237" w:lineRule="exact"/>
              <w:rPr>
                <w:sz w:val="20"/>
                <w:szCs w:val="20"/>
                <w:color w:val="auto"/>
              </w:rPr>
            </w:pPr>
            <w:r>
              <w:rPr>
                <w:rFonts w:ascii="Arial" w:cs="Arial" w:eastAsia="Arial" w:hAnsi="Arial"/>
                <w:sz w:val="16"/>
                <w:szCs w:val="16"/>
                <w:b w:val="1"/>
                <w:bCs w:val="1"/>
                <w:color w:val="auto"/>
              </w:rPr>
              <w:t>Total</w:t>
            </w:r>
            <w:r>
              <w:rPr>
                <w:rFonts w:ascii="Arial" w:cs="Arial" w:eastAsia="Arial" w:hAnsi="Arial"/>
                <w:sz w:val="21"/>
                <w:szCs w:val="21"/>
                <w:color w:val="auto"/>
                <w:vertAlign w:val="superscript"/>
              </w:rPr>
              <w:t>(2)</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606.2</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(309.0)</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297.2</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606.0</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(250.4)</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355.7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firstLine="8"/>
        <w:spacing w:after="0" w:line="223" w:lineRule="auto"/>
        <w:tabs>
          <w:tab w:leader="none" w:pos="192" w:val="left"/>
        </w:tabs>
        <w:numPr>
          <w:ilvl w:val="0"/>
          <w:numId w:val="36"/>
        </w:numPr>
        <w:rPr>
          <w:rFonts w:ascii="Arial" w:cs="Arial" w:eastAsia="Arial" w:hAnsi="Arial"/>
          <w:sz w:val="22"/>
          <w:szCs w:val="22"/>
          <w:color w:val="auto"/>
          <w:vertAlign w:val="superscript"/>
        </w:rPr>
      </w:pPr>
      <w:r>
        <w:rPr>
          <w:rFonts w:ascii="Arial" w:cs="Arial" w:eastAsia="Arial" w:hAnsi="Arial"/>
          <w:sz w:val="16"/>
          <w:szCs w:val="16"/>
          <w:color w:val="auto"/>
        </w:rPr>
        <w:t>Reflects a net impairment charge of $6.2 million recorded in 2018, consisting of a $10.5 million reduction in the gross carrying amount of the underlying customer relationships less $4.3 million of accumulated amortization.</w:t>
      </w:r>
    </w:p>
    <w:p>
      <w:pPr>
        <w:spacing w:after="0" w:line="111" w:lineRule="exact"/>
        <w:rPr>
          <w:rFonts w:ascii="Arial" w:cs="Arial" w:eastAsia="Arial" w:hAnsi="Arial"/>
          <w:sz w:val="22"/>
          <w:szCs w:val="22"/>
          <w:color w:val="auto"/>
          <w:vertAlign w:val="superscript"/>
        </w:rPr>
      </w:pPr>
    </w:p>
    <w:p>
      <w:pPr>
        <w:ind w:left="180" w:hanging="172"/>
        <w:spacing w:after="0"/>
        <w:tabs>
          <w:tab w:leader="none" w:pos="180" w:val="left"/>
        </w:tabs>
        <w:numPr>
          <w:ilvl w:val="0"/>
          <w:numId w:val="36"/>
        </w:numPr>
        <w:rPr>
          <w:rFonts w:ascii="Arial" w:cs="Arial" w:eastAsia="Arial" w:hAnsi="Arial"/>
          <w:sz w:val="21"/>
          <w:szCs w:val="21"/>
          <w:color w:val="auto"/>
          <w:vertAlign w:val="superscript"/>
        </w:rPr>
      </w:pPr>
      <w:r>
        <w:rPr>
          <w:rFonts w:ascii="Arial" w:cs="Arial" w:eastAsia="Arial" w:hAnsi="Arial"/>
          <w:sz w:val="15"/>
          <w:szCs w:val="15"/>
          <w:color w:val="auto"/>
        </w:rPr>
        <w:t>These intangible assets are being amortized over the expected period of benefit, with a weighted average life of approximately 12 years.</w:t>
      </w:r>
    </w:p>
    <w:p>
      <w:pPr>
        <w:sectPr>
          <w:pgSz w:w="11900" w:h="16838" w:orient="portrait"/>
          <w:cols w:equalWidth="0" w:num="1">
            <w:col w:w="11420"/>
          </w:cols>
          <w:pgMar w:left="240" w:top="493" w:right="239" w:bottom="1440" w:gutter="0" w:footer="0" w:header="0"/>
        </w:sect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420"/>
          </w:cols>
          <w:pgMar w:left="240" w:top="493" w:right="239" w:bottom="1440" w:gutter="0" w:footer="0" w:header="0"/>
          <w:type w:val="continuous"/>
        </w:sectPr>
      </w:pPr>
    </w:p>
    <w:bookmarkStart w:id="79" w:name="page80"/>
    <w:bookmarkEnd w:id="79"/>
    <w:tbl>
      <w:tblPr>
        <w:tblLayout w:type="fixed"/>
        <w:tblInd w:w="0" w:type="dxa"/>
        <w:tblCellMar>
          <w:top w:w="0" w:type="dxa"/>
          <w:left w:w="0" w:type="dxa"/>
          <w:bottom w:w="0" w:type="dxa"/>
          <w:right w:w="0" w:type="dxa"/>
        </w:tblCellMar>
      </w:tblPr>
      <w:tr>
        <w:trPr>
          <w:trHeight w:val="251"/>
        </w:trPr>
        <w:tc>
          <w:tcPr>
            <w:tcW w:w="6480" w:type="dxa"/>
            <w:vAlign w:val="bottom"/>
            <w:gridSpan w:val="7"/>
          </w:tcPr>
          <w:p>
            <w:pPr>
              <w:spacing w:after="0"/>
              <w:rPr>
                <w:sz w:val="20"/>
                <w:szCs w:val="20"/>
                <w:color w:val="auto"/>
              </w:rPr>
            </w:pPr>
            <w:r>
              <w:rPr>
                <w:rFonts w:ascii="Arial" w:cs="Arial" w:eastAsia="Arial" w:hAnsi="Arial"/>
                <w:sz w:val="18"/>
                <w:szCs w:val="18"/>
                <w:b w:val="1"/>
                <w:bCs w:val="1"/>
                <w:i w:val="1"/>
                <w:iCs w:val="1"/>
                <w:color w:val="0046AD"/>
              </w:rPr>
              <w:t>Estimated Annual Amortization Expense For Each of the Next Five Years</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515"/>
        </w:trPr>
        <w:tc>
          <w:tcPr>
            <w:tcW w:w="410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2024</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3360" w:type="dxa"/>
            <w:vAlign w:val="bottom"/>
            <w:tcBorders>
              <w:bottom w:val="single" w:sz="8" w:color="DCE2E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0"/>
        </w:trPr>
        <w:tc>
          <w:tcPr>
            <w:tcW w:w="41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Estimated amortization expense</w:t>
            </w:r>
            <w:r>
              <w:rPr>
                <w:rFonts w:ascii="Arial" w:cs="Arial" w:eastAsia="Arial" w:hAnsi="Arial"/>
                <w:sz w:val="21"/>
                <w:szCs w:val="21"/>
                <w:color w:val="auto"/>
                <w:vertAlign w:val="superscript"/>
              </w:rPr>
              <w:t>(1)</w:t>
            </w:r>
          </w:p>
        </w:tc>
        <w:tc>
          <w:tcPr>
            <w:tcW w:w="900" w:type="dxa"/>
            <w:vAlign w:val="bottom"/>
            <w:shd w:val="clear" w:color="auto" w:fill="DCE2EF"/>
          </w:tcPr>
          <w:p>
            <w:pPr>
              <w:jc w:val="right"/>
              <w:ind w:right="69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w w:val="96"/>
              </w:rPr>
              <w:t>49.4</w:t>
            </w:r>
          </w:p>
        </w:tc>
        <w:tc>
          <w:tcPr>
            <w:tcW w:w="100" w:type="dxa"/>
            <w:vAlign w:val="bottom"/>
            <w:shd w:val="clear" w:color="auto" w:fill="DCE2EF"/>
          </w:tcPr>
          <w:p>
            <w:pPr>
              <w:spacing w:after="0"/>
              <w:rPr>
                <w:sz w:val="21"/>
                <w:szCs w:val="21"/>
                <w:color w:val="auto"/>
              </w:rPr>
            </w:pPr>
          </w:p>
        </w:tc>
        <w:tc>
          <w:tcPr>
            <w:tcW w:w="900" w:type="dxa"/>
            <w:vAlign w:val="bottom"/>
            <w:shd w:val="clear" w:color="auto" w:fill="DCE2EF"/>
          </w:tcPr>
          <w:p>
            <w:pPr>
              <w:jc w:val="right"/>
              <w:ind w:right="670"/>
              <w:spacing w:after="0"/>
              <w:rPr>
                <w:sz w:val="20"/>
                <w:szCs w:val="20"/>
                <w:color w:val="auto"/>
              </w:rPr>
            </w:pPr>
            <w:r>
              <w:rPr>
                <w:rFonts w:ascii="Arial" w:cs="Arial" w:eastAsia="Arial" w:hAnsi="Arial"/>
                <w:sz w:val="18"/>
                <w:szCs w:val="18"/>
                <w:color w:val="auto"/>
              </w:rPr>
              <w:t>$</w:t>
            </w:r>
          </w:p>
        </w:tc>
        <w:tc>
          <w:tcPr>
            <w:tcW w:w="4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43.8</w:t>
            </w:r>
          </w:p>
        </w:tc>
        <w:tc>
          <w:tcPr>
            <w:tcW w:w="120" w:type="dxa"/>
            <w:vAlign w:val="bottom"/>
            <w:shd w:val="clear" w:color="auto" w:fill="DCE2EF"/>
          </w:tcPr>
          <w:p>
            <w:pPr>
              <w:spacing w:after="0"/>
              <w:rPr>
                <w:sz w:val="21"/>
                <w:szCs w:val="21"/>
                <w:color w:val="auto"/>
              </w:rPr>
            </w:pPr>
          </w:p>
        </w:tc>
        <w:tc>
          <w:tcPr>
            <w:tcW w:w="300" w:type="dxa"/>
            <w:vAlign w:val="bottom"/>
            <w:shd w:val="clear" w:color="auto" w:fill="DCE2E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38.2</w:t>
            </w:r>
          </w:p>
        </w:tc>
        <w:tc>
          <w:tcPr>
            <w:tcW w:w="120" w:type="dxa"/>
            <w:vAlign w:val="bottom"/>
            <w:shd w:val="clear" w:color="auto" w:fill="DCE2EF"/>
          </w:tcPr>
          <w:p>
            <w:pPr>
              <w:spacing w:after="0"/>
              <w:rPr>
                <w:sz w:val="21"/>
                <w:szCs w:val="21"/>
                <w:color w:val="auto"/>
              </w:rPr>
            </w:pPr>
          </w:p>
        </w:tc>
        <w:tc>
          <w:tcPr>
            <w:tcW w:w="300" w:type="dxa"/>
            <w:vAlign w:val="bottom"/>
            <w:shd w:val="clear" w:color="auto" w:fill="DCE2E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DCE2EF"/>
          </w:tcPr>
          <w:p>
            <w:pPr>
              <w:spacing w:after="0"/>
              <w:rPr>
                <w:sz w:val="21"/>
                <w:szCs w:val="21"/>
                <w:color w:val="auto"/>
              </w:rPr>
            </w:pPr>
          </w:p>
        </w:tc>
        <w:tc>
          <w:tcPr>
            <w:tcW w:w="320" w:type="dxa"/>
            <w:vAlign w:val="bottom"/>
            <w:shd w:val="clear" w:color="auto" w:fill="DCE2E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29.1</w:t>
            </w:r>
          </w:p>
        </w:tc>
      </w:tr>
    </w:tbl>
    <w:p>
      <w:pPr>
        <w:spacing w:after="0" w:line="337"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21"/>
          <w:szCs w:val="21"/>
          <w:color w:val="auto"/>
          <w:vertAlign w:val="superscript"/>
        </w:rPr>
      </w:pPr>
      <w:r>
        <w:rPr>
          <w:rFonts w:ascii="Arial" w:cs="Arial" w:eastAsia="Arial" w:hAnsi="Arial"/>
          <w:sz w:val="15"/>
          <w:szCs w:val="15"/>
          <w:color w:val="auto"/>
        </w:rPr>
        <w:t>These amounts could vary as acquisitions of additional intangible assets occur in the future.</w:t>
      </w:r>
    </w:p>
    <w:p>
      <w:pPr>
        <w:spacing w:after="0" w:line="12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During 2018, we recorded an impairment charge of $6.2 million on customer relationships in the same reporting unit within the Technical Solutions segment due to the same factors discussed above. We did not record impairment charges on other intangible assets during 2019 or 2017.</w:t>
      </w:r>
    </w:p>
    <w:p>
      <w:pPr>
        <w:spacing w:after="0" w:line="10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The estimates of future cash flows used in determining the fair value of goodwill and other intangible assets involve significant management judgment and are based upon assumptions about expected future operating performance, economic conditions, market conditions, and cost of capital. Inherent in estimating the future cash flows are uncertainties beyond our control, such as changes in capital markets. The actual cash flows could differ materially from management’s estimates due to changes in business conditions, operating performance, and economic conditions.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12.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use a combination of insured and self-insurance programs to cover workers’ compensation, general liability, automobile liability, property damage, and other insurable risks. For the majority of these insurance programs, we retain the initial $ 1.0 million of exposure on a per-occurrence basis, either through deductibles or self-insured retentions. Beyond the retained exposures, we have varying primary policy limits ranging between $1.0 million and $5.0 million per occurrence. To cover general liability and automobile liability losses above these primary limits, we maintain commercial umbrella insurance policies that provide aggregate limits of $200.0 million. Our insurance policies generally cover workers’ compensation losses to the full extent of statutory requirements. Additionally, to cover property damage risks above our retained limits, we maintain policies that provide per occurrence limits of $75.0 million. We are also self-insured for certain employee medical and dental plans. We maintain stop-loss insurance for our self-insured medical plan under which we retain up to $0.5 million of exposure on a per-participant, per-year basis with respect to claims.</w:t>
      </w:r>
    </w:p>
    <w:p>
      <w:pPr>
        <w:spacing w:after="0" w:line="12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The adequacy of our reserves for workers’ compensation, general liability, automobile liability, and property damage insurance claims is based upon known trends and events and the actuarial estimates of required reserves considering the most recently completed actuarial reports. We use all available information to develop our best estimate of insurance claims reserves as information is obtained. The results of actuarial reviews are used to estimate our insurance rates and insurance reserves for future periods and to adjust reserves, if appropriate, for prior years.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Insurance Reserve Adjustments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Actuarial Reviews and Updates Performed During 2019</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review our self-insurance liabilities on a regular basis and adjust our accruals accordingly. Actual claims activity or development may vary from our assumptions and estimates, which may result in material losses or gains. As we obtain additional information that affects the assumptions and estimates used in our reserve liability calculations, we adjust our self-insurance rates and reserves for future periods and, if appropriate, adjust our reserves for claims incurred in prior accounting periods.</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first and third quarters of 2019, we performed comprehensive actuarial reviews of the majority of our casualty insurance programs, which evaluated all changes made to claims reserves and claims payment activity for the periods of May 1, 2018 through October 31, 2018 and November 1, 2018 through April 30, 2019, respectively (the “Actuarial Reviews”). The Actuarial Reviews were comprehensive in nature and were based on loss development patterns, trend assumptions, and underlying expected loss costs during the periods analyzed.</w:t>
      </w:r>
    </w:p>
    <w:p>
      <w:pPr>
        <w:spacing w:after="0" w:line="1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During the second and fourth quarters of 2019, we performed interim actuarial updates of the majority of our casualty insurance programs that considered changes in claims development and claims payment activity for the respective periods analyzed (the “Interim Updates”). These Interim Updates were abbreviated in nature based on</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95" w:right="239" w:bottom="1440" w:gutter="0" w:footer="0" w:header="0"/>
        </w:sectPr>
      </w:pPr>
    </w:p>
    <w:bookmarkStart w:id="80" w:name="page81"/>
    <w:bookmarkEnd w:id="80"/>
    <w:p>
      <w:pPr>
        <w:jc w:val="both"/>
        <w:spacing w:after="0" w:line="292" w:lineRule="auto"/>
        <w:rPr>
          <w:sz w:val="20"/>
          <w:szCs w:val="20"/>
          <w:color w:val="auto"/>
        </w:rPr>
      </w:pPr>
      <w:r>
        <w:rPr>
          <w:rFonts w:ascii="Arial" w:cs="Arial" w:eastAsia="Arial" w:hAnsi="Arial"/>
          <w:sz w:val="18"/>
          <w:szCs w:val="18"/>
          <w:color w:val="auto"/>
        </w:rPr>
        <w:t>actual versus expected development during the periods analyzed and relied on the key assumptions in the Actuarial Reviews (most notably loss development patterns, trend assumptions, and underlying expected loss costs).</w:t>
      </w:r>
    </w:p>
    <w:p>
      <w:pPr>
        <w:spacing w:after="0" w:line="91"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Based on the results of the Actuarial Reviews and Interim Updates, we decreased our total reserves for known claims as well as our estimate of the loss amounts associated with IBNR Claims for prior periods by $3.4 million during 2019. In 2018, we increased our total reserves related to prior year claims by $10.2 million.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Insurance Related Balances and Activity</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36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31, 2019</w:t>
            </w:r>
          </w:p>
        </w:tc>
        <w:tc>
          <w:tcPr>
            <w:tcW w:w="180" w:type="dxa"/>
            <w:vAlign w:val="bottom"/>
          </w:tcPr>
          <w:p>
            <w:pPr>
              <w:spacing w:after="0"/>
              <w:rPr>
                <w:sz w:val="18"/>
                <w:szCs w:val="18"/>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b w:val="1"/>
                <w:bCs w:val="1"/>
                <w:color w:val="auto"/>
              </w:rPr>
              <w:t>October 31, 2018</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662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50"/>
        </w:trPr>
        <w:tc>
          <w:tcPr>
            <w:tcW w:w="73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Insurance claim reserves, excluding medical and dental</w:t>
            </w:r>
          </w:p>
        </w:tc>
        <w:tc>
          <w:tcPr>
            <w:tcW w:w="18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507.8</w:t>
            </w:r>
          </w:p>
        </w:tc>
        <w:tc>
          <w:tcPr>
            <w:tcW w:w="120" w:type="dxa"/>
            <w:vAlign w:val="bottom"/>
            <w:shd w:val="clear" w:color="auto" w:fill="DCE2EF"/>
          </w:tcPr>
          <w:p>
            <w:pPr>
              <w:spacing w:after="0"/>
              <w:rPr>
                <w:sz w:val="21"/>
                <w:szCs w:val="21"/>
                <w:color w:val="auto"/>
              </w:rPr>
            </w:pPr>
          </w:p>
        </w:tc>
        <w:tc>
          <w:tcPr>
            <w:tcW w:w="18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501.4</w:t>
            </w:r>
          </w:p>
        </w:tc>
      </w:tr>
      <w:tr>
        <w:trPr>
          <w:trHeight w:val="265"/>
        </w:trPr>
        <w:tc>
          <w:tcPr>
            <w:tcW w:w="7360" w:type="dxa"/>
            <w:vAlign w:val="bottom"/>
            <w:gridSpan w:val="3"/>
          </w:tcPr>
          <w:p>
            <w:pPr>
              <w:ind w:left="40"/>
              <w:spacing w:after="0"/>
              <w:rPr>
                <w:sz w:val="20"/>
                <w:szCs w:val="20"/>
                <w:color w:val="auto"/>
              </w:rPr>
            </w:pPr>
            <w:r>
              <w:rPr>
                <w:rFonts w:ascii="Arial" w:cs="Arial" w:eastAsia="Arial" w:hAnsi="Arial"/>
                <w:sz w:val="18"/>
                <w:szCs w:val="18"/>
                <w:color w:val="auto"/>
              </w:rPr>
              <w:t>Medical and dental claim reserves</w:t>
            </w:r>
          </w:p>
        </w:tc>
        <w:tc>
          <w:tcPr>
            <w:tcW w:w="18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8.9</w:t>
            </w:r>
          </w:p>
        </w:tc>
      </w:tr>
      <w:tr>
        <w:trPr>
          <w:trHeight w:val="275"/>
        </w:trPr>
        <w:tc>
          <w:tcPr>
            <w:tcW w:w="73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Insurance recoverables</w:t>
            </w:r>
          </w:p>
        </w:tc>
        <w:tc>
          <w:tcPr>
            <w:tcW w:w="180" w:type="dxa"/>
            <w:vAlign w:val="bottom"/>
            <w:shd w:val="clear" w:color="auto" w:fill="DCE2EF"/>
          </w:tcPr>
          <w:p>
            <w:pPr>
              <w:spacing w:after="0"/>
              <w:rPr>
                <w:sz w:val="23"/>
                <w:szCs w:val="23"/>
                <w:color w:val="auto"/>
              </w:rPr>
            </w:pPr>
          </w:p>
        </w:tc>
        <w:tc>
          <w:tcPr>
            <w:tcW w:w="17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64.5</w:t>
            </w:r>
          </w:p>
        </w:tc>
        <w:tc>
          <w:tcPr>
            <w:tcW w:w="120" w:type="dxa"/>
            <w:vAlign w:val="bottom"/>
            <w:shd w:val="clear" w:color="auto" w:fill="DCE2EF"/>
          </w:tcPr>
          <w:p>
            <w:pPr>
              <w:spacing w:after="0"/>
              <w:rPr>
                <w:sz w:val="23"/>
                <w:szCs w:val="23"/>
                <w:color w:val="auto"/>
              </w:rPr>
            </w:pPr>
          </w:p>
        </w:tc>
        <w:tc>
          <w:tcPr>
            <w:tcW w:w="180" w:type="dxa"/>
            <w:vAlign w:val="bottom"/>
            <w:shd w:val="clear" w:color="auto" w:fill="DCE2EF"/>
          </w:tcPr>
          <w:p>
            <w:pPr>
              <w:spacing w:after="0"/>
              <w:rPr>
                <w:sz w:val="23"/>
                <w:szCs w:val="23"/>
                <w:color w:val="auto"/>
              </w:rPr>
            </w:pPr>
          </w:p>
        </w:tc>
        <w:tc>
          <w:tcPr>
            <w:tcW w:w="17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73.7</w:t>
            </w:r>
          </w:p>
        </w:tc>
      </w:tr>
    </w:tbl>
    <w:p>
      <w:pPr>
        <w:spacing w:after="0" w:line="355" w:lineRule="exact"/>
        <w:rPr>
          <w:sz w:val="20"/>
          <w:szCs w:val="20"/>
          <w:color w:val="auto"/>
        </w:rPr>
      </w:pPr>
    </w:p>
    <w:p>
      <w:pPr>
        <w:ind w:right="20" w:firstLine="648"/>
        <w:spacing w:after="0" w:line="292" w:lineRule="auto"/>
        <w:rPr>
          <w:sz w:val="20"/>
          <w:szCs w:val="20"/>
          <w:color w:val="auto"/>
        </w:rPr>
      </w:pPr>
      <w:r>
        <w:rPr>
          <w:rFonts w:ascii="Arial" w:cs="Arial" w:eastAsia="Arial" w:hAnsi="Arial"/>
          <w:sz w:val="18"/>
          <w:szCs w:val="18"/>
          <w:color w:val="auto"/>
        </w:rPr>
        <w:t>At October 31, 2019 and 2018, insurance recoverables are included in both “Other current assets” and “Other noncurrent assets” on the accompanying consolidated balance sheets.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Casualty Program Insurance Reserves Rollforward</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34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Years Ended October 31,</w:t>
            </w:r>
          </w:p>
        </w:tc>
        <w:tc>
          <w:tcPr>
            <w:tcW w:w="1220" w:type="dxa"/>
            <w:vAlign w:val="bottom"/>
            <w:tcBorders>
              <w:bottom w:val="single" w:sz="8" w:color="auto"/>
            </w:tcBorders>
          </w:tcPr>
          <w:p>
            <w:pPr>
              <w:spacing w:after="0"/>
              <w:rPr>
                <w:sz w:val="22"/>
                <w:szCs w:val="22"/>
                <w:color w:val="auto"/>
              </w:rPr>
            </w:pPr>
          </w:p>
        </w:tc>
      </w:tr>
      <w:tr>
        <w:trPr>
          <w:trHeight w:val="224"/>
        </w:trPr>
        <w:tc>
          <w:tcPr>
            <w:tcW w:w="638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564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0"/>
        </w:trPr>
        <w:tc>
          <w:tcPr>
            <w:tcW w:w="6380" w:type="dxa"/>
            <w:vAlign w:val="bottom"/>
            <w:gridSpan w:val="3"/>
            <w:shd w:val="clear" w:color="auto" w:fill="DCE2EF"/>
          </w:tcPr>
          <w:p>
            <w:pPr>
              <w:ind w:left="40"/>
              <w:spacing w:after="0"/>
              <w:rPr>
                <w:sz w:val="20"/>
                <w:szCs w:val="20"/>
                <w:color w:val="auto"/>
              </w:rPr>
            </w:pPr>
            <w:r>
              <w:rPr>
                <w:rFonts w:ascii="Arial" w:cs="Arial" w:eastAsia="Arial" w:hAnsi="Arial"/>
                <w:sz w:val="18"/>
                <w:szCs w:val="18"/>
                <w:b w:val="1"/>
                <w:bCs w:val="1"/>
                <w:color w:val="auto"/>
              </w:rPr>
              <w:t>Net balance at beginning of year</w:t>
            </w:r>
          </w:p>
        </w:tc>
        <w:tc>
          <w:tcPr>
            <w:tcW w:w="360" w:type="dxa"/>
            <w:vAlign w:val="bottom"/>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427.7</w:t>
            </w:r>
          </w:p>
        </w:tc>
        <w:tc>
          <w:tcPr>
            <w:tcW w:w="120" w:type="dxa"/>
            <w:vAlign w:val="bottom"/>
            <w:shd w:val="clear" w:color="auto" w:fill="DCE2EF"/>
          </w:tcPr>
          <w:p>
            <w:pPr>
              <w:spacing w:after="0"/>
              <w:rPr>
                <w:sz w:val="21"/>
                <w:szCs w:val="21"/>
                <w:color w:val="auto"/>
              </w:rPr>
            </w:pPr>
          </w:p>
        </w:tc>
        <w:tc>
          <w:tcPr>
            <w:tcW w:w="360" w:type="dxa"/>
            <w:vAlign w:val="bottom"/>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412.5</w:t>
            </w:r>
          </w:p>
        </w:tc>
        <w:tc>
          <w:tcPr>
            <w:tcW w:w="120" w:type="dxa"/>
            <w:vAlign w:val="bottom"/>
            <w:shd w:val="clear" w:color="auto" w:fill="DCE2EF"/>
          </w:tcPr>
          <w:p>
            <w:pPr>
              <w:spacing w:after="0"/>
              <w:rPr>
                <w:sz w:val="21"/>
                <w:szCs w:val="21"/>
                <w:color w:val="auto"/>
              </w:rPr>
            </w:pPr>
          </w:p>
        </w:tc>
        <w:tc>
          <w:tcPr>
            <w:tcW w:w="380" w:type="dxa"/>
            <w:vAlign w:val="bottom"/>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348.2</w:t>
            </w:r>
          </w:p>
        </w:tc>
      </w:tr>
      <w:tr>
        <w:trPr>
          <w:trHeight w:val="265"/>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 xml:space="preserve">Change in case reserves plus IBNR Claims </w:t>
            </w:r>
            <w:r>
              <w:rPr>
                <w:rFonts w:ascii="Arial" w:cs="Arial" w:eastAsia="Arial" w:hAnsi="Arial"/>
                <w:sz w:val="16"/>
                <w:szCs w:val="16"/>
                <w:color w:val="auto"/>
              </w:rPr>
              <w:t>—</w:t>
            </w:r>
            <w:r>
              <w:rPr>
                <w:rFonts w:ascii="Arial" w:cs="Arial" w:eastAsia="Arial" w:hAnsi="Arial"/>
                <w:sz w:val="18"/>
                <w:szCs w:val="18"/>
                <w:color w:val="auto"/>
              </w:rPr>
              <w:t xml:space="preserve"> current year</w:t>
            </w: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137.9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131.4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112.2</w:t>
            </w:r>
          </w:p>
        </w:tc>
      </w:tr>
      <w:tr>
        <w:trPr>
          <w:trHeight w:val="275"/>
        </w:trPr>
        <w:tc>
          <w:tcPr>
            <w:tcW w:w="63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 xml:space="preserve">Change in case reserves plus IBNR Claims </w:t>
            </w:r>
            <w:r>
              <w:rPr>
                <w:rFonts w:ascii="Arial" w:cs="Arial" w:eastAsia="Arial" w:hAnsi="Arial"/>
                <w:sz w:val="16"/>
                <w:szCs w:val="16"/>
                <w:color w:val="auto"/>
              </w:rPr>
              <w:t>—</w:t>
            </w:r>
            <w:r>
              <w:rPr>
                <w:rFonts w:ascii="Arial" w:cs="Arial" w:eastAsia="Arial" w:hAnsi="Arial"/>
                <w:sz w:val="18"/>
                <w:szCs w:val="18"/>
                <w:color w:val="auto"/>
              </w:rPr>
              <w:t xml:space="preserve"> prior years</w:t>
            </w:r>
          </w:p>
        </w:tc>
        <w:tc>
          <w:tcPr>
            <w:tcW w:w="360" w:type="dxa"/>
            <w:vAlign w:val="bottom"/>
            <w:shd w:val="clear" w:color="auto" w:fill="DCE2EF"/>
          </w:tcPr>
          <w:p>
            <w:pPr>
              <w:spacing w:after="0"/>
              <w:rPr>
                <w:sz w:val="23"/>
                <w:szCs w:val="23"/>
                <w:color w:val="auto"/>
              </w:rPr>
            </w:pPr>
          </w:p>
        </w:tc>
        <w:tc>
          <w:tcPr>
            <w:tcW w:w="12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DCE2EF"/>
          </w:tcPr>
          <w:p>
            <w:pPr>
              <w:spacing w:after="0"/>
              <w:rPr>
                <w:sz w:val="23"/>
                <w:szCs w:val="23"/>
                <w:color w:val="auto"/>
              </w:rPr>
            </w:pPr>
          </w:p>
        </w:tc>
        <w:tc>
          <w:tcPr>
            <w:tcW w:w="360" w:type="dxa"/>
            <w:vAlign w:val="bottom"/>
            <w:shd w:val="clear" w:color="auto" w:fill="DCE2EF"/>
          </w:tcPr>
          <w:p>
            <w:pPr>
              <w:spacing w:after="0"/>
              <w:rPr>
                <w:sz w:val="23"/>
                <w:szCs w:val="23"/>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DCE2EF"/>
          </w:tcPr>
          <w:p>
            <w:pPr>
              <w:spacing w:after="0"/>
              <w:rPr>
                <w:sz w:val="23"/>
                <w:szCs w:val="23"/>
                <w:color w:val="auto"/>
              </w:rPr>
            </w:pPr>
          </w:p>
        </w:tc>
        <w:tc>
          <w:tcPr>
            <w:tcW w:w="380" w:type="dxa"/>
            <w:vAlign w:val="bottom"/>
            <w:shd w:val="clear" w:color="auto" w:fill="DCE2EF"/>
          </w:tcPr>
          <w:p>
            <w:pPr>
              <w:spacing w:after="0"/>
              <w:rPr>
                <w:sz w:val="23"/>
                <w:szCs w:val="23"/>
                <w:color w:val="auto"/>
              </w:rPr>
            </w:pPr>
          </w:p>
        </w:tc>
        <w:tc>
          <w:tcPr>
            <w:tcW w:w="12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23.1</w:t>
            </w:r>
          </w:p>
        </w:tc>
      </w:tr>
      <w:tr>
        <w:trPr>
          <w:trHeight w:val="265"/>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Claims paid</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(105.2)</w:t>
            </w:r>
          </w:p>
        </w:tc>
      </w:tr>
      <w:tr>
        <w:trPr>
          <w:trHeight w:val="275"/>
        </w:trPr>
        <w:tc>
          <w:tcPr>
            <w:tcW w:w="63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GCA acquisition</w:t>
            </w:r>
          </w:p>
        </w:tc>
        <w:tc>
          <w:tcPr>
            <w:tcW w:w="360" w:type="dxa"/>
            <w:vAlign w:val="bottom"/>
            <w:shd w:val="clear" w:color="auto" w:fill="DCE2EF"/>
          </w:tcPr>
          <w:p>
            <w:pPr>
              <w:spacing w:after="0"/>
              <w:rPr>
                <w:sz w:val="23"/>
                <w:szCs w:val="23"/>
                <w:color w:val="auto"/>
              </w:rPr>
            </w:pPr>
          </w:p>
        </w:tc>
        <w:tc>
          <w:tcPr>
            <w:tcW w:w="1360" w:type="dxa"/>
            <w:vAlign w:val="bottom"/>
            <w:gridSpan w:val="2"/>
            <w:shd w:val="clear" w:color="auto" w:fill="DCE2E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DCE2EF"/>
          </w:tcPr>
          <w:p>
            <w:pPr>
              <w:spacing w:after="0"/>
              <w:rPr>
                <w:sz w:val="23"/>
                <w:szCs w:val="23"/>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DCE2EF"/>
          </w:tcPr>
          <w:p>
            <w:pPr>
              <w:spacing w:after="0"/>
              <w:rPr>
                <w:sz w:val="23"/>
                <w:szCs w:val="23"/>
                <w:color w:val="auto"/>
              </w:rPr>
            </w:pPr>
          </w:p>
        </w:tc>
        <w:tc>
          <w:tcPr>
            <w:tcW w:w="380" w:type="dxa"/>
            <w:vAlign w:val="bottom"/>
            <w:shd w:val="clear" w:color="auto" w:fill="DCE2EF"/>
          </w:tcPr>
          <w:p>
            <w:pPr>
              <w:spacing w:after="0"/>
              <w:rPr>
                <w:sz w:val="23"/>
                <w:szCs w:val="23"/>
                <w:color w:val="auto"/>
              </w:rPr>
            </w:pPr>
          </w:p>
        </w:tc>
        <w:tc>
          <w:tcPr>
            <w:tcW w:w="12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34.1</w:t>
            </w:r>
          </w:p>
        </w:tc>
      </w:tr>
      <w:tr>
        <w:trPr>
          <w:trHeight w:val="250"/>
        </w:trPr>
        <w:tc>
          <w:tcPr>
            <w:tcW w:w="638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balance, October 31</w:t>
            </w:r>
            <w:r>
              <w:rPr>
                <w:rFonts w:ascii="Arial" w:cs="Arial" w:eastAsia="Arial" w:hAnsi="Arial"/>
                <w:sz w:val="21"/>
                <w:szCs w:val="21"/>
                <w:b w:val="1"/>
                <w:bCs w:val="1"/>
                <w:color w:val="auto"/>
                <w:vertAlign w:val="superscript"/>
              </w:rPr>
              <w:t>(1)</w:t>
            </w:r>
          </w:p>
        </w:tc>
        <w:tc>
          <w:tcPr>
            <w:tcW w:w="3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443.3</w:t>
            </w: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427.7</w:t>
            </w: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412.5</w:t>
            </w:r>
          </w:p>
        </w:tc>
      </w:tr>
      <w:tr>
        <w:trPr>
          <w:trHeight w:val="269"/>
        </w:trPr>
        <w:tc>
          <w:tcPr>
            <w:tcW w:w="6380" w:type="dxa"/>
            <w:vAlign w:val="bottom"/>
            <w:gridSpan w:val="3"/>
            <w:shd w:val="clear" w:color="auto" w:fill="DCE2EF"/>
          </w:tcPr>
          <w:p>
            <w:pPr>
              <w:ind w:left="40"/>
              <w:spacing w:after="0"/>
              <w:rPr>
                <w:sz w:val="20"/>
                <w:szCs w:val="20"/>
                <w:color w:val="auto"/>
              </w:rPr>
            </w:pPr>
            <w:r>
              <w:rPr>
                <w:rFonts w:ascii="Arial" w:cs="Arial" w:eastAsia="Arial" w:hAnsi="Arial"/>
                <w:sz w:val="18"/>
                <w:szCs w:val="18"/>
                <w:b w:val="1"/>
                <w:bCs w:val="1"/>
                <w:color w:val="auto"/>
              </w:rPr>
              <w:t>Recoverables</w:t>
            </w:r>
          </w:p>
        </w:tc>
        <w:tc>
          <w:tcPr>
            <w:tcW w:w="360" w:type="dxa"/>
            <w:vAlign w:val="bottom"/>
            <w:tcBorders>
              <w:bottom w:val="single" w:sz="8" w:color="auto"/>
            </w:tcBorders>
            <w:shd w:val="clear" w:color="auto" w:fill="DCE2EF"/>
          </w:tcPr>
          <w:p>
            <w:pPr>
              <w:spacing w:after="0"/>
              <w:rPr>
                <w:sz w:val="23"/>
                <w:szCs w:val="23"/>
                <w:color w:val="auto"/>
              </w:rPr>
            </w:pP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64.5</w:t>
            </w:r>
          </w:p>
        </w:tc>
        <w:tc>
          <w:tcPr>
            <w:tcW w:w="120" w:type="dxa"/>
            <w:vAlign w:val="bottom"/>
            <w:shd w:val="clear" w:color="auto" w:fill="DCE2EF"/>
          </w:tcPr>
          <w:p>
            <w:pPr>
              <w:spacing w:after="0"/>
              <w:rPr>
                <w:sz w:val="23"/>
                <w:szCs w:val="23"/>
                <w:color w:val="auto"/>
              </w:rPr>
            </w:pPr>
          </w:p>
        </w:tc>
        <w:tc>
          <w:tcPr>
            <w:tcW w:w="360" w:type="dxa"/>
            <w:vAlign w:val="bottom"/>
            <w:tcBorders>
              <w:bottom w:val="single" w:sz="8" w:color="auto"/>
            </w:tcBorders>
            <w:shd w:val="clear" w:color="auto" w:fill="DCE2EF"/>
          </w:tcPr>
          <w:p>
            <w:pPr>
              <w:spacing w:after="0"/>
              <w:rPr>
                <w:sz w:val="23"/>
                <w:szCs w:val="23"/>
                <w:color w:val="auto"/>
              </w:rPr>
            </w:pP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73.7</w:t>
            </w:r>
          </w:p>
        </w:tc>
        <w:tc>
          <w:tcPr>
            <w:tcW w:w="120" w:type="dxa"/>
            <w:vAlign w:val="bottom"/>
            <w:shd w:val="clear" w:color="auto" w:fill="DCE2EF"/>
          </w:tcPr>
          <w:p>
            <w:pPr>
              <w:spacing w:after="0"/>
              <w:rPr>
                <w:sz w:val="23"/>
                <w:szCs w:val="23"/>
                <w:color w:val="auto"/>
              </w:rPr>
            </w:pPr>
          </w:p>
        </w:tc>
        <w:tc>
          <w:tcPr>
            <w:tcW w:w="380" w:type="dxa"/>
            <w:vAlign w:val="bottom"/>
            <w:tcBorders>
              <w:bottom w:val="single" w:sz="8" w:color="auto"/>
            </w:tcBorders>
            <w:shd w:val="clear" w:color="auto" w:fill="DCE2EF"/>
          </w:tcPr>
          <w:p>
            <w:pPr>
              <w:spacing w:after="0"/>
              <w:rPr>
                <w:sz w:val="23"/>
                <w:szCs w:val="23"/>
                <w:color w:val="auto"/>
              </w:rPr>
            </w:pPr>
          </w:p>
        </w:tc>
        <w:tc>
          <w:tcPr>
            <w:tcW w:w="122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73.1</w:t>
            </w:r>
          </w:p>
        </w:tc>
      </w:tr>
      <w:tr>
        <w:trPr>
          <w:trHeight w:val="251"/>
        </w:trPr>
        <w:tc>
          <w:tcPr>
            <w:tcW w:w="6380" w:type="dxa"/>
            <w:vAlign w:val="bottom"/>
            <w:gridSpan w:val="3"/>
          </w:tcPr>
          <w:p>
            <w:pPr>
              <w:ind w:left="40"/>
              <w:spacing w:after="0"/>
              <w:rPr>
                <w:sz w:val="20"/>
                <w:szCs w:val="20"/>
                <w:color w:val="auto"/>
              </w:rPr>
            </w:pPr>
            <w:r>
              <w:rPr>
                <w:rFonts w:ascii="Arial" w:cs="Arial" w:eastAsia="Arial" w:hAnsi="Arial"/>
                <w:sz w:val="18"/>
                <w:szCs w:val="18"/>
                <w:b w:val="1"/>
                <w:bCs w:val="1"/>
                <w:color w:val="auto"/>
              </w:rPr>
              <w:t>Gross balance, October 31</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507.8</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501.4</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485.6</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180" w:hanging="172"/>
        <w:spacing w:after="0"/>
        <w:tabs>
          <w:tab w:leader="none" w:pos="180" w:val="left"/>
        </w:tabs>
        <w:numPr>
          <w:ilvl w:val="0"/>
          <w:numId w:val="38"/>
        </w:numPr>
        <w:rPr>
          <w:rFonts w:ascii="Arial" w:cs="Arial" w:eastAsia="Arial" w:hAnsi="Arial"/>
          <w:sz w:val="21"/>
          <w:szCs w:val="21"/>
          <w:color w:val="auto"/>
          <w:vertAlign w:val="superscript"/>
        </w:rPr>
      </w:pPr>
      <w:r>
        <w:rPr>
          <w:rFonts w:ascii="Arial" w:cs="Arial" w:eastAsia="Arial" w:hAnsi="Arial"/>
          <w:sz w:val="15"/>
          <w:szCs w:val="15"/>
          <w:color w:val="auto"/>
        </w:rPr>
        <w:t>Includes reserves related to discontinued operations of approximately $1 million for 2019, $3 million for 2018, and $10 million for 2017.</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Instruments Used to Collateralize Our Insurance Obligations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October 31,</w:t>
            </w:r>
          </w:p>
        </w:tc>
        <w:tc>
          <w:tcPr>
            <w:tcW w:w="1200" w:type="dxa"/>
            <w:vAlign w:val="bottom"/>
            <w:tcBorders>
              <w:bottom w:val="single" w:sz="8" w:color="auto"/>
            </w:tcBorders>
          </w:tcPr>
          <w:p>
            <w:pPr>
              <w:spacing w:after="0"/>
              <w:rPr>
                <w:sz w:val="22"/>
                <w:szCs w:val="22"/>
                <w:color w:val="auto"/>
              </w:rPr>
            </w:pPr>
          </w:p>
        </w:tc>
      </w:tr>
      <w:tr>
        <w:trPr>
          <w:trHeight w:val="224"/>
        </w:trPr>
        <w:tc>
          <w:tcPr>
            <w:tcW w:w="742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60" w:type="dxa"/>
            <w:vAlign w:val="bottom"/>
          </w:tcPr>
          <w:p>
            <w:pPr>
              <w:spacing w:after="0"/>
              <w:rPr>
                <w:sz w:val="19"/>
                <w:szCs w:val="19"/>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tcPr>
          <w:p>
            <w:pPr>
              <w:jc w:val="right"/>
              <w:ind w:right="690"/>
              <w:spacing w:after="0"/>
              <w:rPr>
                <w:sz w:val="20"/>
                <w:szCs w:val="20"/>
                <w:color w:val="auto"/>
              </w:rPr>
            </w:pPr>
            <w:r>
              <w:rPr>
                <w:rFonts w:ascii="Arial" w:cs="Arial" w:eastAsia="Arial" w:hAnsi="Arial"/>
                <w:sz w:val="18"/>
                <w:szCs w:val="18"/>
                <w:b w:val="1"/>
                <w:bCs w:val="1"/>
                <w:color w:val="auto"/>
                <w:w w:val="99"/>
              </w:rPr>
              <w:t>2018</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6680" w:type="dxa"/>
            <w:vAlign w:val="bottom"/>
            <w:tcBorders>
              <w:bottom w:val="single" w:sz="8" w:color="DCE2E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50"/>
        </w:trPr>
        <w:tc>
          <w:tcPr>
            <w:tcW w:w="742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Standby letters of credit</w:t>
            </w:r>
          </w:p>
        </w:tc>
        <w:tc>
          <w:tcPr>
            <w:tcW w:w="460" w:type="dxa"/>
            <w:vAlign w:val="bottom"/>
            <w:shd w:val="clear" w:color="auto" w:fill="DCE2E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141.0</w:t>
            </w:r>
          </w:p>
        </w:tc>
        <w:tc>
          <w:tcPr>
            <w:tcW w:w="120" w:type="dxa"/>
            <w:vAlign w:val="bottom"/>
            <w:shd w:val="clear" w:color="auto" w:fill="DCE2EF"/>
          </w:tcPr>
          <w:p>
            <w:pPr>
              <w:spacing w:after="0"/>
              <w:rPr>
                <w:sz w:val="21"/>
                <w:szCs w:val="21"/>
                <w:color w:val="auto"/>
              </w:rPr>
            </w:pPr>
          </w:p>
        </w:tc>
        <w:tc>
          <w:tcPr>
            <w:tcW w:w="740" w:type="dxa"/>
            <w:vAlign w:val="bottom"/>
            <w:shd w:val="clear" w:color="auto" w:fill="DCE2EF"/>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144.1</w:t>
            </w:r>
          </w:p>
        </w:tc>
      </w:tr>
      <w:tr>
        <w:trPr>
          <w:trHeight w:val="265"/>
        </w:trPr>
        <w:tc>
          <w:tcPr>
            <w:tcW w:w="7420" w:type="dxa"/>
            <w:vAlign w:val="bottom"/>
            <w:gridSpan w:val="3"/>
          </w:tcPr>
          <w:p>
            <w:pPr>
              <w:ind w:left="40"/>
              <w:spacing w:after="0"/>
              <w:rPr>
                <w:sz w:val="20"/>
                <w:szCs w:val="20"/>
                <w:color w:val="auto"/>
              </w:rPr>
            </w:pPr>
            <w:r>
              <w:rPr>
                <w:rFonts w:ascii="Arial" w:cs="Arial" w:eastAsia="Arial" w:hAnsi="Arial"/>
                <w:sz w:val="18"/>
                <w:szCs w:val="18"/>
                <w:color w:val="auto"/>
              </w:rPr>
              <w:t>Surety bonds</w:t>
            </w:r>
          </w:p>
        </w:tc>
        <w:tc>
          <w:tcPr>
            <w:tcW w:w="46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90.8</w:t>
            </w: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89.2</w:t>
            </w:r>
          </w:p>
        </w:tc>
      </w:tr>
      <w:tr>
        <w:trPr>
          <w:trHeight w:val="270"/>
        </w:trPr>
        <w:tc>
          <w:tcPr>
            <w:tcW w:w="742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Restricted insurance deposits</w:t>
            </w:r>
          </w:p>
        </w:tc>
        <w:tc>
          <w:tcPr>
            <w:tcW w:w="460" w:type="dxa"/>
            <w:vAlign w:val="bottom"/>
            <w:tcBorders>
              <w:bottom w:val="single" w:sz="8" w:color="auto"/>
            </w:tcBorders>
            <w:shd w:val="clear" w:color="auto" w:fill="DCE2EF"/>
          </w:tcPr>
          <w:p>
            <w:pPr>
              <w:spacing w:after="0"/>
              <w:rPr>
                <w:sz w:val="23"/>
                <w:szCs w:val="23"/>
                <w:color w:val="auto"/>
              </w:rPr>
            </w:pPr>
          </w:p>
        </w:tc>
        <w:tc>
          <w:tcPr>
            <w:tcW w:w="148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DCE2EF"/>
          </w:tcPr>
          <w:p>
            <w:pPr>
              <w:spacing w:after="0"/>
              <w:rPr>
                <w:sz w:val="23"/>
                <w:szCs w:val="23"/>
                <w:color w:val="auto"/>
              </w:rPr>
            </w:pPr>
          </w:p>
        </w:tc>
        <w:tc>
          <w:tcPr>
            <w:tcW w:w="740" w:type="dxa"/>
            <w:vAlign w:val="bottom"/>
            <w:tcBorders>
              <w:bottom w:val="single" w:sz="8" w:color="auto"/>
            </w:tcBorders>
            <w:shd w:val="clear" w:color="auto" w:fill="DCE2EF"/>
          </w:tcPr>
          <w:p>
            <w:pPr>
              <w:spacing w:after="0"/>
              <w:rPr>
                <w:sz w:val="23"/>
                <w:szCs w:val="23"/>
                <w:color w:val="auto"/>
              </w:rPr>
            </w:pPr>
          </w:p>
        </w:tc>
        <w:tc>
          <w:tcPr>
            <w:tcW w:w="120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0.6</w:t>
            </w:r>
          </w:p>
        </w:tc>
      </w:tr>
      <w:tr>
        <w:trPr>
          <w:trHeight w:val="255"/>
        </w:trPr>
        <w:tc>
          <w:tcPr>
            <w:tcW w:w="742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232.6</w:t>
            </w:r>
          </w:p>
        </w:tc>
        <w:tc>
          <w:tcPr>
            <w:tcW w:w="120" w:type="dxa"/>
            <w:vAlign w:val="bottom"/>
          </w:tcPr>
          <w:p>
            <w:pPr>
              <w:spacing w:after="0"/>
              <w:rPr>
                <w:sz w:val="22"/>
                <w:szCs w:val="22"/>
                <w:color w:val="auto"/>
              </w:rPr>
            </w:pP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233.9</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95"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0046AD"/>
        </w:rPr>
        <w:t>13.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On September 1, 2017, we refinanced and replaced our then-existing $800.0 million credit facility with a new senior, secured five-year syndicated credit facility (the “Credit Facility”), consisting of a $900.0 million revolving line of credit and an $800.0 million amortizing term loan, scheduled to mature on September 1, 2022. In accordance with the terms of the Credit Facility, the line of credit was reduced to $800.0 million on September 1, 2018. The Credit Facility also provides for the issuance of up to $ 300.0 million for standby letters of credit and the issuance of up to $75.0 million in swingline advances. The obligations under the Credit Facility are secured on a first-priority basis by a lien on substantially all of our assets and properties, subject to certain exceptions.</w:t>
      </w:r>
    </w:p>
    <w:p>
      <w:pPr>
        <w:spacing w:after="0" w:line="12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Borrowings under the Credit Facility bear interest at a rate equal to 1-month LIBOR plus a spread that is based upon our leverage ratio. The spread ranges from 1.00% to 2.25% for Eurocurrency loans and 0.00% to 1.25% for base rate loans. At October 31, 2019, the weighted average interest rate on our outstanding borrowings was 4.05%. We also pay a commitment fee, based on our leverage ratio, ranging from 0.200% to 0.350% on the average daily unused portion of the line of credit that is paid quarterly in arrears. For purposes of this calculation, irrevocable standby letters of credit, which are issued primarily in conjunction with our insurance programs, and cash borrowings are included as outstanding under the line of credit.</w:t>
      </w:r>
    </w:p>
    <w:p>
      <w:pPr>
        <w:spacing w:after="0" w:line="12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The Credit Facility, as amended, contains certain covenants, including a current maximum leverage ratio of 4.00 to 1.0 that steps down by 25 basis points annually each July to 3.50 to 1.0 by July 2021 and a minimum fixed charge coverage ratio of 1.50 to 1.0, as well as other financial and non-financial covenants. In the event of a material acquisition, as defined in the Credit Facility, we may elect to increase the leverage ratio to 3.75 to 1.0 for a total of four fiscal quarters, provided the leverage ratio had already been reduced to 3.50 to 1.0. Our borrowing capacity is subject to, and limited by, compliance with the covenants described above. At October 31, 2019, we were in compliance with these covenants.</w:t>
      </w:r>
    </w:p>
    <w:p>
      <w:pPr>
        <w:spacing w:after="0" w:line="12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The Credit Facility also includes customary events of default, including failure to pay principal, interest, or fees when due, failure to comply with covenants, the occurrence of certain material judgments, or a change in control of the Company. If certain events of default occur, including certain cross-defaults, insolvency, change in control, or violation of specific covenants, the lenders can terminate or suspend our access to the Credit Facility, declare all amounts outstanding (including all accrued interest and unpaid fees) to be immediately due and payable, and require that we cash collateralize the outstanding standby letters of credit.</w:t>
      </w:r>
    </w:p>
    <w:p>
      <w:pPr>
        <w:spacing w:after="0" w:line="121"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18"/>
          <w:szCs w:val="18"/>
          <w:color w:val="auto"/>
        </w:rPr>
        <w:t>Total deferred financing costs related to the Credit Facility were $18.7 million, consisting of $ 13.4 million related to the term loan and $5.2 million related to the line of credit, which are being amortized to interest expense over the term of the Credit Facility.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Credit Facility Information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18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Pr>
          <w:p>
            <w:pPr>
              <w:spacing w:after="0"/>
              <w:rPr>
                <w:sz w:val="18"/>
                <w:szCs w:val="18"/>
                <w:color w:val="auto"/>
              </w:rPr>
            </w:pPr>
          </w:p>
        </w:tc>
        <w:tc>
          <w:tcPr>
            <w:tcW w:w="1960" w:type="dxa"/>
            <w:vAlign w:val="bottom"/>
            <w:gridSpan w:val="2"/>
          </w:tcPr>
          <w:p>
            <w:pPr>
              <w:ind w:left="100"/>
              <w:spacing w:after="0"/>
              <w:rPr>
                <w:sz w:val="20"/>
                <w:szCs w:val="20"/>
                <w:color w:val="auto"/>
              </w:rPr>
            </w:pPr>
            <w:r>
              <w:rPr>
                <w:rFonts w:ascii="Arial" w:cs="Arial" w:eastAsia="Arial" w:hAnsi="Arial"/>
                <w:sz w:val="18"/>
                <w:szCs w:val="18"/>
                <w:b w:val="1"/>
                <w:bCs w:val="1"/>
                <w:color w:val="auto"/>
              </w:rPr>
              <w:t>October 31, 2019</w:t>
            </w:r>
          </w:p>
        </w:tc>
        <w:tc>
          <w:tcPr>
            <w:tcW w:w="220" w:type="dxa"/>
            <w:vAlign w:val="bottom"/>
          </w:tcPr>
          <w:p>
            <w:pPr>
              <w:spacing w:after="0"/>
              <w:rPr>
                <w:sz w:val="18"/>
                <w:szCs w:val="18"/>
                <w:color w:val="auto"/>
              </w:rPr>
            </w:pPr>
          </w:p>
        </w:tc>
        <w:tc>
          <w:tcPr>
            <w:tcW w:w="1840" w:type="dxa"/>
            <w:vAlign w:val="bottom"/>
          </w:tcPr>
          <w:p>
            <w:pPr>
              <w:jc w:val="right"/>
              <w:ind w:right="230"/>
              <w:spacing w:after="0"/>
              <w:rPr>
                <w:sz w:val="20"/>
                <w:szCs w:val="20"/>
                <w:color w:val="auto"/>
              </w:rPr>
            </w:pPr>
            <w:r>
              <w:rPr>
                <w:rFonts w:ascii="Arial" w:cs="Arial" w:eastAsia="Arial" w:hAnsi="Arial"/>
                <w:sz w:val="18"/>
                <w:szCs w:val="18"/>
                <w:b w:val="1"/>
                <w:bCs w:val="1"/>
                <w:color w:val="auto"/>
              </w:rPr>
              <w:t>October 31, 2018</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644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64"/>
        </w:trPr>
        <w:tc>
          <w:tcPr>
            <w:tcW w:w="71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shd w:val="clear" w:color="auto" w:fill="DCE2EF"/>
          </w:tcPr>
          <w:p>
            <w:pPr>
              <w:spacing w:after="0"/>
              <w:rPr>
                <w:sz w:val="22"/>
                <w:szCs w:val="22"/>
                <w:color w:val="auto"/>
              </w:rPr>
            </w:pPr>
          </w:p>
        </w:tc>
        <w:tc>
          <w:tcPr>
            <w:tcW w:w="184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220" w:type="dxa"/>
            <w:vAlign w:val="bottom"/>
            <w:shd w:val="clear" w:color="auto" w:fill="DCE2EF"/>
          </w:tcPr>
          <w:p>
            <w:pPr>
              <w:spacing w:after="0"/>
              <w:rPr>
                <w:sz w:val="22"/>
                <w:szCs w:val="22"/>
                <w:color w:val="auto"/>
              </w:rPr>
            </w:pPr>
          </w:p>
        </w:tc>
        <w:tc>
          <w:tcPr>
            <w:tcW w:w="1840" w:type="dxa"/>
            <w:vAlign w:val="bottom"/>
            <w:shd w:val="clear" w:color="auto" w:fill="DCE2EF"/>
          </w:tcPr>
          <w:p>
            <w:pPr>
              <w:spacing w:after="0"/>
              <w:rPr>
                <w:sz w:val="22"/>
                <w:szCs w:val="22"/>
                <w:color w:val="auto"/>
              </w:rPr>
            </w:pPr>
          </w:p>
        </w:tc>
      </w:tr>
      <w:tr>
        <w:trPr>
          <w:trHeight w:val="265"/>
        </w:trPr>
        <w:tc>
          <w:tcPr>
            <w:tcW w:w="40" w:type="dxa"/>
            <w:vAlign w:val="bottom"/>
          </w:tcPr>
          <w:p>
            <w:pPr>
              <w:spacing w:after="0"/>
              <w:rPr>
                <w:sz w:val="23"/>
                <w:szCs w:val="23"/>
                <w:color w:val="auto"/>
              </w:rPr>
            </w:pPr>
          </w:p>
        </w:tc>
        <w:tc>
          <w:tcPr>
            <w:tcW w:w="7140" w:type="dxa"/>
            <w:vAlign w:val="bottom"/>
            <w:gridSpan w:val="2"/>
          </w:tcPr>
          <w:p>
            <w:pPr>
              <w:ind w:left="240"/>
              <w:spacing w:after="0"/>
              <w:rPr>
                <w:sz w:val="20"/>
                <w:szCs w:val="20"/>
                <w:color w:val="auto"/>
              </w:rPr>
            </w:pPr>
            <w:r>
              <w:rPr>
                <w:rFonts w:ascii="Arial" w:cs="Arial" w:eastAsia="Arial" w:hAnsi="Arial"/>
                <w:sz w:val="18"/>
                <w:szCs w:val="18"/>
                <w:color w:val="auto"/>
              </w:rPr>
              <w:t>Gross term loan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40.0</w:t>
            </w:r>
          </w:p>
        </w:tc>
      </w:tr>
      <w:tr>
        <w:trPr>
          <w:trHeight w:val="275"/>
        </w:trPr>
        <w:tc>
          <w:tcPr>
            <w:tcW w:w="40" w:type="dxa"/>
            <w:vAlign w:val="bottom"/>
            <w:shd w:val="clear" w:color="auto" w:fill="DCE2EF"/>
          </w:tcPr>
          <w:p>
            <w:pPr>
              <w:spacing w:after="0"/>
              <w:rPr>
                <w:sz w:val="23"/>
                <w:szCs w:val="23"/>
                <w:color w:val="auto"/>
              </w:rPr>
            </w:pPr>
          </w:p>
        </w:tc>
        <w:tc>
          <w:tcPr>
            <w:tcW w:w="7140" w:type="dxa"/>
            <w:vAlign w:val="bottom"/>
            <w:gridSpan w:val="2"/>
            <w:shd w:val="clear" w:color="auto" w:fill="DCE2EF"/>
          </w:tcPr>
          <w:p>
            <w:pPr>
              <w:ind w:left="240"/>
              <w:spacing w:after="0"/>
              <w:rPr>
                <w:sz w:val="20"/>
                <w:szCs w:val="20"/>
                <w:color w:val="auto"/>
              </w:rPr>
            </w:pPr>
            <w:r>
              <w:rPr>
                <w:rFonts w:ascii="Arial" w:cs="Arial" w:eastAsia="Arial" w:hAnsi="Arial"/>
                <w:sz w:val="18"/>
                <w:szCs w:val="18"/>
                <w:color w:val="auto"/>
              </w:rPr>
              <w:t>Unamortized deferred financing costs</w:t>
            </w:r>
          </w:p>
        </w:tc>
        <w:tc>
          <w:tcPr>
            <w:tcW w:w="220" w:type="dxa"/>
            <w:vAlign w:val="bottom"/>
            <w:tcBorders>
              <w:bottom w:val="single" w:sz="8" w:color="auto"/>
            </w:tcBorders>
            <w:shd w:val="clear" w:color="auto" w:fill="DCE2EF"/>
          </w:tcPr>
          <w:p>
            <w:pPr>
              <w:spacing w:after="0"/>
              <w:rPr>
                <w:sz w:val="23"/>
                <w:szCs w:val="23"/>
                <w:color w:val="auto"/>
              </w:rPr>
            </w:pPr>
          </w:p>
        </w:tc>
        <w:tc>
          <w:tcPr>
            <w:tcW w:w="18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DCE2EF"/>
          </w:tcPr>
          <w:p>
            <w:pPr>
              <w:spacing w:after="0"/>
              <w:rPr>
                <w:sz w:val="23"/>
                <w:szCs w:val="23"/>
                <w:color w:val="auto"/>
              </w:rPr>
            </w:pPr>
          </w:p>
        </w:tc>
        <w:tc>
          <w:tcPr>
            <w:tcW w:w="220" w:type="dxa"/>
            <w:vAlign w:val="bottom"/>
            <w:tcBorders>
              <w:bottom w:val="single" w:sz="8" w:color="auto"/>
            </w:tcBorders>
            <w:shd w:val="clear" w:color="auto" w:fill="DCE2EF"/>
          </w:tcPr>
          <w:p>
            <w:pPr>
              <w:spacing w:after="0"/>
              <w:rPr>
                <w:sz w:val="23"/>
                <w:szCs w:val="23"/>
                <w:color w:val="auto"/>
              </w:rPr>
            </w:pPr>
          </w:p>
        </w:tc>
        <w:tc>
          <w:tcPr>
            <w:tcW w:w="18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(3.0)</w:t>
            </w:r>
          </w:p>
        </w:tc>
      </w:tr>
      <w:tr>
        <w:trPr>
          <w:trHeight w:val="245"/>
        </w:trPr>
        <w:tc>
          <w:tcPr>
            <w:tcW w:w="40" w:type="dxa"/>
            <w:vAlign w:val="bottom"/>
            <w:tcBorders>
              <w:bottom w:val="single" w:sz="8" w:color="DCE2EF"/>
            </w:tcBorders>
          </w:tcPr>
          <w:p>
            <w:pPr>
              <w:spacing w:after="0"/>
              <w:rPr>
                <w:sz w:val="21"/>
                <w:szCs w:val="21"/>
                <w:color w:val="auto"/>
              </w:rPr>
            </w:pPr>
          </w:p>
        </w:tc>
        <w:tc>
          <w:tcPr>
            <w:tcW w:w="7140" w:type="dxa"/>
            <w:vAlign w:val="bottom"/>
            <w:tcBorders>
              <w:bottom w:val="single" w:sz="8" w:color="DCE2EF"/>
            </w:tcBorders>
            <w:gridSpan w:val="2"/>
          </w:tcPr>
          <w:p>
            <w:pPr>
              <w:ind w:left="460"/>
              <w:spacing w:after="0"/>
              <w:rPr>
                <w:sz w:val="20"/>
                <w:szCs w:val="20"/>
                <w:color w:val="auto"/>
              </w:rPr>
            </w:pPr>
            <w:r>
              <w:rPr>
                <w:rFonts w:ascii="Arial" w:cs="Arial" w:eastAsia="Arial" w:hAnsi="Arial"/>
                <w:sz w:val="18"/>
                <w:szCs w:val="18"/>
                <w:color w:val="auto"/>
              </w:rPr>
              <w:t>Current portion of term loan</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57.2</w:t>
            </w:r>
          </w:p>
        </w:tc>
        <w:tc>
          <w:tcPr>
            <w:tcW w:w="120" w:type="dxa"/>
            <w:vAlign w:val="bottom"/>
            <w:tcBorders>
              <w:bottom w:val="single" w:sz="8" w:color="DCE2EF"/>
            </w:tcBorders>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37.0</w:t>
            </w:r>
          </w:p>
        </w:tc>
      </w:tr>
      <w:tr>
        <w:trPr>
          <w:trHeight w:val="322"/>
        </w:trPr>
        <w:tc>
          <w:tcPr>
            <w:tcW w:w="40" w:type="dxa"/>
            <w:vAlign w:val="bottom"/>
            <w:shd w:val="clear" w:color="auto" w:fill="DCE2EF"/>
          </w:tcPr>
          <w:p>
            <w:pPr>
              <w:spacing w:after="0"/>
              <w:rPr>
                <w:sz w:val="24"/>
                <w:szCs w:val="24"/>
                <w:color w:val="auto"/>
              </w:rPr>
            </w:pPr>
          </w:p>
        </w:tc>
        <w:tc>
          <w:tcPr>
            <w:tcW w:w="700" w:type="dxa"/>
            <w:vAlign w:val="bottom"/>
            <w:shd w:val="clear" w:color="auto" w:fill="DCE2EF"/>
          </w:tcPr>
          <w:p>
            <w:pPr>
              <w:spacing w:after="0"/>
              <w:rPr>
                <w:sz w:val="24"/>
                <w:szCs w:val="24"/>
                <w:color w:val="auto"/>
              </w:rPr>
            </w:pPr>
          </w:p>
        </w:tc>
        <w:tc>
          <w:tcPr>
            <w:tcW w:w="644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184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1840" w:type="dxa"/>
            <w:vAlign w:val="bottom"/>
            <w:shd w:val="clear" w:color="auto" w:fill="DCE2EF"/>
          </w:tcPr>
          <w:p>
            <w:pPr>
              <w:spacing w:after="0"/>
              <w:rPr>
                <w:sz w:val="24"/>
                <w:szCs w:val="24"/>
                <w:color w:val="auto"/>
              </w:rPr>
            </w:pPr>
          </w:p>
        </w:tc>
      </w:tr>
      <w:tr>
        <w:trPr>
          <w:trHeight w:val="265"/>
        </w:trPr>
        <w:tc>
          <w:tcPr>
            <w:tcW w:w="7180" w:type="dxa"/>
            <w:vAlign w:val="bottom"/>
            <w:gridSpan w:val="3"/>
          </w:tcPr>
          <w:p>
            <w:pPr>
              <w:ind w:left="4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5"/>
        </w:trPr>
        <w:tc>
          <w:tcPr>
            <w:tcW w:w="40" w:type="dxa"/>
            <w:vAlign w:val="bottom"/>
            <w:shd w:val="clear" w:color="auto" w:fill="DCE2EF"/>
          </w:tcPr>
          <w:p>
            <w:pPr>
              <w:spacing w:after="0"/>
              <w:rPr>
                <w:sz w:val="23"/>
                <w:szCs w:val="23"/>
                <w:color w:val="auto"/>
              </w:rPr>
            </w:pPr>
          </w:p>
        </w:tc>
        <w:tc>
          <w:tcPr>
            <w:tcW w:w="7140" w:type="dxa"/>
            <w:vAlign w:val="bottom"/>
            <w:gridSpan w:val="2"/>
            <w:shd w:val="clear" w:color="auto" w:fill="DCE2EF"/>
          </w:tcPr>
          <w:p>
            <w:pPr>
              <w:ind w:left="240"/>
              <w:spacing w:after="0"/>
              <w:rPr>
                <w:sz w:val="20"/>
                <w:szCs w:val="20"/>
                <w:color w:val="auto"/>
              </w:rPr>
            </w:pPr>
            <w:r>
              <w:rPr>
                <w:rFonts w:ascii="Arial" w:cs="Arial" w:eastAsia="Arial" w:hAnsi="Arial"/>
                <w:sz w:val="18"/>
                <w:szCs w:val="18"/>
                <w:color w:val="auto"/>
              </w:rPr>
              <w:t>Gross term loan</w:t>
            </w:r>
          </w:p>
        </w:tc>
        <w:tc>
          <w:tcPr>
            <w:tcW w:w="2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680.0</w:t>
            </w:r>
          </w:p>
        </w:tc>
        <w:tc>
          <w:tcPr>
            <w:tcW w:w="120" w:type="dxa"/>
            <w:vAlign w:val="bottom"/>
            <w:shd w:val="clear" w:color="auto" w:fill="DCE2EF"/>
          </w:tcPr>
          <w:p>
            <w:pPr>
              <w:spacing w:after="0"/>
              <w:rPr>
                <w:sz w:val="23"/>
                <w:szCs w:val="23"/>
                <w:color w:val="auto"/>
              </w:rPr>
            </w:pPr>
          </w:p>
        </w:tc>
        <w:tc>
          <w:tcPr>
            <w:tcW w:w="2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740.0</w:t>
            </w:r>
          </w:p>
        </w:tc>
      </w:tr>
      <w:tr>
        <w:trPr>
          <w:trHeight w:val="265"/>
        </w:trPr>
        <w:tc>
          <w:tcPr>
            <w:tcW w:w="40" w:type="dxa"/>
            <w:vAlign w:val="bottom"/>
            <w:tcBorders>
              <w:bottom w:val="single" w:sz="8" w:color="DCE2EF"/>
            </w:tcBorders>
          </w:tcPr>
          <w:p>
            <w:pPr>
              <w:spacing w:after="0"/>
              <w:rPr>
                <w:sz w:val="23"/>
                <w:szCs w:val="23"/>
                <w:color w:val="auto"/>
              </w:rPr>
            </w:pPr>
          </w:p>
        </w:tc>
        <w:tc>
          <w:tcPr>
            <w:tcW w:w="7140" w:type="dxa"/>
            <w:vAlign w:val="bottom"/>
            <w:tcBorders>
              <w:bottom w:val="single" w:sz="8" w:color="DCE2EF"/>
            </w:tcBorders>
            <w:gridSpan w:val="2"/>
          </w:tcPr>
          <w:p>
            <w:pPr>
              <w:ind w:left="240"/>
              <w:spacing w:after="0"/>
              <w:rPr>
                <w:sz w:val="20"/>
                <w:szCs w:val="20"/>
                <w:color w:val="auto"/>
              </w:rPr>
            </w:pPr>
            <w:r>
              <w:rPr>
                <w:rFonts w:ascii="Arial" w:cs="Arial" w:eastAsia="Arial" w:hAnsi="Arial"/>
                <w:sz w:val="18"/>
                <w:szCs w:val="18"/>
                <w:color w:val="auto"/>
              </w:rPr>
              <w:t>Unamortized deferred financing costs</w:t>
            </w:r>
          </w:p>
        </w:tc>
        <w:tc>
          <w:tcPr>
            <w:tcW w:w="22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DCE2E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55"/>
        </w:trPr>
        <w:tc>
          <w:tcPr>
            <w:tcW w:w="40" w:type="dxa"/>
            <w:vAlign w:val="bottom"/>
            <w:shd w:val="clear" w:color="auto" w:fill="DCE2EF"/>
          </w:tcPr>
          <w:p>
            <w:pPr>
              <w:spacing w:after="0"/>
              <w:rPr>
                <w:sz w:val="22"/>
                <w:szCs w:val="22"/>
                <w:color w:val="auto"/>
              </w:rPr>
            </w:pPr>
          </w:p>
        </w:tc>
        <w:tc>
          <w:tcPr>
            <w:tcW w:w="7140" w:type="dxa"/>
            <w:vAlign w:val="bottom"/>
            <w:gridSpan w:val="2"/>
            <w:shd w:val="clear" w:color="auto" w:fill="DCE2EF"/>
          </w:tcPr>
          <w:p>
            <w:pPr>
              <w:ind w:left="460"/>
              <w:spacing w:after="0"/>
              <w:rPr>
                <w:sz w:val="20"/>
                <w:szCs w:val="20"/>
                <w:color w:val="auto"/>
              </w:rPr>
            </w:pPr>
            <w:r>
              <w:rPr>
                <w:rFonts w:ascii="Arial" w:cs="Arial" w:eastAsia="Arial" w:hAnsi="Arial"/>
                <w:sz w:val="18"/>
                <w:szCs w:val="18"/>
                <w:color w:val="auto"/>
              </w:rPr>
              <w:t>Total noncurrent portion of term loan</w:t>
            </w:r>
          </w:p>
        </w:tc>
        <w:tc>
          <w:tcPr>
            <w:tcW w:w="220" w:type="dxa"/>
            <w:vAlign w:val="bottom"/>
            <w:shd w:val="clear" w:color="auto" w:fill="DCE2EF"/>
          </w:tcPr>
          <w:p>
            <w:pPr>
              <w:spacing w:after="0"/>
              <w:rPr>
                <w:sz w:val="22"/>
                <w:szCs w:val="22"/>
                <w:color w:val="auto"/>
              </w:rPr>
            </w:pPr>
          </w:p>
        </w:tc>
        <w:tc>
          <w:tcPr>
            <w:tcW w:w="18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675.9</w:t>
            </w:r>
          </w:p>
        </w:tc>
        <w:tc>
          <w:tcPr>
            <w:tcW w:w="120" w:type="dxa"/>
            <w:vAlign w:val="bottom"/>
            <w:shd w:val="clear" w:color="auto" w:fill="DCE2EF"/>
          </w:tcPr>
          <w:p>
            <w:pPr>
              <w:spacing w:after="0"/>
              <w:rPr>
                <w:sz w:val="22"/>
                <w:szCs w:val="22"/>
                <w:color w:val="auto"/>
              </w:rPr>
            </w:pPr>
          </w:p>
        </w:tc>
        <w:tc>
          <w:tcPr>
            <w:tcW w:w="220" w:type="dxa"/>
            <w:vAlign w:val="bottom"/>
            <w:shd w:val="clear" w:color="auto" w:fill="DCE2EF"/>
          </w:tcPr>
          <w:p>
            <w:pPr>
              <w:spacing w:after="0"/>
              <w:rPr>
                <w:sz w:val="22"/>
                <w:szCs w:val="22"/>
                <w:color w:val="auto"/>
              </w:rPr>
            </w:pPr>
          </w:p>
        </w:tc>
        <w:tc>
          <w:tcPr>
            <w:tcW w:w="18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733.1</w:t>
            </w:r>
          </w:p>
        </w:tc>
      </w:tr>
      <w:tr>
        <w:trPr>
          <w:trHeight w:val="270"/>
        </w:trPr>
        <w:tc>
          <w:tcPr>
            <w:tcW w:w="40" w:type="dxa"/>
            <w:vAlign w:val="bottom"/>
            <w:tcBorders>
              <w:bottom w:val="single" w:sz="8" w:color="DCE2EF"/>
            </w:tcBorders>
          </w:tcPr>
          <w:p>
            <w:pPr>
              <w:spacing w:after="0"/>
              <w:rPr>
                <w:sz w:val="23"/>
                <w:szCs w:val="23"/>
                <w:color w:val="auto"/>
              </w:rPr>
            </w:pPr>
          </w:p>
        </w:tc>
        <w:tc>
          <w:tcPr>
            <w:tcW w:w="7140" w:type="dxa"/>
            <w:vAlign w:val="bottom"/>
            <w:tcBorders>
              <w:bottom w:val="single" w:sz="8" w:color="DCE2EF"/>
            </w:tcBorders>
            <w:gridSpan w:val="2"/>
          </w:tcPr>
          <w:p>
            <w:pPr>
              <w:ind w:left="240"/>
              <w:spacing w:after="0"/>
              <w:rPr>
                <w:sz w:val="20"/>
                <w:szCs w:val="20"/>
                <w:color w:val="auto"/>
              </w:rPr>
            </w:pPr>
            <w:r>
              <w:rPr>
                <w:rFonts w:ascii="Arial" w:cs="Arial" w:eastAsia="Arial" w:hAnsi="Arial"/>
                <w:sz w:val="18"/>
                <w:szCs w:val="18"/>
                <w:color w:val="auto"/>
              </w:rPr>
              <w:t>Line of credit</w:t>
            </w:r>
            <w:r>
              <w:rPr>
                <w:rFonts w:ascii="Arial" w:cs="Arial" w:eastAsia="Arial" w:hAnsi="Arial"/>
                <w:sz w:val="21"/>
                <w:szCs w:val="21"/>
                <w:color w:val="auto"/>
                <w:vertAlign w:val="superscript"/>
              </w:rPr>
              <w:t>(1)(2)</w:t>
            </w:r>
          </w:p>
        </w:tc>
        <w:tc>
          <w:tcPr>
            <w:tcW w:w="22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68.4</w:t>
            </w:r>
          </w:p>
        </w:tc>
        <w:tc>
          <w:tcPr>
            <w:tcW w:w="120" w:type="dxa"/>
            <w:vAlign w:val="bottom"/>
            <w:tcBorders>
              <w:bottom w:val="single" w:sz="8" w:color="DCE2E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169.0</w:t>
            </w:r>
          </w:p>
        </w:tc>
      </w:tr>
      <w:tr>
        <w:trPr>
          <w:trHeight w:val="250"/>
        </w:trPr>
        <w:tc>
          <w:tcPr>
            <w:tcW w:w="40" w:type="dxa"/>
            <w:vAlign w:val="bottom"/>
            <w:tcBorders>
              <w:bottom w:val="single" w:sz="8" w:color="DCE2EF"/>
            </w:tcBorders>
            <w:shd w:val="clear" w:color="auto" w:fill="DCE2EF"/>
          </w:tcPr>
          <w:p>
            <w:pPr>
              <w:spacing w:after="0"/>
              <w:rPr>
                <w:sz w:val="21"/>
                <w:szCs w:val="21"/>
                <w:color w:val="auto"/>
              </w:rPr>
            </w:pPr>
          </w:p>
        </w:tc>
        <w:tc>
          <w:tcPr>
            <w:tcW w:w="7140" w:type="dxa"/>
            <w:vAlign w:val="bottom"/>
            <w:tcBorders>
              <w:bottom w:val="single" w:sz="8" w:color="DCE2EF"/>
            </w:tcBorders>
            <w:gridSpan w:val="2"/>
            <w:shd w:val="clear" w:color="auto" w:fill="DCE2EF"/>
          </w:tcPr>
          <w:p>
            <w:pPr>
              <w:ind w:left="24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744.2</w:t>
            </w:r>
          </w:p>
        </w:tc>
        <w:tc>
          <w:tcPr>
            <w:tcW w:w="120" w:type="dxa"/>
            <w:vAlign w:val="bottom"/>
            <w:tcBorders>
              <w:bottom w:val="single" w:sz="8" w:color="DCE2EF"/>
            </w:tcBorders>
            <w:shd w:val="clear" w:color="auto" w:fill="DCE2EF"/>
          </w:tcPr>
          <w:p>
            <w:pPr>
              <w:spacing w:after="0"/>
              <w:rPr>
                <w:sz w:val="21"/>
                <w:szCs w:val="21"/>
                <w:color w:val="auto"/>
              </w:rPr>
            </w:pPr>
          </w:p>
        </w:tc>
        <w:tc>
          <w:tcPr>
            <w:tcW w:w="22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902.0</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180" w:hanging="172"/>
        <w:spacing w:after="0"/>
        <w:tabs>
          <w:tab w:leader="none" w:pos="180" w:val="left"/>
        </w:tabs>
        <w:numPr>
          <w:ilvl w:val="0"/>
          <w:numId w:val="39"/>
        </w:numPr>
        <w:rPr>
          <w:rFonts w:ascii="Arial" w:cs="Arial" w:eastAsia="Arial" w:hAnsi="Arial"/>
          <w:sz w:val="21"/>
          <w:szCs w:val="21"/>
          <w:color w:val="auto"/>
          <w:vertAlign w:val="superscript"/>
        </w:rPr>
      </w:pPr>
      <w:r>
        <w:rPr>
          <w:rFonts w:ascii="Arial" w:cs="Arial" w:eastAsia="Arial" w:hAnsi="Arial"/>
          <w:sz w:val="15"/>
          <w:szCs w:val="15"/>
          <w:color w:val="auto"/>
        </w:rPr>
        <w:t>Standby letters of credit amounted to $149.8 million at October 31, 2019.</w:t>
      </w:r>
    </w:p>
    <w:p>
      <w:pPr>
        <w:spacing w:after="0" w:line="74" w:lineRule="exact"/>
        <w:rPr>
          <w:rFonts w:ascii="Arial" w:cs="Arial" w:eastAsia="Arial" w:hAnsi="Arial"/>
          <w:sz w:val="21"/>
          <w:szCs w:val="21"/>
          <w:color w:val="auto"/>
          <w:vertAlign w:val="superscript"/>
        </w:rPr>
      </w:pPr>
    </w:p>
    <w:p>
      <w:pPr>
        <w:ind w:left="180" w:hanging="172"/>
        <w:spacing w:after="0" w:line="221" w:lineRule="auto"/>
        <w:tabs>
          <w:tab w:leader="none" w:pos="180" w:val="left"/>
        </w:tabs>
        <w:numPr>
          <w:ilvl w:val="0"/>
          <w:numId w:val="39"/>
        </w:numPr>
        <w:rPr>
          <w:rFonts w:ascii="Arial" w:cs="Arial" w:eastAsia="Arial" w:hAnsi="Arial"/>
          <w:sz w:val="21"/>
          <w:szCs w:val="21"/>
          <w:color w:val="auto"/>
          <w:vertAlign w:val="superscript"/>
        </w:rPr>
      </w:pPr>
      <w:r>
        <w:rPr>
          <w:rFonts w:ascii="Arial" w:cs="Arial" w:eastAsia="Arial" w:hAnsi="Arial"/>
          <w:sz w:val="15"/>
          <w:szCs w:val="15"/>
          <w:color w:val="auto"/>
        </w:rPr>
        <w:t>At October 31, 2019, we had borrowing capacity of $574.2 million; however, covenant restrictions limited our borrowing capacity to $406.6 million.</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93"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0046AD"/>
        </w:rPr>
        <w:t>Term Loan Maturities</w:t>
      </w:r>
    </w:p>
    <w:p>
      <w:pPr>
        <w:spacing w:after="0" w:line="17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During 2019, we made principal payments under the term loan of $40.0 million. As of October 31, 2019, the following principal payments are required under the term loan.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38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2022</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5640" w:type="dxa"/>
            <w:vAlign w:val="bottom"/>
            <w:tcBorders>
              <w:bottom w:val="single" w:sz="8" w:color="DCE2E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50"/>
        </w:trPr>
        <w:tc>
          <w:tcPr>
            <w:tcW w:w="63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Debt maturities</w:t>
            </w:r>
          </w:p>
        </w:tc>
        <w:tc>
          <w:tcPr>
            <w:tcW w:w="1080" w:type="dxa"/>
            <w:vAlign w:val="bottom"/>
            <w:shd w:val="clear" w:color="auto" w:fill="DCE2EF"/>
          </w:tcPr>
          <w:p>
            <w:pPr>
              <w:jc w:val="right"/>
              <w:ind w:right="87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DCE2EF"/>
          </w:tcPr>
          <w:p>
            <w:pPr>
              <w:spacing w:after="0"/>
              <w:rPr>
                <w:sz w:val="21"/>
                <w:szCs w:val="21"/>
                <w:color w:val="auto"/>
              </w:rPr>
            </w:pPr>
          </w:p>
        </w:tc>
        <w:tc>
          <w:tcPr>
            <w:tcW w:w="1020" w:type="dxa"/>
            <w:vAlign w:val="bottom"/>
            <w:shd w:val="clear" w:color="auto" w:fill="DCE2EF"/>
          </w:tcPr>
          <w:p>
            <w:pPr>
              <w:jc w:val="right"/>
              <w:ind w:right="81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DCE2EF"/>
          </w:tcPr>
          <w:p>
            <w:pPr>
              <w:spacing w:after="0"/>
              <w:rPr>
                <w:sz w:val="21"/>
                <w:szCs w:val="21"/>
                <w:color w:val="auto"/>
              </w:rPr>
            </w:pPr>
          </w:p>
        </w:tc>
        <w:tc>
          <w:tcPr>
            <w:tcW w:w="360" w:type="dxa"/>
            <w:vAlign w:val="bottom"/>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560.0</w:t>
            </w:r>
          </w:p>
        </w:tc>
      </w:tr>
    </w:tbl>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Interest Rate Swaps</w:t>
      </w:r>
    </w:p>
    <w:p>
      <w:pPr>
        <w:spacing w:after="0" w:line="17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We enter into interest rate swaps to manage the interest rate risk associated with our floating-rate, LIBOR-based borrowings. Under these arrangements, we typically pay a fixed interest rate in exchange for LIBOR-based variable interest throughout the life of the agreement. We initially report the mark-to-market gain or loss on a derivative as a component of AOCI and subsequently reclassify the gain or loss into earnings when the hedged transactions occur and affect earnings. Interest payables and receivables under the swap agreements are accrued and recorded as adjustments to interest expense. All of our interest rate swaps have been designated and accounted for as cash flow hedges from inception. See Note 8, “Fair Value of Financial Instruments,” regarding the valuation of our interest rate swaps.</w:t>
      </w:r>
    </w:p>
    <w:p>
      <w:pPr>
        <w:spacing w:after="0" w:line="12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In April 2018, we elected to terminate our interest rate swaps then in effect and received cash proceeds of $25.9 million from the swap counterparties upon termination. We subsequently entered into new forward-starting interest rate swaps, as summarized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Notional Amount</w:t>
            </w:r>
          </w:p>
        </w:tc>
        <w:tc>
          <w:tcPr>
            <w:tcW w:w="120" w:type="dxa"/>
            <w:vAlign w:val="bottom"/>
            <w:tcBorders>
              <w:bottom w:val="single" w:sz="8" w:color="DCE2EF"/>
            </w:tcBorders>
          </w:tcPr>
          <w:p>
            <w:pPr>
              <w:spacing w:after="0"/>
              <w:rPr>
                <w:sz w:val="22"/>
                <w:szCs w:val="22"/>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Fixed Interest Rate</w:t>
            </w:r>
          </w:p>
        </w:tc>
        <w:tc>
          <w:tcPr>
            <w:tcW w:w="100" w:type="dxa"/>
            <w:vAlign w:val="bottom"/>
            <w:tcBorders>
              <w:bottom w:val="single" w:sz="8" w:color="DCE2EF"/>
            </w:tcBorders>
          </w:tcPr>
          <w:p>
            <w:pPr>
              <w:spacing w:after="0"/>
              <w:rPr>
                <w:sz w:val="22"/>
                <w:szCs w:val="22"/>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Effective Date</w:t>
            </w:r>
          </w:p>
        </w:tc>
        <w:tc>
          <w:tcPr>
            <w:tcW w:w="120" w:type="dxa"/>
            <w:vAlign w:val="bottom"/>
            <w:tcBorders>
              <w:bottom w:val="single" w:sz="8" w:color="DCE2EF"/>
            </w:tcBorders>
          </w:tcPr>
          <w:p>
            <w:pPr>
              <w:spacing w:after="0"/>
              <w:rPr>
                <w:sz w:val="22"/>
                <w:szCs w:val="22"/>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Maturity Date</w:t>
            </w:r>
          </w:p>
        </w:tc>
      </w:tr>
      <w:tr>
        <w:trPr>
          <w:trHeight w:val="251"/>
        </w:trPr>
        <w:tc>
          <w:tcPr>
            <w:tcW w:w="2960" w:type="dxa"/>
            <w:vAlign w:val="bottom"/>
            <w:gridSpan w:val="2"/>
            <w:shd w:val="clear" w:color="auto" w:fill="DCE2EF"/>
          </w:tcPr>
          <w:p>
            <w:pPr>
              <w:jc w:val="center"/>
              <w:ind w:right="100"/>
              <w:spacing w:after="0"/>
              <w:rPr>
                <w:sz w:val="20"/>
                <w:szCs w:val="20"/>
                <w:color w:val="auto"/>
              </w:rPr>
            </w:pPr>
            <w:r>
              <w:rPr>
                <w:rFonts w:ascii="Arial" w:cs="Arial" w:eastAsia="Arial" w:hAnsi="Arial"/>
                <w:sz w:val="18"/>
                <w:szCs w:val="18"/>
                <w:color w:val="auto"/>
                <w:w w:val="99"/>
              </w:rPr>
              <w:t>$ 90.0 million</w:t>
            </w:r>
          </w:p>
        </w:tc>
        <w:tc>
          <w:tcPr>
            <w:tcW w:w="2720" w:type="dxa"/>
            <w:vAlign w:val="bottom"/>
            <w:shd w:val="clear" w:color="auto" w:fill="DCE2EF"/>
          </w:tcPr>
          <w:p>
            <w:pPr>
              <w:jc w:val="center"/>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DCE2EF"/>
          </w:tcPr>
          <w:p>
            <w:pPr>
              <w:spacing w:after="0"/>
              <w:rPr>
                <w:sz w:val="21"/>
                <w:szCs w:val="21"/>
                <w:color w:val="auto"/>
              </w:rPr>
            </w:pPr>
          </w:p>
        </w:tc>
        <w:tc>
          <w:tcPr>
            <w:tcW w:w="2820" w:type="dxa"/>
            <w:vAlign w:val="bottom"/>
            <w:gridSpan w:val="2"/>
            <w:shd w:val="clear" w:color="auto" w:fill="DCE2EF"/>
          </w:tcPr>
          <w:p>
            <w:pPr>
              <w:jc w:val="center"/>
              <w:ind w:right="100"/>
              <w:spacing w:after="0"/>
              <w:rPr>
                <w:sz w:val="20"/>
                <w:szCs w:val="20"/>
                <w:color w:val="auto"/>
              </w:rPr>
            </w:pPr>
            <w:r>
              <w:rPr>
                <w:rFonts w:ascii="Arial" w:cs="Arial" w:eastAsia="Arial" w:hAnsi="Arial"/>
                <w:sz w:val="18"/>
                <w:szCs w:val="18"/>
                <w:color w:val="auto"/>
                <w:w w:val="99"/>
              </w:rPr>
              <w:t>November 1, 2018</w:t>
            </w:r>
          </w:p>
        </w:tc>
        <w:tc>
          <w:tcPr>
            <w:tcW w:w="2700" w:type="dxa"/>
            <w:vAlign w:val="bottom"/>
            <w:shd w:val="clear" w:color="auto" w:fill="DCE2EF"/>
          </w:tcPr>
          <w:p>
            <w:pPr>
              <w:jc w:val="center"/>
              <w:spacing w:after="0"/>
              <w:rPr>
                <w:sz w:val="20"/>
                <w:szCs w:val="20"/>
                <w:color w:val="auto"/>
              </w:rPr>
            </w:pPr>
            <w:r>
              <w:rPr>
                <w:rFonts w:ascii="Arial" w:cs="Arial" w:eastAsia="Arial" w:hAnsi="Arial"/>
                <w:sz w:val="18"/>
                <w:szCs w:val="18"/>
                <w:color w:val="auto"/>
                <w:w w:val="99"/>
              </w:rPr>
              <w:t>April 30, 2021</w:t>
            </w:r>
          </w:p>
        </w:tc>
      </w:tr>
      <w:tr>
        <w:trPr>
          <w:trHeight w:val="265"/>
        </w:trPr>
        <w:tc>
          <w:tcPr>
            <w:tcW w:w="29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$ 90.0 million</w:t>
            </w:r>
          </w:p>
        </w:tc>
        <w:tc>
          <w:tcPr>
            <w:tcW w:w="2720" w:type="dxa"/>
            <w:vAlign w:val="bottom"/>
          </w:tcPr>
          <w:p>
            <w:pPr>
              <w:jc w:val="center"/>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3"/>
                <w:szCs w:val="23"/>
                <w:color w:val="auto"/>
              </w:rPr>
            </w:pP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November 1, 2018</w:t>
            </w:r>
          </w:p>
        </w:tc>
        <w:tc>
          <w:tcPr>
            <w:tcW w:w="2700" w:type="dxa"/>
            <w:vAlign w:val="bottom"/>
          </w:tcPr>
          <w:p>
            <w:pPr>
              <w:jc w:val="center"/>
              <w:spacing w:after="0"/>
              <w:rPr>
                <w:sz w:val="20"/>
                <w:szCs w:val="20"/>
                <w:color w:val="auto"/>
              </w:rPr>
            </w:pPr>
            <w:r>
              <w:rPr>
                <w:rFonts w:ascii="Arial" w:cs="Arial" w:eastAsia="Arial" w:hAnsi="Arial"/>
                <w:sz w:val="18"/>
                <w:szCs w:val="18"/>
                <w:color w:val="auto"/>
                <w:w w:val="99"/>
              </w:rPr>
              <w:t>October 31, 2021</w:t>
            </w:r>
          </w:p>
        </w:tc>
      </w:tr>
      <w:tr>
        <w:trPr>
          <w:trHeight w:val="275"/>
        </w:trPr>
        <w:tc>
          <w:tcPr>
            <w:tcW w:w="2960" w:type="dxa"/>
            <w:vAlign w:val="bottom"/>
            <w:gridSpan w:val="2"/>
            <w:shd w:val="clear" w:color="auto" w:fill="DCE2EF"/>
          </w:tcPr>
          <w:p>
            <w:pPr>
              <w:jc w:val="center"/>
              <w:ind w:right="120"/>
              <w:spacing w:after="0"/>
              <w:rPr>
                <w:sz w:val="20"/>
                <w:szCs w:val="20"/>
                <w:color w:val="auto"/>
              </w:rPr>
            </w:pPr>
            <w:r>
              <w:rPr>
                <w:rFonts w:ascii="Arial" w:cs="Arial" w:eastAsia="Arial" w:hAnsi="Arial"/>
                <w:sz w:val="18"/>
                <w:szCs w:val="18"/>
                <w:color w:val="auto"/>
                <w:w w:val="99"/>
              </w:rPr>
              <w:t>$ 130.0 million</w:t>
            </w:r>
          </w:p>
        </w:tc>
        <w:tc>
          <w:tcPr>
            <w:tcW w:w="2720" w:type="dxa"/>
            <w:vAlign w:val="bottom"/>
            <w:shd w:val="clear" w:color="auto" w:fill="DCE2EF"/>
          </w:tcPr>
          <w:p>
            <w:pPr>
              <w:jc w:val="center"/>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DCE2EF"/>
          </w:tcPr>
          <w:p>
            <w:pPr>
              <w:spacing w:after="0"/>
              <w:rPr>
                <w:sz w:val="23"/>
                <w:szCs w:val="23"/>
                <w:color w:val="auto"/>
              </w:rPr>
            </w:pPr>
          </w:p>
        </w:tc>
        <w:tc>
          <w:tcPr>
            <w:tcW w:w="2820" w:type="dxa"/>
            <w:vAlign w:val="bottom"/>
            <w:gridSpan w:val="2"/>
            <w:shd w:val="clear" w:color="auto" w:fill="DCE2EF"/>
          </w:tcPr>
          <w:p>
            <w:pPr>
              <w:jc w:val="center"/>
              <w:ind w:right="100"/>
              <w:spacing w:after="0"/>
              <w:rPr>
                <w:sz w:val="20"/>
                <w:szCs w:val="20"/>
                <w:color w:val="auto"/>
              </w:rPr>
            </w:pPr>
            <w:r>
              <w:rPr>
                <w:rFonts w:ascii="Arial" w:cs="Arial" w:eastAsia="Arial" w:hAnsi="Arial"/>
                <w:sz w:val="18"/>
                <w:szCs w:val="18"/>
                <w:color w:val="auto"/>
                <w:w w:val="99"/>
              </w:rPr>
              <w:t>November 1, 2018</w:t>
            </w:r>
          </w:p>
        </w:tc>
        <w:tc>
          <w:tcPr>
            <w:tcW w:w="2700" w:type="dxa"/>
            <w:vAlign w:val="bottom"/>
            <w:shd w:val="clear" w:color="auto" w:fill="DCE2EF"/>
          </w:tcPr>
          <w:p>
            <w:pPr>
              <w:jc w:val="center"/>
              <w:spacing w:after="0"/>
              <w:rPr>
                <w:sz w:val="20"/>
                <w:szCs w:val="20"/>
                <w:color w:val="auto"/>
              </w:rPr>
            </w:pPr>
            <w:r>
              <w:rPr>
                <w:rFonts w:ascii="Arial" w:cs="Arial" w:eastAsia="Arial" w:hAnsi="Arial"/>
                <w:sz w:val="18"/>
                <w:szCs w:val="18"/>
                <w:color w:val="auto"/>
                <w:w w:val="99"/>
              </w:rPr>
              <w:t>April 30, 2022</w:t>
            </w:r>
          </w:p>
        </w:tc>
      </w:tr>
      <w:tr>
        <w:trPr>
          <w:trHeight w:val="261"/>
        </w:trPr>
        <w:tc>
          <w:tcPr>
            <w:tcW w:w="29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$ 130.0 million</w:t>
            </w:r>
          </w:p>
        </w:tc>
        <w:tc>
          <w:tcPr>
            <w:tcW w:w="2720" w:type="dxa"/>
            <w:vAlign w:val="bottom"/>
          </w:tcPr>
          <w:p>
            <w:pPr>
              <w:jc w:val="center"/>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2"/>
                <w:szCs w:val="22"/>
                <w:color w:val="auto"/>
              </w:rPr>
            </w:pP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November 1, 2018</w:t>
            </w:r>
          </w:p>
        </w:tc>
        <w:tc>
          <w:tcPr>
            <w:tcW w:w="2700" w:type="dxa"/>
            <w:vAlign w:val="bottom"/>
          </w:tcPr>
          <w:p>
            <w:pPr>
              <w:jc w:val="center"/>
              <w:spacing w:after="0"/>
              <w:rPr>
                <w:sz w:val="20"/>
                <w:szCs w:val="20"/>
                <w:color w:val="auto"/>
              </w:rPr>
            </w:pPr>
            <w:r>
              <w:rPr>
                <w:rFonts w:ascii="Arial" w:cs="Arial" w:eastAsia="Arial" w:hAnsi="Arial"/>
                <w:sz w:val="18"/>
                <w:szCs w:val="18"/>
                <w:color w:val="auto"/>
              </w:rPr>
              <w:t>September 1, 2022</w:t>
            </w:r>
          </w:p>
        </w:tc>
      </w:tr>
    </w:tbl>
    <w:p>
      <w:pPr>
        <w:spacing w:after="0" w:line="36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At October 31, 2019 and 2018, amounts recorded in AOCI for interest rate swaps were $2.2 million, net of taxes of $1.2 million, and $17.8 million, net of taxes of $7.1 million, respectively. These amounts included the gain associated with the interest rate swaps we terminated in 2018, which is being amortized to interest expense as interest payments are made over the term of our Credit Facility. During 2019, we amortized $ 4.1 million, net of taxes of $1.5 million, of that gain and we amortized $1.8 million, net of taxes of $0.7 million, during 2018. At October 31, 2019, the total amount expected to be reclassified from AOCI to earnings during the next twelve months was $0.2 million, net of taxes of $0.2 million.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93"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0046AD"/>
        </w:rPr>
        <w:t>14.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Defined Benefit Plans</w:t>
      </w:r>
    </w:p>
    <w:p>
      <w:pPr>
        <w:spacing w:after="0" w:line="173"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18"/>
          <w:szCs w:val="18"/>
          <w:color w:val="auto"/>
        </w:rPr>
        <w:t>We provide benefits to certain employees under various defined benefit and postretirement benefit plans (collectively, the “Plans”). The Plans were previously amended to preclude new participants. All but one of the Plans are unfunded.</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Information for the Plans</w:t>
      </w: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October 31,</w:t>
            </w:r>
          </w:p>
        </w:tc>
        <w:tc>
          <w:tcPr>
            <w:tcW w:w="1300" w:type="dxa"/>
            <w:vAlign w:val="bottom"/>
            <w:tcBorders>
              <w:bottom w:val="single" w:sz="8" w:color="auto"/>
            </w:tcBorders>
          </w:tcPr>
          <w:p>
            <w:pPr>
              <w:spacing w:after="0"/>
              <w:rPr>
                <w:sz w:val="22"/>
                <w:szCs w:val="22"/>
                <w:color w:val="auto"/>
              </w:rPr>
            </w:pPr>
          </w:p>
        </w:tc>
      </w:tr>
      <w:tr>
        <w:trPr>
          <w:trHeight w:val="224"/>
        </w:trPr>
        <w:tc>
          <w:tcPr>
            <w:tcW w:w="714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80" w:type="dxa"/>
            <w:vAlign w:val="bottom"/>
          </w:tcPr>
          <w:p>
            <w:pPr>
              <w:spacing w:after="0"/>
              <w:rPr>
                <w:sz w:val="19"/>
                <w:szCs w:val="19"/>
                <w:color w:val="auto"/>
              </w:rPr>
            </w:pPr>
          </w:p>
        </w:tc>
        <w:tc>
          <w:tcPr>
            <w:tcW w:w="1580" w:type="dxa"/>
            <w:vAlign w:val="bottom"/>
          </w:tcPr>
          <w:p>
            <w:pPr>
              <w:jc w:val="right"/>
              <w:ind w:right="7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00" w:type="dxa"/>
            <w:vAlign w:val="bottom"/>
          </w:tcPr>
          <w:p>
            <w:pPr>
              <w:jc w:val="right"/>
              <w:ind w:right="750"/>
              <w:spacing w:after="0"/>
              <w:rPr>
                <w:sz w:val="20"/>
                <w:szCs w:val="20"/>
                <w:color w:val="auto"/>
              </w:rPr>
            </w:pPr>
            <w:r>
              <w:rPr>
                <w:rFonts w:ascii="Arial" w:cs="Arial" w:eastAsia="Arial" w:hAnsi="Arial"/>
                <w:sz w:val="18"/>
                <w:szCs w:val="18"/>
                <w:b w:val="1"/>
                <w:bCs w:val="1"/>
                <w:color w:val="auto"/>
              </w:rPr>
              <w:t>2018</w:t>
            </w: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6420" w:type="dxa"/>
            <w:vAlign w:val="bottom"/>
            <w:tcBorders>
              <w:bottom w:val="single" w:sz="8" w:color="DCE2E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50"/>
        </w:trPr>
        <w:tc>
          <w:tcPr>
            <w:tcW w:w="7140" w:type="dxa"/>
            <w:vAlign w:val="bottom"/>
            <w:gridSpan w:val="3"/>
            <w:shd w:val="clear" w:color="auto" w:fill="DCE2EF"/>
          </w:tcPr>
          <w:p>
            <w:pPr>
              <w:ind w:left="20"/>
              <w:spacing w:after="0"/>
              <w:rPr>
                <w:sz w:val="20"/>
                <w:szCs w:val="20"/>
                <w:color w:val="auto"/>
              </w:rPr>
            </w:pPr>
            <w:r>
              <w:rPr>
                <w:rFonts w:ascii="Arial" w:cs="Arial" w:eastAsia="Arial" w:hAnsi="Arial"/>
                <w:sz w:val="18"/>
                <w:szCs w:val="18"/>
                <w:color w:val="auto"/>
              </w:rPr>
              <w:t>Net obligations</w:t>
            </w:r>
          </w:p>
        </w:tc>
        <w:tc>
          <w:tcPr>
            <w:tcW w:w="480" w:type="dxa"/>
            <w:vAlign w:val="bottom"/>
            <w:shd w:val="clear" w:color="auto" w:fill="DCE2E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DCE2EF"/>
          </w:tcPr>
          <w:p>
            <w:pPr>
              <w:spacing w:after="0"/>
              <w:rPr>
                <w:sz w:val="21"/>
                <w:szCs w:val="21"/>
                <w:color w:val="auto"/>
              </w:rPr>
            </w:pPr>
          </w:p>
        </w:tc>
        <w:tc>
          <w:tcPr>
            <w:tcW w:w="760" w:type="dxa"/>
            <w:vAlign w:val="bottom"/>
            <w:shd w:val="clear" w:color="auto" w:fill="DCE2EF"/>
          </w:tcPr>
          <w:p>
            <w:pPr>
              <w:jc w:val="right"/>
              <w:ind w:right="5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7.4</w:t>
            </w:r>
          </w:p>
        </w:tc>
      </w:tr>
      <w:tr>
        <w:trPr>
          <w:trHeight w:val="265"/>
        </w:trPr>
        <w:tc>
          <w:tcPr>
            <w:tcW w:w="7140" w:type="dxa"/>
            <w:vAlign w:val="bottom"/>
            <w:gridSpan w:val="3"/>
          </w:tcPr>
          <w:p>
            <w:pPr>
              <w:ind w:left="20"/>
              <w:spacing w:after="0"/>
              <w:rPr>
                <w:sz w:val="20"/>
                <w:szCs w:val="20"/>
                <w:color w:val="auto"/>
              </w:rPr>
            </w:pPr>
            <w:r>
              <w:rPr>
                <w:rFonts w:ascii="Arial" w:cs="Arial" w:eastAsia="Arial" w:hAnsi="Arial"/>
                <w:sz w:val="18"/>
                <w:szCs w:val="18"/>
                <w:color w:val="auto"/>
              </w:rPr>
              <w:t>Projected benefit obligations</w:t>
            </w:r>
          </w:p>
        </w:tc>
        <w:tc>
          <w:tcPr>
            <w:tcW w:w="480" w:type="dxa"/>
            <w:vAlign w:val="bottom"/>
          </w:tcPr>
          <w:p>
            <w:pPr>
              <w:spacing w:after="0"/>
              <w:rPr>
                <w:sz w:val="23"/>
                <w:szCs w:val="23"/>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15.0</w:t>
            </w:r>
          </w:p>
        </w:tc>
      </w:tr>
      <w:tr>
        <w:trPr>
          <w:trHeight w:val="275"/>
        </w:trPr>
        <w:tc>
          <w:tcPr>
            <w:tcW w:w="7140" w:type="dxa"/>
            <w:vAlign w:val="bottom"/>
            <w:gridSpan w:val="3"/>
            <w:shd w:val="clear" w:color="auto" w:fill="DCE2EF"/>
          </w:tcPr>
          <w:p>
            <w:pPr>
              <w:ind w:left="20"/>
              <w:spacing w:after="0"/>
              <w:rPr>
                <w:sz w:val="20"/>
                <w:szCs w:val="20"/>
                <w:color w:val="auto"/>
              </w:rPr>
            </w:pPr>
            <w:r>
              <w:rPr>
                <w:rFonts w:ascii="Arial" w:cs="Arial" w:eastAsia="Arial" w:hAnsi="Arial"/>
                <w:sz w:val="18"/>
                <w:szCs w:val="18"/>
                <w:color w:val="auto"/>
              </w:rPr>
              <w:t>Fair value of assets</w:t>
            </w:r>
          </w:p>
        </w:tc>
        <w:tc>
          <w:tcPr>
            <w:tcW w:w="480" w:type="dxa"/>
            <w:vAlign w:val="bottom"/>
            <w:shd w:val="clear" w:color="auto" w:fill="DCE2EF"/>
          </w:tcPr>
          <w:p>
            <w:pPr>
              <w:spacing w:after="0"/>
              <w:rPr>
                <w:sz w:val="23"/>
                <w:szCs w:val="23"/>
                <w:color w:val="auto"/>
              </w:rPr>
            </w:pPr>
          </w:p>
        </w:tc>
        <w:tc>
          <w:tcPr>
            <w:tcW w:w="158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DCE2EF"/>
          </w:tcPr>
          <w:p>
            <w:pPr>
              <w:spacing w:after="0"/>
              <w:rPr>
                <w:sz w:val="23"/>
                <w:szCs w:val="23"/>
                <w:color w:val="auto"/>
              </w:rPr>
            </w:pPr>
          </w:p>
        </w:tc>
        <w:tc>
          <w:tcPr>
            <w:tcW w:w="760" w:type="dxa"/>
            <w:vAlign w:val="bottom"/>
            <w:shd w:val="clear" w:color="auto" w:fill="DCE2EF"/>
          </w:tcPr>
          <w:p>
            <w:pPr>
              <w:spacing w:after="0"/>
              <w:rPr>
                <w:sz w:val="23"/>
                <w:szCs w:val="23"/>
                <w:color w:val="auto"/>
              </w:rPr>
            </w:pPr>
          </w:p>
        </w:tc>
        <w:tc>
          <w:tcPr>
            <w:tcW w:w="130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7.6</w:t>
            </w:r>
          </w:p>
        </w:tc>
      </w:tr>
    </w:tbl>
    <w:p>
      <w:pPr>
        <w:spacing w:after="0" w:line="30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At October 31, 2019, assets of the Plans were invested 49% in equities, 49% in fixed income, and 2% in cash. The expected return on assets was $0.4 million during each of 2019, 2018, and 2017. The aggregate net periodic benefit cost for all Plans was $0.6 million for 2019 and $0.2 million during each of 2018 and 2017. Future benefit payments in the aggregate are expected to be $14.2 million.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Deferred Compensation Plans</w:t>
      </w:r>
    </w:p>
    <w:p>
      <w:pPr>
        <w:spacing w:after="0" w:line="17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maintain deferred compensation plans that permit eligible employees and directors to defer a portion of their compensation. At October 31, 2019 and 2018, the total liability of all deferred compensation was $13.2 million and $13.9 million, respectively, and these amounts are included in “Other accrued liabilities” and “Other noncurrent liabilities” on the accompanying consolidated balance sheets. Under one of our deferred compensation plans, a Rabbi trust was created to fund the obligations, and we are required to contribute a portion of the deferred compensation contributions for eligible participants. The assets held in the Rabbi trust are not available for general corporate purposes. At October 31, 2019 and 2018, the fair value of these assets was $2.5 million and $2.7 million, respectively, and these amounts are included in “Other noncurrent assets” on the accompanying consolidated balance sheets. Aggregate expense recognized under these deferred compensation plans was $0.3 million for 2019 and $0.4 million for each of 2018 and 2017.</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Defined Contribution Plans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sponsor four defined contribution plans covering certain employees that are subject to the applicable provisions of the Employee Retirement Income Security Act of 1974 and the Internal Revenue Code (“IRC”). Certain plans permit a company match of a portion of the participant’s contributions or a discretionary contribution after the participant has met the eligibility requirements set forth in the plan. During 2019, 2018, and 2017, we made matching contributions required by the plans of $24.3 million, $21.6 million, and $13.7 million,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Multiemployer Pension and Postretirement Plans</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participate in various multiemployer pension plans under union and industry-wide agreements that provide defined pension benefits to employees covered by collective bargaining agreements. Because of the nature of multiemployer plans, there are risks associated with participation in these plans that differ from single-employer plans. Assets contributed by an employer to a multiemployer plan are not segregated into a separate account and are not restricted to provide benefits only to employees of that contributing employer. In the event another participating employer in a multiemployer plan no longer contributes to the plan, the unfunded obligations of the plan may be borne by the remaining participating employers, including us. In the event of the termination of a multiemployer pension plan or a withdrawal from a multiemployer pension plan, we could incur material liabilities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93"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i w:val="1"/>
          <w:iCs w:val="1"/>
          <w:color w:val="0046AD"/>
        </w:rPr>
        <w:t>Key Information for Individually Significant Multiemployer Defined Benefit Pension Plans</w:t>
      </w:r>
      <w:r>
        <w:rPr>
          <w:rFonts w:ascii="Arial" w:cs="Arial" w:eastAsia="Arial" w:hAnsi="Arial"/>
          <w:sz w:val="21"/>
          <w:szCs w:val="21"/>
          <w:b w:val="1"/>
          <w:bCs w:val="1"/>
          <w:i w:val="1"/>
          <w:iCs w:val="1"/>
          <w:color w:val="0046AD"/>
          <w:vertAlign w:val="superscript"/>
        </w:rPr>
        <w:t>(1)</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rPr>
              <w:t>Pension Protection Act</w:t>
            </w:r>
          </w:p>
        </w:tc>
        <w:tc>
          <w:tcPr>
            <w:tcW w:w="12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FIP/RP</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540" w:type="dxa"/>
            <w:vAlign w:val="bottom"/>
            <w:gridSpan w:val="4"/>
          </w:tcPr>
          <w:p>
            <w:pPr>
              <w:ind w:left="40"/>
              <w:spacing w:after="0"/>
              <w:rPr>
                <w:sz w:val="20"/>
                <w:szCs w:val="20"/>
                <w:color w:val="auto"/>
              </w:rPr>
            </w:pPr>
            <w:r>
              <w:rPr>
                <w:rFonts w:ascii="Times New Roman" w:cs="Times New Roman" w:eastAsia="Times New Roman" w:hAnsi="Times New Roman"/>
                <w:sz w:val="12"/>
                <w:szCs w:val="12"/>
                <w:i w:val="1"/>
                <w:iCs w:val="1"/>
                <w:u w:val="single" w:color="auto"/>
                <w:color w:val="auto"/>
              </w:rPr>
              <w:t>(</w:t>
            </w:r>
            <w:r>
              <w:rPr>
                <w:rFonts w:ascii="Times New Roman" w:cs="Times New Roman" w:eastAsia="Times New Roman" w:hAnsi="Times New Roman"/>
                <w:sz w:val="12"/>
                <w:szCs w:val="12"/>
                <w:i w:val="1"/>
                <w:iCs w:val="1"/>
                <w:color w:val="auto"/>
              </w:rPr>
              <w:t>$ in millions)</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4"/>
          </w:tcPr>
          <w:p>
            <w:pPr>
              <w:jc w:val="center"/>
              <w:ind w:right="120"/>
              <w:spacing w:after="0" w:line="208" w:lineRule="exact"/>
              <w:rPr>
                <w:sz w:val="20"/>
                <w:szCs w:val="20"/>
                <w:color w:val="auto"/>
              </w:rPr>
            </w:pPr>
            <w:r>
              <w:rPr>
                <w:rFonts w:ascii="Arial" w:cs="Arial" w:eastAsia="Arial" w:hAnsi="Arial"/>
                <w:sz w:val="13"/>
                <w:szCs w:val="13"/>
                <w:b w:val="1"/>
                <w:bCs w:val="1"/>
                <w:color w:val="auto"/>
                <w:w w:val="95"/>
              </w:rPr>
              <w:t>Zone Status</w:t>
            </w:r>
            <w:r>
              <w:rPr>
                <w:rFonts w:ascii="Arial" w:cs="Arial" w:eastAsia="Arial" w:hAnsi="Arial"/>
                <w:sz w:val="22"/>
                <w:szCs w:val="22"/>
                <w:b w:val="1"/>
                <w:bCs w:val="1"/>
                <w:color w:val="auto"/>
                <w:w w:val="95"/>
                <w:vertAlign w:val="superscript"/>
              </w:rPr>
              <w:t>(3)</w:t>
            </w:r>
          </w:p>
        </w:tc>
        <w:tc>
          <w:tcPr>
            <w:tcW w:w="1280" w:type="dxa"/>
            <w:vAlign w:val="bottom"/>
            <w:gridSpan w:val="2"/>
          </w:tcPr>
          <w:p>
            <w:pPr>
              <w:jc w:val="center"/>
              <w:ind w:right="140"/>
              <w:spacing w:after="0" w:line="208" w:lineRule="exact"/>
              <w:rPr>
                <w:sz w:val="20"/>
                <w:szCs w:val="20"/>
                <w:color w:val="auto"/>
              </w:rPr>
            </w:pPr>
            <w:r>
              <w:rPr>
                <w:rFonts w:ascii="Arial" w:cs="Arial" w:eastAsia="Arial" w:hAnsi="Arial"/>
                <w:sz w:val="13"/>
                <w:szCs w:val="13"/>
                <w:b w:val="1"/>
                <w:bCs w:val="1"/>
                <w:color w:val="auto"/>
                <w:w w:val="93"/>
              </w:rPr>
              <w:t>Status</w:t>
            </w:r>
            <w:r>
              <w:rPr>
                <w:rFonts w:ascii="Arial" w:cs="Arial" w:eastAsia="Arial" w:hAnsi="Arial"/>
                <w:sz w:val="22"/>
                <w:szCs w:val="22"/>
                <w:b w:val="1"/>
                <w:bCs w:val="1"/>
                <w:color w:val="auto"/>
                <w:w w:val="93"/>
                <w:vertAlign w:val="superscript"/>
              </w:rPr>
              <w:t>(4)</w:t>
            </w:r>
          </w:p>
        </w:tc>
        <w:tc>
          <w:tcPr>
            <w:tcW w:w="140" w:type="dxa"/>
            <w:vAlign w:val="bottom"/>
          </w:tcPr>
          <w:p>
            <w:pPr>
              <w:spacing w:after="0"/>
              <w:rPr>
                <w:sz w:val="19"/>
                <w:szCs w:val="19"/>
                <w:color w:val="auto"/>
              </w:rPr>
            </w:pPr>
          </w:p>
        </w:tc>
        <w:tc>
          <w:tcPr>
            <w:tcW w:w="2100" w:type="dxa"/>
            <w:vAlign w:val="bottom"/>
            <w:gridSpan w:val="7"/>
          </w:tcPr>
          <w:p>
            <w:pPr>
              <w:jc w:val="right"/>
              <w:ind w:right="357"/>
              <w:spacing w:after="0"/>
              <w:rPr>
                <w:sz w:val="20"/>
                <w:szCs w:val="20"/>
                <w:color w:val="auto"/>
              </w:rPr>
            </w:pPr>
            <w:r>
              <w:rPr>
                <w:rFonts w:ascii="Arial" w:cs="Arial" w:eastAsia="Arial" w:hAnsi="Arial"/>
                <w:sz w:val="13"/>
                <w:szCs w:val="13"/>
                <w:b w:val="1"/>
                <w:bCs w:val="1"/>
                <w:color w:val="auto"/>
              </w:rPr>
              <w:t>Contributions by ABM</w:t>
            </w:r>
          </w:p>
        </w:tc>
        <w:tc>
          <w:tcPr>
            <w:tcW w:w="100" w:type="dxa"/>
            <w:vAlign w:val="bottom"/>
          </w:tcPr>
          <w:p>
            <w:pPr>
              <w:spacing w:after="0"/>
              <w:rPr>
                <w:sz w:val="19"/>
                <w:szCs w:val="19"/>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Surcharge</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rPr>
              <w:t>Pending/</w:t>
            </w: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72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Pension Fund</w:t>
            </w:r>
          </w:p>
        </w:tc>
        <w:tc>
          <w:tcPr>
            <w:tcW w:w="120" w:type="dxa"/>
            <w:vAlign w:val="bottom"/>
            <w:vMerge w:val="restart"/>
          </w:tcPr>
          <w:p>
            <w:pPr>
              <w:spacing w:after="0"/>
              <w:rPr>
                <w:sz w:val="6"/>
                <w:szCs w:val="6"/>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EIN/PN</w:t>
            </w:r>
            <w:r>
              <w:rPr>
                <w:rFonts w:ascii="Arial" w:cs="Arial" w:eastAsia="Arial" w:hAnsi="Arial"/>
                <w:sz w:val="22"/>
                <w:szCs w:val="22"/>
                <w:b w:val="1"/>
                <w:bCs w:val="1"/>
                <w:color w:val="auto"/>
                <w:w w:val="94"/>
                <w:vertAlign w:val="superscript"/>
              </w:rPr>
              <w:t>(2)</w:t>
            </w:r>
          </w:p>
        </w:tc>
        <w:tc>
          <w:tcPr>
            <w:tcW w:w="120" w:type="dxa"/>
            <w:vAlign w:val="bottom"/>
            <w:vMerge w:val="restart"/>
          </w:tcPr>
          <w:p>
            <w:pPr>
              <w:spacing w:after="0"/>
              <w:rPr>
                <w:sz w:val="6"/>
                <w:szCs w:val="6"/>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2019</w:t>
            </w:r>
          </w:p>
        </w:tc>
        <w:tc>
          <w:tcPr>
            <w:tcW w:w="120" w:type="dxa"/>
            <w:vAlign w:val="bottom"/>
          </w:tcPr>
          <w:p>
            <w:pPr>
              <w:spacing w:after="0"/>
              <w:rPr>
                <w:sz w:val="6"/>
                <w:szCs w:val="6"/>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2018</w:t>
            </w:r>
          </w:p>
        </w:tc>
        <w:tc>
          <w:tcPr>
            <w:tcW w:w="12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vMerge w:val="restart"/>
          </w:tcPr>
          <w:p>
            <w:pPr>
              <w:jc w:val="right"/>
              <w:ind w:right="136"/>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6"/>
                <w:szCs w:val="6"/>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Imposed</w:t>
            </w:r>
            <w:r>
              <w:rPr>
                <w:rFonts w:ascii="Arial" w:cs="Arial" w:eastAsia="Arial" w:hAnsi="Arial"/>
                <w:sz w:val="22"/>
                <w:szCs w:val="22"/>
                <w:b w:val="1"/>
                <w:bCs w:val="1"/>
                <w:color w:val="auto"/>
                <w:w w:val="95"/>
                <w:vertAlign w:val="superscript"/>
              </w:rPr>
              <w:t>(5)</w:t>
            </w:r>
          </w:p>
        </w:tc>
        <w:tc>
          <w:tcPr>
            <w:tcW w:w="0" w:type="dxa"/>
            <w:vAlign w:val="bottom"/>
          </w:tcPr>
          <w:p>
            <w:pPr>
              <w:spacing w:after="0"/>
              <w:rPr>
                <w:sz w:val="1"/>
                <w:szCs w:val="1"/>
                <w:color w:val="auto"/>
              </w:rPr>
            </w:pPr>
          </w:p>
        </w:tc>
      </w:tr>
      <w:tr>
        <w:trPr>
          <w:trHeight w:val="193"/>
        </w:trPr>
        <w:tc>
          <w:tcPr>
            <w:tcW w:w="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Implemented</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540" w:type="dxa"/>
            <w:vAlign w:val="bottom"/>
            <w:gridSpan w:val="4"/>
            <w:vMerge w:val="restart"/>
          </w:tcPr>
          <w:p>
            <w:pPr>
              <w:ind w:left="40"/>
              <w:spacing w:after="0"/>
              <w:rPr>
                <w:sz w:val="20"/>
                <w:szCs w:val="20"/>
                <w:color w:val="auto"/>
              </w:rPr>
            </w:pPr>
            <w:r>
              <w:rPr>
                <w:rFonts w:ascii="Arial" w:cs="Arial" w:eastAsia="Arial" w:hAnsi="Arial"/>
                <w:sz w:val="13"/>
                <w:szCs w:val="13"/>
                <w:color w:val="auto"/>
              </w:rPr>
              <w:t>Building Service 32BJ Pension Fund</w:t>
            </w:r>
          </w:p>
        </w:tc>
        <w:tc>
          <w:tcPr>
            <w:tcW w:w="1020" w:type="dxa"/>
            <w:vAlign w:val="bottom"/>
          </w:tcPr>
          <w:p>
            <w:pPr>
              <w:jc w:val="center"/>
              <w:spacing w:after="0" w:line="134" w:lineRule="exact"/>
              <w:rPr>
                <w:sz w:val="20"/>
                <w:szCs w:val="20"/>
                <w:color w:val="auto"/>
              </w:rPr>
            </w:pPr>
            <w:r>
              <w:rPr>
                <w:rFonts w:ascii="Arial" w:cs="Arial" w:eastAsia="Arial" w:hAnsi="Arial"/>
                <w:sz w:val="13"/>
                <w:szCs w:val="13"/>
                <w:color w:val="auto"/>
                <w:w w:val="96"/>
              </w:rPr>
              <w:t>13-1879376 /</w:t>
            </w:r>
          </w:p>
        </w:tc>
        <w:tc>
          <w:tcPr>
            <w:tcW w:w="120" w:type="dxa"/>
            <w:vAlign w:val="bottom"/>
          </w:tcPr>
          <w:p>
            <w:pPr>
              <w:spacing w:after="0"/>
              <w:rPr>
                <w:sz w:val="11"/>
                <w:szCs w:val="11"/>
                <w:color w:val="auto"/>
              </w:rPr>
            </w:pPr>
          </w:p>
        </w:tc>
        <w:tc>
          <w:tcPr>
            <w:tcW w:w="1040" w:type="dxa"/>
            <w:vAlign w:val="bottom"/>
            <w:gridSpan w:val="2"/>
          </w:tcPr>
          <w:p>
            <w:pPr>
              <w:jc w:val="center"/>
              <w:ind w:right="120"/>
              <w:spacing w:after="0" w:line="134" w:lineRule="exact"/>
              <w:rPr>
                <w:sz w:val="20"/>
                <w:szCs w:val="20"/>
                <w:color w:val="auto"/>
              </w:rPr>
            </w:pPr>
            <w:r>
              <w:rPr>
                <w:rFonts w:ascii="Arial" w:cs="Arial" w:eastAsia="Arial" w:hAnsi="Arial"/>
                <w:sz w:val="13"/>
                <w:szCs w:val="13"/>
                <w:color w:val="auto"/>
              </w:rPr>
              <w:t>Red</w:t>
            </w:r>
          </w:p>
        </w:tc>
        <w:tc>
          <w:tcPr>
            <w:tcW w:w="1040" w:type="dxa"/>
            <w:vAlign w:val="bottom"/>
            <w:gridSpan w:val="2"/>
          </w:tcPr>
          <w:p>
            <w:pPr>
              <w:jc w:val="center"/>
              <w:ind w:right="120"/>
              <w:spacing w:after="0" w:line="134" w:lineRule="exact"/>
              <w:rPr>
                <w:sz w:val="20"/>
                <w:szCs w:val="20"/>
                <w:color w:val="auto"/>
              </w:rPr>
            </w:pPr>
            <w:r>
              <w:rPr>
                <w:rFonts w:ascii="Arial" w:cs="Arial" w:eastAsia="Arial" w:hAnsi="Arial"/>
                <w:sz w:val="13"/>
                <w:szCs w:val="13"/>
                <w:color w:val="auto"/>
              </w:rPr>
              <w:t>Red</w:t>
            </w: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95"/>
              </w:rPr>
              <w:t>Implemented</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tcPr>
          <w:p>
            <w:pPr>
              <w:jc w:val="right"/>
              <w:ind w:right="56"/>
              <w:spacing w:after="0"/>
              <w:rPr>
                <w:sz w:val="20"/>
                <w:szCs w:val="20"/>
                <w:color w:val="auto"/>
              </w:rPr>
            </w:pPr>
            <w:r>
              <w:rPr>
                <w:rFonts w:ascii="Arial" w:cs="Arial" w:eastAsia="Arial" w:hAnsi="Arial"/>
                <w:sz w:val="13"/>
                <w:szCs w:val="13"/>
                <w:color w:val="auto"/>
              </w:rPr>
              <w:t>19.3</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ind w:right="37"/>
              <w:spacing w:after="0"/>
              <w:rPr>
                <w:sz w:val="20"/>
                <w:szCs w:val="20"/>
                <w:color w:val="auto"/>
              </w:rPr>
            </w:pPr>
            <w:r>
              <w:rPr>
                <w:rFonts w:ascii="Arial" w:cs="Arial" w:eastAsia="Arial" w:hAnsi="Arial"/>
                <w:sz w:val="13"/>
                <w:szCs w:val="13"/>
                <w:color w:val="auto"/>
              </w:rPr>
              <w:t>19.9</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vMerge w:val="restart"/>
          </w:tcPr>
          <w:p>
            <w:pPr>
              <w:jc w:val="right"/>
              <w:ind w:right="57"/>
              <w:spacing w:after="0"/>
              <w:rPr>
                <w:sz w:val="20"/>
                <w:szCs w:val="20"/>
                <w:color w:val="auto"/>
              </w:rPr>
            </w:pPr>
            <w:r>
              <w:rPr>
                <w:rFonts w:ascii="Arial" w:cs="Arial" w:eastAsia="Arial" w:hAnsi="Arial"/>
                <w:sz w:val="13"/>
                <w:szCs w:val="13"/>
                <w:color w:val="auto"/>
              </w:rPr>
              <w:t>20.1</w:t>
            </w:r>
          </w:p>
        </w:tc>
        <w:tc>
          <w:tcPr>
            <w:tcW w:w="100" w:type="dxa"/>
            <w:vAlign w:val="bottom"/>
          </w:tcPr>
          <w:p>
            <w:pPr>
              <w:spacing w:after="0"/>
              <w:rPr>
                <w:sz w:val="11"/>
                <w:szCs w:val="11"/>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w w:val="96"/>
              </w:rPr>
              <w:t>No</w:t>
            </w:r>
          </w:p>
        </w:tc>
        <w:tc>
          <w:tcPr>
            <w:tcW w:w="0" w:type="dxa"/>
            <w:vAlign w:val="bottom"/>
          </w:tcPr>
          <w:p>
            <w:pPr>
              <w:spacing w:after="0"/>
              <w:rPr>
                <w:sz w:val="1"/>
                <w:szCs w:val="1"/>
                <w:color w:val="auto"/>
              </w:rPr>
            </w:pPr>
          </w:p>
        </w:tc>
      </w:tr>
      <w:tr>
        <w:trPr>
          <w:trHeight w:val="103"/>
        </w:trPr>
        <w:tc>
          <w:tcPr>
            <w:tcW w:w="2540" w:type="dxa"/>
            <w:vAlign w:val="bottom"/>
            <w:gridSpan w:val="4"/>
            <w:vMerge w:val="continue"/>
          </w:tcPr>
          <w:p>
            <w:pPr>
              <w:spacing w:after="0"/>
              <w:rPr>
                <w:sz w:val="8"/>
                <w:szCs w:val="8"/>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color w:val="auto"/>
              </w:rPr>
              <w:t>001</w:t>
            </w:r>
          </w:p>
        </w:tc>
        <w:tc>
          <w:tcPr>
            <w:tcW w:w="120" w:type="dxa"/>
            <w:vAlign w:val="bottom"/>
          </w:tcPr>
          <w:p>
            <w:pPr>
              <w:spacing w:after="0"/>
              <w:rPr>
                <w:sz w:val="8"/>
                <w:szCs w:val="8"/>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6"/>
              </w:rPr>
              <w:t>6/30/2018</w:t>
            </w:r>
          </w:p>
        </w:tc>
        <w:tc>
          <w:tcPr>
            <w:tcW w:w="120" w:type="dxa"/>
            <w:vAlign w:val="bottom"/>
          </w:tcPr>
          <w:p>
            <w:pPr>
              <w:spacing w:after="0"/>
              <w:rPr>
                <w:sz w:val="8"/>
                <w:szCs w:val="8"/>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6"/>
              </w:rPr>
              <w:t>6/30/2017</w:t>
            </w:r>
          </w:p>
        </w:tc>
        <w:tc>
          <w:tcPr>
            <w:tcW w:w="12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2540" w:type="dxa"/>
            <w:vAlign w:val="bottom"/>
            <w:gridSpan w:val="4"/>
          </w:tcPr>
          <w:p>
            <w:pPr>
              <w:ind w:left="40"/>
              <w:spacing w:after="0"/>
              <w:rPr>
                <w:sz w:val="20"/>
                <w:szCs w:val="20"/>
                <w:color w:val="auto"/>
              </w:rPr>
            </w:pPr>
            <w:r>
              <w:rPr>
                <w:rFonts w:ascii="Arial" w:cs="Arial" w:eastAsia="Arial" w:hAnsi="Arial"/>
                <w:sz w:val="13"/>
                <w:szCs w:val="13"/>
                <w:color w:val="auto"/>
              </w:rPr>
              <w:t>Central Pension Fund of the IUOE &amp;</w:t>
            </w:r>
          </w:p>
        </w:tc>
        <w:tc>
          <w:tcPr>
            <w:tcW w:w="1020" w:type="dxa"/>
            <w:vAlign w:val="bottom"/>
          </w:tcPr>
          <w:p>
            <w:pPr>
              <w:jc w:val="center"/>
              <w:spacing w:after="0"/>
              <w:rPr>
                <w:sz w:val="20"/>
                <w:szCs w:val="20"/>
                <w:color w:val="auto"/>
              </w:rPr>
            </w:pPr>
            <w:r>
              <w:rPr>
                <w:rFonts w:ascii="Arial" w:cs="Arial" w:eastAsia="Arial" w:hAnsi="Arial"/>
                <w:sz w:val="13"/>
                <w:szCs w:val="13"/>
                <w:color w:val="auto"/>
                <w:w w:val="96"/>
              </w:rPr>
              <w:t>36-6052390 /</w:t>
            </w:r>
          </w:p>
        </w:tc>
        <w:tc>
          <w:tcPr>
            <w:tcW w:w="120" w:type="dxa"/>
            <w:vAlign w:val="bottom"/>
          </w:tcPr>
          <w:p>
            <w:pPr>
              <w:spacing w:after="0"/>
              <w:rPr>
                <w:sz w:val="13"/>
                <w:szCs w:val="13"/>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color w:val="auto"/>
                <w:w w:val="99"/>
              </w:rPr>
              <w:t>Green</w:t>
            </w: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color w:val="auto"/>
                <w:w w:val="99"/>
              </w:rPr>
              <w:t>Green</w:t>
            </w:r>
          </w:p>
        </w:tc>
        <w:tc>
          <w:tcPr>
            <w:tcW w:w="1280" w:type="dxa"/>
            <w:vAlign w:val="bottom"/>
            <w:gridSpan w:val="2"/>
            <w:vMerge w:val="restart"/>
          </w:tcPr>
          <w:p>
            <w:pPr>
              <w:jc w:val="center"/>
              <w:ind w:right="140"/>
              <w:spacing w:after="0"/>
              <w:rPr>
                <w:sz w:val="20"/>
                <w:szCs w:val="20"/>
                <w:color w:val="auto"/>
              </w:rPr>
            </w:pPr>
            <w:r>
              <w:rPr>
                <w:rFonts w:ascii="Arial" w:cs="Arial" w:eastAsia="Arial" w:hAnsi="Arial"/>
                <w:sz w:val="13"/>
                <w:szCs w:val="13"/>
                <w:color w:val="auto"/>
                <w:w w:val="97"/>
              </w:rPr>
              <w:t>N/A*</w:t>
            </w:r>
          </w:p>
        </w:tc>
        <w:tc>
          <w:tcPr>
            <w:tcW w:w="140" w:type="dxa"/>
            <w:vAlign w:val="bottom"/>
          </w:tcPr>
          <w:p>
            <w:pPr>
              <w:spacing w:after="0"/>
              <w:rPr>
                <w:sz w:val="13"/>
                <w:szCs w:val="13"/>
                <w:color w:val="auto"/>
              </w:rPr>
            </w:pPr>
          </w:p>
        </w:tc>
        <w:tc>
          <w:tcPr>
            <w:tcW w:w="560" w:type="dxa"/>
            <w:vAlign w:val="bottom"/>
            <w:vMerge w:val="restart"/>
          </w:tcPr>
          <w:p>
            <w:pPr>
              <w:jc w:val="right"/>
              <w:ind w:right="56"/>
              <w:spacing w:after="0"/>
              <w:rPr>
                <w:sz w:val="20"/>
                <w:szCs w:val="20"/>
                <w:color w:val="auto"/>
              </w:rPr>
            </w:pPr>
            <w:r>
              <w:rPr>
                <w:rFonts w:ascii="Arial" w:cs="Arial" w:eastAsia="Arial" w:hAnsi="Arial"/>
                <w:sz w:val="13"/>
                <w:szCs w:val="13"/>
                <w:color w:val="auto"/>
              </w:rPr>
              <w:t>11.7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vMerge w:val="restart"/>
          </w:tcPr>
          <w:p>
            <w:pPr>
              <w:jc w:val="right"/>
              <w:ind w:right="37"/>
              <w:spacing w:after="0"/>
              <w:rPr>
                <w:sz w:val="20"/>
                <w:szCs w:val="20"/>
                <w:color w:val="auto"/>
              </w:rPr>
            </w:pPr>
            <w:r>
              <w:rPr>
                <w:rFonts w:ascii="Arial" w:cs="Arial" w:eastAsia="Arial" w:hAnsi="Arial"/>
                <w:sz w:val="13"/>
                <w:szCs w:val="13"/>
                <w:color w:val="auto"/>
              </w:rPr>
              <w:t>11.0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vMerge w:val="restart"/>
          </w:tcPr>
          <w:p>
            <w:pPr>
              <w:jc w:val="right"/>
              <w:ind w:right="57"/>
              <w:spacing w:after="0"/>
              <w:rPr>
                <w:sz w:val="20"/>
                <w:szCs w:val="20"/>
                <w:color w:val="auto"/>
              </w:rPr>
            </w:pPr>
            <w:r>
              <w:rPr>
                <w:rFonts w:ascii="Arial" w:cs="Arial" w:eastAsia="Arial" w:hAnsi="Arial"/>
                <w:sz w:val="13"/>
                <w:szCs w:val="13"/>
                <w:color w:val="auto"/>
              </w:rPr>
              <w:t>10.7</w:t>
            </w:r>
          </w:p>
        </w:tc>
        <w:tc>
          <w:tcPr>
            <w:tcW w:w="10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w w:val="97"/>
              </w:rPr>
              <w:t>N/A*</w:t>
            </w:r>
          </w:p>
        </w:tc>
        <w:tc>
          <w:tcPr>
            <w:tcW w:w="0" w:type="dxa"/>
            <w:vAlign w:val="bottom"/>
          </w:tcPr>
          <w:p>
            <w:pPr>
              <w:spacing w:after="0"/>
              <w:rPr>
                <w:sz w:val="1"/>
                <w:szCs w:val="1"/>
                <w:color w:val="auto"/>
              </w:rPr>
            </w:pPr>
          </w:p>
        </w:tc>
      </w:tr>
      <w:tr>
        <w:trPr>
          <w:trHeight w:val="103"/>
        </w:trPr>
        <w:tc>
          <w:tcPr>
            <w:tcW w:w="2540" w:type="dxa"/>
            <w:vAlign w:val="bottom"/>
            <w:gridSpan w:val="4"/>
            <w:vMerge w:val="restart"/>
          </w:tcPr>
          <w:p>
            <w:pPr>
              <w:ind w:left="40"/>
              <w:spacing w:after="0"/>
              <w:rPr>
                <w:sz w:val="20"/>
                <w:szCs w:val="20"/>
                <w:color w:val="auto"/>
              </w:rPr>
            </w:pPr>
            <w:r>
              <w:rPr>
                <w:rFonts w:ascii="Arial" w:cs="Arial" w:eastAsia="Arial" w:hAnsi="Arial"/>
                <w:sz w:val="13"/>
                <w:szCs w:val="13"/>
                <w:color w:val="auto"/>
              </w:rPr>
              <w:t>Participating Employers</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auto"/>
              </w:rPr>
              <w:t>001</w:t>
            </w:r>
          </w:p>
        </w:tc>
        <w:tc>
          <w:tcPr>
            <w:tcW w:w="120" w:type="dxa"/>
            <w:vAlign w:val="bottom"/>
          </w:tcPr>
          <w:p>
            <w:pPr>
              <w:spacing w:after="0"/>
              <w:rPr>
                <w:sz w:val="8"/>
                <w:szCs w:val="8"/>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6"/>
              </w:rPr>
              <w:t>1/31/2019</w:t>
            </w:r>
          </w:p>
        </w:tc>
        <w:tc>
          <w:tcPr>
            <w:tcW w:w="120" w:type="dxa"/>
            <w:vAlign w:val="bottom"/>
          </w:tcPr>
          <w:p>
            <w:pPr>
              <w:spacing w:after="0"/>
              <w:rPr>
                <w:sz w:val="8"/>
                <w:szCs w:val="8"/>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6"/>
              </w:rPr>
              <w:t>1/31/2018</w:t>
            </w:r>
          </w:p>
        </w:tc>
        <w:tc>
          <w:tcPr>
            <w:tcW w:w="12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540" w:type="dxa"/>
            <w:vAlign w:val="bottom"/>
            <w:gridSpan w:val="4"/>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2540" w:type="dxa"/>
            <w:vAlign w:val="bottom"/>
            <w:gridSpan w:val="4"/>
            <w:vMerge w:val="restart"/>
          </w:tcPr>
          <w:p>
            <w:pPr>
              <w:ind w:left="40"/>
              <w:spacing w:after="0"/>
              <w:rPr>
                <w:sz w:val="20"/>
                <w:szCs w:val="20"/>
                <w:color w:val="auto"/>
              </w:rPr>
            </w:pPr>
            <w:r>
              <w:rPr>
                <w:rFonts w:ascii="Arial" w:cs="Arial" w:eastAsia="Arial" w:hAnsi="Arial"/>
                <w:sz w:val="13"/>
                <w:szCs w:val="13"/>
                <w:color w:val="auto"/>
              </w:rPr>
              <w:t>S.E.I.U. National Industry Pension Fund</w:t>
            </w:r>
          </w:p>
        </w:tc>
        <w:tc>
          <w:tcPr>
            <w:tcW w:w="1020" w:type="dxa"/>
            <w:vAlign w:val="bottom"/>
          </w:tcPr>
          <w:p>
            <w:pPr>
              <w:jc w:val="center"/>
              <w:spacing w:after="0"/>
              <w:rPr>
                <w:sz w:val="20"/>
                <w:szCs w:val="20"/>
                <w:color w:val="auto"/>
              </w:rPr>
            </w:pPr>
            <w:r>
              <w:rPr>
                <w:rFonts w:ascii="Arial" w:cs="Arial" w:eastAsia="Arial" w:hAnsi="Arial"/>
                <w:sz w:val="13"/>
                <w:szCs w:val="13"/>
                <w:color w:val="auto"/>
                <w:w w:val="96"/>
              </w:rPr>
              <w:t>52-6148540 /</w:t>
            </w:r>
          </w:p>
        </w:tc>
        <w:tc>
          <w:tcPr>
            <w:tcW w:w="120" w:type="dxa"/>
            <w:vAlign w:val="bottom"/>
          </w:tcPr>
          <w:p>
            <w:pPr>
              <w:spacing w:after="0"/>
              <w:rPr>
                <w:sz w:val="13"/>
                <w:szCs w:val="13"/>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color w:val="auto"/>
              </w:rPr>
              <w:t>Red</w:t>
            </w: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color w:val="auto"/>
              </w:rPr>
              <w:t>Red</w:t>
            </w: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95"/>
              </w:rPr>
              <w:t>Implemented</w:t>
            </w:r>
          </w:p>
        </w:tc>
        <w:tc>
          <w:tcPr>
            <w:tcW w:w="140" w:type="dxa"/>
            <w:vAlign w:val="bottom"/>
          </w:tcPr>
          <w:p>
            <w:pPr>
              <w:spacing w:after="0"/>
              <w:rPr>
                <w:sz w:val="13"/>
                <w:szCs w:val="13"/>
                <w:color w:val="auto"/>
              </w:rPr>
            </w:pPr>
          </w:p>
        </w:tc>
        <w:tc>
          <w:tcPr>
            <w:tcW w:w="560" w:type="dxa"/>
            <w:vAlign w:val="bottom"/>
            <w:vMerge w:val="restart"/>
          </w:tcPr>
          <w:p>
            <w:pPr>
              <w:jc w:val="right"/>
              <w:ind w:right="56"/>
              <w:spacing w:after="0"/>
              <w:rPr>
                <w:sz w:val="20"/>
                <w:szCs w:val="20"/>
                <w:color w:val="auto"/>
              </w:rPr>
            </w:pPr>
            <w:r>
              <w:rPr>
                <w:rFonts w:ascii="Arial" w:cs="Arial" w:eastAsia="Arial" w:hAnsi="Arial"/>
                <w:sz w:val="13"/>
                <w:szCs w:val="13"/>
                <w:color w:val="auto"/>
              </w:rPr>
              <w:t>10.6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vMerge w:val="restart"/>
          </w:tcPr>
          <w:p>
            <w:pPr>
              <w:jc w:val="right"/>
              <w:ind w:right="37"/>
              <w:spacing w:after="0"/>
              <w:rPr>
                <w:sz w:val="20"/>
                <w:szCs w:val="20"/>
                <w:color w:val="auto"/>
              </w:rPr>
            </w:pPr>
            <w:r>
              <w:rPr>
                <w:rFonts w:ascii="Arial" w:cs="Arial" w:eastAsia="Arial" w:hAnsi="Arial"/>
                <w:sz w:val="13"/>
                <w:szCs w:val="13"/>
                <w:color w:val="auto"/>
              </w:rPr>
              <w:t>8.7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vMerge w:val="restart"/>
          </w:tcPr>
          <w:p>
            <w:pPr>
              <w:jc w:val="right"/>
              <w:ind w:right="57"/>
              <w:spacing w:after="0"/>
              <w:rPr>
                <w:sz w:val="20"/>
                <w:szCs w:val="20"/>
                <w:color w:val="auto"/>
              </w:rPr>
            </w:pPr>
            <w:r>
              <w:rPr>
                <w:rFonts w:ascii="Arial" w:cs="Arial" w:eastAsia="Arial" w:hAnsi="Arial"/>
                <w:sz w:val="13"/>
                <w:szCs w:val="13"/>
                <w:color w:val="auto"/>
              </w:rPr>
              <w:t>7.2</w:t>
            </w:r>
          </w:p>
        </w:tc>
        <w:tc>
          <w:tcPr>
            <w:tcW w:w="10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w w:val="89"/>
              </w:rPr>
              <w:t>Yes</w:t>
            </w:r>
          </w:p>
        </w:tc>
        <w:tc>
          <w:tcPr>
            <w:tcW w:w="0" w:type="dxa"/>
            <w:vAlign w:val="bottom"/>
          </w:tcPr>
          <w:p>
            <w:pPr>
              <w:spacing w:after="0"/>
              <w:rPr>
                <w:sz w:val="1"/>
                <w:szCs w:val="1"/>
                <w:color w:val="auto"/>
              </w:rPr>
            </w:pPr>
          </w:p>
        </w:tc>
      </w:tr>
      <w:tr>
        <w:trPr>
          <w:trHeight w:val="103"/>
        </w:trPr>
        <w:tc>
          <w:tcPr>
            <w:tcW w:w="2540" w:type="dxa"/>
            <w:vAlign w:val="bottom"/>
            <w:gridSpan w:val="4"/>
            <w:vMerge w:val="continue"/>
          </w:tcPr>
          <w:p>
            <w:pPr>
              <w:spacing w:after="0"/>
              <w:rPr>
                <w:sz w:val="8"/>
                <w:szCs w:val="8"/>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color w:val="auto"/>
              </w:rPr>
              <w:t>001</w:t>
            </w:r>
          </w:p>
        </w:tc>
        <w:tc>
          <w:tcPr>
            <w:tcW w:w="120" w:type="dxa"/>
            <w:vAlign w:val="bottom"/>
          </w:tcPr>
          <w:p>
            <w:pPr>
              <w:spacing w:after="0"/>
              <w:rPr>
                <w:sz w:val="8"/>
                <w:szCs w:val="8"/>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8"/>
              </w:rPr>
              <w:t>12/31/2018</w:t>
            </w:r>
          </w:p>
        </w:tc>
        <w:tc>
          <w:tcPr>
            <w:tcW w:w="120" w:type="dxa"/>
            <w:vAlign w:val="bottom"/>
          </w:tcPr>
          <w:p>
            <w:pPr>
              <w:spacing w:after="0"/>
              <w:rPr>
                <w:sz w:val="8"/>
                <w:szCs w:val="8"/>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8"/>
              </w:rPr>
              <w:t>12/31/2017</w:t>
            </w:r>
          </w:p>
        </w:tc>
        <w:tc>
          <w:tcPr>
            <w:tcW w:w="12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2540" w:type="dxa"/>
            <w:vAlign w:val="bottom"/>
            <w:gridSpan w:val="4"/>
          </w:tcPr>
          <w:p>
            <w:pPr>
              <w:ind w:left="40"/>
              <w:spacing w:after="0"/>
              <w:rPr>
                <w:sz w:val="20"/>
                <w:szCs w:val="20"/>
                <w:color w:val="auto"/>
              </w:rPr>
            </w:pPr>
            <w:r>
              <w:rPr>
                <w:rFonts w:ascii="Arial" w:cs="Arial" w:eastAsia="Arial" w:hAnsi="Arial"/>
                <w:sz w:val="13"/>
                <w:szCs w:val="13"/>
                <w:color w:val="auto"/>
              </w:rPr>
              <w:t>SEIU Local 1 &amp; Participating Employers</w:t>
            </w:r>
          </w:p>
        </w:tc>
        <w:tc>
          <w:tcPr>
            <w:tcW w:w="1020" w:type="dxa"/>
            <w:vAlign w:val="bottom"/>
          </w:tcPr>
          <w:p>
            <w:pPr>
              <w:jc w:val="center"/>
              <w:spacing w:after="0"/>
              <w:rPr>
                <w:sz w:val="20"/>
                <w:szCs w:val="20"/>
                <w:color w:val="auto"/>
              </w:rPr>
            </w:pPr>
            <w:r>
              <w:rPr>
                <w:rFonts w:ascii="Arial" w:cs="Arial" w:eastAsia="Arial" w:hAnsi="Arial"/>
                <w:sz w:val="13"/>
                <w:szCs w:val="13"/>
                <w:color w:val="auto"/>
                <w:w w:val="96"/>
              </w:rPr>
              <w:t>36-6486542 /</w:t>
            </w:r>
          </w:p>
        </w:tc>
        <w:tc>
          <w:tcPr>
            <w:tcW w:w="120" w:type="dxa"/>
            <w:vAlign w:val="bottom"/>
          </w:tcPr>
          <w:p>
            <w:pPr>
              <w:spacing w:after="0"/>
              <w:rPr>
                <w:sz w:val="13"/>
                <w:szCs w:val="13"/>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color w:val="auto"/>
                <w:w w:val="99"/>
              </w:rPr>
              <w:t>Green</w:t>
            </w: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color w:val="auto"/>
                <w:w w:val="99"/>
              </w:rPr>
              <w:t>Green</w:t>
            </w:r>
          </w:p>
        </w:tc>
        <w:tc>
          <w:tcPr>
            <w:tcW w:w="1280" w:type="dxa"/>
            <w:vAlign w:val="bottom"/>
            <w:gridSpan w:val="2"/>
            <w:vMerge w:val="restart"/>
          </w:tcPr>
          <w:p>
            <w:pPr>
              <w:jc w:val="center"/>
              <w:ind w:right="140"/>
              <w:spacing w:after="0"/>
              <w:rPr>
                <w:sz w:val="20"/>
                <w:szCs w:val="20"/>
                <w:color w:val="auto"/>
              </w:rPr>
            </w:pPr>
            <w:r>
              <w:rPr>
                <w:rFonts w:ascii="Arial" w:cs="Arial" w:eastAsia="Arial" w:hAnsi="Arial"/>
                <w:sz w:val="13"/>
                <w:szCs w:val="13"/>
                <w:color w:val="auto"/>
                <w:w w:val="97"/>
              </w:rPr>
              <w:t>N/A*</w:t>
            </w:r>
          </w:p>
        </w:tc>
        <w:tc>
          <w:tcPr>
            <w:tcW w:w="140" w:type="dxa"/>
            <w:vAlign w:val="bottom"/>
          </w:tcPr>
          <w:p>
            <w:pPr>
              <w:spacing w:after="0"/>
              <w:rPr>
                <w:sz w:val="13"/>
                <w:szCs w:val="13"/>
                <w:color w:val="auto"/>
              </w:rPr>
            </w:pPr>
          </w:p>
        </w:tc>
        <w:tc>
          <w:tcPr>
            <w:tcW w:w="560" w:type="dxa"/>
            <w:vAlign w:val="bottom"/>
            <w:vMerge w:val="restart"/>
          </w:tcPr>
          <w:p>
            <w:pPr>
              <w:jc w:val="right"/>
              <w:ind w:right="56"/>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vMerge w:val="restart"/>
          </w:tcPr>
          <w:p>
            <w:pPr>
              <w:jc w:val="right"/>
              <w:ind w:right="37"/>
              <w:spacing w:after="0"/>
              <w:rPr>
                <w:sz w:val="20"/>
                <w:szCs w:val="20"/>
                <w:color w:val="auto"/>
              </w:rPr>
            </w:pPr>
            <w:r>
              <w:rPr>
                <w:rFonts w:ascii="Arial" w:cs="Arial" w:eastAsia="Arial" w:hAnsi="Arial"/>
                <w:sz w:val="13"/>
                <w:szCs w:val="13"/>
                <w:color w:val="auto"/>
              </w:rPr>
              <w:t>5.8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vMerge w:val="restart"/>
          </w:tcPr>
          <w:p>
            <w:pPr>
              <w:jc w:val="right"/>
              <w:ind w:right="57"/>
              <w:spacing w:after="0"/>
              <w:rPr>
                <w:sz w:val="20"/>
                <w:szCs w:val="20"/>
                <w:color w:val="auto"/>
              </w:rPr>
            </w:pPr>
            <w:r>
              <w:rPr>
                <w:rFonts w:ascii="Arial" w:cs="Arial" w:eastAsia="Arial" w:hAnsi="Arial"/>
                <w:sz w:val="13"/>
                <w:szCs w:val="13"/>
                <w:color w:val="auto"/>
              </w:rPr>
              <w:t>6.0</w:t>
            </w:r>
          </w:p>
        </w:tc>
        <w:tc>
          <w:tcPr>
            <w:tcW w:w="10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w w:val="97"/>
              </w:rPr>
              <w:t>N/A*</w:t>
            </w:r>
          </w:p>
        </w:tc>
        <w:tc>
          <w:tcPr>
            <w:tcW w:w="0" w:type="dxa"/>
            <w:vAlign w:val="bottom"/>
          </w:tcPr>
          <w:p>
            <w:pPr>
              <w:spacing w:after="0"/>
              <w:rPr>
                <w:sz w:val="1"/>
                <w:szCs w:val="1"/>
                <w:color w:val="auto"/>
              </w:rPr>
            </w:pPr>
          </w:p>
        </w:tc>
      </w:tr>
      <w:tr>
        <w:trPr>
          <w:trHeight w:val="103"/>
        </w:trPr>
        <w:tc>
          <w:tcPr>
            <w:tcW w:w="2540" w:type="dxa"/>
            <w:vAlign w:val="bottom"/>
            <w:gridSpan w:val="4"/>
            <w:vMerge w:val="restart"/>
          </w:tcPr>
          <w:p>
            <w:pPr>
              <w:ind w:left="40"/>
              <w:spacing w:after="0"/>
              <w:rPr>
                <w:sz w:val="20"/>
                <w:szCs w:val="20"/>
                <w:color w:val="auto"/>
              </w:rPr>
            </w:pPr>
            <w:r>
              <w:rPr>
                <w:rFonts w:ascii="Arial" w:cs="Arial" w:eastAsia="Arial" w:hAnsi="Arial"/>
                <w:sz w:val="13"/>
                <w:szCs w:val="13"/>
                <w:color w:val="auto"/>
              </w:rPr>
              <w:t>Pension Trust</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auto"/>
              </w:rPr>
              <w:t>001</w:t>
            </w:r>
          </w:p>
        </w:tc>
        <w:tc>
          <w:tcPr>
            <w:tcW w:w="120" w:type="dxa"/>
            <w:vAlign w:val="bottom"/>
          </w:tcPr>
          <w:p>
            <w:pPr>
              <w:spacing w:after="0"/>
              <w:rPr>
                <w:sz w:val="8"/>
                <w:szCs w:val="8"/>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6"/>
              </w:rPr>
              <w:t>9/30/2018</w:t>
            </w:r>
          </w:p>
        </w:tc>
        <w:tc>
          <w:tcPr>
            <w:tcW w:w="120" w:type="dxa"/>
            <w:vAlign w:val="bottom"/>
          </w:tcPr>
          <w:p>
            <w:pPr>
              <w:spacing w:after="0"/>
              <w:rPr>
                <w:sz w:val="8"/>
                <w:szCs w:val="8"/>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6"/>
              </w:rPr>
              <w:t>9/30/2017</w:t>
            </w:r>
          </w:p>
        </w:tc>
        <w:tc>
          <w:tcPr>
            <w:tcW w:w="12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540" w:type="dxa"/>
            <w:vAlign w:val="bottom"/>
            <w:gridSpan w:val="4"/>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2540" w:type="dxa"/>
            <w:vAlign w:val="bottom"/>
            <w:gridSpan w:val="4"/>
          </w:tcPr>
          <w:p>
            <w:pPr>
              <w:ind w:left="40"/>
              <w:spacing w:after="0"/>
              <w:rPr>
                <w:sz w:val="20"/>
                <w:szCs w:val="20"/>
                <w:color w:val="auto"/>
              </w:rPr>
            </w:pPr>
            <w:r>
              <w:rPr>
                <w:rFonts w:ascii="Arial" w:cs="Arial" w:eastAsia="Arial" w:hAnsi="Arial"/>
                <w:sz w:val="13"/>
                <w:szCs w:val="13"/>
                <w:color w:val="auto"/>
              </w:rPr>
              <w:t>IUOE Stationary Engineers Local 39</w:t>
            </w:r>
          </w:p>
        </w:tc>
        <w:tc>
          <w:tcPr>
            <w:tcW w:w="1020" w:type="dxa"/>
            <w:vAlign w:val="bottom"/>
          </w:tcPr>
          <w:p>
            <w:pPr>
              <w:jc w:val="center"/>
              <w:spacing w:after="0"/>
              <w:rPr>
                <w:sz w:val="20"/>
                <w:szCs w:val="20"/>
                <w:color w:val="auto"/>
              </w:rPr>
            </w:pPr>
            <w:r>
              <w:rPr>
                <w:rFonts w:ascii="Arial" w:cs="Arial" w:eastAsia="Arial" w:hAnsi="Arial"/>
                <w:sz w:val="13"/>
                <w:szCs w:val="13"/>
                <w:color w:val="auto"/>
                <w:w w:val="96"/>
              </w:rPr>
              <w:t>94-6118939 /</w:t>
            </w:r>
          </w:p>
        </w:tc>
        <w:tc>
          <w:tcPr>
            <w:tcW w:w="120" w:type="dxa"/>
            <w:vAlign w:val="bottom"/>
          </w:tcPr>
          <w:p>
            <w:pPr>
              <w:spacing w:after="0"/>
              <w:rPr>
                <w:sz w:val="13"/>
                <w:szCs w:val="13"/>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color w:val="auto"/>
                <w:w w:val="99"/>
              </w:rPr>
              <w:t>Green</w:t>
            </w: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color w:val="auto"/>
                <w:w w:val="99"/>
              </w:rPr>
              <w:t>Green</w:t>
            </w:r>
          </w:p>
        </w:tc>
        <w:tc>
          <w:tcPr>
            <w:tcW w:w="1280" w:type="dxa"/>
            <w:vAlign w:val="bottom"/>
            <w:gridSpan w:val="2"/>
            <w:vMerge w:val="restart"/>
          </w:tcPr>
          <w:p>
            <w:pPr>
              <w:jc w:val="center"/>
              <w:ind w:right="140"/>
              <w:spacing w:after="0"/>
              <w:rPr>
                <w:sz w:val="20"/>
                <w:szCs w:val="20"/>
                <w:color w:val="auto"/>
              </w:rPr>
            </w:pPr>
            <w:r>
              <w:rPr>
                <w:rFonts w:ascii="Arial" w:cs="Arial" w:eastAsia="Arial" w:hAnsi="Arial"/>
                <w:sz w:val="13"/>
                <w:szCs w:val="13"/>
                <w:color w:val="auto"/>
                <w:w w:val="97"/>
              </w:rPr>
              <w:t>N/A*</w:t>
            </w:r>
          </w:p>
        </w:tc>
        <w:tc>
          <w:tcPr>
            <w:tcW w:w="140" w:type="dxa"/>
            <w:vAlign w:val="bottom"/>
          </w:tcPr>
          <w:p>
            <w:pPr>
              <w:spacing w:after="0"/>
              <w:rPr>
                <w:sz w:val="13"/>
                <w:szCs w:val="13"/>
                <w:color w:val="auto"/>
              </w:rPr>
            </w:pPr>
          </w:p>
        </w:tc>
        <w:tc>
          <w:tcPr>
            <w:tcW w:w="560" w:type="dxa"/>
            <w:vAlign w:val="bottom"/>
            <w:vMerge w:val="restart"/>
          </w:tcPr>
          <w:p>
            <w:pPr>
              <w:jc w:val="right"/>
              <w:ind w:right="56"/>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vMerge w:val="restart"/>
          </w:tcPr>
          <w:p>
            <w:pPr>
              <w:jc w:val="right"/>
              <w:ind w:right="37"/>
              <w:spacing w:after="0"/>
              <w:rPr>
                <w:sz w:val="20"/>
                <w:szCs w:val="20"/>
                <w:color w:val="auto"/>
              </w:rPr>
            </w:pPr>
            <w:r>
              <w:rPr>
                <w:rFonts w:ascii="Arial" w:cs="Arial" w:eastAsia="Arial" w:hAnsi="Arial"/>
                <w:sz w:val="13"/>
                <w:szCs w:val="13"/>
                <w:color w:val="auto"/>
              </w:rPr>
              <w:t>5.2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vMerge w:val="restart"/>
          </w:tcPr>
          <w:p>
            <w:pPr>
              <w:jc w:val="right"/>
              <w:ind w:right="57"/>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w w:val="97"/>
              </w:rPr>
              <w:t>N/A*</w:t>
            </w:r>
          </w:p>
        </w:tc>
        <w:tc>
          <w:tcPr>
            <w:tcW w:w="0" w:type="dxa"/>
            <w:vAlign w:val="bottom"/>
          </w:tcPr>
          <w:p>
            <w:pPr>
              <w:spacing w:after="0"/>
              <w:rPr>
                <w:sz w:val="1"/>
                <w:szCs w:val="1"/>
                <w:color w:val="auto"/>
              </w:rPr>
            </w:pPr>
          </w:p>
        </w:tc>
      </w:tr>
      <w:tr>
        <w:trPr>
          <w:trHeight w:val="103"/>
        </w:trPr>
        <w:tc>
          <w:tcPr>
            <w:tcW w:w="2540" w:type="dxa"/>
            <w:vAlign w:val="bottom"/>
            <w:gridSpan w:val="4"/>
            <w:vMerge w:val="restart"/>
          </w:tcPr>
          <w:p>
            <w:pPr>
              <w:ind w:left="40"/>
              <w:spacing w:after="0"/>
              <w:rPr>
                <w:sz w:val="20"/>
                <w:szCs w:val="20"/>
                <w:color w:val="auto"/>
              </w:rPr>
            </w:pPr>
            <w:r>
              <w:rPr>
                <w:rFonts w:ascii="Arial" w:cs="Arial" w:eastAsia="Arial" w:hAnsi="Arial"/>
                <w:sz w:val="13"/>
                <w:szCs w:val="13"/>
                <w:color w:val="auto"/>
              </w:rPr>
              <w:t>Pension Plan</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auto"/>
              </w:rPr>
              <w:t>001</w:t>
            </w:r>
          </w:p>
        </w:tc>
        <w:tc>
          <w:tcPr>
            <w:tcW w:w="120" w:type="dxa"/>
            <w:vAlign w:val="bottom"/>
          </w:tcPr>
          <w:p>
            <w:pPr>
              <w:spacing w:after="0"/>
              <w:rPr>
                <w:sz w:val="8"/>
                <w:szCs w:val="8"/>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8"/>
              </w:rPr>
              <w:t>12/31/2018</w:t>
            </w:r>
          </w:p>
        </w:tc>
        <w:tc>
          <w:tcPr>
            <w:tcW w:w="120" w:type="dxa"/>
            <w:vAlign w:val="bottom"/>
          </w:tcPr>
          <w:p>
            <w:pPr>
              <w:spacing w:after="0"/>
              <w:rPr>
                <w:sz w:val="8"/>
                <w:szCs w:val="8"/>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8"/>
              </w:rPr>
              <w:t>12/31/2017</w:t>
            </w:r>
          </w:p>
        </w:tc>
        <w:tc>
          <w:tcPr>
            <w:tcW w:w="12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540" w:type="dxa"/>
            <w:vAlign w:val="bottom"/>
            <w:gridSpan w:val="4"/>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2540" w:type="dxa"/>
            <w:vAlign w:val="bottom"/>
            <w:gridSpan w:val="4"/>
            <w:vMerge w:val="restart"/>
          </w:tcPr>
          <w:p>
            <w:pPr>
              <w:ind w:left="40"/>
              <w:spacing w:after="0"/>
              <w:rPr>
                <w:sz w:val="20"/>
                <w:szCs w:val="20"/>
                <w:color w:val="auto"/>
              </w:rPr>
            </w:pPr>
            <w:r>
              <w:rPr>
                <w:rFonts w:ascii="Arial" w:cs="Arial" w:eastAsia="Arial" w:hAnsi="Arial"/>
                <w:sz w:val="13"/>
                <w:szCs w:val="13"/>
                <w:color w:val="auto"/>
              </w:rPr>
              <w:t>Local 68 Engineers Union Pension Plan</w:t>
            </w:r>
          </w:p>
        </w:tc>
        <w:tc>
          <w:tcPr>
            <w:tcW w:w="1020" w:type="dxa"/>
            <w:vAlign w:val="bottom"/>
          </w:tcPr>
          <w:p>
            <w:pPr>
              <w:jc w:val="center"/>
              <w:spacing w:after="0"/>
              <w:rPr>
                <w:sz w:val="20"/>
                <w:szCs w:val="20"/>
                <w:color w:val="auto"/>
              </w:rPr>
            </w:pPr>
            <w:r>
              <w:rPr>
                <w:rFonts w:ascii="Arial" w:cs="Arial" w:eastAsia="Arial" w:hAnsi="Arial"/>
                <w:sz w:val="13"/>
                <w:szCs w:val="13"/>
                <w:color w:val="auto"/>
                <w:w w:val="96"/>
              </w:rPr>
              <w:t>51-0176618 /</w:t>
            </w:r>
          </w:p>
        </w:tc>
        <w:tc>
          <w:tcPr>
            <w:tcW w:w="120" w:type="dxa"/>
            <w:vAlign w:val="bottom"/>
          </w:tcPr>
          <w:p>
            <w:pPr>
              <w:spacing w:after="0"/>
              <w:rPr>
                <w:sz w:val="13"/>
                <w:szCs w:val="13"/>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color w:val="auto"/>
                <w:w w:val="93"/>
              </w:rPr>
              <w:t>Yellow</w:t>
            </w: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color w:val="auto"/>
              </w:rPr>
              <w:t>Red</w:t>
            </w: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95"/>
              </w:rPr>
              <w:t>Implemented</w:t>
            </w:r>
          </w:p>
        </w:tc>
        <w:tc>
          <w:tcPr>
            <w:tcW w:w="140" w:type="dxa"/>
            <w:vAlign w:val="bottom"/>
          </w:tcPr>
          <w:p>
            <w:pPr>
              <w:spacing w:after="0"/>
              <w:rPr>
                <w:sz w:val="13"/>
                <w:szCs w:val="13"/>
                <w:color w:val="auto"/>
              </w:rPr>
            </w:pPr>
          </w:p>
        </w:tc>
        <w:tc>
          <w:tcPr>
            <w:tcW w:w="560" w:type="dxa"/>
            <w:vAlign w:val="bottom"/>
            <w:vMerge w:val="restart"/>
          </w:tcPr>
          <w:p>
            <w:pPr>
              <w:jc w:val="right"/>
              <w:ind w:right="56"/>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vMerge w:val="restart"/>
          </w:tcPr>
          <w:p>
            <w:pPr>
              <w:jc w:val="right"/>
              <w:ind w:right="37"/>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vMerge w:val="restart"/>
          </w:tcPr>
          <w:p>
            <w:pPr>
              <w:jc w:val="right"/>
              <w:ind w:right="57"/>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w w:val="96"/>
              </w:rPr>
              <w:t>No</w:t>
            </w:r>
          </w:p>
        </w:tc>
        <w:tc>
          <w:tcPr>
            <w:tcW w:w="0" w:type="dxa"/>
            <w:vAlign w:val="bottom"/>
          </w:tcPr>
          <w:p>
            <w:pPr>
              <w:spacing w:after="0"/>
              <w:rPr>
                <w:sz w:val="1"/>
                <w:szCs w:val="1"/>
                <w:color w:val="auto"/>
              </w:rPr>
            </w:pPr>
          </w:p>
        </w:tc>
      </w:tr>
      <w:tr>
        <w:trPr>
          <w:trHeight w:val="103"/>
        </w:trPr>
        <w:tc>
          <w:tcPr>
            <w:tcW w:w="2540" w:type="dxa"/>
            <w:vAlign w:val="bottom"/>
            <w:gridSpan w:val="4"/>
            <w:vMerge w:val="continue"/>
          </w:tcPr>
          <w:p>
            <w:pPr>
              <w:spacing w:after="0"/>
              <w:rPr>
                <w:sz w:val="8"/>
                <w:szCs w:val="8"/>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color w:val="auto"/>
              </w:rPr>
              <w:t>001</w:t>
            </w:r>
          </w:p>
        </w:tc>
        <w:tc>
          <w:tcPr>
            <w:tcW w:w="120" w:type="dxa"/>
            <w:vAlign w:val="bottom"/>
          </w:tcPr>
          <w:p>
            <w:pPr>
              <w:spacing w:after="0"/>
              <w:rPr>
                <w:sz w:val="8"/>
                <w:szCs w:val="8"/>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6"/>
              </w:rPr>
              <w:t>6/30/2018</w:t>
            </w:r>
          </w:p>
        </w:tc>
        <w:tc>
          <w:tcPr>
            <w:tcW w:w="120" w:type="dxa"/>
            <w:vAlign w:val="bottom"/>
          </w:tcPr>
          <w:p>
            <w:pPr>
              <w:spacing w:after="0"/>
              <w:rPr>
                <w:sz w:val="8"/>
                <w:szCs w:val="8"/>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6"/>
              </w:rPr>
              <w:t>6/30/2017</w:t>
            </w:r>
          </w:p>
        </w:tc>
        <w:tc>
          <w:tcPr>
            <w:tcW w:w="12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2540" w:type="dxa"/>
            <w:vAlign w:val="bottom"/>
            <w:gridSpan w:val="4"/>
          </w:tcPr>
          <w:p>
            <w:pPr>
              <w:ind w:left="40"/>
              <w:spacing w:after="0"/>
              <w:rPr>
                <w:sz w:val="20"/>
                <w:szCs w:val="20"/>
                <w:color w:val="auto"/>
              </w:rPr>
            </w:pPr>
            <w:r>
              <w:rPr>
                <w:rFonts w:ascii="Arial" w:cs="Arial" w:eastAsia="Arial" w:hAnsi="Arial"/>
                <w:sz w:val="13"/>
                <w:szCs w:val="13"/>
                <w:color w:val="auto"/>
              </w:rPr>
              <w:t>Western Conference of Teamsters</w:t>
            </w:r>
          </w:p>
        </w:tc>
        <w:tc>
          <w:tcPr>
            <w:tcW w:w="1020" w:type="dxa"/>
            <w:vAlign w:val="bottom"/>
          </w:tcPr>
          <w:p>
            <w:pPr>
              <w:jc w:val="center"/>
              <w:spacing w:after="0"/>
              <w:rPr>
                <w:sz w:val="20"/>
                <w:szCs w:val="20"/>
                <w:color w:val="auto"/>
              </w:rPr>
            </w:pPr>
            <w:r>
              <w:rPr>
                <w:rFonts w:ascii="Arial" w:cs="Arial" w:eastAsia="Arial" w:hAnsi="Arial"/>
                <w:sz w:val="13"/>
                <w:szCs w:val="13"/>
                <w:color w:val="auto"/>
                <w:w w:val="96"/>
              </w:rPr>
              <w:t>91-6145047 /</w:t>
            </w:r>
          </w:p>
        </w:tc>
        <w:tc>
          <w:tcPr>
            <w:tcW w:w="120" w:type="dxa"/>
            <w:vAlign w:val="bottom"/>
          </w:tcPr>
          <w:p>
            <w:pPr>
              <w:spacing w:after="0"/>
              <w:rPr>
                <w:sz w:val="13"/>
                <w:szCs w:val="13"/>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color w:val="auto"/>
                <w:w w:val="99"/>
              </w:rPr>
              <w:t>Green</w:t>
            </w: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color w:val="auto"/>
                <w:w w:val="99"/>
              </w:rPr>
              <w:t>Green</w:t>
            </w:r>
          </w:p>
        </w:tc>
        <w:tc>
          <w:tcPr>
            <w:tcW w:w="1280" w:type="dxa"/>
            <w:vAlign w:val="bottom"/>
            <w:gridSpan w:val="2"/>
            <w:vMerge w:val="restart"/>
          </w:tcPr>
          <w:p>
            <w:pPr>
              <w:jc w:val="center"/>
              <w:ind w:right="140"/>
              <w:spacing w:after="0"/>
              <w:rPr>
                <w:sz w:val="20"/>
                <w:szCs w:val="20"/>
                <w:color w:val="auto"/>
              </w:rPr>
            </w:pPr>
            <w:r>
              <w:rPr>
                <w:rFonts w:ascii="Arial" w:cs="Arial" w:eastAsia="Arial" w:hAnsi="Arial"/>
                <w:sz w:val="13"/>
                <w:szCs w:val="13"/>
                <w:color w:val="auto"/>
                <w:w w:val="97"/>
              </w:rPr>
              <w:t>N/A*</w:t>
            </w:r>
          </w:p>
        </w:tc>
        <w:tc>
          <w:tcPr>
            <w:tcW w:w="140" w:type="dxa"/>
            <w:vAlign w:val="bottom"/>
          </w:tcPr>
          <w:p>
            <w:pPr>
              <w:spacing w:after="0"/>
              <w:rPr>
                <w:sz w:val="13"/>
                <w:szCs w:val="13"/>
                <w:color w:val="auto"/>
              </w:rPr>
            </w:pPr>
          </w:p>
        </w:tc>
        <w:tc>
          <w:tcPr>
            <w:tcW w:w="560" w:type="dxa"/>
            <w:vAlign w:val="bottom"/>
            <w:vMerge w:val="restart"/>
          </w:tcPr>
          <w:p>
            <w:pPr>
              <w:jc w:val="right"/>
              <w:ind w:right="56"/>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vMerge w:val="restart"/>
          </w:tcPr>
          <w:p>
            <w:pPr>
              <w:jc w:val="right"/>
              <w:ind w:right="37"/>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vMerge w:val="restart"/>
          </w:tcPr>
          <w:p>
            <w:pPr>
              <w:jc w:val="right"/>
              <w:ind w:right="57"/>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w w:val="97"/>
              </w:rPr>
              <w:t>N/A*</w:t>
            </w:r>
          </w:p>
        </w:tc>
        <w:tc>
          <w:tcPr>
            <w:tcW w:w="0" w:type="dxa"/>
            <w:vAlign w:val="bottom"/>
          </w:tcPr>
          <w:p>
            <w:pPr>
              <w:spacing w:after="0"/>
              <w:rPr>
                <w:sz w:val="1"/>
                <w:szCs w:val="1"/>
                <w:color w:val="auto"/>
              </w:rPr>
            </w:pPr>
          </w:p>
        </w:tc>
      </w:tr>
      <w:tr>
        <w:trPr>
          <w:trHeight w:val="103"/>
        </w:trPr>
        <w:tc>
          <w:tcPr>
            <w:tcW w:w="2540" w:type="dxa"/>
            <w:vAlign w:val="bottom"/>
            <w:gridSpan w:val="4"/>
            <w:vMerge w:val="restart"/>
          </w:tcPr>
          <w:p>
            <w:pPr>
              <w:ind w:left="40"/>
              <w:spacing w:after="0"/>
              <w:rPr>
                <w:sz w:val="20"/>
                <w:szCs w:val="20"/>
                <w:color w:val="auto"/>
              </w:rPr>
            </w:pPr>
            <w:r>
              <w:rPr>
                <w:rFonts w:ascii="Arial" w:cs="Arial" w:eastAsia="Arial" w:hAnsi="Arial"/>
                <w:sz w:val="13"/>
                <w:szCs w:val="13"/>
                <w:color w:val="auto"/>
              </w:rPr>
              <w:t>Pension Plan</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auto"/>
              </w:rPr>
              <w:t>001</w:t>
            </w:r>
          </w:p>
        </w:tc>
        <w:tc>
          <w:tcPr>
            <w:tcW w:w="120" w:type="dxa"/>
            <w:vAlign w:val="bottom"/>
          </w:tcPr>
          <w:p>
            <w:pPr>
              <w:spacing w:after="0"/>
              <w:rPr>
                <w:sz w:val="8"/>
                <w:szCs w:val="8"/>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8"/>
              </w:rPr>
              <w:t>12/31/2018</w:t>
            </w:r>
          </w:p>
        </w:tc>
        <w:tc>
          <w:tcPr>
            <w:tcW w:w="120" w:type="dxa"/>
            <w:vAlign w:val="bottom"/>
          </w:tcPr>
          <w:p>
            <w:pPr>
              <w:spacing w:after="0"/>
              <w:rPr>
                <w:sz w:val="8"/>
                <w:szCs w:val="8"/>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8"/>
              </w:rPr>
              <w:t>12/31/2017</w:t>
            </w:r>
          </w:p>
        </w:tc>
        <w:tc>
          <w:tcPr>
            <w:tcW w:w="12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540" w:type="dxa"/>
            <w:vAlign w:val="bottom"/>
            <w:gridSpan w:val="4"/>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2540" w:type="dxa"/>
            <w:vAlign w:val="bottom"/>
            <w:gridSpan w:val="4"/>
          </w:tcPr>
          <w:p>
            <w:pPr>
              <w:ind w:left="40"/>
              <w:spacing w:after="0"/>
              <w:rPr>
                <w:sz w:val="20"/>
                <w:szCs w:val="20"/>
                <w:color w:val="auto"/>
              </w:rPr>
            </w:pPr>
            <w:r>
              <w:rPr>
                <w:rFonts w:ascii="Arial" w:cs="Arial" w:eastAsia="Arial" w:hAnsi="Arial"/>
                <w:sz w:val="13"/>
                <w:szCs w:val="13"/>
                <w:i w:val="1"/>
                <w:iCs w:val="1"/>
                <w:color w:val="auto"/>
              </w:rPr>
              <w:t>All Other Plans: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9.0</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8.5</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8.0</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540" w:type="dxa"/>
            <w:vAlign w:val="bottom"/>
            <w:gridSpan w:val="4"/>
          </w:tcPr>
          <w:p>
            <w:pPr>
              <w:ind w:left="40"/>
              <w:spacing w:after="0"/>
              <w:rPr>
                <w:sz w:val="20"/>
                <w:szCs w:val="20"/>
                <w:color w:val="auto"/>
              </w:rPr>
            </w:pPr>
            <w:r>
              <w:rPr>
                <w:rFonts w:ascii="Arial" w:cs="Arial" w:eastAsia="Arial" w:hAnsi="Arial"/>
                <w:sz w:val="13"/>
                <w:szCs w:val="13"/>
                <w:b w:val="1"/>
                <w:bCs w:val="1"/>
                <w:color w:val="auto"/>
              </w:rPr>
              <w:t>Total Contributions</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66.6</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65.3</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63.1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40" w:type="dxa"/>
            <w:vAlign w:val="bottom"/>
            <w:gridSpan w:val="4"/>
            <w:vMerge w:val="restart"/>
          </w:tcPr>
          <w:p>
            <w:pPr>
              <w:ind w:left="40"/>
              <w:spacing w:after="0"/>
              <w:rPr>
                <w:sz w:val="20"/>
                <w:szCs w:val="20"/>
                <w:color w:val="auto"/>
              </w:rPr>
            </w:pPr>
            <w:r>
              <w:rPr>
                <w:rFonts w:ascii="Arial" w:cs="Arial" w:eastAsia="Arial" w:hAnsi="Arial"/>
                <w:sz w:val="13"/>
                <w:szCs w:val="13"/>
                <w:color w:val="auto"/>
              </w:rPr>
              <w:t>*   Not applicable</w:t>
            </w: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540" w:type="dxa"/>
            <w:vAlign w:val="bottom"/>
            <w:gridSpan w:val="4"/>
            <w:vMerge w:val="continue"/>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-1585595</wp:posOffset>
            </wp:positionV>
            <wp:extent cx="7237730" cy="2057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3773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-1174115</wp:posOffset>
            </wp:positionV>
            <wp:extent cx="7237730" cy="2057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3773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-762000</wp:posOffset>
            </wp:positionV>
            <wp:extent cx="7237730" cy="2057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3773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-384810</wp:posOffset>
            </wp:positionV>
            <wp:extent cx="723773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-2005965</wp:posOffset>
            </wp:positionV>
            <wp:extent cx="7237730" cy="2146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3773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5" w:lineRule="exact"/>
        <w:rPr>
          <w:sz w:val="20"/>
          <w:szCs w:val="20"/>
          <w:color w:val="auto"/>
        </w:rPr>
      </w:pPr>
    </w:p>
    <w:p>
      <w:pPr>
        <w:jc w:val="center"/>
        <w:ind w:right="140"/>
        <w:spacing w:after="0" w:line="253" w:lineRule="auto"/>
        <w:rPr>
          <w:sz w:val="20"/>
          <w:szCs w:val="20"/>
          <w:color w:val="auto"/>
        </w:rPr>
      </w:pPr>
      <w:r>
        <w:rPr>
          <w:rFonts w:ascii="Arial" w:cs="Arial" w:eastAsia="Arial" w:hAnsi="Arial"/>
          <w:sz w:val="13"/>
          <w:szCs w:val="13"/>
          <w:b w:val="1"/>
          <w:bCs w:val="1"/>
          <w:color w:val="auto"/>
        </w:rPr>
        <w:t>Expiration Dates of Collective Bargaining Agreements</w:t>
      </w:r>
    </w:p>
    <w:p>
      <w:pPr>
        <w:spacing w:after="0" w:line="85" w:lineRule="exact"/>
        <w:rPr>
          <w:sz w:val="20"/>
          <w:szCs w:val="20"/>
          <w:color w:val="auto"/>
        </w:rPr>
      </w:pPr>
    </w:p>
    <w:p>
      <w:pPr>
        <w:ind w:left="60"/>
        <w:spacing w:after="0"/>
        <w:rPr>
          <w:sz w:val="20"/>
          <w:szCs w:val="20"/>
          <w:color w:val="auto"/>
        </w:rPr>
      </w:pPr>
      <w:r>
        <w:rPr>
          <w:rFonts w:ascii="Arial" w:cs="Arial" w:eastAsia="Arial" w:hAnsi="Arial"/>
          <w:sz w:val="13"/>
          <w:szCs w:val="13"/>
          <w:color w:val="auto"/>
        </w:rPr>
        <w:t>12/31/2019</w:t>
      </w:r>
    </w:p>
    <w:p>
      <w:pPr>
        <w:spacing w:after="0" w:line="107" w:lineRule="exact"/>
        <w:rPr>
          <w:sz w:val="20"/>
          <w:szCs w:val="20"/>
          <w:color w:val="auto"/>
        </w:rPr>
      </w:pPr>
    </w:p>
    <w:p>
      <w:pPr>
        <w:ind w:left="60" w:right="180" w:hanging="17"/>
        <w:spacing w:after="0" w:line="281" w:lineRule="auto"/>
        <w:rPr>
          <w:sz w:val="20"/>
          <w:szCs w:val="20"/>
          <w:color w:val="auto"/>
        </w:rPr>
      </w:pPr>
      <w:r>
        <w:rPr>
          <w:rFonts w:ascii="Arial" w:cs="Arial" w:eastAsia="Arial" w:hAnsi="Arial"/>
          <w:sz w:val="12"/>
          <w:szCs w:val="12"/>
          <w:color w:val="auto"/>
        </w:rPr>
        <w:t>4/30/2020 – 12/31/2022</w:t>
      </w:r>
    </w:p>
    <w:p>
      <w:pPr>
        <w:spacing w:after="0" w:line="1" w:lineRule="exact"/>
        <w:rPr>
          <w:sz w:val="20"/>
          <w:szCs w:val="20"/>
          <w:color w:val="auto"/>
        </w:rPr>
      </w:pPr>
    </w:p>
    <w:p>
      <w:pPr>
        <w:jc w:val="center"/>
        <w:ind w:right="140"/>
        <w:spacing w:after="0"/>
        <w:rPr>
          <w:sz w:val="20"/>
          <w:szCs w:val="20"/>
          <w:color w:val="auto"/>
        </w:rPr>
      </w:pPr>
      <w:r>
        <w:rPr>
          <w:rFonts w:ascii="Arial" w:cs="Arial" w:eastAsia="Arial" w:hAnsi="Arial"/>
          <w:sz w:val="13"/>
          <w:szCs w:val="13"/>
          <w:color w:val="auto"/>
        </w:rPr>
        <w:t>4/30/2020 –</w:t>
      </w:r>
    </w:p>
    <w:p>
      <w:pPr>
        <w:spacing w:after="0" w:line="2" w:lineRule="exact"/>
        <w:rPr>
          <w:sz w:val="20"/>
          <w:szCs w:val="20"/>
          <w:color w:val="auto"/>
        </w:rPr>
      </w:pPr>
    </w:p>
    <w:p>
      <w:pPr>
        <w:jc w:val="center"/>
        <w:ind w:right="140"/>
        <w:spacing w:after="0"/>
        <w:rPr>
          <w:sz w:val="20"/>
          <w:szCs w:val="20"/>
          <w:color w:val="auto"/>
        </w:rPr>
      </w:pPr>
      <w:r>
        <w:rPr>
          <w:rFonts w:ascii="Arial" w:cs="Arial" w:eastAsia="Arial" w:hAnsi="Arial"/>
          <w:sz w:val="13"/>
          <w:szCs w:val="13"/>
          <w:color w:val="auto"/>
        </w:rPr>
        <w:t>1/31/2023</w:t>
      </w:r>
    </w:p>
    <w:p>
      <w:pPr>
        <w:spacing w:after="0" w:line="9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4/4/2021</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2"/>
          <w:szCs w:val="12"/>
          <w:color w:val="auto"/>
        </w:rPr>
        <w:t>11/30/2020 –</w:t>
      </w:r>
    </w:p>
    <w:p>
      <w:pPr>
        <w:spacing w:after="0" w:line="13" w:lineRule="exact"/>
        <w:rPr>
          <w:sz w:val="20"/>
          <w:szCs w:val="20"/>
          <w:color w:val="auto"/>
        </w:rPr>
      </w:pPr>
    </w:p>
    <w:p>
      <w:pPr>
        <w:ind w:left="100"/>
        <w:spacing w:after="0"/>
        <w:rPr>
          <w:sz w:val="20"/>
          <w:szCs w:val="20"/>
          <w:color w:val="auto"/>
        </w:rPr>
      </w:pPr>
      <w:r>
        <w:rPr>
          <w:rFonts w:ascii="Arial" w:cs="Arial" w:eastAsia="Arial" w:hAnsi="Arial"/>
          <w:sz w:val="13"/>
          <w:szCs w:val="13"/>
          <w:color w:val="auto"/>
        </w:rPr>
        <w:t>8/31/2023</w:t>
      </w:r>
    </w:p>
    <w:p>
      <w:pPr>
        <w:spacing w:after="0" w:line="24" w:lineRule="exact"/>
        <w:rPr>
          <w:sz w:val="20"/>
          <w:szCs w:val="20"/>
          <w:color w:val="auto"/>
        </w:rPr>
      </w:pPr>
    </w:p>
    <w:p>
      <w:pPr>
        <w:jc w:val="right"/>
        <w:ind w:left="20" w:right="200"/>
        <w:spacing w:after="0" w:line="281" w:lineRule="auto"/>
        <w:rPr>
          <w:sz w:val="20"/>
          <w:szCs w:val="20"/>
          <w:color w:val="auto"/>
        </w:rPr>
      </w:pPr>
      <w:r>
        <w:rPr>
          <w:rFonts w:ascii="Arial" w:cs="Arial" w:eastAsia="Arial" w:hAnsi="Arial"/>
          <w:sz w:val="12"/>
          <w:szCs w:val="12"/>
          <w:color w:val="auto"/>
        </w:rPr>
        <w:t>4/30/2020 – 8/31/2022</w:t>
      </w:r>
    </w:p>
    <w:p>
      <w:pPr>
        <w:spacing w:after="0" w:line="1" w:lineRule="exact"/>
        <w:rPr>
          <w:sz w:val="20"/>
          <w:szCs w:val="20"/>
          <w:color w:val="auto"/>
        </w:rPr>
      </w:pPr>
    </w:p>
    <w:p>
      <w:pPr>
        <w:ind w:left="60" w:right="180" w:hanging="17"/>
        <w:spacing w:after="0" w:line="290" w:lineRule="auto"/>
        <w:rPr>
          <w:sz w:val="20"/>
          <w:szCs w:val="20"/>
          <w:color w:val="auto"/>
        </w:rPr>
      </w:pPr>
      <w:r>
        <w:rPr>
          <w:rFonts w:ascii="Arial" w:cs="Arial" w:eastAsia="Arial" w:hAnsi="Arial"/>
          <w:sz w:val="12"/>
          <w:szCs w:val="12"/>
          <w:color w:val="auto"/>
        </w:rPr>
        <w:t>5/31/2020 – 12/31/2022</w:t>
      </w:r>
    </w:p>
    <w:p>
      <w:pPr>
        <w:spacing w:after="0" w:line="1062" w:lineRule="exact"/>
        <w:rPr>
          <w:sz w:val="20"/>
          <w:szCs w:val="20"/>
          <w:color w:val="auto"/>
        </w:rPr>
      </w:pPr>
    </w:p>
    <w:p>
      <w:pPr>
        <w:sectPr>
          <w:pgSz w:w="11900" w:h="16838" w:orient="portrait"/>
          <w:cols w:equalWidth="0" w:num="2">
            <w:col w:w="10280" w:space="240"/>
            <w:col w:w="900"/>
          </w:cols>
          <w:pgMar w:left="240" w:top="333" w:right="239" w:bottom="1440" w:gutter="0" w:footer="0" w:header="0"/>
        </w:sectPr>
      </w:pPr>
    </w:p>
    <w:p>
      <w:pPr>
        <w:spacing w:after="0" w:line="174" w:lineRule="exact"/>
        <w:rPr>
          <w:sz w:val="20"/>
          <w:szCs w:val="20"/>
          <w:color w:val="auto"/>
        </w:rPr>
      </w:pPr>
    </w:p>
    <w:p>
      <w:pPr>
        <w:ind w:right="20" w:firstLine="8"/>
        <w:spacing w:after="0" w:line="299" w:lineRule="auto"/>
        <w:tabs>
          <w:tab w:leader="none" w:pos="162"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To determine individually significant plans, we evaluated several factors, including our total contributions to the plan, our significance to the plan in terms of participating employees and contributions, and the funded status of the plan.</w:t>
      </w:r>
    </w:p>
    <w:p>
      <w:pPr>
        <w:spacing w:after="0" w:line="81" w:lineRule="exact"/>
        <w:rPr>
          <w:rFonts w:ascii="Arial" w:cs="Arial" w:eastAsia="Arial" w:hAnsi="Arial"/>
          <w:sz w:val="18"/>
          <w:szCs w:val="18"/>
          <w:color w:val="auto"/>
          <w:vertAlign w:val="superscript"/>
        </w:rPr>
      </w:pPr>
    </w:p>
    <w:p>
      <w:pPr>
        <w:ind w:firstLine="8"/>
        <w:spacing w:after="0" w:line="223" w:lineRule="auto"/>
        <w:tabs>
          <w:tab w:leader="none" w:pos="191" w:val="left"/>
        </w:tabs>
        <w:numPr>
          <w:ilvl w:val="0"/>
          <w:numId w:val="40"/>
        </w:numPr>
        <w:rPr>
          <w:rFonts w:ascii="Arial" w:cs="Arial" w:eastAsia="Arial" w:hAnsi="Arial"/>
          <w:sz w:val="22"/>
          <w:szCs w:val="22"/>
          <w:color w:val="auto"/>
          <w:vertAlign w:val="superscript"/>
        </w:rPr>
      </w:pPr>
      <w:r>
        <w:rPr>
          <w:rFonts w:ascii="Arial" w:cs="Arial" w:eastAsia="Arial" w:hAnsi="Arial"/>
          <w:sz w:val="16"/>
          <w:szCs w:val="16"/>
          <w:color w:val="auto"/>
        </w:rPr>
        <w:t>The “EIN/PN” column provides the Employer Identification Number and the three-digit plan number assigned to the plan by the Internal Revenue Service (“IRS”).</w:t>
      </w:r>
    </w:p>
    <w:p>
      <w:pPr>
        <w:spacing w:after="0" w:line="134" w:lineRule="exact"/>
        <w:rPr>
          <w:rFonts w:ascii="Arial" w:cs="Arial" w:eastAsia="Arial" w:hAnsi="Arial"/>
          <w:sz w:val="22"/>
          <w:szCs w:val="22"/>
          <w:color w:val="auto"/>
          <w:vertAlign w:val="superscript"/>
        </w:rPr>
      </w:pPr>
    </w:p>
    <w:p>
      <w:pPr>
        <w:jc w:val="both"/>
        <w:ind w:firstLine="8"/>
        <w:spacing w:after="0" w:line="230" w:lineRule="auto"/>
        <w:tabs>
          <w:tab w:leader="none" w:pos="188" w:val="left"/>
        </w:tabs>
        <w:numPr>
          <w:ilvl w:val="0"/>
          <w:numId w:val="40"/>
        </w:numPr>
        <w:rPr>
          <w:rFonts w:ascii="Arial" w:cs="Arial" w:eastAsia="Arial" w:hAnsi="Arial"/>
          <w:sz w:val="22"/>
          <w:szCs w:val="22"/>
          <w:color w:val="auto"/>
          <w:vertAlign w:val="superscript"/>
        </w:rPr>
      </w:pPr>
      <w:r>
        <w:rPr>
          <w:rFonts w:ascii="Arial" w:cs="Arial" w:eastAsia="Arial" w:hAnsi="Arial"/>
          <w:sz w:val="16"/>
          <w:szCs w:val="16"/>
          <w:color w:val="auto"/>
        </w:rPr>
        <w:t>The Pension Protection Act Zone Status columns provide the two most recently available Pension Protection Act zone statuses from each plan. The zone status is based on information provided to us and other participating employers and is certified by each plan’s actuary. Among other factors, plans in the red zone are generally less than 65% funded, plans in the yellow zone are less than 80% funded, and plans in the green zone are at least 80% funded.</w:t>
      </w:r>
    </w:p>
    <w:p>
      <w:pPr>
        <w:spacing w:after="0" w:line="111" w:lineRule="exact"/>
        <w:rPr>
          <w:rFonts w:ascii="Arial" w:cs="Arial" w:eastAsia="Arial" w:hAnsi="Arial"/>
          <w:sz w:val="22"/>
          <w:szCs w:val="22"/>
          <w:color w:val="auto"/>
          <w:vertAlign w:val="superscript"/>
        </w:rPr>
      </w:pPr>
    </w:p>
    <w:p>
      <w:pPr>
        <w:ind w:left="180" w:hanging="172"/>
        <w:spacing w:after="0"/>
        <w:tabs>
          <w:tab w:leader="none" w:pos="180" w:val="left"/>
        </w:tabs>
        <w:numPr>
          <w:ilvl w:val="0"/>
          <w:numId w:val="40"/>
        </w:numPr>
        <w:rPr>
          <w:rFonts w:ascii="Arial" w:cs="Arial" w:eastAsia="Arial" w:hAnsi="Arial"/>
          <w:sz w:val="21"/>
          <w:szCs w:val="21"/>
          <w:color w:val="auto"/>
          <w:vertAlign w:val="superscript"/>
        </w:rPr>
      </w:pPr>
      <w:r>
        <w:rPr>
          <w:rFonts w:ascii="Arial" w:cs="Arial" w:eastAsia="Arial" w:hAnsi="Arial"/>
          <w:sz w:val="15"/>
          <w:szCs w:val="15"/>
          <w:color w:val="auto"/>
        </w:rPr>
        <w:t>Indicates whether a Financial Improvement Plan (“FIP”) for yellow zone plans or a Rehabilitation Plan (“RP”) for red zone plans is pending or implemented.</w:t>
      </w:r>
    </w:p>
    <w:p>
      <w:pPr>
        <w:spacing w:after="0" w:line="132" w:lineRule="exact"/>
        <w:rPr>
          <w:rFonts w:ascii="Arial" w:cs="Arial" w:eastAsia="Arial" w:hAnsi="Arial"/>
          <w:sz w:val="21"/>
          <w:szCs w:val="21"/>
          <w:color w:val="auto"/>
          <w:vertAlign w:val="superscript"/>
        </w:rPr>
      </w:pPr>
    </w:p>
    <w:p>
      <w:pPr>
        <w:ind w:firstLine="8"/>
        <w:spacing w:after="0" w:line="223" w:lineRule="auto"/>
        <w:tabs>
          <w:tab w:leader="none" w:pos="195" w:val="left"/>
        </w:tabs>
        <w:numPr>
          <w:ilvl w:val="0"/>
          <w:numId w:val="40"/>
        </w:numPr>
        <w:rPr>
          <w:rFonts w:ascii="Arial" w:cs="Arial" w:eastAsia="Arial" w:hAnsi="Arial"/>
          <w:sz w:val="22"/>
          <w:szCs w:val="22"/>
          <w:color w:val="auto"/>
          <w:vertAlign w:val="superscript"/>
        </w:rPr>
      </w:pPr>
      <w:r>
        <w:rPr>
          <w:rFonts w:ascii="Arial" w:cs="Arial" w:eastAsia="Arial" w:hAnsi="Arial"/>
          <w:sz w:val="16"/>
          <w:szCs w:val="16"/>
          <w:color w:val="auto"/>
        </w:rPr>
        <w:t>Indicates whether our contribution in 2019 included an amount as imposed by a plan in the red zone in addition to the contribution rate specified in the applicable collective bargaining agreement.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333" w:right="23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8"/>
          <w:szCs w:val="18"/>
          <w:i w:val="1"/>
          <w:iCs w:val="1"/>
          <w:color w:val="0046AD"/>
        </w:rPr>
        <w:t>Multiemployer Pension Plans for which ABM is a Significant Contributor</w:t>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6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120" w:type="dxa"/>
            <w:vAlign w:val="bottom"/>
          </w:tcPr>
          <w:p>
            <w:pPr>
              <w:jc w:val="center"/>
              <w:spacing w:after="0"/>
              <w:rPr>
                <w:sz w:val="20"/>
                <w:szCs w:val="20"/>
                <w:color w:val="auto"/>
              </w:rPr>
            </w:pPr>
            <w:r>
              <w:rPr>
                <w:rFonts w:ascii="Arial" w:cs="Arial" w:eastAsia="Arial" w:hAnsi="Arial"/>
                <w:sz w:val="14"/>
                <w:szCs w:val="14"/>
                <w:b w:val="1"/>
                <w:bCs w:val="1"/>
                <w:color w:val="auto"/>
              </w:rPr>
              <w:t>Contributions to the plan exceeded more than 5% of total contributions</w:t>
            </w:r>
          </w:p>
        </w:tc>
        <w:tc>
          <w:tcPr>
            <w:tcW w:w="0" w:type="dxa"/>
            <w:vAlign w:val="bottom"/>
          </w:tcPr>
          <w:p>
            <w:pPr>
              <w:spacing w:after="0"/>
              <w:rPr>
                <w:sz w:val="1"/>
                <w:szCs w:val="1"/>
                <w:color w:val="auto"/>
              </w:rPr>
            </w:pPr>
          </w:p>
        </w:tc>
      </w:tr>
      <w:tr>
        <w:trPr>
          <w:trHeight w:val="162"/>
        </w:trPr>
        <w:tc>
          <w:tcPr>
            <w:tcW w:w="6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120" w:type="dxa"/>
            <w:vAlign w:val="bottom"/>
          </w:tcPr>
          <w:p>
            <w:pPr>
              <w:jc w:val="center"/>
              <w:spacing w:after="0"/>
              <w:rPr>
                <w:sz w:val="20"/>
                <w:szCs w:val="20"/>
                <w:color w:val="auto"/>
              </w:rPr>
            </w:pPr>
            <w:r>
              <w:rPr>
                <w:rFonts w:ascii="Arial" w:cs="Arial" w:eastAsia="Arial" w:hAnsi="Arial"/>
                <w:sz w:val="14"/>
                <w:szCs w:val="14"/>
                <w:b w:val="1"/>
                <w:bCs w:val="1"/>
                <w:color w:val="auto"/>
              </w:rPr>
              <w:t>per most currently available Forms 5500</w:t>
            </w:r>
          </w:p>
        </w:tc>
        <w:tc>
          <w:tcPr>
            <w:tcW w:w="0" w:type="dxa"/>
            <w:vAlign w:val="bottom"/>
          </w:tcPr>
          <w:p>
            <w:pPr>
              <w:spacing w:after="0"/>
              <w:rPr>
                <w:sz w:val="1"/>
                <w:szCs w:val="1"/>
                <w:color w:val="auto"/>
              </w:rPr>
            </w:pPr>
          </w:p>
        </w:tc>
      </w:tr>
      <w:tr>
        <w:trPr>
          <w:trHeight w:val="203"/>
        </w:trPr>
        <w:tc>
          <w:tcPr>
            <w:tcW w:w="6160" w:type="dxa"/>
            <w:vAlign w:val="bottom"/>
            <w:tcBorders>
              <w:bottom w:val="single" w:sz="8" w:color="auto"/>
            </w:tcBorders>
          </w:tcPr>
          <w:p>
            <w:pPr>
              <w:ind w:left="2600"/>
              <w:spacing w:after="0"/>
              <w:rPr>
                <w:sz w:val="20"/>
                <w:szCs w:val="20"/>
                <w:color w:val="auto"/>
              </w:rPr>
            </w:pPr>
            <w:r>
              <w:rPr>
                <w:rFonts w:ascii="Arial" w:cs="Arial" w:eastAsia="Arial" w:hAnsi="Arial"/>
                <w:sz w:val="14"/>
                <w:szCs w:val="14"/>
                <w:b w:val="1"/>
                <w:bCs w:val="1"/>
                <w:color w:val="auto"/>
              </w:rPr>
              <w:t>Pension Fund</w:t>
            </w:r>
          </w:p>
        </w:tc>
        <w:tc>
          <w:tcPr>
            <w:tcW w:w="120" w:type="dxa"/>
            <w:vAlign w:val="bottom"/>
            <w:tcBorders>
              <w:bottom w:val="single" w:sz="8" w:color="DCE2EF"/>
            </w:tcBorders>
          </w:tcPr>
          <w:p>
            <w:pPr>
              <w:spacing w:after="0"/>
              <w:rPr>
                <w:sz w:val="17"/>
                <w:szCs w:val="17"/>
                <w:color w:val="auto"/>
              </w:rPr>
            </w:pPr>
          </w:p>
        </w:tc>
        <w:tc>
          <w:tcPr>
            <w:tcW w:w="5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(as of the plan’s year end)</w:t>
            </w:r>
          </w:p>
        </w:tc>
        <w:tc>
          <w:tcPr>
            <w:tcW w:w="0" w:type="dxa"/>
            <w:vAlign w:val="bottom"/>
          </w:tcPr>
          <w:p>
            <w:pPr>
              <w:spacing w:after="0"/>
              <w:rPr>
                <w:sz w:val="1"/>
                <w:szCs w:val="1"/>
                <w:color w:val="auto"/>
              </w:rPr>
            </w:pPr>
          </w:p>
        </w:tc>
      </w:tr>
      <w:tr>
        <w:trPr>
          <w:trHeight w:val="251"/>
        </w:trPr>
        <w:tc>
          <w:tcPr>
            <w:tcW w:w="6280" w:type="dxa"/>
            <w:vAlign w:val="bottom"/>
            <w:gridSpan w:val="2"/>
            <w:shd w:val="clear" w:color="auto" w:fill="DCE2EF"/>
          </w:tcPr>
          <w:p>
            <w:pPr>
              <w:ind w:left="20"/>
              <w:spacing w:after="0"/>
              <w:rPr>
                <w:sz w:val="20"/>
                <w:szCs w:val="20"/>
                <w:color w:val="auto"/>
              </w:rPr>
            </w:pPr>
            <w:r>
              <w:rPr>
                <w:rFonts w:ascii="Arial" w:cs="Arial" w:eastAsia="Arial" w:hAnsi="Arial"/>
                <w:sz w:val="14"/>
                <w:szCs w:val="14"/>
                <w:color w:val="auto"/>
              </w:rPr>
              <w:t>Arizona Sheet Metal Pension Trust Fund*</w:t>
            </w:r>
          </w:p>
        </w:tc>
        <w:tc>
          <w:tcPr>
            <w:tcW w:w="5120" w:type="dxa"/>
            <w:vAlign w:val="bottom"/>
            <w:shd w:val="clear" w:color="auto" w:fill="DCE2EF"/>
          </w:tcPr>
          <w:p>
            <w:pPr>
              <w:jc w:val="center"/>
              <w:spacing w:after="0"/>
              <w:rPr>
                <w:sz w:val="20"/>
                <w:szCs w:val="20"/>
                <w:color w:val="auto"/>
              </w:rPr>
            </w:pPr>
            <w:r>
              <w:rPr>
                <w:rFonts w:ascii="Arial" w:cs="Arial" w:eastAsia="Arial" w:hAnsi="Arial"/>
                <w:sz w:val="14"/>
                <w:szCs w:val="14"/>
                <w:color w:val="auto"/>
              </w:rPr>
              <w:t>6/30/2018, 6/30/2016</w:t>
            </w:r>
          </w:p>
        </w:tc>
        <w:tc>
          <w:tcPr>
            <w:tcW w:w="0" w:type="dxa"/>
            <w:vAlign w:val="bottom"/>
          </w:tcPr>
          <w:p>
            <w:pPr>
              <w:spacing w:after="0"/>
              <w:rPr>
                <w:sz w:val="1"/>
                <w:szCs w:val="1"/>
                <w:color w:val="auto"/>
              </w:rPr>
            </w:pPr>
          </w:p>
        </w:tc>
      </w:tr>
      <w:tr>
        <w:trPr>
          <w:trHeight w:val="266"/>
        </w:trPr>
        <w:tc>
          <w:tcPr>
            <w:tcW w:w="6280" w:type="dxa"/>
            <w:vAlign w:val="bottom"/>
            <w:gridSpan w:val="2"/>
          </w:tcPr>
          <w:p>
            <w:pPr>
              <w:ind w:left="20"/>
              <w:spacing w:after="0"/>
              <w:rPr>
                <w:sz w:val="20"/>
                <w:szCs w:val="20"/>
                <w:color w:val="auto"/>
              </w:rPr>
            </w:pPr>
            <w:r>
              <w:rPr>
                <w:rFonts w:ascii="Arial" w:cs="Arial" w:eastAsia="Arial" w:hAnsi="Arial"/>
                <w:sz w:val="14"/>
                <w:szCs w:val="14"/>
                <w:color w:val="auto"/>
              </w:rPr>
              <w:t>Building Service 32BJ Pension Fund</w:t>
            </w:r>
          </w:p>
        </w:tc>
        <w:tc>
          <w:tcPr>
            <w:tcW w:w="5120" w:type="dxa"/>
            <w:vAlign w:val="bottom"/>
          </w:tcPr>
          <w:p>
            <w:pPr>
              <w:jc w:val="center"/>
              <w:spacing w:after="0"/>
              <w:rPr>
                <w:sz w:val="20"/>
                <w:szCs w:val="20"/>
                <w:color w:val="auto"/>
              </w:rPr>
            </w:pPr>
            <w:r>
              <w:rPr>
                <w:rFonts w:ascii="Arial" w:cs="Arial" w:eastAsia="Arial" w:hAnsi="Arial"/>
                <w:sz w:val="14"/>
                <w:szCs w:val="14"/>
                <w:color w:val="auto"/>
              </w:rPr>
              <w:t>6/30/2018, 6/30/2017, and 6/30/2016</w:t>
            </w:r>
          </w:p>
        </w:tc>
        <w:tc>
          <w:tcPr>
            <w:tcW w:w="0" w:type="dxa"/>
            <w:vAlign w:val="bottom"/>
          </w:tcPr>
          <w:p>
            <w:pPr>
              <w:spacing w:after="0"/>
              <w:rPr>
                <w:sz w:val="1"/>
                <w:szCs w:val="1"/>
                <w:color w:val="auto"/>
              </w:rPr>
            </w:pPr>
          </w:p>
        </w:tc>
      </w:tr>
      <w:tr>
        <w:trPr>
          <w:trHeight w:val="274"/>
        </w:trPr>
        <w:tc>
          <w:tcPr>
            <w:tcW w:w="6280" w:type="dxa"/>
            <w:vAlign w:val="bottom"/>
            <w:gridSpan w:val="2"/>
            <w:shd w:val="clear" w:color="auto" w:fill="DCE2EF"/>
          </w:tcPr>
          <w:p>
            <w:pPr>
              <w:ind w:left="20"/>
              <w:spacing w:after="0"/>
              <w:rPr>
                <w:sz w:val="20"/>
                <w:szCs w:val="20"/>
                <w:color w:val="auto"/>
              </w:rPr>
            </w:pPr>
            <w:r>
              <w:rPr>
                <w:rFonts w:ascii="Arial" w:cs="Arial" w:eastAsia="Arial" w:hAnsi="Arial"/>
                <w:sz w:val="14"/>
                <w:szCs w:val="14"/>
                <w:color w:val="auto"/>
              </w:rPr>
              <w:t>Building Service Pension Plan*</w:t>
            </w:r>
          </w:p>
        </w:tc>
        <w:tc>
          <w:tcPr>
            <w:tcW w:w="5120" w:type="dxa"/>
            <w:vAlign w:val="bottom"/>
            <w:shd w:val="clear" w:color="auto" w:fill="DCE2EF"/>
          </w:tcPr>
          <w:p>
            <w:pPr>
              <w:jc w:val="center"/>
              <w:spacing w:after="0"/>
              <w:rPr>
                <w:sz w:val="20"/>
                <w:szCs w:val="20"/>
                <w:color w:val="auto"/>
              </w:rPr>
            </w:pPr>
            <w:r>
              <w:rPr>
                <w:rFonts w:ascii="Arial" w:cs="Arial" w:eastAsia="Arial" w:hAnsi="Arial"/>
                <w:sz w:val="14"/>
                <w:szCs w:val="14"/>
                <w:color w:val="auto"/>
              </w:rPr>
              <w:t>4/30/2018, 4/30/2017, and 4/30/2016</w:t>
            </w:r>
          </w:p>
        </w:tc>
        <w:tc>
          <w:tcPr>
            <w:tcW w:w="0" w:type="dxa"/>
            <w:vAlign w:val="bottom"/>
          </w:tcPr>
          <w:p>
            <w:pPr>
              <w:spacing w:after="0"/>
              <w:rPr>
                <w:sz w:val="1"/>
                <w:szCs w:val="1"/>
                <w:color w:val="auto"/>
              </w:rPr>
            </w:pPr>
          </w:p>
        </w:tc>
      </w:tr>
      <w:tr>
        <w:trPr>
          <w:trHeight w:val="266"/>
        </w:trPr>
        <w:tc>
          <w:tcPr>
            <w:tcW w:w="6280" w:type="dxa"/>
            <w:vAlign w:val="bottom"/>
            <w:gridSpan w:val="2"/>
          </w:tcPr>
          <w:p>
            <w:pPr>
              <w:ind w:left="20"/>
              <w:spacing w:after="0"/>
              <w:rPr>
                <w:sz w:val="20"/>
                <w:szCs w:val="20"/>
                <w:color w:val="auto"/>
              </w:rPr>
            </w:pPr>
            <w:r>
              <w:rPr>
                <w:rFonts w:ascii="Arial" w:cs="Arial" w:eastAsia="Arial" w:hAnsi="Arial"/>
                <w:sz w:val="14"/>
                <w:szCs w:val="14"/>
                <w:color w:val="auto"/>
              </w:rPr>
              <w:t>Contract Cleaners Service Employees’ Pension Plan*</w:t>
            </w:r>
          </w:p>
        </w:tc>
        <w:tc>
          <w:tcPr>
            <w:tcW w:w="5120" w:type="dxa"/>
            <w:vAlign w:val="bottom"/>
          </w:tcPr>
          <w:p>
            <w:pPr>
              <w:jc w:val="center"/>
              <w:spacing w:after="0"/>
              <w:rPr>
                <w:sz w:val="20"/>
                <w:szCs w:val="20"/>
                <w:color w:val="auto"/>
              </w:rPr>
            </w:pPr>
            <w:r>
              <w:rPr>
                <w:rFonts w:ascii="Arial" w:cs="Arial" w:eastAsia="Arial" w:hAnsi="Arial"/>
                <w:sz w:val="14"/>
                <w:szCs w:val="14"/>
                <w:color w:val="auto"/>
              </w:rPr>
              <w:t>12/31/2018, 12/31/2017, and 12/31/2016</w:t>
            </w:r>
          </w:p>
        </w:tc>
        <w:tc>
          <w:tcPr>
            <w:tcW w:w="0" w:type="dxa"/>
            <w:vAlign w:val="bottom"/>
          </w:tcPr>
          <w:p>
            <w:pPr>
              <w:spacing w:after="0"/>
              <w:rPr>
                <w:sz w:val="1"/>
                <w:szCs w:val="1"/>
                <w:color w:val="auto"/>
              </w:rPr>
            </w:pPr>
          </w:p>
        </w:tc>
      </w:tr>
      <w:tr>
        <w:trPr>
          <w:trHeight w:val="254"/>
        </w:trPr>
        <w:tc>
          <w:tcPr>
            <w:tcW w:w="6160" w:type="dxa"/>
            <w:vAlign w:val="bottom"/>
            <w:tcBorders>
              <w:bottom w:val="single" w:sz="8" w:color="DCE2EF"/>
            </w:tcBorders>
            <w:shd w:val="clear" w:color="auto" w:fill="DCE2EF"/>
          </w:tcPr>
          <w:p>
            <w:pPr>
              <w:ind w:left="20"/>
              <w:spacing w:after="0"/>
              <w:rPr>
                <w:sz w:val="20"/>
                <w:szCs w:val="20"/>
                <w:color w:val="auto"/>
              </w:rPr>
            </w:pPr>
            <w:r>
              <w:rPr>
                <w:rFonts w:ascii="Arial" w:cs="Arial" w:eastAsia="Arial" w:hAnsi="Arial"/>
                <w:sz w:val="14"/>
                <w:szCs w:val="14"/>
                <w:color w:val="auto"/>
                <w:shd w:val="clear" w:color="auto" w:fill="DCE2EF"/>
              </w:rPr>
              <w:t>Firemen &amp; Oilers Pension Plan of SEIU Local 1*</w:t>
            </w:r>
          </w:p>
        </w:tc>
        <w:tc>
          <w:tcPr>
            <w:tcW w:w="120" w:type="dxa"/>
            <w:vAlign w:val="bottom"/>
            <w:tcBorders>
              <w:bottom w:val="single" w:sz="8" w:color="DCE2EF"/>
            </w:tcBorders>
            <w:shd w:val="clear" w:color="auto" w:fill="DCE2EF"/>
          </w:tcPr>
          <w:p>
            <w:pPr>
              <w:spacing w:after="0"/>
              <w:rPr>
                <w:sz w:val="22"/>
                <w:szCs w:val="22"/>
                <w:color w:val="auto"/>
              </w:rPr>
            </w:pPr>
          </w:p>
        </w:tc>
        <w:tc>
          <w:tcPr>
            <w:tcW w:w="5120" w:type="dxa"/>
            <w:vAlign w:val="bottom"/>
            <w:tcBorders>
              <w:bottom w:val="single" w:sz="8" w:color="DCE2EF"/>
            </w:tcBorders>
            <w:shd w:val="clear" w:color="auto" w:fill="DCE2EF"/>
          </w:tcPr>
          <w:p>
            <w:pPr>
              <w:jc w:val="center"/>
              <w:spacing w:after="0"/>
              <w:rPr>
                <w:sz w:val="20"/>
                <w:szCs w:val="20"/>
                <w:color w:val="auto"/>
              </w:rPr>
            </w:pPr>
            <w:r>
              <w:rPr>
                <w:rFonts w:ascii="Arial" w:cs="Arial" w:eastAsia="Arial" w:hAnsi="Arial"/>
                <w:sz w:val="14"/>
                <w:szCs w:val="14"/>
                <w:color w:val="auto"/>
              </w:rPr>
              <w:t>7/31/2018 and 7/31/2017</w:t>
            </w:r>
          </w:p>
        </w:tc>
        <w:tc>
          <w:tcPr>
            <w:tcW w:w="0" w:type="dxa"/>
            <w:vAlign w:val="bottom"/>
          </w:tcPr>
          <w:p>
            <w:pPr>
              <w:spacing w:after="0"/>
              <w:rPr>
                <w:sz w:val="1"/>
                <w:szCs w:val="1"/>
                <w:color w:val="auto"/>
              </w:rPr>
            </w:pPr>
          </w:p>
        </w:tc>
      </w:tr>
      <w:tr>
        <w:trPr>
          <w:trHeight w:val="266"/>
        </w:trPr>
        <w:tc>
          <w:tcPr>
            <w:tcW w:w="6280" w:type="dxa"/>
            <w:vAlign w:val="bottom"/>
            <w:gridSpan w:val="2"/>
          </w:tcPr>
          <w:p>
            <w:pPr>
              <w:ind w:left="20"/>
              <w:spacing w:after="0"/>
              <w:rPr>
                <w:sz w:val="20"/>
                <w:szCs w:val="20"/>
                <w:color w:val="auto"/>
              </w:rPr>
            </w:pPr>
            <w:r>
              <w:rPr>
                <w:rFonts w:ascii="Arial" w:cs="Arial" w:eastAsia="Arial" w:hAnsi="Arial"/>
                <w:sz w:val="14"/>
                <w:szCs w:val="14"/>
                <w:color w:val="auto"/>
              </w:rPr>
              <w:t>SEIU Local 1 &amp; Participating Employers Pension Trust</w:t>
            </w:r>
          </w:p>
        </w:tc>
        <w:tc>
          <w:tcPr>
            <w:tcW w:w="5120" w:type="dxa"/>
            <w:vAlign w:val="bottom"/>
          </w:tcPr>
          <w:p>
            <w:pPr>
              <w:jc w:val="center"/>
              <w:spacing w:after="0"/>
              <w:rPr>
                <w:sz w:val="20"/>
                <w:szCs w:val="20"/>
                <w:color w:val="auto"/>
              </w:rPr>
            </w:pPr>
            <w:r>
              <w:rPr>
                <w:rFonts w:ascii="Arial" w:cs="Arial" w:eastAsia="Arial" w:hAnsi="Arial"/>
                <w:sz w:val="14"/>
                <w:szCs w:val="14"/>
                <w:color w:val="auto"/>
              </w:rPr>
              <w:t>9/30/2018, 9/30/2017, and 9/30/2016</w:t>
            </w:r>
          </w:p>
        </w:tc>
        <w:tc>
          <w:tcPr>
            <w:tcW w:w="0" w:type="dxa"/>
            <w:vAlign w:val="bottom"/>
          </w:tcPr>
          <w:p>
            <w:pPr>
              <w:spacing w:after="0"/>
              <w:rPr>
                <w:sz w:val="1"/>
                <w:szCs w:val="1"/>
                <w:color w:val="auto"/>
              </w:rPr>
            </w:pPr>
          </w:p>
        </w:tc>
      </w:tr>
      <w:tr>
        <w:trPr>
          <w:trHeight w:val="274"/>
        </w:trPr>
        <w:tc>
          <w:tcPr>
            <w:tcW w:w="6280" w:type="dxa"/>
            <w:vAlign w:val="bottom"/>
            <w:gridSpan w:val="2"/>
            <w:shd w:val="clear" w:color="auto" w:fill="DCE2EF"/>
          </w:tcPr>
          <w:p>
            <w:pPr>
              <w:ind w:left="20"/>
              <w:spacing w:after="0"/>
              <w:rPr>
                <w:sz w:val="20"/>
                <w:szCs w:val="20"/>
                <w:color w:val="auto"/>
              </w:rPr>
            </w:pPr>
            <w:r>
              <w:rPr>
                <w:rFonts w:ascii="Arial" w:cs="Arial" w:eastAsia="Arial" w:hAnsi="Arial"/>
                <w:sz w:val="14"/>
                <w:szCs w:val="14"/>
                <w:color w:val="auto"/>
              </w:rPr>
              <w:t>Massachusetts Service Employees Pension Plan*</w:t>
            </w:r>
          </w:p>
        </w:tc>
        <w:tc>
          <w:tcPr>
            <w:tcW w:w="5120" w:type="dxa"/>
            <w:vAlign w:val="bottom"/>
            <w:shd w:val="clear" w:color="auto" w:fill="DCE2EF"/>
          </w:tcPr>
          <w:p>
            <w:pPr>
              <w:jc w:val="center"/>
              <w:spacing w:after="0"/>
              <w:rPr>
                <w:sz w:val="20"/>
                <w:szCs w:val="20"/>
                <w:color w:val="auto"/>
              </w:rPr>
            </w:pPr>
            <w:r>
              <w:rPr>
                <w:rFonts w:ascii="Arial" w:cs="Arial" w:eastAsia="Arial" w:hAnsi="Arial"/>
                <w:sz w:val="14"/>
                <w:szCs w:val="14"/>
                <w:color w:val="auto"/>
              </w:rPr>
              <w:t>12/31/2018, 12/31/2017, and 12/31/2016</w:t>
            </w:r>
          </w:p>
        </w:tc>
        <w:tc>
          <w:tcPr>
            <w:tcW w:w="0" w:type="dxa"/>
            <w:vAlign w:val="bottom"/>
          </w:tcPr>
          <w:p>
            <w:pPr>
              <w:spacing w:after="0"/>
              <w:rPr>
                <w:sz w:val="1"/>
                <w:szCs w:val="1"/>
                <w:color w:val="auto"/>
              </w:rPr>
            </w:pPr>
          </w:p>
        </w:tc>
      </w:tr>
      <w:tr>
        <w:trPr>
          <w:trHeight w:val="266"/>
        </w:trPr>
        <w:tc>
          <w:tcPr>
            <w:tcW w:w="6280" w:type="dxa"/>
            <w:vAlign w:val="bottom"/>
            <w:gridSpan w:val="2"/>
          </w:tcPr>
          <w:p>
            <w:pPr>
              <w:ind w:left="20"/>
              <w:spacing w:after="0"/>
              <w:rPr>
                <w:sz w:val="20"/>
                <w:szCs w:val="20"/>
                <w:color w:val="auto"/>
              </w:rPr>
            </w:pPr>
            <w:r>
              <w:rPr>
                <w:rFonts w:ascii="Arial" w:cs="Arial" w:eastAsia="Arial" w:hAnsi="Arial"/>
                <w:sz w:val="14"/>
                <w:szCs w:val="14"/>
                <w:color w:val="auto"/>
              </w:rPr>
              <w:t>S.E.I.U. National Industry Pension Fund</w:t>
            </w:r>
          </w:p>
        </w:tc>
        <w:tc>
          <w:tcPr>
            <w:tcW w:w="5120" w:type="dxa"/>
            <w:vAlign w:val="bottom"/>
          </w:tcPr>
          <w:p>
            <w:pPr>
              <w:jc w:val="center"/>
              <w:spacing w:after="0"/>
              <w:rPr>
                <w:sz w:val="20"/>
                <w:szCs w:val="20"/>
                <w:color w:val="auto"/>
              </w:rPr>
            </w:pPr>
            <w:r>
              <w:rPr>
                <w:rFonts w:ascii="Arial" w:cs="Arial" w:eastAsia="Arial" w:hAnsi="Arial"/>
                <w:sz w:val="14"/>
                <w:szCs w:val="14"/>
                <w:color w:val="auto"/>
              </w:rPr>
              <w:t>12/31/2018, 12/31/2017, and 12/31/2016</w:t>
            </w:r>
          </w:p>
        </w:tc>
        <w:tc>
          <w:tcPr>
            <w:tcW w:w="0" w:type="dxa"/>
            <w:vAlign w:val="bottom"/>
          </w:tcPr>
          <w:p>
            <w:pPr>
              <w:spacing w:after="0"/>
              <w:rPr>
                <w:sz w:val="1"/>
                <w:szCs w:val="1"/>
                <w:color w:val="auto"/>
              </w:rPr>
            </w:pPr>
          </w:p>
        </w:tc>
      </w:tr>
      <w:tr>
        <w:trPr>
          <w:trHeight w:val="274"/>
        </w:trPr>
        <w:tc>
          <w:tcPr>
            <w:tcW w:w="6280" w:type="dxa"/>
            <w:vAlign w:val="bottom"/>
            <w:gridSpan w:val="2"/>
            <w:shd w:val="clear" w:color="auto" w:fill="DCE2EF"/>
          </w:tcPr>
          <w:p>
            <w:pPr>
              <w:ind w:left="20"/>
              <w:spacing w:after="0"/>
              <w:rPr>
                <w:sz w:val="20"/>
                <w:szCs w:val="20"/>
                <w:color w:val="auto"/>
              </w:rPr>
            </w:pPr>
            <w:r>
              <w:rPr>
                <w:rFonts w:ascii="Arial" w:cs="Arial" w:eastAsia="Arial" w:hAnsi="Arial"/>
                <w:sz w:val="14"/>
                <w:szCs w:val="14"/>
                <w:color w:val="auto"/>
              </w:rPr>
              <w:t>Service Employees International Union Local 1 Cleveland Pension Plan*</w:t>
            </w:r>
          </w:p>
        </w:tc>
        <w:tc>
          <w:tcPr>
            <w:tcW w:w="5120" w:type="dxa"/>
            <w:vAlign w:val="bottom"/>
            <w:shd w:val="clear" w:color="auto" w:fill="DCE2EF"/>
          </w:tcPr>
          <w:p>
            <w:pPr>
              <w:jc w:val="center"/>
              <w:spacing w:after="0"/>
              <w:rPr>
                <w:sz w:val="20"/>
                <w:szCs w:val="20"/>
                <w:color w:val="auto"/>
              </w:rPr>
            </w:pPr>
            <w:r>
              <w:rPr>
                <w:rFonts w:ascii="Arial" w:cs="Arial" w:eastAsia="Arial" w:hAnsi="Arial"/>
                <w:sz w:val="14"/>
                <w:szCs w:val="14"/>
                <w:color w:val="auto"/>
              </w:rPr>
              <w:t>12/31/2018, 12/31/2017, and 12/31/2016</w:t>
            </w:r>
          </w:p>
        </w:tc>
        <w:tc>
          <w:tcPr>
            <w:tcW w:w="0" w:type="dxa"/>
            <w:vAlign w:val="bottom"/>
          </w:tcPr>
          <w:p>
            <w:pPr>
              <w:spacing w:after="0"/>
              <w:rPr>
                <w:sz w:val="1"/>
                <w:szCs w:val="1"/>
                <w:color w:val="auto"/>
              </w:rPr>
            </w:pPr>
          </w:p>
        </w:tc>
      </w:tr>
      <w:tr>
        <w:trPr>
          <w:trHeight w:val="176"/>
        </w:trPr>
        <w:tc>
          <w:tcPr>
            <w:tcW w:w="6280" w:type="dxa"/>
            <w:vAlign w:val="bottom"/>
            <w:gridSpan w:val="2"/>
          </w:tcPr>
          <w:p>
            <w:pPr>
              <w:ind w:left="20"/>
              <w:spacing w:after="0"/>
              <w:rPr>
                <w:sz w:val="20"/>
                <w:szCs w:val="20"/>
                <w:color w:val="auto"/>
              </w:rPr>
            </w:pPr>
            <w:r>
              <w:rPr>
                <w:rFonts w:ascii="Arial" w:cs="Arial" w:eastAsia="Arial" w:hAnsi="Arial"/>
                <w:sz w:val="14"/>
                <w:szCs w:val="14"/>
                <w:color w:val="auto"/>
              </w:rPr>
              <w:t>Service Employees International Union Local 32BJ, District 36 Building Operators Pension</w:t>
            </w:r>
          </w:p>
        </w:tc>
        <w:tc>
          <w:tcPr>
            <w:tcW w:w="5120" w:type="dxa"/>
            <w:vAlign w:val="bottom"/>
            <w:vMerge w:val="restart"/>
          </w:tcPr>
          <w:p>
            <w:pPr>
              <w:jc w:val="center"/>
              <w:spacing w:after="0"/>
              <w:rPr>
                <w:sz w:val="20"/>
                <w:szCs w:val="20"/>
                <w:color w:val="auto"/>
              </w:rPr>
            </w:pPr>
            <w:r>
              <w:rPr>
                <w:rFonts w:ascii="Arial" w:cs="Arial" w:eastAsia="Arial" w:hAnsi="Arial"/>
                <w:sz w:val="14"/>
                <w:szCs w:val="14"/>
                <w:color w:val="auto"/>
              </w:rPr>
              <w:t>12/31/2018, 12/31/2017, and 12/31/2016</w:t>
            </w:r>
          </w:p>
        </w:tc>
        <w:tc>
          <w:tcPr>
            <w:tcW w:w="0" w:type="dxa"/>
            <w:vAlign w:val="bottom"/>
          </w:tcPr>
          <w:p>
            <w:pPr>
              <w:spacing w:after="0"/>
              <w:rPr>
                <w:sz w:val="1"/>
                <w:szCs w:val="1"/>
                <w:color w:val="auto"/>
              </w:rPr>
            </w:pPr>
          </w:p>
        </w:tc>
      </w:tr>
      <w:tr>
        <w:trPr>
          <w:trHeight w:val="113"/>
        </w:trPr>
        <w:tc>
          <w:tcPr>
            <w:tcW w:w="6280" w:type="dxa"/>
            <w:vAlign w:val="bottom"/>
            <w:gridSpan w:val="2"/>
            <w:vMerge w:val="restart"/>
          </w:tcPr>
          <w:p>
            <w:pPr>
              <w:ind w:left="20"/>
              <w:spacing w:after="0"/>
              <w:rPr>
                <w:sz w:val="20"/>
                <w:szCs w:val="20"/>
                <w:color w:val="auto"/>
              </w:rPr>
            </w:pPr>
            <w:r>
              <w:rPr>
                <w:rFonts w:ascii="Arial" w:cs="Arial" w:eastAsia="Arial" w:hAnsi="Arial"/>
                <w:sz w:val="14"/>
                <w:szCs w:val="14"/>
                <w:color w:val="auto"/>
              </w:rPr>
              <w:t>Trust Fund*</w:t>
            </w:r>
          </w:p>
        </w:tc>
        <w:tc>
          <w:tcPr>
            <w:tcW w:w="5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6280" w:type="dxa"/>
            <w:vAlign w:val="bottom"/>
            <w:gridSpan w:val="2"/>
            <w:vMerge w:val="continue"/>
          </w:tcPr>
          <w:p>
            <w:pPr>
              <w:spacing w:after="0"/>
              <w:rPr>
                <w:sz w:val="7"/>
                <w:szCs w:val="7"/>
                <w:color w:val="auto"/>
              </w:rPr>
            </w:pPr>
          </w:p>
        </w:tc>
        <w:tc>
          <w:tcPr>
            <w:tcW w:w="5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6280" w:type="dxa"/>
            <w:vAlign w:val="bottom"/>
            <w:gridSpan w:val="2"/>
            <w:shd w:val="clear" w:color="auto" w:fill="DCE2EF"/>
          </w:tcPr>
          <w:p>
            <w:pPr>
              <w:ind w:left="20"/>
              <w:spacing w:after="0"/>
              <w:rPr>
                <w:sz w:val="20"/>
                <w:szCs w:val="20"/>
                <w:color w:val="auto"/>
              </w:rPr>
            </w:pPr>
            <w:r>
              <w:rPr>
                <w:rFonts w:ascii="Arial" w:cs="Arial" w:eastAsia="Arial" w:hAnsi="Arial"/>
                <w:sz w:val="14"/>
                <w:szCs w:val="14"/>
                <w:color w:val="auto"/>
              </w:rPr>
              <w:t>Teamsters Local 617 Pension Fund*</w:t>
            </w:r>
          </w:p>
        </w:tc>
        <w:tc>
          <w:tcPr>
            <w:tcW w:w="5120" w:type="dxa"/>
            <w:vAlign w:val="bottom"/>
            <w:shd w:val="clear" w:color="auto" w:fill="DCE2EF"/>
          </w:tcPr>
          <w:p>
            <w:pPr>
              <w:jc w:val="center"/>
              <w:spacing w:after="0"/>
              <w:rPr>
                <w:sz w:val="20"/>
                <w:szCs w:val="20"/>
                <w:color w:val="auto"/>
              </w:rPr>
            </w:pPr>
            <w:r>
              <w:rPr>
                <w:rFonts w:ascii="Arial" w:cs="Arial" w:eastAsia="Arial" w:hAnsi="Arial"/>
                <w:sz w:val="14"/>
                <w:szCs w:val="14"/>
                <w:color w:val="auto"/>
              </w:rPr>
              <w:t>2/28/2019, 2/28/2018, and 2/28/2017</w:t>
            </w:r>
          </w:p>
        </w:tc>
        <w:tc>
          <w:tcPr>
            <w:tcW w:w="0" w:type="dxa"/>
            <w:vAlign w:val="bottom"/>
          </w:tcPr>
          <w:p>
            <w:pPr>
              <w:spacing w:after="0"/>
              <w:rPr>
                <w:sz w:val="1"/>
                <w:szCs w:val="1"/>
                <w:color w:val="auto"/>
              </w:rPr>
            </w:pPr>
          </w:p>
        </w:tc>
      </w:tr>
      <w:tr>
        <w:trPr>
          <w:trHeight w:val="262"/>
        </w:trPr>
        <w:tc>
          <w:tcPr>
            <w:tcW w:w="6280" w:type="dxa"/>
            <w:vAlign w:val="bottom"/>
            <w:gridSpan w:val="2"/>
          </w:tcPr>
          <w:p>
            <w:pPr>
              <w:ind w:left="20"/>
              <w:spacing w:after="0"/>
              <w:rPr>
                <w:sz w:val="20"/>
                <w:szCs w:val="20"/>
                <w:color w:val="auto"/>
              </w:rPr>
            </w:pPr>
            <w:r>
              <w:rPr>
                <w:rFonts w:ascii="Arial" w:cs="Arial" w:eastAsia="Arial" w:hAnsi="Arial"/>
                <w:sz w:val="14"/>
                <w:szCs w:val="14"/>
                <w:color w:val="auto"/>
              </w:rPr>
              <w:t>Teamsters Local Union No. 727 Pension Plan*</w:t>
            </w:r>
          </w:p>
        </w:tc>
        <w:tc>
          <w:tcPr>
            <w:tcW w:w="5120" w:type="dxa"/>
            <w:vAlign w:val="bottom"/>
          </w:tcPr>
          <w:p>
            <w:pPr>
              <w:jc w:val="center"/>
              <w:spacing w:after="0"/>
              <w:rPr>
                <w:sz w:val="20"/>
                <w:szCs w:val="20"/>
                <w:color w:val="auto"/>
              </w:rPr>
            </w:pPr>
            <w:r>
              <w:rPr>
                <w:rFonts w:ascii="Arial" w:cs="Arial" w:eastAsia="Arial" w:hAnsi="Arial"/>
                <w:sz w:val="14"/>
                <w:szCs w:val="14"/>
                <w:color w:val="auto"/>
              </w:rPr>
              <w:t>2/28/2019, 2/28/2018, and 2/28/2017</w:t>
            </w:r>
          </w:p>
        </w:tc>
        <w:tc>
          <w:tcPr>
            <w:tcW w:w="0" w:type="dxa"/>
            <w:vAlign w:val="bottom"/>
          </w:tcPr>
          <w:p>
            <w:pPr>
              <w:spacing w:after="0"/>
              <w:rPr>
                <w:sz w:val="1"/>
                <w:szCs w:val="1"/>
                <w:color w:val="auto"/>
              </w:rPr>
            </w:pPr>
          </w:p>
        </w:tc>
      </w:tr>
    </w:tbl>
    <w:p>
      <w:pPr>
        <w:spacing w:after="0" w:line="314" w:lineRule="exact"/>
        <w:rPr>
          <w:sz w:val="20"/>
          <w:szCs w:val="20"/>
          <w:color w:val="auto"/>
        </w:rPr>
      </w:pPr>
    </w:p>
    <w:p>
      <w:pPr>
        <w:ind w:right="20" w:firstLine="8"/>
        <w:spacing w:after="0" w:line="265" w:lineRule="auto"/>
        <w:tabs>
          <w:tab w:leader="none" w:pos="152"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These plans are not separately listed in our multiemployer table as they represent an insignificant portion of our total multiemployer pension plan contributions.</w:t>
      </w:r>
    </w:p>
    <w:p>
      <w:pPr>
        <w:spacing w:after="0" w:line="3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significant changes that affect the comparability of total contributions for any of the periods presented.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Multiemployer Defined Contribution Plans</w:t>
      </w:r>
    </w:p>
    <w:p>
      <w:pPr>
        <w:spacing w:after="0" w:line="17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In addition to contributions noted above, we also make contributions to multiemployer defined contribution plans. During 2019, 2018, and 2017, our contributions to the defined contribution plans were $9.0 million, $10.6 million, and $5.4 million, respectively.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Other Multiemployer Benefit Plans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also contribute to several multiemployer postretirement health and welfare plans based on obligations arising under collective bargaining agreements covering union-represented employees. These plans may provide medical, pharmacy, dental, vision, mental health, and other benefits to employees as determined by the trustees of each plan. The majority of our contributions benefit active employees and, as such, may not constitute contributions to a postretirement benefit plan. However, since we are unable to separate contribution amounts to postretirement benefit plans from contribution amounts paid to benefit active employees, we categorize all such amounts as contributions to postretirement benefit plans. During 2019, 2018, and 2017, our contributions to such plans were $269.8 million, $263.4 million, and $247.9 million, respectively. There have been no significant changes that affect the comparability of total contributions for any of the periods presented.</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97"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0046AD"/>
        </w:rPr>
        <w:t>15.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60" w:type="dxa"/>
            <w:vAlign w:val="bottom"/>
            <w:gridSpan w:val="3"/>
          </w:tcPr>
          <w:p>
            <w:pPr>
              <w:spacing w:after="0"/>
              <w:rPr>
                <w:sz w:val="20"/>
                <w:szCs w:val="20"/>
                <w:color w:val="auto"/>
              </w:rPr>
            </w:pPr>
            <w:r>
              <w:rPr>
                <w:rFonts w:ascii="Arial" w:cs="Arial" w:eastAsia="Arial" w:hAnsi="Arial"/>
                <w:sz w:val="18"/>
                <w:szCs w:val="18"/>
                <w:b w:val="1"/>
                <w:bCs w:val="1"/>
                <w:color w:val="0046AD"/>
              </w:rPr>
              <w:t>Lease and Other Similar Commitments</w:t>
            </w: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378"/>
        </w:trPr>
        <w:tc>
          <w:tcPr>
            <w:tcW w:w="6060" w:type="dxa"/>
            <w:vAlign w:val="bottom"/>
            <w:gridSpan w:val="3"/>
          </w:tcPr>
          <w:p>
            <w:pPr>
              <w:spacing w:after="0"/>
              <w:rPr>
                <w:sz w:val="20"/>
                <w:szCs w:val="20"/>
                <w:color w:val="auto"/>
              </w:rPr>
            </w:pPr>
            <w:r>
              <w:rPr>
                <w:rFonts w:ascii="Arial" w:cs="Arial" w:eastAsia="Arial" w:hAnsi="Arial"/>
                <w:sz w:val="18"/>
                <w:szCs w:val="18"/>
                <w:b w:val="1"/>
                <w:bCs w:val="1"/>
                <w:i w:val="1"/>
                <w:iCs w:val="1"/>
                <w:color w:val="0046AD"/>
              </w:rPr>
              <w:t>Future Minimum Payments</w:t>
            </w: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28"/>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Service</w:t>
            </w:r>
          </w:p>
        </w:tc>
      </w:tr>
      <w:tr>
        <w:trPr>
          <w:trHeight w:val="203"/>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Operating and</w:t>
            </w:r>
          </w:p>
        </w:tc>
        <w:tc>
          <w:tcPr>
            <w:tcW w:w="200" w:type="dxa"/>
            <w:vAlign w:val="bottom"/>
          </w:tcPr>
          <w:p>
            <w:pPr>
              <w:spacing w:after="0"/>
              <w:rPr>
                <w:sz w:val="17"/>
                <w:szCs w:val="17"/>
                <w:color w:val="auto"/>
              </w:rPr>
            </w:pPr>
          </w:p>
        </w:tc>
        <w:tc>
          <w:tcPr>
            <w:tcW w:w="152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9"/>
              </w:rPr>
              <w:t>Concession</w:t>
            </w:r>
          </w:p>
        </w:tc>
      </w:tr>
      <w:tr>
        <w:trPr>
          <w:trHeight w:val="268"/>
        </w:trPr>
        <w:tc>
          <w:tcPr>
            <w:tcW w:w="606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23"/>
                <w:szCs w:val="23"/>
                <w:color w:val="auto"/>
              </w:rPr>
            </w:pPr>
          </w:p>
        </w:tc>
        <w:tc>
          <w:tcPr>
            <w:tcW w:w="1480" w:type="dxa"/>
            <w:vAlign w:val="bottom"/>
            <w:gridSpan w:val="2"/>
          </w:tcPr>
          <w:p>
            <w:pPr>
              <w:ind w:left="220"/>
              <w:spacing w:after="0"/>
              <w:rPr>
                <w:sz w:val="20"/>
                <w:szCs w:val="20"/>
                <w:color w:val="auto"/>
              </w:rPr>
            </w:pPr>
            <w:r>
              <w:rPr>
                <w:rFonts w:ascii="Arial" w:cs="Arial" w:eastAsia="Arial" w:hAnsi="Arial"/>
                <w:sz w:val="18"/>
                <w:szCs w:val="18"/>
                <w:b w:val="1"/>
                <w:bCs w:val="1"/>
                <w:color w:val="auto"/>
              </w:rPr>
              <w:t>Capital</w:t>
            </w:r>
          </w:p>
        </w:tc>
        <w:tc>
          <w:tcPr>
            <w:tcW w:w="200" w:type="dxa"/>
            <w:vAlign w:val="bottom"/>
          </w:tcPr>
          <w:p>
            <w:pPr>
              <w:spacing w:after="0"/>
              <w:rPr>
                <w:sz w:val="23"/>
                <w:szCs w:val="23"/>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Other</w:t>
            </w:r>
            <w:r>
              <w:rPr>
                <w:rFonts w:ascii="Arial" w:cs="Arial" w:eastAsia="Arial" w:hAnsi="Arial"/>
                <w:sz w:val="21"/>
                <w:szCs w:val="21"/>
                <w:b w:val="1"/>
                <w:bCs w:val="1"/>
                <w:color w:val="auto"/>
                <w:w w:val="92"/>
                <w:vertAlign w:val="superscript"/>
              </w:rPr>
              <w:t>(1)</w:t>
            </w:r>
          </w:p>
        </w:tc>
        <w:tc>
          <w:tcPr>
            <w:tcW w:w="200" w:type="dxa"/>
            <w:vAlign w:val="bottom"/>
          </w:tcPr>
          <w:p>
            <w:pPr>
              <w:spacing w:after="0"/>
              <w:rPr>
                <w:sz w:val="23"/>
                <w:szCs w:val="23"/>
                <w:color w:val="auto"/>
              </w:rPr>
            </w:pPr>
          </w:p>
        </w:tc>
        <w:tc>
          <w:tcPr>
            <w:tcW w:w="152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Arrangements</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532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50"/>
        </w:trPr>
        <w:tc>
          <w:tcPr>
            <w:tcW w:w="60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October 31, 2020</w:t>
            </w:r>
          </w:p>
        </w:tc>
        <w:tc>
          <w:tcPr>
            <w:tcW w:w="340" w:type="dxa"/>
            <w:vAlign w:val="bottom"/>
            <w:shd w:val="clear" w:color="auto" w:fill="DCE2E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DCE2EF"/>
          </w:tcPr>
          <w:p>
            <w:pPr>
              <w:spacing w:after="0"/>
              <w:rPr>
                <w:sz w:val="21"/>
                <w:szCs w:val="21"/>
                <w:color w:val="auto"/>
              </w:rPr>
            </w:pPr>
          </w:p>
        </w:tc>
        <w:tc>
          <w:tcPr>
            <w:tcW w:w="20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DCE2EF"/>
          </w:tcPr>
          <w:p>
            <w:pPr>
              <w:spacing w:after="0"/>
              <w:rPr>
                <w:sz w:val="21"/>
                <w:szCs w:val="21"/>
                <w:color w:val="auto"/>
              </w:rPr>
            </w:pPr>
          </w:p>
        </w:tc>
        <w:tc>
          <w:tcPr>
            <w:tcW w:w="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20.8</w:t>
            </w:r>
          </w:p>
        </w:tc>
      </w:tr>
      <w:tr>
        <w:trPr>
          <w:trHeight w:val="265"/>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October 31, 2021</w:t>
            </w:r>
          </w:p>
        </w:tc>
        <w:tc>
          <w:tcPr>
            <w:tcW w:w="34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16.0</w:t>
            </w:r>
          </w:p>
        </w:tc>
      </w:tr>
      <w:tr>
        <w:trPr>
          <w:trHeight w:val="275"/>
        </w:trPr>
        <w:tc>
          <w:tcPr>
            <w:tcW w:w="60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October 31, 2022</w:t>
            </w:r>
          </w:p>
        </w:tc>
        <w:tc>
          <w:tcPr>
            <w:tcW w:w="340" w:type="dxa"/>
            <w:vAlign w:val="bottom"/>
            <w:shd w:val="clear" w:color="auto" w:fill="DCE2EF"/>
          </w:tcPr>
          <w:p>
            <w:pPr>
              <w:spacing w:after="0"/>
              <w:rPr>
                <w:sz w:val="23"/>
                <w:szCs w:val="23"/>
                <w:color w:val="auto"/>
              </w:rPr>
            </w:pPr>
          </w:p>
        </w:tc>
        <w:tc>
          <w:tcPr>
            <w:tcW w:w="138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DCE2EF"/>
          </w:tcPr>
          <w:p>
            <w:pPr>
              <w:spacing w:after="0"/>
              <w:rPr>
                <w:sz w:val="23"/>
                <w:szCs w:val="23"/>
                <w:color w:val="auto"/>
              </w:rPr>
            </w:pPr>
          </w:p>
        </w:tc>
        <w:tc>
          <w:tcPr>
            <w:tcW w:w="200" w:type="dxa"/>
            <w:vAlign w:val="bottom"/>
            <w:shd w:val="clear" w:color="auto" w:fill="DCE2EF"/>
          </w:tcPr>
          <w:p>
            <w:pPr>
              <w:spacing w:after="0"/>
              <w:rPr>
                <w:sz w:val="23"/>
                <w:szCs w:val="23"/>
                <w:color w:val="auto"/>
              </w:rPr>
            </w:pPr>
          </w:p>
        </w:tc>
        <w:tc>
          <w:tcPr>
            <w:tcW w:w="152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DCE2EF"/>
          </w:tcPr>
          <w:p>
            <w:pPr>
              <w:spacing w:after="0"/>
              <w:rPr>
                <w:sz w:val="23"/>
                <w:szCs w:val="23"/>
                <w:color w:val="auto"/>
              </w:rPr>
            </w:pPr>
          </w:p>
        </w:tc>
        <w:tc>
          <w:tcPr>
            <w:tcW w:w="200" w:type="dxa"/>
            <w:vAlign w:val="bottom"/>
            <w:shd w:val="clear" w:color="auto" w:fill="DCE2EF"/>
          </w:tcPr>
          <w:p>
            <w:pPr>
              <w:spacing w:after="0"/>
              <w:rPr>
                <w:sz w:val="23"/>
                <w:szCs w:val="23"/>
                <w:color w:val="auto"/>
              </w:rPr>
            </w:pPr>
          </w:p>
        </w:tc>
        <w:tc>
          <w:tcPr>
            <w:tcW w:w="15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15.4</w:t>
            </w:r>
          </w:p>
        </w:tc>
      </w:tr>
      <w:tr>
        <w:trPr>
          <w:trHeight w:val="265"/>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October 31, 2023</w:t>
            </w:r>
          </w:p>
        </w:tc>
        <w:tc>
          <w:tcPr>
            <w:tcW w:w="34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15.4</w:t>
            </w:r>
          </w:p>
        </w:tc>
      </w:tr>
      <w:tr>
        <w:trPr>
          <w:trHeight w:val="275"/>
        </w:trPr>
        <w:tc>
          <w:tcPr>
            <w:tcW w:w="60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October 31, 2024</w:t>
            </w:r>
          </w:p>
        </w:tc>
        <w:tc>
          <w:tcPr>
            <w:tcW w:w="340" w:type="dxa"/>
            <w:vAlign w:val="bottom"/>
            <w:shd w:val="clear" w:color="auto" w:fill="DCE2EF"/>
          </w:tcPr>
          <w:p>
            <w:pPr>
              <w:spacing w:after="0"/>
              <w:rPr>
                <w:sz w:val="23"/>
                <w:szCs w:val="23"/>
                <w:color w:val="auto"/>
              </w:rPr>
            </w:pPr>
          </w:p>
        </w:tc>
        <w:tc>
          <w:tcPr>
            <w:tcW w:w="1480" w:type="dxa"/>
            <w:vAlign w:val="bottom"/>
            <w:gridSpan w:val="2"/>
            <w:shd w:val="clear" w:color="auto" w:fill="DCE2E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DCE2EF"/>
          </w:tcPr>
          <w:p>
            <w:pPr>
              <w:spacing w:after="0"/>
              <w:rPr>
                <w:sz w:val="23"/>
                <w:szCs w:val="23"/>
                <w:color w:val="auto"/>
              </w:rPr>
            </w:pPr>
          </w:p>
        </w:tc>
        <w:tc>
          <w:tcPr>
            <w:tcW w:w="152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DCE2EF"/>
          </w:tcPr>
          <w:p>
            <w:pPr>
              <w:spacing w:after="0"/>
              <w:rPr>
                <w:sz w:val="23"/>
                <w:szCs w:val="23"/>
                <w:color w:val="auto"/>
              </w:rPr>
            </w:pPr>
          </w:p>
        </w:tc>
        <w:tc>
          <w:tcPr>
            <w:tcW w:w="200" w:type="dxa"/>
            <w:vAlign w:val="bottom"/>
            <w:shd w:val="clear" w:color="auto" w:fill="DCE2EF"/>
          </w:tcPr>
          <w:p>
            <w:pPr>
              <w:spacing w:after="0"/>
              <w:rPr>
                <w:sz w:val="23"/>
                <w:szCs w:val="23"/>
                <w:color w:val="auto"/>
              </w:rPr>
            </w:pPr>
          </w:p>
        </w:tc>
        <w:tc>
          <w:tcPr>
            <w:tcW w:w="15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15.4</w:t>
            </w:r>
          </w:p>
        </w:tc>
      </w:tr>
      <w:tr>
        <w:trPr>
          <w:trHeight w:val="265"/>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21.9</w:t>
            </w:r>
          </w:p>
        </w:tc>
      </w:tr>
      <w:tr>
        <w:trPr>
          <w:trHeight w:val="255"/>
        </w:trPr>
        <w:tc>
          <w:tcPr>
            <w:tcW w:w="6060" w:type="dxa"/>
            <w:vAlign w:val="bottom"/>
            <w:tcBorders>
              <w:top w:val="single" w:sz="8" w:color="DCE2EF"/>
              <w:bottom w:val="single" w:sz="8" w:color="DCE2EF"/>
            </w:tcBorders>
            <w:gridSpan w:val="3"/>
            <w:shd w:val="clear" w:color="auto" w:fill="DCE2EF"/>
          </w:tcPr>
          <w:p>
            <w:pPr>
              <w:ind w:left="4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top w:val="single" w:sz="8" w:color="auto"/>
              <w:bottom w:val="single" w:sz="8" w:color="auto"/>
            </w:tcBorders>
            <w:shd w:val="clear" w:color="auto" w:fill="DCE2E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DCE2EF"/>
          </w:tcPr>
          <w:p>
            <w:pPr>
              <w:jc w:val="right"/>
              <w:ind w:right="30"/>
              <w:spacing w:after="0"/>
              <w:rPr>
                <w:sz w:val="20"/>
                <w:szCs w:val="20"/>
                <w:color w:val="auto"/>
              </w:rPr>
            </w:pPr>
            <w:r>
              <w:rPr>
                <w:rFonts w:ascii="Arial" w:cs="Arial" w:eastAsia="Arial" w:hAnsi="Arial"/>
                <w:sz w:val="18"/>
                <w:szCs w:val="18"/>
                <w:color w:val="auto"/>
              </w:rPr>
              <w:t>7.5</w:t>
            </w:r>
          </w:p>
        </w:tc>
        <w:tc>
          <w:tcPr>
            <w:tcW w:w="100" w:type="dxa"/>
            <w:vAlign w:val="bottom"/>
            <w:tcBorders>
              <w:top w:val="single" w:sz="8" w:color="DCE2EF"/>
              <w:bottom w:val="single" w:sz="8" w:color="DCE2EF"/>
            </w:tcBorders>
            <w:shd w:val="clear" w:color="auto" w:fill="DCE2EF"/>
          </w:tcPr>
          <w:p>
            <w:pPr>
              <w:spacing w:after="0"/>
              <w:rPr>
                <w:sz w:val="22"/>
                <w:szCs w:val="22"/>
                <w:color w:val="auto"/>
              </w:rPr>
            </w:pPr>
          </w:p>
        </w:tc>
        <w:tc>
          <w:tcPr>
            <w:tcW w:w="20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DCE2EF"/>
          </w:tcPr>
          <w:p>
            <w:pPr>
              <w:jc w:val="right"/>
              <w:ind w:right="30"/>
              <w:spacing w:after="0"/>
              <w:rPr>
                <w:sz w:val="20"/>
                <w:szCs w:val="20"/>
                <w:color w:val="auto"/>
              </w:rPr>
            </w:pPr>
            <w:r>
              <w:rPr>
                <w:rFonts w:ascii="Arial" w:cs="Arial" w:eastAsia="Arial" w:hAnsi="Arial"/>
                <w:sz w:val="18"/>
                <w:szCs w:val="18"/>
                <w:color w:val="auto"/>
              </w:rPr>
              <w:t>206.5</w:t>
            </w:r>
          </w:p>
        </w:tc>
        <w:tc>
          <w:tcPr>
            <w:tcW w:w="100" w:type="dxa"/>
            <w:vAlign w:val="bottom"/>
            <w:tcBorders>
              <w:top w:val="single" w:sz="8" w:color="DCE2EF"/>
              <w:bottom w:val="single" w:sz="8" w:color="DCE2EF"/>
            </w:tcBorders>
            <w:shd w:val="clear" w:color="auto" w:fill="DCE2EF"/>
          </w:tcPr>
          <w:p>
            <w:pPr>
              <w:spacing w:after="0"/>
              <w:rPr>
                <w:sz w:val="22"/>
                <w:szCs w:val="22"/>
                <w:color w:val="auto"/>
              </w:rPr>
            </w:pPr>
          </w:p>
        </w:tc>
        <w:tc>
          <w:tcPr>
            <w:tcW w:w="20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105.0</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180" w:hanging="172"/>
        <w:spacing w:after="0"/>
        <w:tabs>
          <w:tab w:leader="none" w:pos="180" w:val="left"/>
        </w:tabs>
        <w:numPr>
          <w:ilvl w:val="0"/>
          <w:numId w:val="42"/>
        </w:numPr>
        <w:rPr>
          <w:rFonts w:ascii="Arial" w:cs="Arial" w:eastAsia="Arial" w:hAnsi="Arial"/>
          <w:sz w:val="21"/>
          <w:szCs w:val="21"/>
          <w:color w:val="auto"/>
          <w:vertAlign w:val="superscript"/>
        </w:rPr>
      </w:pPr>
      <w:r>
        <w:rPr>
          <w:rFonts w:ascii="Arial" w:cs="Arial" w:eastAsia="Arial" w:hAnsi="Arial"/>
          <w:sz w:val="15"/>
          <w:szCs w:val="15"/>
          <w:color w:val="auto"/>
        </w:rPr>
        <w:t>Includes total estimated sublease rental income of $15.8 million.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Rental and Other Expense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8"/>
                <w:szCs w:val="18"/>
                <w:b w:val="1"/>
                <w:bCs w:val="1"/>
                <w:color w:val="auto"/>
                <w:w w:val="99"/>
              </w:rPr>
              <w:t>Years Ended October 31,</w:t>
            </w:r>
          </w:p>
        </w:tc>
        <w:tc>
          <w:tcPr>
            <w:tcW w:w="1320" w:type="dxa"/>
            <w:vAlign w:val="bottom"/>
            <w:tcBorders>
              <w:bottom w:val="single" w:sz="8" w:color="auto"/>
            </w:tcBorders>
          </w:tcPr>
          <w:p>
            <w:pPr>
              <w:spacing w:after="0"/>
              <w:rPr>
                <w:sz w:val="22"/>
                <w:szCs w:val="22"/>
                <w:color w:val="auto"/>
              </w:rPr>
            </w:pPr>
          </w:p>
        </w:tc>
      </w:tr>
      <w:tr>
        <w:trPr>
          <w:trHeight w:val="224"/>
        </w:trPr>
        <w:tc>
          <w:tcPr>
            <w:tcW w:w="606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00" w:type="dxa"/>
            <w:vAlign w:val="bottom"/>
          </w:tcPr>
          <w:p>
            <w:pPr>
              <w:spacing w:after="0"/>
              <w:rPr>
                <w:sz w:val="19"/>
                <w:szCs w:val="19"/>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532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50"/>
        </w:trPr>
        <w:tc>
          <w:tcPr>
            <w:tcW w:w="60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Minimum rental and other</w:t>
            </w:r>
          </w:p>
        </w:tc>
        <w:tc>
          <w:tcPr>
            <w:tcW w:w="40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101.6</w:t>
            </w:r>
          </w:p>
        </w:tc>
        <w:tc>
          <w:tcPr>
            <w:tcW w:w="600" w:type="dxa"/>
            <w:vAlign w:val="bottom"/>
            <w:gridSpan w:val="3"/>
            <w:shd w:val="clear" w:color="auto" w:fill="DCE2E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133.3</w:t>
            </w:r>
          </w:p>
        </w:tc>
        <w:tc>
          <w:tcPr>
            <w:tcW w:w="100" w:type="dxa"/>
            <w:vAlign w:val="bottom"/>
            <w:shd w:val="clear" w:color="auto" w:fill="DCE2EF"/>
          </w:tcPr>
          <w:p>
            <w:pPr>
              <w:spacing w:after="0"/>
              <w:rPr>
                <w:sz w:val="21"/>
                <w:szCs w:val="21"/>
                <w:color w:val="auto"/>
              </w:rPr>
            </w:pPr>
          </w:p>
        </w:tc>
        <w:tc>
          <w:tcPr>
            <w:tcW w:w="400" w:type="dxa"/>
            <w:vAlign w:val="bottom"/>
            <w:shd w:val="clear" w:color="auto" w:fill="DCE2E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121.5</w:t>
            </w:r>
          </w:p>
        </w:tc>
      </w:tr>
      <w:tr>
        <w:trPr>
          <w:trHeight w:val="265"/>
        </w:trPr>
        <w:tc>
          <w:tcPr>
            <w:tcW w:w="6060" w:type="dxa"/>
            <w:vAlign w:val="bottom"/>
            <w:tcBorders>
              <w:bottom w:val="single" w:sz="8" w:color="DCE2EF"/>
            </w:tcBorders>
            <w:gridSpan w:val="3"/>
          </w:tcPr>
          <w:p>
            <w:pPr>
              <w:ind w:left="40"/>
              <w:spacing w:after="0"/>
              <w:rPr>
                <w:sz w:val="20"/>
                <w:szCs w:val="20"/>
                <w:color w:val="auto"/>
              </w:rPr>
            </w:pPr>
            <w:r>
              <w:rPr>
                <w:rFonts w:ascii="Arial" w:cs="Arial" w:eastAsia="Arial" w:hAnsi="Arial"/>
                <w:sz w:val="18"/>
                <w:szCs w:val="18"/>
                <w:color w:val="auto"/>
              </w:rPr>
              <w:t>Contingent rental and other</w:t>
            </w:r>
          </w:p>
        </w:tc>
        <w:tc>
          <w:tcPr>
            <w:tcW w:w="4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DCE2E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DCE2E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34.3</w:t>
            </w:r>
          </w:p>
        </w:tc>
      </w:tr>
      <w:tr>
        <w:trPr>
          <w:trHeight w:val="255"/>
        </w:trPr>
        <w:tc>
          <w:tcPr>
            <w:tcW w:w="6060" w:type="dxa"/>
            <w:vAlign w:val="bottom"/>
            <w:gridSpan w:val="3"/>
            <w:shd w:val="clear" w:color="auto" w:fill="DCE2EF"/>
          </w:tcPr>
          <w:p>
            <w:pPr>
              <w:ind w:left="40"/>
              <w:spacing w:after="0"/>
              <w:rPr>
                <w:sz w:val="20"/>
                <w:szCs w:val="20"/>
                <w:color w:val="auto"/>
              </w:rPr>
            </w:pPr>
            <w:r>
              <w:rPr>
                <w:rFonts w:ascii="Arial" w:cs="Arial" w:eastAsia="Arial" w:hAnsi="Arial"/>
                <w:sz w:val="18"/>
                <w:szCs w:val="18"/>
                <w:b w:val="1"/>
                <w:bCs w:val="1"/>
                <w:color w:val="auto"/>
              </w:rPr>
              <w:t>Total</w:t>
            </w:r>
            <w:r>
              <w:rPr>
                <w:rFonts w:ascii="Arial" w:cs="Arial" w:eastAsia="Arial" w:hAnsi="Arial"/>
                <w:sz w:val="21"/>
                <w:szCs w:val="21"/>
                <w:b w:val="1"/>
                <w:bCs w:val="1"/>
                <w:color w:val="auto"/>
                <w:vertAlign w:val="superscript"/>
              </w:rPr>
              <w:t>(1)</w:t>
            </w:r>
          </w:p>
        </w:tc>
        <w:tc>
          <w:tcPr>
            <w:tcW w:w="40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111.6</w:t>
            </w:r>
          </w:p>
        </w:tc>
        <w:tc>
          <w:tcPr>
            <w:tcW w:w="600" w:type="dxa"/>
            <w:vAlign w:val="bottom"/>
            <w:gridSpan w:val="3"/>
            <w:shd w:val="clear" w:color="auto" w:fill="DCE2E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160.1</w:t>
            </w:r>
          </w:p>
        </w:tc>
        <w:tc>
          <w:tcPr>
            <w:tcW w:w="100" w:type="dxa"/>
            <w:vAlign w:val="bottom"/>
            <w:shd w:val="clear" w:color="auto" w:fill="DCE2EF"/>
          </w:tcPr>
          <w:p>
            <w:pPr>
              <w:spacing w:after="0"/>
              <w:rPr>
                <w:sz w:val="22"/>
                <w:szCs w:val="22"/>
                <w:color w:val="auto"/>
              </w:rPr>
            </w:pPr>
          </w:p>
        </w:tc>
        <w:tc>
          <w:tcPr>
            <w:tcW w:w="400" w:type="dxa"/>
            <w:vAlign w:val="bottom"/>
            <w:shd w:val="clear" w:color="auto" w:fill="DCE2E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155.8</w:t>
            </w:r>
          </w:p>
        </w:tc>
      </w:tr>
      <w:tr>
        <w:trPr>
          <w:trHeight w:val="20"/>
        </w:trPr>
        <w:tc>
          <w:tcPr>
            <w:tcW w:w="40" w:type="dxa"/>
            <w:vAlign w:val="bottom"/>
            <w:tcBorders>
              <w:top w:val="single" w:sz="8" w:color="DCE2EF"/>
            </w:tcBorders>
          </w:tcPr>
          <w:p>
            <w:pPr>
              <w:spacing w:after="0" w:line="20" w:lineRule="exact"/>
              <w:rPr>
                <w:sz w:val="1"/>
                <w:szCs w:val="1"/>
                <w:color w:val="auto"/>
              </w:rPr>
            </w:pPr>
          </w:p>
        </w:tc>
        <w:tc>
          <w:tcPr>
            <w:tcW w:w="700" w:type="dxa"/>
            <w:vAlign w:val="bottom"/>
            <w:tcBorders>
              <w:top w:val="single" w:sz="8" w:color="DCE2EF"/>
            </w:tcBorders>
          </w:tcPr>
          <w:p>
            <w:pPr>
              <w:spacing w:after="0" w:line="20" w:lineRule="exact"/>
              <w:rPr>
                <w:sz w:val="1"/>
                <w:szCs w:val="1"/>
                <w:color w:val="auto"/>
              </w:rPr>
            </w:pPr>
          </w:p>
        </w:tc>
        <w:tc>
          <w:tcPr>
            <w:tcW w:w="5320" w:type="dxa"/>
            <w:vAlign w:val="bottom"/>
            <w:tcBorders>
              <w:top w:val="single" w:sz="8" w:color="DCE2E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right="20" w:firstLine="8"/>
        <w:spacing w:after="0" w:line="263" w:lineRule="auto"/>
        <w:tabs>
          <w:tab w:leader="none" w:pos="176" w:val="left"/>
        </w:tabs>
        <w:numPr>
          <w:ilvl w:val="0"/>
          <w:numId w:val="43"/>
        </w:numPr>
        <w:rPr>
          <w:rFonts w:ascii="Arial" w:cs="Arial" w:eastAsia="Arial" w:hAnsi="Arial"/>
          <w:sz w:val="19"/>
          <w:szCs w:val="19"/>
          <w:color w:val="auto"/>
          <w:vertAlign w:val="superscript"/>
        </w:rPr>
      </w:pPr>
      <w:r>
        <w:rPr>
          <w:rFonts w:ascii="Arial" w:cs="Arial" w:eastAsia="Arial" w:hAnsi="Arial"/>
          <w:sz w:val="15"/>
          <w:szCs w:val="15"/>
          <w:color w:val="auto"/>
        </w:rPr>
        <w:t>2018 and 2017 include $47.8 million and $48.0 million, respectively, related to service concession arrangements. In 2019, following the adoption of Topic 853, rent expense related to service concession arrangements is now recorded as a reduction of revenues.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Letters of Credit and Surety Bonds</w:t>
      </w:r>
    </w:p>
    <w:p>
      <w:pPr>
        <w:spacing w:after="0" w:line="17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We use letters of credit and surety bonds to secure certain commitments related to insurance programs and for other purposes. As of October 31, 2019, these letters of credit and surety bonds totaled $149.8 million and $596.8 million, respectively.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Guarantees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some instances, we offer clients guaranteed energy savings under certain energy savings contracts. At October 31, 2019 and 2018, total guarantees were $174.8 million and $171.7 million, respectively, and these guarantees extend through 2038 for both periods. We accrue for the estimated cost of guarantees when it is probable that a liability has been incurred and the amount can be reasonably estimated. Historically, we have not incurred any material losses in connection with these guarantees.</w:t>
      </w:r>
    </w:p>
    <w:p>
      <w:pPr>
        <w:spacing w:after="0" w:line="1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In connection with an unconsolidated joint venture in which one of our subsidiaries has a 33% ownership interest, that subsidiary and the other joint venture partners have each jointly and severally guaranteed the obligations of the joint venture to perform under certain contracts extending through 2024. Annual revenues relating to the underlying contracts are approximately $41 million. Should the joint venture be unable to perform under these contracts, the joint venture partners would be jointly and severally liable for any losses incurred by the client due to the failure to perform.</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Indemnifications</w:t>
      </w:r>
    </w:p>
    <w:p>
      <w:pPr>
        <w:spacing w:after="0" w:line="17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We are party to a variety of agreements under which we may be obligated to indemnify the other party for certain matters. These agreements are primarily standard indemnification arrangements entered into in our ordinary course of business. Pursuant to these arrangements, we may agree to indemnify, hold harmless, and reimburse the indemnified parties for losses suffered or incurred by the indemnified party, generally our clients, in connection with any claims arising out of the services that we provide. We also incur costs to defend lawsuits or settle claims related</w:t>
      </w:r>
    </w:p>
    <w:p>
      <w:pPr>
        <w:sectPr>
          <w:pgSz w:w="11900" w:h="16838" w:orient="portrait"/>
          <w:cols w:equalWidth="0" w:num="1">
            <w:col w:w="11420"/>
          </w:cols>
          <w:pgMar w:left="240" w:top="493" w:right="239" w:bottom="1440" w:gutter="0" w:footer="0" w:header="0"/>
        </w:sect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420"/>
          </w:cols>
          <w:pgMar w:left="240" w:top="493" w:right="239" w:bottom="1440" w:gutter="0" w:footer="0" w:header="0"/>
          <w:type w:val="continuous"/>
        </w:sectPr>
      </w:pPr>
    </w:p>
    <w:bookmarkStart w:id="87" w:name="page88"/>
    <w:bookmarkEnd w:id="87"/>
    <w:p>
      <w:pPr>
        <w:jc w:val="both"/>
        <w:spacing w:after="0" w:line="271" w:lineRule="auto"/>
        <w:rPr>
          <w:sz w:val="20"/>
          <w:szCs w:val="20"/>
          <w:color w:val="auto"/>
        </w:rPr>
      </w:pPr>
      <w:r>
        <w:rPr>
          <w:rFonts w:ascii="Arial" w:cs="Arial" w:eastAsia="Arial" w:hAnsi="Arial"/>
          <w:sz w:val="18"/>
          <w:szCs w:val="18"/>
          <w:color w:val="auto"/>
        </w:rPr>
        <w:t>to these indemnification arrangements, and in most cases these costs are paid from our insurance program. Although we attempt to place limits on such indemnification arrangements related to the size of the contract, the maximum obligation may not be explicitly stated and, as a result, we are unable to determine the maximum potential amount of future payments we could be required to make under these arrangements.</w:t>
      </w:r>
    </w:p>
    <w:p>
      <w:pPr>
        <w:spacing w:after="0" w:line="10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Our certificate of incorporation and bylaws may require us to indemnify our directors and officers for certain liabilities that were incurred as a result of their status or service to ABM as a director or officer. The amount of these obligations cannot be reasonably estimated.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Unclaimed Property Audits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routinely remit escheat payments to states in compliance with applicable escheat laws, and we are subject to unclaimed property audits by states in the ordinary course of business. The property subject to review in the audit process may include unclaimed wages, vendor payments, or customer refunds. State escheat laws generally require entities to report and remit abandoned or unclaimed property to the state, and failure to do so can result in assessments that could include interest and penalties in addition to the payment of the escheat liability.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Sales Tax Audits</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collect sales tax from clients and remit those collections to the applicable states. When clients fail to pay their invoices, including the amount of any sales tax that we paid on their behalf, in some cases we are entitled to seek a refund of that amount of sales tax from the applicable state.</w:t>
      </w:r>
    </w:p>
    <w:p>
      <w:pPr>
        <w:spacing w:after="0" w:line="10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Sales tax laws and regulations enacted by the various states are subject to interpretation, and our compliance with such laws is routinely subject to audit and review by such states. Audit risk is concentrated in several states, and these states are conducting ongoing audits. The outcomes of ongoing and any future audits and changes in the states’ interpretation of the sales tax laws and regulations could materially adversely impact our 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Legal Matters</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are a party to a number of lawsuits, claims, and proceedings incident to the operation of our business, including those pertaining to labor and employment, contracts, personal injury, and other matters, some of which allege substantial monetary damages. Some of these actions may be brought as class actions on behalf of a class or purported class of employees.</w:t>
      </w:r>
    </w:p>
    <w:p>
      <w:pPr>
        <w:spacing w:after="0" w:line="10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At October 31, 2019, the total amount accrued for all probable litigation losses where a reasonable estimate of the loss could be made was $6.5 million.</w:t>
      </w:r>
    </w:p>
    <w:p>
      <w:pPr>
        <w:spacing w:after="0" w:line="9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Litigation outcomes are difficult to predict and the estimation of probable losses requires the analysis of multiple possible outcomes that often depend on judgments about potential actions by third parties. If one or more matters are resolved in a particular period in an amount in excess of, or in a manner different than, what we anticipated, this could have a material adverse effect on our financial position, results of operations, or cash flows.</w:t>
      </w:r>
    </w:p>
    <w:p>
      <w:pPr>
        <w:spacing w:after="0" w:line="1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We do not accrue for contingent losses that, in our judgment, are considered to be reasonably possible but not probable. The estimation of reasonably possible losses also requires the analysis of multiple possible outcomes that often depend on judgments about potential actions by third parties. Our management currently estimates the range of loss for all reasonably possible losses for which a reasonable estimate of the loss can be made is between zero and $6 million. Factors underlying this estimated range of loss may change from time to time, and actual results may vary significantly from this estimate.</w:t>
      </w:r>
    </w:p>
    <w:p>
      <w:pPr>
        <w:spacing w:after="0" w:line="12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 some cases, although a loss is probable or reasonably possible, we cannot reasonably estimate the maximum potential losses for probable matters or the range of losses for reasonably possible matters. Therefore, our accrual for probable losses and our estimated range of loss for reasonably possible losses do not represent our maximum possible exposure.</w:t>
      </w:r>
    </w:p>
    <w:p>
      <w:pPr>
        <w:spacing w:after="0" w:line="10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While the results of these lawsuits, claims, and proceedings cannot be predicted with any certainty, our management believes that the final outcome of these matters will not have a material adverse effect on our financial position, results of operations, or cash flows.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95"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i w:val="1"/>
          <w:iCs w:val="1"/>
          <w:color w:val="0046AD"/>
        </w:rPr>
        <w:t>Certain Legal Proceedings</w:t>
      </w:r>
    </w:p>
    <w:p>
      <w:pPr>
        <w:spacing w:after="0" w:line="17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Certain lawsuits to which we are a party are discussed below. In determining whether to include any particular lawsuit or other proceeding, we consider both quantitative and qualitative factors. These factors include, but are not limited to: the amount of damages and the nature of any other relief sought in the proceeding; if such damages and other relief are specified, our view of the merits of the claims; whether the action is or purports to be a class action, and our view of the likelihood that a class will be certified by the court; the jurisdiction in which the proceeding is pending; and the potential impact of the proceeding on our reputation.</w:t>
      </w:r>
    </w:p>
    <w:p>
      <w:pPr>
        <w:spacing w:after="0" w:line="123" w:lineRule="exact"/>
        <w:rPr>
          <w:sz w:val="20"/>
          <w:szCs w:val="20"/>
          <w:color w:val="auto"/>
        </w:rPr>
      </w:pPr>
    </w:p>
    <w:p>
      <w:pPr>
        <w:ind w:left="660"/>
        <w:spacing w:after="0" w:line="289" w:lineRule="auto"/>
        <w:rPr>
          <w:sz w:val="20"/>
          <w:szCs w:val="20"/>
          <w:color w:val="auto"/>
        </w:rPr>
      </w:pPr>
      <w:r>
        <w:rPr>
          <w:rFonts w:ascii="Arial" w:cs="Arial" w:eastAsia="Arial" w:hAnsi="Arial"/>
          <w:sz w:val="18"/>
          <w:szCs w:val="18"/>
          <w:i w:val="1"/>
          <w:iCs w:val="1"/>
          <w:color w:val="auto"/>
        </w:rPr>
        <w:t>The Consolidated Cases of Bucio and Martinez v. ABM Janitorial Services filed on April 7, 2006, pending in the Superior Court of California, County of San Francisco (the “Bucio case”)</w:t>
      </w:r>
    </w:p>
    <w:p>
      <w:pPr>
        <w:spacing w:after="0" w:line="9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Bucio</w:t>
      </w:r>
      <w:r>
        <w:rPr>
          <w:rFonts w:ascii="Arial" w:cs="Arial" w:eastAsia="Arial" w:hAnsi="Arial"/>
          <w:sz w:val="18"/>
          <w:szCs w:val="18"/>
          <w:color w:val="auto"/>
        </w:rPr>
        <w:t xml:space="preserve"> case is a class action pending in San Francisco Superior Court that alleges we failed to provide legally required meal periods and make additional premium payments for such meal periods, pay split shift premiums when owed, and reimburse janitors for travel expenses. There is also a claim for penalties under the California Labor Code Private Attorneys General Act (“PAGA”). On April 19, 2011, the trial court held a hearing on plaintiffs’ motion to certify the class. At the conclusion of that hearing, the trial court denied plaintiffs’ motion to certify the class. On May 11, 2011, the plaintiffs filed a motion to reconsider, which was denied. The plaintiffs appealed the class certification issues. The trial court stayed the underlying lawsuit pending the decision in the appeal. The Court of Appeal of the State of California, First Appellate District (the “Court of Appeal”), heard oral arguments on November 7, 2017. On December 11, 2017, the Court of Appeal reversed the trial court’s order denying class certification and remanded the matter for certification of a meal period, travel expense reimbursement, and split shift class. The case was remitted to the trial court for further proceedings on class certification, discovery, dispositive motions, and trial.</w:t>
      </w:r>
    </w:p>
    <w:p>
      <w:pPr>
        <w:spacing w:after="0" w:line="12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September 20, 2018, the trial court entered an order defining four certified subclasses of janitors who were employed by the legacy ABM janitorial companies in California at any time between April 7, 2002 and April 30, 2013, on claims based on alleged previous automatic deduction practices for meal breaks, unpaid meal premiums, unpaid split shift premiums, and unreimbursed business expenses, such as mileage reimbursement for use of personal vehicles to travel between worksites. On February 1, 2019, the trial court held that the discovery related to PAGA claims allegedly arising after April 30, 2013 would be stayed until after the class and PAGA claims accruing prior to April 30, 2013 had been tried. The parties engaged in mediation in July 2019, which did not result in settlement of the case. On October 17, 2019, the plaintiffs filed a motion asking the trial court to certify additional classes based on an alleged failure to maintain time records, an alleged failure to provide accurate wage statements, and an alleged practice of combining meal and rest breaks. Our response to this motion was filed on November 4, 2019, and the trial court heard the matter on December 10, 2019. This matter is currently set for trial on May 26, 2020. Prior to trial, we will have the opportunity to move for summary judgment, seek decertification of the classes, or engage in further mediation, if we deem such actions appropriate. We expect to engage in one or more such activities in upcoming quarters.</w:t>
      </w:r>
    </w:p>
    <w:p>
      <w:pPr>
        <w:spacing w:after="0" w:line="131" w:lineRule="exact"/>
        <w:rPr>
          <w:sz w:val="20"/>
          <w:szCs w:val="20"/>
          <w:color w:val="auto"/>
        </w:rPr>
      </w:pPr>
    </w:p>
    <w:p>
      <w:pPr>
        <w:ind w:left="660"/>
        <w:spacing w:after="0" w:line="289" w:lineRule="auto"/>
        <w:rPr>
          <w:sz w:val="20"/>
          <w:szCs w:val="20"/>
          <w:color w:val="auto"/>
        </w:rPr>
      </w:pPr>
      <w:r>
        <w:rPr>
          <w:rFonts w:ascii="Arial" w:cs="Arial" w:eastAsia="Arial" w:hAnsi="Arial"/>
          <w:sz w:val="18"/>
          <w:szCs w:val="18"/>
          <w:i w:val="1"/>
          <w:iCs w:val="1"/>
          <w:color w:val="auto"/>
        </w:rPr>
        <w:t>Castro and Marmolejo v. ABM Industries, Inc., et al., filed on October 24, 2014, pending in the United States District Court for the Northern District of California (the “Castro case”)</w:t>
      </w:r>
    </w:p>
    <w:p>
      <w:pPr>
        <w:spacing w:after="0" w:line="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October 24, 2014, Plaintiff Marley Castro filed a class action lawsuit alleging that ABM did not reimburse janitorial employees in California for using their personal cell phones for work-related purposes, in violation of California Labor Code section 2802. On January 23, 2015, Plaintiff Lucia Marmolejo was added to the case as a named plaintiff. On October 27, 2017, plaintiffs moved for class certification seeking to represent a class of all employees who were, are, or will be employed by ABM in the State of California with the Employee Master Job Description Code “Cleaner” (hereafter referred to as “Cleaner Employees”) beginning from October 24, 2010. ABM filed its opposition to class certification on November 27, 2017. On January 26, 2018, the district court granted plaintiffs’ motion for class certification. The court rejected plaintiffs’ proposed class, instead certifying three classes that the court formulated on its own: (1) all employees who were, are, or will be employed by ABM in the State of California as Cleaner Employees who used a personal cell phone to punch in and out of the EPAY system and who (a) worked at an ABM facility that did not provide a biometric clock and (b) were not offered an ABM-provided cell phone during the period beginning on January 1, 2012, through the date of notice to the Class Members that a class has been certified in this action; (2) all employees who were, are, or will be employed by ABM in the State of California as Cleaner Employees who used a personal cell phone to report unusual or suspicious circumstances to supervisors and were not offered (a) an ABM-provided cell phone or (b) a two-way radio during the period beginning four years prior to the filing of the original complaint, October 24, 2014, through the date of notice to the Class Members that a class has been certified in this action; and (3) all employees who were, are, or will be employed by ABM in the State of California as Cleaner Employees who used a personal cell phone to respond to communications from supervisors and were not offered (a) an ABM-provided cell phone or (b) a two-way radio during the period beginning four years prior to the filing of the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95"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original complaint, October 24, 2014, through the date of notice to the Class Members that a class has been certified in this action.</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February 9, 2018, ABM filed a petition for permission to appeal the district court’s order granting class certification with the United States Court of Appeals for the Ninth Circuit, which was denied on April 30, 2018. On March 20, 2018, ABM moved to compel arbitration of the claims of certain class members pursuant to the terms of three collective bargaining agreements. In response to that motion, on May 14, 2018, the district court modified the class definition to exclude all claims arising after the operative date(s) of the applicable collective bargaining agreements (which is June 1, 2016 for one agreement and May 1, 2016 for the other two agreements). However, the district court denied the motion to compel arbitration as to claims that arose prior to the operative date(s) of the applicable collective bargaining agreements. ABM appealed to the Ninth Circuit the district court’s order denying the motion to compel arbitration with respect to the periods preceding the operative dates of the collective bargaining agreements.</w:t>
      </w:r>
    </w:p>
    <w:p>
      <w:pPr>
        <w:spacing w:after="0" w:line="12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After a court-ordered mediation held on October 15, 2018, the parties agreed to a class action settlement of $5.4 million, subject to court approval. The plaintiffs’ motion for preliminary approval of the settlement was filed on January 4, 2019, and the court held a hearing on the motion on February 12, 2019. On February 14, 2019, the court granted preliminary approval of the settlement. The court granted final approval of the settlement on September 3, 2019, and the settlement was funded on September 23, 2019. In connection with the settlement, we modified our existing written policies for California to expressly confirm that ABM service workers are not required to use personal cell phones for work purposes and began centralizing the process and implementing technology for such employees to request reimbursement for personal cell phone use due to work. Because the settlement was finally approved, on October 31, 2019, ABM dismissed its Ninth Circuit appeal regarding the district court’s order denying the motion to compel arbitration.</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16. PREFERRED AND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Preferred Stock</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authorized to issue 500,000 shares of preferred stock. None of these preferred shares are issued.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Common Stock</w:t>
      </w:r>
    </w:p>
    <w:p>
      <w:pPr>
        <w:spacing w:after="0" w:line="17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September 2, 2015, our Board of Directors authorized a program to repurchase up to $200.0 million of our common stock (the “2015 Share Repurchase Program”). At October 31, 2019, authorization for $134.1 million of repurchases remained under our 2015 Share Repurchase Program. Effective December 18, 2019, our Board of Directors replaced the 2015 Share Repurchase Program with a new share repurchase program under which we may repurchase up to $150.0 million of our common stock. These purchases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future cash flows, share price, share availability, and other factors at our discretion. Repurchased shares are retired and returned to an authorized but unissued status. The repurchase program may be suspended or discontinued at any time without prior notice.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Repurchase Activity</w:t>
      </w:r>
    </w:p>
    <w:p>
      <w:pPr>
        <w:spacing w:after="0" w:line="17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There were no share repurchases during 2019 or 2018. During 2017, we repurchased 0.2 million shares at an average price paid per share of $40.07 for total cash paid of $7.9 million.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95"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0046AD"/>
        </w:rPr>
        <w:t>17. SHARE-BASED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We use various share-based compensation plans to provide incentives for our key employees and directors. Currently, these incentives primarily consist of RSUs, performance shares, and stock options.</w:t>
      </w:r>
    </w:p>
    <w:p>
      <w:pPr>
        <w:spacing w:after="0" w:line="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On May 2, 2006, our stockholders approved the 2006 Equity Incentive Plan (the “2006 Equity Plan”). The 2006 Equity Plan is an omnibus plan that provides for a variety of equity and equity-based award vehicles, including stock options, stock appreciation rights, RSUs, performance shares, and other share-based awards. Shares subject to awards that terminate without vesting or exercise are available for future awards under the 2006 Equity Plan. Certain of the awards under the 2006 Equity Plan may qualify as “performance-based” compensation under the IRC.</w:t>
      </w:r>
    </w:p>
    <w:p>
      <w:pPr>
        <w:spacing w:after="0" w:line="12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As amended, there are 13,475,265 total shares of common stock authorized for issuance under the 2006 Equity Plan, and at October 31, 2019, there were 2,793,556 shares of common stock available for grant for future equity-based compensation awards. In addition, there are certain plans under which we can no longer issue awards, although awards outstanding under these plans may still vest and be exercised.</w:t>
      </w:r>
    </w:p>
    <w:p>
      <w:pPr>
        <w:spacing w:after="0" w:line="33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also maintain an employee stock purchase plan, which our stockholders approved on March 9, 2004 (the “2004 Employee Stock Purchase Plan”). As amended, there are 4,000,000 total shares of common stock authorized for issuance under the 2004 Employee Stock Purchase Plan. Effective May 1, 2006, the 2004 Employee Stock Purchase Plan is no longer considered compensatory and the values of the awards are no longer treated as share-based compensation expense. Additionally, as of that date, the purchase price became 95% of the fair value of our common stock price on the last trading day of the month. Employees may designate up to 10% of their compensation for the purchase of stock, subject to a $25,000 annual limit. Employees are required to hold their shares for a minimum of six months from the date of purchase. At October 31, 2019, there were 705,213 remaining unissued shares under the 2004 Employee Stock Purchase Plan.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Compensation Expense by Type of Award and Related Income Tax Benefit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34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Years Ended October 31,</w:t>
            </w:r>
          </w:p>
        </w:tc>
        <w:tc>
          <w:tcPr>
            <w:tcW w:w="1220" w:type="dxa"/>
            <w:vAlign w:val="bottom"/>
            <w:tcBorders>
              <w:bottom w:val="single" w:sz="8" w:color="auto"/>
            </w:tcBorders>
          </w:tcPr>
          <w:p>
            <w:pPr>
              <w:spacing w:after="0"/>
              <w:rPr>
                <w:sz w:val="22"/>
                <w:szCs w:val="22"/>
                <w:color w:val="auto"/>
              </w:rPr>
            </w:pPr>
          </w:p>
        </w:tc>
      </w:tr>
      <w:tr>
        <w:trPr>
          <w:trHeight w:val="224"/>
        </w:trPr>
        <w:tc>
          <w:tcPr>
            <w:tcW w:w="638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564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0"/>
        </w:trPr>
        <w:tc>
          <w:tcPr>
            <w:tcW w:w="63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RSUs</w:t>
            </w:r>
          </w:p>
        </w:tc>
        <w:tc>
          <w:tcPr>
            <w:tcW w:w="360" w:type="dxa"/>
            <w:vAlign w:val="bottom"/>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DCE2EF"/>
          </w:tcPr>
          <w:p>
            <w:pPr>
              <w:spacing w:after="0"/>
              <w:rPr>
                <w:sz w:val="21"/>
                <w:szCs w:val="21"/>
                <w:color w:val="auto"/>
              </w:rPr>
            </w:pPr>
          </w:p>
        </w:tc>
        <w:tc>
          <w:tcPr>
            <w:tcW w:w="360" w:type="dxa"/>
            <w:vAlign w:val="bottom"/>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9.3</w:t>
            </w:r>
          </w:p>
        </w:tc>
        <w:tc>
          <w:tcPr>
            <w:tcW w:w="120" w:type="dxa"/>
            <w:vAlign w:val="bottom"/>
            <w:shd w:val="clear" w:color="auto" w:fill="DCE2EF"/>
          </w:tcPr>
          <w:p>
            <w:pPr>
              <w:spacing w:after="0"/>
              <w:rPr>
                <w:sz w:val="21"/>
                <w:szCs w:val="21"/>
                <w:color w:val="auto"/>
              </w:rPr>
            </w:pPr>
          </w:p>
        </w:tc>
        <w:tc>
          <w:tcPr>
            <w:tcW w:w="380" w:type="dxa"/>
            <w:vAlign w:val="bottom"/>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7.2</w:t>
            </w:r>
          </w:p>
        </w:tc>
      </w:tr>
      <w:tr>
        <w:trPr>
          <w:trHeight w:val="265"/>
        </w:trPr>
        <w:tc>
          <w:tcPr>
            <w:tcW w:w="6380" w:type="dxa"/>
            <w:vAlign w:val="bottom"/>
            <w:tcBorders>
              <w:bottom w:val="single" w:sz="8" w:color="DCE2EF"/>
            </w:tcBorders>
            <w:gridSpan w:val="3"/>
          </w:tcPr>
          <w:p>
            <w:pPr>
              <w:ind w:left="40"/>
              <w:spacing w:after="0"/>
              <w:rPr>
                <w:sz w:val="20"/>
                <w:szCs w:val="20"/>
                <w:color w:val="auto"/>
              </w:rPr>
            </w:pPr>
            <w:r>
              <w:rPr>
                <w:rFonts w:ascii="Arial" w:cs="Arial" w:eastAsia="Arial" w:hAnsi="Arial"/>
                <w:sz w:val="18"/>
                <w:szCs w:val="18"/>
                <w:color w:val="auto"/>
              </w:rPr>
              <w:t>Performance shares</w:t>
            </w: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DCE2E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DCE2E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w:t>
            </w:r>
          </w:p>
        </w:tc>
      </w:tr>
      <w:tr>
        <w:trPr>
          <w:trHeight w:val="255"/>
        </w:trPr>
        <w:tc>
          <w:tcPr>
            <w:tcW w:w="63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Share-based compensation expense before income taxes</w:t>
            </w:r>
          </w:p>
        </w:tc>
        <w:tc>
          <w:tcPr>
            <w:tcW w:w="360" w:type="dxa"/>
            <w:vAlign w:val="bottom"/>
            <w:shd w:val="clear" w:color="auto" w:fill="DCE2EF"/>
          </w:tcPr>
          <w:p>
            <w:pPr>
              <w:spacing w:after="0"/>
              <w:rPr>
                <w:sz w:val="22"/>
                <w:szCs w:val="22"/>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DCE2EF"/>
          </w:tcPr>
          <w:p>
            <w:pPr>
              <w:spacing w:after="0"/>
              <w:rPr>
                <w:sz w:val="22"/>
                <w:szCs w:val="22"/>
                <w:color w:val="auto"/>
              </w:rPr>
            </w:pPr>
          </w:p>
        </w:tc>
        <w:tc>
          <w:tcPr>
            <w:tcW w:w="360" w:type="dxa"/>
            <w:vAlign w:val="bottom"/>
            <w:shd w:val="clear" w:color="auto" w:fill="DCE2EF"/>
          </w:tcPr>
          <w:p>
            <w:pPr>
              <w:spacing w:after="0"/>
              <w:rPr>
                <w:sz w:val="22"/>
                <w:szCs w:val="22"/>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DCE2EF"/>
          </w:tcPr>
          <w:p>
            <w:pPr>
              <w:spacing w:after="0"/>
              <w:rPr>
                <w:sz w:val="22"/>
                <w:szCs w:val="22"/>
                <w:color w:val="auto"/>
              </w:rPr>
            </w:pPr>
          </w:p>
        </w:tc>
        <w:tc>
          <w:tcPr>
            <w:tcW w:w="380" w:type="dxa"/>
            <w:vAlign w:val="bottom"/>
            <w:shd w:val="clear" w:color="auto" w:fill="DCE2EF"/>
          </w:tcPr>
          <w:p>
            <w:pPr>
              <w:spacing w:after="0"/>
              <w:rPr>
                <w:sz w:val="22"/>
                <w:szCs w:val="22"/>
                <w:color w:val="auto"/>
              </w:rPr>
            </w:pPr>
          </w:p>
        </w:tc>
        <w:tc>
          <w:tcPr>
            <w:tcW w:w="12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13.3</w:t>
            </w:r>
          </w:p>
        </w:tc>
      </w:tr>
      <w:tr>
        <w:trPr>
          <w:trHeight w:val="265"/>
        </w:trPr>
        <w:tc>
          <w:tcPr>
            <w:tcW w:w="6380" w:type="dxa"/>
            <w:vAlign w:val="bottom"/>
            <w:tcBorders>
              <w:bottom w:val="single" w:sz="8" w:color="DCE2EF"/>
            </w:tcBorders>
            <w:gridSpan w:val="3"/>
          </w:tcPr>
          <w:p>
            <w:pPr>
              <w:ind w:left="40"/>
              <w:spacing w:after="0"/>
              <w:rPr>
                <w:sz w:val="20"/>
                <w:szCs w:val="20"/>
                <w:color w:val="auto"/>
              </w:rPr>
            </w:pPr>
            <w:r>
              <w:rPr>
                <w:rFonts w:ascii="Arial" w:cs="Arial" w:eastAsia="Arial" w:hAnsi="Arial"/>
                <w:sz w:val="18"/>
                <w:szCs w:val="18"/>
                <w:color w:val="auto"/>
              </w:rPr>
              <w:t>Income tax benefit</w:t>
            </w: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DCE2E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DCE2E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55"/>
        </w:trPr>
        <w:tc>
          <w:tcPr>
            <w:tcW w:w="6380" w:type="dxa"/>
            <w:vAlign w:val="bottom"/>
            <w:tcBorders>
              <w:bottom w:val="single" w:sz="8" w:color="DCE2EF"/>
            </w:tcBorders>
            <w:gridSpan w:val="3"/>
            <w:shd w:val="clear" w:color="auto" w:fill="DCE2EF"/>
          </w:tcPr>
          <w:p>
            <w:pPr>
              <w:ind w:left="40"/>
              <w:spacing w:after="0"/>
              <w:rPr>
                <w:sz w:val="20"/>
                <w:szCs w:val="20"/>
                <w:color w:val="auto"/>
              </w:rPr>
            </w:pPr>
            <w:r>
              <w:rPr>
                <w:rFonts w:ascii="Arial" w:cs="Arial" w:eastAsia="Arial" w:hAnsi="Arial"/>
                <w:sz w:val="18"/>
                <w:szCs w:val="18"/>
                <w:color w:val="auto"/>
              </w:rPr>
              <w:t>Share-based compensation expense, net of taxes</w:t>
            </w:r>
          </w:p>
        </w:tc>
        <w:tc>
          <w:tcPr>
            <w:tcW w:w="360" w:type="dxa"/>
            <w:vAlign w:val="bottom"/>
            <w:tcBorders>
              <w:bottom w:val="single" w:sz="8" w:color="auto"/>
            </w:tcBorders>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DCE2EF"/>
            </w:tcBorders>
            <w:shd w:val="clear" w:color="auto" w:fill="DCE2EF"/>
          </w:tcPr>
          <w:p>
            <w:pPr>
              <w:spacing w:after="0"/>
              <w:rPr>
                <w:sz w:val="22"/>
                <w:szCs w:val="22"/>
                <w:color w:val="auto"/>
              </w:rPr>
            </w:pPr>
          </w:p>
        </w:tc>
        <w:tc>
          <w:tcPr>
            <w:tcW w:w="360" w:type="dxa"/>
            <w:vAlign w:val="bottom"/>
            <w:tcBorders>
              <w:bottom w:val="single" w:sz="8" w:color="auto"/>
            </w:tcBorders>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DCE2EF"/>
            </w:tcBorders>
            <w:shd w:val="clear" w:color="auto" w:fill="DCE2EF"/>
          </w:tcPr>
          <w:p>
            <w:pPr>
              <w:spacing w:after="0"/>
              <w:rPr>
                <w:sz w:val="22"/>
                <w:szCs w:val="22"/>
                <w:color w:val="auto"/>
              </w:rPr>
            </w:pPr>
          </w:p>
        </w:tc>
        <w:tc>
          <w:tcPr>
            <w:tcW w:w="380" w:type="dxa"/>
            <w:vAlign w:val="bottom"/>
            <w:tcBorders>
              <w:bottom w:val="single" w:sz="8" w:color="auto"/>
            </w:tcBorders>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7.9</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RSUs and Dividend Equivalent Rights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award RSUs to eligible employees and our directors (each, a “Grantee”) that entitle the Grantee to receive shares of our common stock as the units vest. RSUs granted to eligible employees generally vest with respect to 50% of the underlying award on the second and fourth anniversary of the award. RSUs granted to directors vest over three years. In general, the receipt of RSUs is subject to the Grantee’s continuing employment or service as a director.</w:t>
      </w:r>
    </w:p>
    <w:p>
      <w:pPr>
        <w:spacing w:after="0" w:line="11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RSUs are credited with dividend equivalent rights that are converted to RSUs at the fair market value of our common stock on the dates the dividend payments are made and are subject to the same terms and conditions as the underlying award.</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93"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51"/>
        </w:trPr>
        <w:tc>
          <w:tcPr>
            <w:tcW w:w="7200" w:type="dxa"/>
            <w:vAlign w:val="bottom"/>
          </w:tcPr>
          <w:p>
            <w:pPr>
              <w:spacing w:after="0"/>
              <w:rPr>
                <w:sz w:val="20"/>
                <w:szCs w:val="20"/>
                <w:color w:val="auto"/>
              </w:rPr>
            </w:pPr>
            <w:r>
              <w:rPr>
                <w:rFonts w:ascii="Arial" w:cs="Arial" w:eastAsia="Arial" w:hAnsi="Arial"/>
                <w:sz w:val="18"/>
                <w:szCs w:val="18"/>
                <w:b w:val="1"/>
                <w:bCs w:val="1"/>
                <w:i w:val="1"/>
                <w:iCs w:val="1"/>
                <w:color w:val="0046AD"/>
              </w:rPr>
              <w:t>RSU Activity</w:t>
            </w: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328"/>
        </w:trPr>
        <w:tc>
          <w:tcPr>
            <w:tcW w:w="72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Weighted-Average</w:t>
            </w:r>
          </w:p>
        </w:tc>
      </w:tr>
      <w:tr>
        <w:trPr>
          <w:trHeight w:val="203"/>
        </w:trPr>
        <w:tc>
          <w:tcPr>
            <w:tcW w:w="7200" w:type="dxa"/>
            <w:vAlign w:val="bottom"/>
          </w:tcPr>
          <w:p>
            <w:pPr>
              <w:spacing w:after="0"/>
              <w:rPr>
                <w:sz w:val="17"/>
                <w:szCs w:val="17"/>
                <w:color w:val="auto"/>
              </w:rPr>
            </w:pPr>
          </w:p>
        </w:tc>
        <w:tc>
          <w:tcPr>
            <w:tcW w:w="216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Number of Shares (in</w:t>
            </w:r>
          </w:p>
        </w:tc>
        <w:tc>
          <w:tcPr>
            <w:tcW w:w="20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Grant Date Fair Value</w:t>
            </w:r>
          </w:p>
        </w:tc>
      </w:tr>
      <w:tr>
        <w:trPr>
          <w:trHeight w:val="254"/>
        </w:trPr>
        <w:tc>
          <w:tcPr>
            <w:tcW w:w="7200" w:type="dxa"/>
            <w:vAlign w:val="bottom"/>
          </w:tcPr>
          <w:p>
            <w:pPr>
              <w:spacing w:after="0"/>
              <w:rPr>
                <w:sz w:val="22"/>
                <w:szCs w:val="22"/>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millions)</w:t>
            </w:r>
          </w:p>
        </w:tc>
        <w:tc>
          <w:tcPr>
            <w:tcW w:w="180" w:type="dxa"/>
            <w:vAlign w:val="bottom"/>
          </w:tcPr>
          <w:p>
            <w:pPr>
              <w:spacing w:after="0"/>
              <w:rPr>
                <w:sz w:val="22"/>
                <w:szCs w:val="22"/>
                <w:color w:val="auto"/>
              </w:rPr>
            </w:pPr>
          </w:p>
        </w:tc>
        <w:tc>
          <w:tcPr>
            <w:tcW w:w="188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per Share</w:t>
            </w:r>
          </w:p>
        </w:tc>
      </w:tr>
      <w:tr>
        <w:trPr>
          <w:trHeight w:val="251"/>
        </w:trPr>
        <w:tc>
          <w:tcPr>
            <w:tcW w:w="7200" w:type="dxa"/>
            <w:vAlign w:val="bottom"/>
            <w:tcBorders>
              <w:top w:val="single" w:sz="8" w:color="DCE2EF"/>
            </w:tcBorders>
            <w:shd w:val="clear" w:color="auto" w:fill="DCE2EF"/>
          </w:tcPr>
          <w:p>
            <w:pPr>
              <w:ind w:left="40"/>
              <w:spacing w:after="0"/>
              <w:rPr>
                <w:sz w:val="20"/>
                <w:szCs w:val="20"/>
                <w:color w:val="auto"/>
              </w:rPr>
            </w:pPr>
            <w:r>
              <w:rPr>
                <w:rFonts w:ascii="Arial" w:cs="Arial" w:eastAsia="Arial" w:hAnsi="Arial"/>
                <w:sz w:val="18"/>
                <w:szCs w:val="18"/>
                <w:color w:val="auto"/>
              </w:rPr>
              <w:t>Outstanding at October 31, 2018</w:t>
            </w:r>
          </w:p>
        </w:tc>
        <w:tc>
          <w:tcPr>
            <w:tcW w:w="2040" w:type="dxa"/>
            <w:vAlign w:val="bottom"/>
            <w:tcBorders>
              <w:top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tcBorders>
              <w:top w:val="single" w:sz="8" w:color="DCE2EF"/>
            </w:tcBorders>
            <w:shd w:val="clear" w:color="auto" w:fill="DCE2EF"/>
          </w:tcPr>
          <w:p>
            <w:pPr>
              <w:spacing w:after="0"/>
              <w:rPr>
                <w:sz w:val="21"/>
                <w:szCs w:val="21"/>
                <w:color w:val="auto"/>
              </w:rPr>
            </w:pPr>
          </w:p>
        </w:tc>
        <w:tc>
          <w:tcPr>
            <w:tcW w:w="18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36.61</w:t>
            </w:r>
          </w:p>
        </w:tc>
      </w:tr>
      <w:tr>
        <w:trPr>
          <w:trHeight w:val="265"/>
        </w:trPr>
        <w:tc>
          <w:tcPr>
            <w:tcW w:w="7200" w:type="dxa"/>
            <w:vAlign w:val="bottom"/>
          </w:tcPr>
          <w:p>
            <w:pPr>
              <w:ind w:left="40"/>
              <w:spacing w:after="0"/>
              <w:rPr>
                <w:sz w:val="20"/>
                <w:szCs w:val="20"/>
                <w:color w:val="auto"/>
              </w:rPr>
            </w:pPr>
            <w:r>
              <w:rPr>
                <w:rFonts w:ascii="Arial" w:cs="Arial" w:eastAsia="Arial" w:hAnsi="Arial"/>
                <w:sz w:val="18"/>
                <w:szCs w:val="18"/>
                <w:color w:val="auto"/>
              </w:rPr>
              <w:t>Granted</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34.48</w:t>
            </w:r>
          </w:p>
        </w:tc>
      </w:tr>
      <w:tr>
        <w:trPr>
          <w:trHeight w:val="255"/>
        </w:trPr>
        <w:tc>
          <w:tcPr>
            <w:tcW w:w="7200" w:type="dxa"/>
            <w:vAlign w:val="bottom"/>
            <w:tcBorders>
              <w:bottom w:val="single" w:sz="8" w:color="DCE2EF"/>
            </w:tcBorders>
            <w:shd w:val="clear" w:color="auto" w:fill="DCE2EF"/>
          </w:tcPr>
          <w:p>
            <w:pPr>
              <w:ind w:left="40"/>
              <w:spacing w:after="0"/>
              <w:rPr>
                <w:sz w:val="20"/>
                <w:szCs w:val="20"/>
                <w:color w:val="auto"/>
              </w:rPr>
            </w:pPr>
            <w:r>
              <w:rPr>
                <w:rFonts w:ascii="Arial" w:cs="Arial" w:eastAsia="Arial" w:hAnsi="Arial"/>
                <w:sz w:val="18"/>
                <w:szCs w:val="18"/>
                <w:color w:val="auto"/>
                <w:shd w:val="clear" w:color="auto" w:fill="DCE2EF"/>
              </w:rPr>
              <w:t>Vested (including 0.1 shares withheld for income taxes)</w:t>
            </w:r>
          </w:p>
        </w:tc>
        <w:tc>
          <w:tcPr>
            <w:tcW w:w="204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DCE2EF"/>
            </w:tcBorders>
            <w:shd w:val="clear" w:color="auto" w:fill="DCE2EF"/>
          </w:tcPr>
          <w:p>
            <w:pPr>
              <w:spacing w:after="0"/>
              <w:rPr>
                <w:sz w:val="22"/>
                <w:szCs w:val="22"/>
                <w:color w:val="auto"/>
              </w:rPr>
            </w:pPr>
          </w:p>
        </w:tc>
        <w:tc>
          <w:tcPr>
            <w:tcW w:w="180" w:type="dxa"/>
            <w:vAlign w:val="bottom"/>
            <w:tcBorders>
              <w:bottom w:val="single" w:sz="8" w:color="DCE2EF"/>
            </w:tcBorders>
            <w:shd w:val="clear" w:color="auto" w:fill="DCE2EF"/>
          </w:tcPr>
          <w:p>
            <w:pPr>
              <w:spacing w:after="0"/>
              <w:rPr>
                <w:sz w:val="22"/>
                <w:szCs w:val="22"/>
                <w:color w:val="auto"/>
              </w:rPr>
            </w:pPr>
          </w:p>
        </w:tc>
        <w:tc>
          <w:tcPr>
            <w:tcW w:w="1880" w:type="dxa"/>
            <w:vAlign w:val="bottom"/>
            <w:tcBorders>
              <w:bottom w:val="single" w:sz="8" w:color="DCE2EF"/>
            </w:tcBorders>
            <w:shd w:val="clear" w:color="auto" w:fill="DCE2EF"/>
          </w:tcPr>
          <w:p>
            <w:pPr>
              <w:jc w:val="right"/>
              <w:ind w:right="10"/>
              <w:spacing w:after="0"/>
              <w:rPr>
                <w:sz w:val="20"/>
                <w:szCs w:val="20"/>
                <w:color w:val="auto"/>
              </w:rPr>
            </w:pPr>
            <w:r>
              <w:rPr>
                <w:rFonts w:ascii="Arial" w:cs="Arial" w:eastAsia="Arial" w:hAnsi="Arial"/>
                <w:sz w:val="18"/>
                <w:szCs w:val="18"/>
                <w:color w:val="auto"/>
              </w:rPr>
              <w:t>33.69</w:t>
            </w:r>
          </w:p>
        </w:tc>
      </w:tr>
      <w:tr>
        <w:trPr>
          <w:trHeight w:val="265"/>
        </w:trPr>
        <w:tc>
          <w:tcPr>
            <w:tcW w:w="7200" w:type="dxa"/>
            <w:vAlign w:val="bottom"/>
            <w:tcBorders>
              <w:bottom w:val="single" w:sz="8" w:color="DCE2EF"/>
            </w:tcBorders>
          </w:tcPr>
          <w:p>
            <w:pPr>
              <w:ind w:left="40"/>
              <w:spacing w:after="0"/>
              <w:rPr>
                <w:sz w:val="20"/>
                <w:szCs w:val="20"/>
                <w:color w:val="auto"/>
              </w:rPr>
            </w:pPr>
            <w:r>
              <w:rPr>
                <w:rFonts w:ascii="Arial" w:cs="Arial" w:eastAsia="Arial" w:hAnsi="Arial"/>
                <w:sz w:val="18"/>
                <w:szCs w:val="18"/>
                <w:color w:val="auto"/>
              </w:rPr>
              <w:t>Forfeited</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DCE2E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36.27</w:t>
            </w:r>
          </w:p>
        </w:tc>
      </w:tr>
      <w:tr>
        <w:trPr>
          <w:trHeight w:val="255"/>
        </w:trPr>
        <w:tc>
          <w:tcPr>
            <w:tcW w:w="7200" w:type="dxa"/>
            <w:vAlign w:val="bottom"/>
            <w:tcBorders>
              <w:bottom w:val="single" w:sz="8" w:color="DCE2EF"/>
            </w:tcBorders>
            <w:shd w:val="clear" w:color="auto" w:fill="DCE2EF"/>
          </w:tcPr>
          <w:p>
            <w:pPr>
              <w:ind w:left="40"/>
              <w:spacing w:after="0"/>
              <w:rPr>
                <w:sz w:val="20"/>
                <w:szCs w:val="20"/>
                <w:color w:val="auto"/>
              </w:rPr>
            </w:pPr>
            <w:r>
              <w:rPr>
                <w:rFonts w:ascii="Arial" w:cs="Arial" w:eastAsia="Arial" w:hAnsi="Arial"/>
                <w:sz w:val="18"/>
                <w:szCs w:val="18"/>
                <w:color w:val="auto"/>
              </w:rPr>
              <w:t>Outstanding at October 31, 2019</w:t>
            </w:r>
          </w:p>
        </w:tc>
        <w:tc>
          <w:tcPr>
            <w:tcW w:w="20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DCE2EF"/>
            </w:tcBorders>
            <w:shd w:val="clear" w:color="auto" w:fill="DCE2EF"/>
          </w:tcPr>
          <w:p>
            <w:pPr>
              <w:spacing w:after="0"/>
              <w:rPr>
                <w:sz w:val="22"/>
                <w:szCs w:val="22"/>
                <w:color w:val="auto"/>
              </w:rPr>
            </w:pPr>
          </w:p>
        </w:tc>
        <w:tc>
          <w:tcPr>
            <w:tcW w:w="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36.92</w:t>
            </w:r>
          </w:p>
        </w:tc>
      </w:tr>
      <w:tr>
        <w:trPr>
          <w:trHeight w:val="20"/>
        </w:trPr>
        <w:tc>
          <w:tcPr>
            <w:tcW w:w="72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October 31, 2019, total unrecognized compensation cost, net of estimated forfeitures, related to RSUs was $16.0 million, which is expected to be recognized ratably over a weighted-average vesting period of 2.4 years. In 2019, 2018, and 2017, the weighted-average grant date fair value per share of awards granted was $34.48, $37.98, and $41.79, respectively. In 2019, 2018, and 2017, the total grant date fair value of RSUs vested and converted to shares of ABM common stock was $10.7 million, $7.4 million, and $9.4 million,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Performance Shares, Including TSR Performance Shares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Performance shares consist of a contingent right to receive shares of our common stock based on performance targets adopted by our Compensation Committee. Performance shares are credited with dividend equivalent rights that will be converted to performance shares at the fair market value of our common stock beginning after the performance targets have been satisfied and are subject to the same terms and conditions as the underlying award.</w:t>
      </w:r>
    </w:p>
    <w:p>
      <w:pPr>
        <w:spacing w:after="0" w:line="11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For certain performance share awards, the number of performance shares that will vest is based on pre-established internal financial performance targets and typically a three-year service and performance period. The number of TSR awards and TSR -modified awards that will vest over the respective three-year performance period is based on our total shareholder return relative to the S&amp;P 600 Small Cap Index for awards that were granted in 2016, 2017, or 2018, and is based on the S&amp;P 1500 Commercial Services &amp; Supplies Index for awards that were granted in 2019. Vesting of 0% to 150% of the awards originally granted may occur depending on the respective performance metrics under both award types.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200" w:type="dxa"/>
            <w:vAlign w:val="bottom"/>
          </w:tcPr>
          <w:p>
            <w:pPr>
              <w:spacing w:after="0"/>
              <w:rPr>
                <w:sz w:val="20"/>
                <w:szCs w:val="20"/>
                <w:color w:val="auto"/>
              </w:rPr>
            </w:pPr>
            <w:r>
              <w:rPr>
                <w:rFonts w:ascii="Arial" w:cs="Arial" w:eastAsia="Arial" w:hAnsi="Arial"/>
                <w:sz w:val="18"/>
                <w:szCs w:val="18"/>
                <w:b w:val="1"/>
                <w:bCs w:val="1"/>
                <w:i w:val="1"/>
                <w:iCs w:val="1"/>
                <w:color w:val="0046AD"/>
              </w:rPr>
              <w:t>Performance Share Activity</w:t>
            </w: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382"/>
        </w:trPr>
        <w:tc>
          <w:tcPr>
            <w:tcW w:w="72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Weighted-Average</w:t>
            </w:r>
          </w:p>
        </w:tc>
      </w:tr>
      <w:tr>
        <w:trPr>
          <w:trHeight w:val="203"/>
        </w:trPr>
        <w:tc>
          <w:tcPr>
            <w:tcW w:w="7200" w:type="dxa"/>
            <w:vAlign w:val="bottom"/>
          </w:tcPr>
          <w:p>
            <w:pPr>
              <w:spacing w:after="0"/>
              <w:rPr>
                <w:sz w:val="17"/>
                <w:szCs w:val="17"/>
                <w:color w:val="auto"/>
              </w:rPr>
            </w:pPr>
          </w:p>
        </w:tc>
        <w:tc>
          <w:tcPr>
            <w:tcW w:w="216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Number of Shares (in</w:t>
            </w:r>
          </w:p>
        </w:tc>
        <w:tc>
          <w:tcPr>
            <w:tcW w:w="20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Grant Date Fair Value</w:t>
            </w:r>
          </w:p>
        </w:tc>
      </w:tr>
      <w:tr>
        <w:trPr>
          <w:trHeight w:val="254"/>
        </w:trPr>
        <w:tc>
          <w:tcPr>
            <w:tcW w:w="7200" w:type="dxa"/>
            <w:vAlign w:val="bottom"/>
          </w:tcPr>
          <w:p>
            <w:pPr>
              <w:spacing w:after="0"/>
              <w:rPr>
                <w:sz w:val="22"/>
                <w:szCs w:val="22"/>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millions)</w:t>
            </w:r>
          </w:p>
        </w:tc>
        <w:tc>
          <w:tcPr>
            <w:tcW w:w="180" w:type="dxa"/>
            <w:vAlign w:val="bottom"/>
          </w:tcPr>
          <w:p>
            <w:pPr>
              <w:spacing w:after="0"/>
              <w:rPr>
                <w:sz w:val="22"/>
                <w:szCs w:val="22"/>
                <w:color w:val="auto"/>
              </w:rPr>
            </w:pPr>
          </w:p>
        </w:tc>
        <w:tc>
          <w:tcPr>
            <w:tcW w:w="188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per Share</w:t>
            </w:r>
          </w:p>
        </w:tc>
      </w:tr>
      <w:tr>
        <w:trPr>
          <w:trHeight w:val="251"/>
        </w:trPr>
        <w:tc>
          <w:tcPr>
            <w:tcW w:w="7200" w:type="dxa"/>
            <w:vAlign w:val="bottom"/>
            <w:tcBorders>
              <w:top w:val="single" w:sz="8" w:color="DCE2EF"/>
            </w:tcBorders>
            <w:shd w:val="clear" w:color="auto" w:fill="DCE2EF"/>
          </w:tcPr>
          <w:p>
            <w:pPr>
              <w:ind w:left="40"/>
              <w:spacing w:after="0"/>
              <w:rPr>
                <w:sz w:val="20"/>
                <w:szCs w:val="20"/>
                <w:color w:val="auto"/>
              </w:rPr>
            </w:pPr>
            <w:r>
              <w:rPr>
                <w:rFonts w:ascii="Arial" w:cs="Arial" w:eastAsia="Arial" w:hAnsi="Arial"/>
                <w:sz w:val="18"/>
                <w:szCs w:val="18"/>
                <w:color w:val="auto"/>
              </w:rPr>
              <w:t>Outstanding at October 31, 2018</w:t>
            </w:r>
          </w:p>
        </w:tc>
        <w:tc>
          <w:tcPr>
            <w:tcW w:w="2040" w:type="dxa"/>
            <w:vAlign w:val="bottom"/>
            <w:tcBorders>
              <w:top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tcBorders>
              <w:top w:val="single" w:sz="8" w:color="DCE2EF"/>
            </w:tcBorders>
            <w:shd w:val="clear" w:color="auto" w:fill="DCE2EF"/>
          </w:tcPr>
          <w:p>
            <w:pPr>
              <w:spacing w:after="0"/>
              <w:rPr>
                <w:sz w:val="21"/>
                <w:szCs w:val="21"/>
                <w:color w:val="auto"/>
              </w:rPr>
            </w:pPr>
          </w:p>
        </w:tc>
        <w:tc>
          <w:tcPr>
            <w:tcW w:w="18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35.96</w:t>
            </w:r>
          </w:p>
        </w:tc>
      </w:tr>
      <w:tr>
        <w:trPr>
          <w:trHeight w:val="265"/>
        </w:trPr>
        <w:tc>
          <w:tcPr>
            <w:tcW w:w="7200" w:type="dxa"/>
            <w:vAlign w:val="bottom"/>
          </w:tcPr>
          <w:p>
            <w:pPr>
              <w:ind w:left="40"/>
              <w:spacing w:after="0"/>
              <w:rPr>
                <w:sz w:val="20"/>
                <w:szCs w:val="20"/>
                <w:color w:val="auto"/>
              </w:rPr>
            </w:pPr>
            <w:r>
              <w:rPr>
                <w:rFonts w:ascii="Arial" w:cs="Arial" w:eastAsia="Arial" w:hAnsi="Arial"/>
                <w:sz w:val="18"/>
                <w:szCs w:val="18"/>
                <w:color w:val="auto"/>
              </w:rPr>
              <w:t>Granted</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35.44</w:t>
            </w:r>
          </w:p>
        </w:tc>
      </w:tr>
      <w:tr>
        <w:trPr>
          <w:trHeight w:val="255"/>
        </w:trPr>
        <w:tc>
          <w:tcPr>
            <w:tcW w:w="7200" w:type="dxa"/>
            <w:vAlign w:val="bottom"/>
            <w:tcBorders>
              <w:bottom w:val="single" w:sz="8" w:color="DCE2EF"/>
            </w:tcBorders>
            <w:shd w:val="clear" w:color="auto" w:fill="DCE2EF"/>
          </w:tcPr>
          <w:p>
            <w:pPr>
              <w:ind w:left="40"/>
              <w:spacing w:after="0"/>
              <w:rPr>
                <w:sz w:val="20"/>
                <w:szCs w:val="20"/>
                <w:color w:val="auto"/>
              </w:rPr>
            </w:pPr>
            <w:r>
              <w:rPr>
                <w:rFonts w:ascii="Arial" w:cs="Arial" w:eastAsia="Arial" w:hAnsi="Arial"/>
                <w:sz w:val="18"/>
                <w:szCs w:val="18"/>
                <w:color w:val="auto"/>
                <w:shd w:val="clear" w:color="auto" w:fill="DCE2EF"/>
              </w:rPr>
              <w:t>Vested (including 0.1 shares withheld for income taxes)</w:t>
            </w:r>
          </w:p>
        </w:tc>
        <w:tc>
          <w:tcPr>
            <w:tcW w:w="204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DCE2EF"/>
            </w:tcBorders>
            <w:shd w:val="clear" w:color="auto" w:fill="DCE2EF"/>
          </w:tcPr>
          <w:p>
            <w:pPr>
              <w:spacing w:after="0"/>
              <w:rPr>
                <w:sz w:val="22"/>
                <w:szCs w:val="22"/>
                <w:color w:val="auto"/>
              </w:rPr>
            </w:pPr>
          </w:p>
        </w:tc>
        <w:tc>
          <w:tcPr>
            <w:tcW w:w="180" w:type="dxa"/>
            <w:vAlign w:val="bottom"/>
            <w:tcBorders>
              <w:bottom w:val="single" w:sz="8" w:color="DCE2EF"/>
            </w:tcBorders>
            <w:shd w:val="clear" w:color="auto" w:fill="DCE2EF"/>
          </w:tcPr>
          <w:p>
            <w:pPr>
              <w:spacing w:after="0"/>
              <w:rPr>
                <w:sz w:val="22"/>
                <w:szCs w:val="22"/>
                <w:color w:val="auto"/>
              </w:rPr>
            </w:pPr>
          </w:p>
        </w:tc>
        <w:tc>
          <w:tcPr>
            <w:tcW w:w="1880" w:type="dxa"/>
            <w:vAlign w:val="bottom"/>
            <w:tcBorders>
              <w:bottom w:val="single" w:sz="8" w:color="DCE2EF"/>
            </w:tcBorders>
            <w:shd w:val="clear" w:color="auto" w:fill="DCE2EF"/>
          </w:tcPr>
          <w:p>
            <w:pPr>
              <w:jc w:val="right"/>
              <w:ind w:right="10"/>
              <w:spacing w:after="0"/>
              <w:rPr>
                <w:sz w:val="20"/>
                <w:szCs w:val="20"/>
                <w:color w:val="auto"/>
              </w:rPr>
            </w:pPr>
            <w:r>
              <w:rPr>
                <w:rFonts w:ascii="Arial" w:cs="Arial" w:eastAsia="Arial" w:hAnsi="Arial"/>
                <w:sz w:val="18"/>
                <w:szCs w:val="18"/>
                <w:color w:val="auto"/>
              </w:rPr>
              <w:t>27.58</w:t>
            </w:r>
          </w:p>
        </w:tc>
      </w:tr>
      <w:tr>
        <w:trPr>
          <w:trHeight w:val="265"/>
        </w:trPr>
        <w:tc>
          <w:tcPr>
            <w:tcW w:w="7200" w:type="dxa"/>
            <w:vAlign w:val="bottom"/>
          </w:tcPr>
          <w:p>
            <w:pPr>
              <w:ind w:left="40"/>
              <w:spacing w:after="0"/>
              <w:rPr>
                <w:sz w:val="20"/>
                <w:szCs w:val="20"/>
                <w:color w:val="auto"/>
              </w:rPr>
            </w:pPr>
            <w:r>
              <w:rPr>
                <w:rFonts w:ascii="Arial" w:cs="Arial" w:eastAsia="Arial" w:hAnsi="Arial"/>
                <w:sz w:val="18"/>
                <w:szCs w:val="18"/>
                <w:color w:val="auto"/>
              </w:rPr>
              <w:t>Performance adjustments</w:t>
            </w:r>
          </w:p>
        </w:tc>
        <w:tc>
          <w:tcPr>
            <w:tcW w:w="20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39.69</w:t>
            </w:r>
          </w:p>
        </w:tc>
      </w:tr>
      <w:tr>
        <w:trPr>
          <w:trHeight w:val="275"/>
        </w:trPr>
        <w:tc>
          <w:tcPr>
            <w:tcW w:w="7200" w:type="dxa"/>
            <w:vAlign w:val="bottom"/>
            <w:tcBorders>
              <w:bottom w:val="single" w:sz="8" w:color="DCE2EF"/>
            </w:tcBorders>
            <w:shd w:val="clear" w:color="auto" w:fill="DCE2EF"/>
          </w:tcPr>
          <w:p>
            <w:pPr>
              <w:ind w:left="40"/>
              <w:spacing w:after="0"/>
              <w:rPr>
                <w:sz w:val="20"/>
                <w:szCs w:val="20"/>
                <w:color w:val="auto"/>
              </w:rPr>
            </w:pPr>
            <w:r>
              <w:rPr>
                <w:rFonts w:ascii="Arial" w:cs="Arial" w:eastAsia="Arial" w:hAnsi="Arial"/>
                <w:sz w:val="18"/>
                <w:szCs w:val="18"/>
                <w:color w:val="auto"/>
                <w:shd w:val="clear" w:color="auto" w:fill="DCE2EF"/>
              </w:rPr>
              <w:t>Forfeited</w:t>
            </w:r>
          </w:p>
        </w:tc>
        <w:tc>
          <w:tcPr>
            <w:tcW w:w="204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DCE2EF"/>
            </w:tcBorders>
            <w:shd w:val="clear" w:color="auto" w:fill="DCE2EF"/>
          </w:tcPr>
          <w:p>
            <w:pPr>
              <w:spacing w:after="0"/>
              <w:rPr>
                <w:sz w:val="23"/>
                <w:szCs w:val="23"/>
                <w:color w:val="auto"/>
              </w:rPr>
            </w:pPr>
          </w:p>
        </w:tc>
        <w:tc>
          <w:tcPr>
            <w:tcW w:w="180" w:type="dxa"/>
            <w:vAlign w:val="bottom"/>
            <w:tcBorders>
              <w:bottom w:val="single" w:sz="8" w:color="DCE2EF"/>
            </w:tcBorders>
            <w:shd w:val="clear" w:color="auto" w:fill="DCE2EF"/>
          </w:tcPr>
          <w:p>
            <w:pPr>
              <w:spacing w:after="0"/>
              <w:rPr>
                <w:sz w:val="23"/>
                <w:szCs w:val="23"/>
                <w:color w:val="auto"/>
              </w:rPr>
            </w:pPr>
          </w:p>
        </w:tc>
        <w:tc>
          <w:tcPr>
            <w:tcW w:w="1880" w:type="dxa"/>
            <w:vAlign w:val="bottom"/>
            <w:tcBorders>
              <w:bottom w:val="single" w:sz="8" w:color="DCE2EF"/>
            </w:tcBorders>
            <w:shd w:val="clear" w:color="auto" w:fill="DCE2EF"/>
          </w:tcPr>
          <w:p>
            <w:pPr>
              <w:jc w:val="right"/>
              <w:ind w:right="10"/>
              <w:spacing w:after="0"/>
              <w:rPr>
                <w:sz w:val="20"/>
                <w:szCs w:val="20"/>
                <w:color w:val="auto"/>
              </w:rPr>
            </w:pPr>
            <w:r>
              <w:rPr>
                <w:rFonts w:ascii="Arial" w:cs="Arial" w:eastAsia="Arial" w:hAnsi="Arial"/>
                <w:sz w:val="18"/>
                <w:szCs w:val="18"/>
                <w:color w:val="auto"/>
              </w:rPr>
              <w:t>37.38</w:t>
            </w:r>
          </w:p>
        </w:tc>
      </w:tr>
      <w:tr>
        <w:trPr>
          <w:trHeight w:val="250"/>
        </w:trPr>
        <w:tc>
          <w:tcPr>
            <w:tcW w:w="7200" w:type="dxa"/>
            <w:vAlign w:val="bottom"/>
          </w:tcPr>
          <w:p>
            <w:pPr>
              <w:ind w:left="40"/>
              <w:spacing w:after="0"/>
              <w:rPr>
                <w:sz w:val="20"/>
                <w:szCs w:val="20"/>
                <w:color w:val="auto"/>
              </w:rPr>
            </w:pPr>
            <w:r>
              <w:rPr>
                <w:rFonts w:ascii="Arial" w:cs="Arial" w:eastAsia="Arial" w:hAnsi="Arial"/>
                <w:sz w:val="18"/>
                <w:szCs w:val="18"/>
                <w:color w:val="auto"/>
              </w:rPr>
              <w:t>Outstanding at October 31, 2019</w:t>
            </w:r>
          </w:p>
        </w:tc>
        <w:tc>
          <w:tcPr>
            <w:tcW w:w="2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38.06</w:t>
            </w:r>
          </w:p>
        </w:tc>
      </w:tr>
      <w:tr>
        <w:trPr>
          <w:trHeight w:val="20"/>
        </w:trPr>
        <w:tc>
          <w:tcPr>
            <w:tcW w:w="72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October 31, 2019, total unrecognized compensation cost related to performance share awards was $14.2 million, which is expected to be recognized ratably over a weighted-average vesting period of 1.8 years. Except for TSR performance shares, these costs are based on estimated achievement of performance targets and estimated costs are periodically reevaluated. For our TSR performance shares, these costs are based on the fair value of awards at the grant date and are recognized on a straight-line basis over the service period of three years.</w:t>
      </w:r>
    </w:p>
    <w:p>
      <w:pPr>
        <w:spacing w:after="0" w:line="1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 2019, 2018, and 2017, the weighted-average grant date fair value per share of awards granted was $ 35.44, $38.53, and $39.21, respectively. In 2019, 2018, and 2017, the total grant date fair value of performance shares vested and converted to shares of ABM common stock was $6.8 million, $7.3 million, and $7.0 million, respectively.</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387" w:right="239" w:bottom="1440" w:gutter="0" w:footer="0" w:header="0"/>
        </w:sectPr>
      </w:pPr>
    </w:p>
    <w:bookmarkStart w:id="92" w:name="page93"/>
    <w:bookmarkEnd w:id="92"/>
    <w:p>
      <w:pPr>
        <w:ind w:firstLine="648"/>
        <w:spacing w:after="0" w:line="292" w:lineRule="auto"/>
        <w:rPr>
          <w:sz w:val="20"/>
          <w:szCs w:val="20"/>
          <w:color w:val="auto"/>
        </w:rPr>
      </w:pPr>
      <w:r>
        <w:rPr>
          <w:rFonts w:ascii="Arial" w:cs="Arial" w:eastAsia="Arial" w:hAnsi="Arial"/>
          <w:sz w:val="18"/>
          <w:szCs w:val="18"/>
          <w:color w:val="auto"/>
        </w:rPr>
        <w:t>In 2019, 2018, and 2017, we used the Monte Carlo simulation valuation technique to estimate the fair value of TSR performance share grants, which used the assumptions in the table below.</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540" w:type="dxa"/>
            <w:vAlign w:val="bottom"/>
          </w:tcPr>
          <w:p>
            <w:pPr>
              <w:spacing w:after="0"/>
              <w:rPr>
                <w:sz w:val="20"/>
                <w:szCs w:val="20"/>
                <w:color w:val="auto"/>
              </w:rPr>
            </w:pPr>
            <w:r>
              <w:rPr>
                <w:rFonts w:ascii="Arial" w:cs="Arial" w:eastAsia="Arial" w:hAnsi="Arial"/>
                <w:sz w:val="18"/>
                <w:szCs w:val="18"/>
                <w:b w:val="1"/>
                <w:bCs w:val="1"/>
                <w:i w:val="1"/>
                <w:iCs w:val="1"/>
                <w:color w:val="0046AD"/>
              </w:rPr>
              <w:t>Monte Carlo Assumptions</w:t>
            </w:r>
          </w:p>
        </w:tc>
        <w:tc>
          <w:tcPr>
            <w:tcW w:w="4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446"/>
        </w:trPr>
        <w:tc>
          <w:tcPr>
            <w:tcW w:w="5540" w:type="dxa"/>
            <w:vAlign w:val="bottom"/>
            <w:tcBorders>
              <w:bottom w:val="single" w:sz="8" w:color="DCE2E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DCE2E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DCE2E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2017</w:t>
            </w:r>
          </w:p>
        </w:tc>
      </w:tr>
      <w:tr>
        <w:trPr>
          <w:trHeight w:val="251"/>
        </w:trPr>
        <w:tc>
          <w:tcPr>
            <w:tcW w:w="5540" w:type="dxa"/>
            <w:vAlign w:val="bottom"/>
            <w:shd w:val="clear" w:color="auto" w:fill="DCE2EF"/>
          </w:tcPr>
          <w:p>
            <w:pPr>
              <w:ind w:left="40"/>
              <w:spacing w:after="0"/>
              <w:rPr>
                <w:sz w:val="20"/>
                <w:szCs w:val="20"/>
                <w:color w:val="auto"/>
              </w:rPr>
            </w:pPr>
            <w:r>
              <w:rPr>
                <w:rFonts w:ascii="Arial" w:cs="Arial" w:eastAsia="Arial" w:hAnsi="Arial"/>
                <w:sz w:val="18"/>
                <w:szCs w:val="18"/>
                <w:color w:val="auto"/>
              </w:rPr>
              <w:t>Expected life</w:t>
            </w:r>
            <w:r>
              <w:rPr>
                <w:rFonts w:ascii="Arial" w:cs="Arial" w:eastAsia="Arial" w:hAnsi="Arial"/>
                <w:sz w:val="21"/>
                <w:szCs w:val="21"/>
                <w:color w:val="auto"/>
                <w:vertAlign w:val="superscript"/>
              </w:rPr>
              <w:t>(1)</w:t>
            </w:r>
          </w:p>
        </w:tc>
        <w:tc>
          <w:tcPr>
            <w:tcW w:w="420" w:type="dxa"/>
            <w:vAlign w:val="bottom"/>
            <w:shd w:val="clear" w:color="auto" w:fill="DCE2EF"/>
          </w:tcPr>
          <w:p>
            <w:pPr>
              <w:spacing w:after="0"/>
              <w:rPr>
                <w:sz w:val="21"/>
                <w:szCs w:val="21"/>
                <w:color w:val="auto"/>
              </w:rPr>
            </w:pPr>
          </w:p>
        </w:tc>
        <w:tc>
          <w:tcPr>
            <w:tcW w:w="1580" w:type="dxa"/>
            <w:vAlign w:val="bottom"/>
            <w:gridSpan w:val="2"/>
            <w:shd w:val="clear" w:color="auto" w:fill="DCE2EF"/>
          </w:tcPr>
          <w:p>
            <w:pPr>
              <w:ind w:left="440"/>
              <w:spacing w:after="0"/>
              <w:rPr>
                <w:sz w:val="20"/>
                <w:szCs w:val="20"/>
                <w:color w:val="auto"/>
              </w:rPr>
            </w:pPr>
            <w:r>
              <w:rPr>
                <w:rFonts w:ascii="Arial" w:cs="Arial" w:eastAsia="Arial" w:hAnsi="Arial"/>
                <w:sz w:val="18"/>
                <w:szCs w:val="18"/>
                <w:color w:val="auto"/>
              </w:rPr>
              <w:t>2.81 years</w:t>
            </w:r>
          </w:p>
        </w:tc>
        <w:tc>
          <w:tcPr>
            <w:tcW w:w="420" w:type="dxa"/>
            <w:vAlign w:val="bottom"/>
            <w:shd w:val="clear" w:color="auto" w:fill="DCE2EF"/>
          </w:tcPr>
          <w:p>
            <w:pPr>
              <w:spacing w:after="0"/>
              <w:rPr>
                <w:sz w:val="21"/>
                <w:szCs w:val="21"/>
                <w:color w:val="auto"/>
              </w:rPr>
            </w:pPr>
          </w:p>
        </w:tc>
        <w:tc>
          <w:tcPr>
            <w:tcW w:w="1560" w:type="dxa"/>
            <w:vAlign w:val="bottom"/>
            <w:gridSpan w:val="2"/>
            <w:shd w:val="clear" w:color="auto" w:fill="DCE2EF"/>
          </w:tcPr>
          <w:p>
            <w:pPr>
              <w:ind w:left="440"/>
              <w:spacing w:after="0"/>
              <w:rPr>
                <w:sz w:val="20"/>
                <w:szCs w:val="20"/>
                <w:color w:val="auto"/>
              </w:rPr>
            </w:pPr>
            <w:r>
              <w:rPr>
                <w:rFonts w:ascii="Arial" w:cs="Arial" w:eastAsia="Arial" w:hAnsi="Arial"/>
                <w:sz w:val="18"/>
                <w:szCs w:val="18"/>
                <w:color w:val="auto"/>
              </w:rPr>
              <w:t>2.81 years</w:t>
            </w:r>
          </w:p>
        </w:tc>
        <w:tc>
          <w:tcPr>
            <w:tcW w:w="440" w:type="dxa"/>
            <w:vAlign w:val="bottom"/>
            <w:shd w:val="clear" w:color="auto" w:fill="DCE2EF"/>
          </w:tcPr>
          <w:p>
            <w:pPr>
              <w:spacing w:after="0"/>
              <w:rPr>
                <w:sz w:val="21"/>
                <w:szCs w:val="21"/>
                <w:color w:val="auto"/>
              </w:rPr>
            </w:pPr>
          </w:p>
        </w:tc>
        <w:tc>
          <w:tcPr>
            <w:tcW w:w="1460" w:type="dxa"/>
            <w:vAlign w:val="bottom"/>
            <w:shd w:val="clear" w:color="auto" w:fill="DCE2EF"/>
          </w:tcPr>
          <w:p>
            <w:pPr>
              <w:jc w:val="right"/>
              <w:ind w:right="90"/>
              <w:spacing w:after="0"/>
              <w:rPr>
                <w:sz w:val="20"/>
                <w:szCs w:val="20"/>
                <w:color w:val="auto"/>
              </w:rPr>
            </w:pPr>
            <w:r>
              <w:rPr>
                <w:rFonts w:ascii="Arial" w:cs="Arial" w:eastAsia="Arial" w:hAnsi="Arial"/>
                <w:sz w:val="18"/>
                <w:szCs w:val="18"/>
                <w:color w:val="auto"/>
              </w:rPr>
              <w:t>2.14 years</w:t>
            </w:r>
          </w:p>
        </w:tc>
      </w:tr>
      <w:tr>
        <w:trPr>
          <w:trHeight w:val="270"/>
        </w:trPr>
        <w:tc>
          <w:tcPr>
            <w:tcW w:w="5540" w:type="dxa"/>
            <w:vAlign w:val="bottom"/>
          </w:tcPr>
          <w:p>
            <w:pPr>
              <w:ind w:left="40"/>
              <w:spacing w:after="0"/>
              <w:rPr>
                <w:sz w:val="20"/>
                <w:szCs w:val="20"/>
                <w:color w:val="auto"/>
              </w:rPr>
            </w:pPr>
            <w:r>
              <w:rPr>
                <w:rFonts w:ascii="Arial" w:cs="Arial" w:eastAsia="Arial" w:hAnsi="Arial"/>
                <w:sz w:val="18"/>
                <w:szCs w:val="18"/>
                <w:color w:val="auto"/>
              </w:rPr>
              <w:t>Expected stock price volatility</w:t>
            </w:r>
            <w:r>
              <w:rPr>
                <w:rFonts w:ascii="Arial" w:cs="Arial" w:eastAsia="Arial" w:hAnsi="Arial"/>
                <w:sz w:val="21"/>
                <w:szCs w:val="21"/>
                <w:color w:val="auto"/>
                <w:vertAlign w:val="superscript"/>
              </w:rPr>
              <w:t>(2)</w:t>
            </w:r>
          </w:p>
        </w:tc>
        <w:tc>
          <w:tcPr>
            <w:tcW w:w="4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70"/>
        </w:trPr>
        <w:tc>
          <w:tcPr>
            <w:tcW w:w="5540" w:type="dxa"/>
            <w:vAlign w:val="bottom"/>
            <w:shd w:val="clear" w:color="auto" w:fill="DCE2EF"/>
          </w:tcPr>
          <w:p>
            <w:pPr>
              <w:ind w:left="40"/>
              <w:spacing w:after="0"/>
              <w:rPr>
                <w:sz w:val="20"/>
                <w:szCs w:val="20"/>
                <w:color w:val="auto"/>
              </w:rPr>
            </w:pPr>
            <w:r>
              <w:rPr>
                <w:rFonts w:ascii="Arial" w:cs="Arial" w:eastAsia="Arial" w:hAnsi="Arial"/>
                <w:sz w:val="18"/>
                <w:szCs w:val="18"/>
                <w:color w:val="auto"/>
              </w:rPr>
              <w:t>Risk-free interest rate</w:t>
            </w:r>
            <w:r>
              <w:rPr>
                <w:rFonts w:ascii="Arial" w:cs="Arial" w:eastAsia="Arial" w:hAnsi="Arial"/>
                <w:sz w:val="21"/>
                <w:szCs w:val="21"/>
                <w:color w:val="auto"/>
                <w:vertAlign w:val="superscript"/>
              </w:rPr>
              <w:t>(3)</w:t>
            </w:r>
          </w:p>
        </w:tc>
        <w:tc>
          <w:tcPr>
            <w:tcW w:w="420" w:type="dxa"/>
            <w:vAlign w:val="bottom"/>
            <w:shd w:val="clear" w:color="auto" w:fill="DCE2EF"/>
          </w:tcPr>
          <w:p>
            <w:pPr>
              <w:spacing w:after="0"/>
              <w:rPr>
                <w:sz w:val="23"/>
                <w:szCs w:val="23"/>
                <w:color w:val="auto"/>
              </w:rPr>
            </w:pPr>
          </w:p>
        </w:tc>
        <w:tc>
          <w:tcPr>
            <w:tcW w:w="14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DCE2EF"/>
          </w:tcPr>
          <w:p>
            <w:pPr>
              <w:spacing w:after="0"/>
              <w:rPr>
                <w:sz w:val="23"/>
                <w:szCs w:val="23"/>
                <w:color w:val="auto"/>
              </w:rPr>
            </w:pPr>
          </w:p>
        </w:tc>
        <w:tc>
          <w:tcPr>
            <w:tcW w:w="420" w:type="dxa"/>
            <w:vAlign w:val="bottom"/>
            <w:shd w:val="clear" w:color="auto" w:fill="DCE2EF"/>
          </w:tcPr>
          <w:p>
            <w:pPr>
              <w:spacing w:after="0"/>
              <w:rPr>
                <w:sz w:val="23"/>
                <w:szCs w:val="23"/>
                <w:color w:val="auto"/>
              </w:rPr>
            </w:pPr>
          </w:p>
        </w:tc>
        <w:tc>
          <w:tcPr>
            <w:tcW w:w="14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DCE2EF"/>
          </w:tcPr>
          <w:p>
            <w:pPr>
              <w:spacing w:after="0"/>
              <w:rPr>
                <w:sz w:val="23"/>
                <w:szCs w:val="23"/>
                <w:color w:val="auto"/>
              </w:rPr>
            </w:pPr>
          </w:p>
        </w:tc>
        <w:tc>
          <w:tcPr>
            <w:tcW w:w="440" w:type="dxa"/>
            <w:vAlign w:val="bottom"/>
            <w:shd w:val="clear" w:color="auto" w:fill="DCE2EF"/>
          </w:tcPr>
          <w:p>
            <w:pPr>
              <w:spacing w:after="0"/>
              <w:rPr>
                <w:sz w:val="23"/>
                <w:szCs w:val="23"/>
                <w:color w:val="auto"/>
              </w:rPr>
            </w:pPr>
          </w:p>
        </w:tc>
        <w:tc>
          <w:tcPr>
            <w:tcW w:w="14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1.3%</w:t>
            </w:r>
          </w:p>
        </w:tc>
      </w:tr>
      <w:tr>
        <w:trPr>
          <w:trHeight w:val="316"/>
        </w:trPr>
        <w:tc>
          <w:tcPr>
            <w:tcW w:w="5540" w:type="dxa"/>
            <w:vAlign w:val="bottom"/>
          </w:tcPr>
          <w:p>
            <w:pPr>
              <w:ind w:left="40"/>
              <w:spacing w:after="0"/>
              <w:rPr>
                <w:sz w:val="20"/>
                <w:szCs w:val="20"/>
                <w:color w:val="auto"/>
              </w:rPr>
            </w:pPr>
            <w:r>
              <w:rPr>
                <w:rFonts w:ascii="Arial" w:cs="Arial" w:eastAsia="Arial" w:hAnsi="Arial"/>
                <w:sz w:val="18"/>
                <w:szCs w:val="18"/>
                <w:color w:val="auto"/>
              </w:rPr>
              <w:t>Stock price</w:t>
            </w:r>
            <w:r>
              <w:rPr>
                <w:rFonts w:ascii="Arial" w:cs="Arial" w:eastAsia="Arial" w:hAnsi="Arial"/>
                <w:sz w:val="21"/>
                <w:szCs w:val="21"/>
                <w:color w:val="auto"/>
                <w:vertAlign w:val="superscript"/>
              </w:rPr>
              <w:t>(4)</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34.92</w:t>
            </w:r>
          </w:p>
        </w:tc>
        <w:tc>
          <w:tcPr>
            <w:tcW w:w="12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39.02</w:t>
            </w:r>
          </w:p>
        </w:tc>
        <w:tc>
          <w:tcPr>
            <w:tcW w:w="100" w:type="dxa"/>
            <w:vAlign w:val="bottom"/>
          </w:tcPr>
          <w:p>
            <w:pPr>
              <w:spacing w:after="0"/>
              <w:rPr>
                <w:sz w:val="24"/>
                <w:szCs w:val="24"/>
                <w:color w:val="auto"/>
              </w:rPr>
            </w:pP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40.21</w:t>
            </w:r>
          </w:p>
        </w:tc>
      </w:tr>
    </w:tbl>
    <w:p>
      <w:pPr>
        <w:spacing w:after="0" w:line="76" w:lineRule="exact"/>
        <w:rPr>
          <w:sz w:val="20"/>
          <w:szCs w:val="20"/>
          <w:color w:val="auto"/>
        </w:rPr>
      </w:pPr>
    </w:p>
    <w:p>
      <w:pPr>
        <w:ind w:left="240" w:hanging="178"/>
        <w:spacing w:after="0"/>
        <w:tabs>
          <w:tab w:leader="none" w:pos="240" w:val="left"/>
        </w:tabs>
        <w:numPr>
          <w:ilvl w:val="0"/>
          <w:numId w:val="44"/>
        </w:numPr>
        <w:rPr>
          <w:rFonts w:ascii="Arial" w:cs="Arial" w:eastAsia="Arial" w:hAnsi="Arial"/>
          <w:sz w:val="21"/>
          <w:szCs w:val="21"/>
          <w:color w:val="auto"/>
          <w:vertAlign w:val="superscript"/>
        </w:rPr>
      </w:pPr>
      <w:r>
        <w:rPr>
          <w:rFonts w:ascii="Arial" w:cs="Arial" w:eastAsia="Arial" w:hAnsi="Arial"/>
          <w:sz w:val="15"/>
          <w:szCs w:val="15"/>
          <w:color w:val="auto"/>
        </w:rPr>
        <w:t>The expected life represents the remaining performance period of the awards.</w:t>
      </w:r>
    </w:p>
    <w:p>
      <w:pPr>
        <w:spacing w:after="0" w:line="132" w:lineRule="exact"/>
        <w:rPr>
          <w:rFonts w:ascii="Arial" w:cs="Arial" w:eastAsia="Arial" w:hAnsi="Arial"/>
          <w:sz w:val="21"/>
          <w:szCs w:val="21"/>
          <w:color w:val="auto"/>
          <w:vertAlign w:val="superscript"/>
        </w:rPr>
      </w:pPr>
    </w:p>
    <w:p>
      <w:pPr>
        <w:ind w:left="60" w:firstLine="2"/>
        <w:spacing w:after="0" w:line="263" w:lineRule="auto"/>
        <w:tabs>
          <w:tab w:leader="none" w:pos="222" w:val="left"/>
        </w:tabs>
        <w:numPr>
          <w:ilvl w:val="0"/>
          <w:numId w:val="44"/>
        </w:numPr>
        <w:rPr>
          <w:rFonts w:ascii="Arial" w:cs="Arial" w:eastAsia="Arial" w:hAnsi="Arial"/>
          <w:sz w:val="19"/>
          <w:szCs w:val="19"/>
          <w:color w:val="auto"/>
          <w:vertAlign w:val="superscript"/>
        </w:rPr>
      </w:pPr>
      <w:r>
        <w:rPr>
          <w:rFonts w:ascii="Arial" w:cs="Arial" w:eastAsia="Arial" w:hAnsi="Arial"/>
          <w:sz w:val="15"/>
          <w:szCs w:val="15"/>
          <w:color w:val="auto"/>
        </w:rPr>
        <w:t>The expected volatility for each grant is determined based on the historical volatility of our common stock over a period equal to the remaining term of the performance period from the date of grant for all awards.</w:t>
      </w:r>
    </w:p>
    <w:p>
      <w:pPr>
        <w:spacing w:after="0" w:line="111" w:lineRule="exact"/>
        <w:rPr>
          <w:rFonts w:ascii="Arial" w:cs="Arial" w:eastAsia="Arial" w:hAnsi="Arial"/>
          <w:sz w:val="19"/>
          <w:szCs w:val="19"/>
          <w:color w:val="auto"/>
          <w:vertAlign w:val="superscript"/>
        </w:rPr>
      </w:pPr>
    </w:p>
    <w:p>
      <w:pPr>
        <w:ind w:left="60" w:right="20" w:firstLine="2"/>
        <w:spacing w:after="0" w:line="236" w:lineRule="auto"/>
        <w:tabs>
          <w:tab w:leader="none" w:pos="238" w:val="left"/>
        </w:tabs>
        <w:numPr>
          <w:ilvl w:val="0"/>
          <w:numId w:val="44"/>
        </w:numPr>
        <w:rPr>
          <w:rFonts w:ascii="Arial" w:cs="Arial" w:eastAsia="Arial" w:hAnsi="Arial"/>
          <w:sz w:val="21"/>
          <w:szCs w:val="21"/>
          <w:color w:val="auto"/>
          <w:vertAlign w:val="superscript"/>
        </w:rPr>
      </w:pPr>
      <w:r>
        <w:rPr>
          <w:rFonts w:ascii="Arial" w:cs="Arial" w:eastAsia="Arial" w:hAnsi="Arial"/>
          <w:sz w:val="15"/>
          <w:szCs w:val="15"/>
          <w:color w:val="auto"/>
        </w:rPr>
        <w:t>The risk-free interest rate is based on the continuous compounded yield on U.S. Treasury Constant Maturity Rates with varying remaining terms; the yield is determined over a time period commensurate with the performance period from the grant date.</w:t>
      </w:r>
    </w:p>
    <w:p>
      <w:pPr>
        <w:spacing w:after="0" w:line="133" w:lineRule="exact"/>
        <w:rPr>
          <w:rFonts w:ascii="Arial" w:cs="Arial" w:eastAsia="Arial" w:hAnsi="Arial"/>
          <w:sz w:val="21"/>
          <w:szCs w:val="21"/>
          <w:color w:val="auto"/>
          <w:vertAlign w:val="superscript"/>
        </w:rPr>
      </w:pPr>
    </w:p>
    <w:p>
      <w:pPr>
        <w:ind w:left="220" w:hanging="158"/>
        <w:spacing w:after="0"/>
        <w:tabs>
          <w:tab w:leader="none" w:pos="220" w:val="left"/>
        </w:tabs>
        <w:numPr>
          <w:ilvl w:val="0"/>
          <w:numId w:val="44"/>
        </w:numPr>
        <w:rPr>
          <w:rFonts w:ascii="Arial" w:cs="Arial" w:eastAsia="Arial" w:hAnsi="Arial"/>
          <w:sz w:val="19"/>
          <w:szCs w:val="19"/>
          <w:color w:val="auto"/>
          <w:vertAlign w:val="superscript"/>
        </w:rPr>
      </w:pPr>
      <w:r>
        <w:rPr>
          <w:rFonts w:ascii="Arial" w:cs="Arial" w:eastAsia="Arial" w:hAnsi="Arial"/>
          <w:sz w:val="15"/>
          <w:szCs w:val="15"/>
          <w:color w:val="auto"/>
        </w:rPr>
        <w:t>The stock price is the closing price of our common stock on the valuation date.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Stock Options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Typically, stock options vest and become exercisable at a rate of 25% per year beginning one year after the date of grant. However, terms of stock options can vary, and certain stock options granted on January 10, 2011 vested on the fifth anniversary of the award. We have not granted stock options since 2013. All option grants provide for an option exercise price equal to the closing market value of the common stock on the date of grant. Options typically expire 7 years after the date of grant.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540" w:type="dxa"/>
            <w:vAlign w:val="bottom"/>
          </w:tcPr>
          <w:p>
            <w:pPr>
              <w:spacing w:after="0"/>
              <w:rPr>
                <w:sz w:val="20"/>
                <w:szCs w:val="20"/>
                <w:color w:val="auto"/>
              </w:rPr>
            </w:pPr>
            <w:r>
              <w:rPr>
                <w:rFonts w:ascii="Arial" w:cs="Arial" w:eastAsia="Arial" w:hAnsi="Arial"/>
                <w:sz w:val="18"/>
                <w:szCs w:val="18"/>
                <w:b w:val="1"/>
                <w:bCs w:val="1"/>
                <w:i w:val="1"/>
                <w:iCs w:val="1"/>
                <w:color w:val="0046AD"/>
              </w:rPr>
              <w:t>Stock Option Activity</w:t>
            </w: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328"/>
        </w:trPr>
        <w:tc>
          <w:tcPr>
            <w:tcW w:w="35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Weighted-Average</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03"/>
        </w:trPr>
        <w:tc>
          <w:tcPr>
            <w:tcW w:w="35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Weighted-Average</w:t>
            </w:r>
          </w:p>
        </w:tc>
        <w:tc>
          <w:tcPr>
            <w:tcW w:w="204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Remaining</w:t>
            </w: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96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rPr>
              <w:t>Number of Shares</w:t>
            </w:r>
          </w:p>
        </w:tc>
        <w:tc>
          <w:tcPr>
            <w:tcW w:w="120" w:type="dxa"/>
            <w:vAlign w:val="bottom"/>
          </w:tcPr>
          <w:p>
            <w:pPr>
              <w:spacing w:after="0"/>
              <w:rPr>
                <w:sz w:val="17"/>
                <w:szCs w:val="17"/>
                <w:color w:val="auto"/>
              </w:rPr>
            </w:pPr>
          </w:p>
        </w:tc>
        <w:tc>
          <w:tcPr>
            <w:tcW w:w="182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rPr>
              <w:t>Exercise Price per</w:t>
            </w:r>
          </w:p>
        </w:tc>
        <w:tc>
          <w:tcPr>
            <w:tcW w:w="204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Contractual Term (in</w:t>
            </w:r>
          </w:p>
        </w:tc>
        <w:tc>
          <w:tcPr>
            <w:tcW w:w="120" w:type="dxa"/>
            <w:vAlign w:val="bottom"/>
          </w:tcPr>
          <w:p>
            <w:pPr>
              <w:spacing w:after="0"/>
              <w:rPr>
                <w:sz w:val="17"/>
                <w:szCs w:val="17"/>
                <w:color w:val="auto"/>
              </w:rPr>
            </w:pPr>
          </w:p>
        </w:tc>
        <w:tc>
          <w:tcPr>
            <w:tcW w:w="182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w w:val="99"/>
              </w:rPr>
              <w:t>Aggregate Intrinsic</w:t>
            </w:r>
          </w:p>
        </w:tc>
      </w:tr>
      <w:tr>
        <w:trPr>
          <w:trHeight w:val="254"/>
        </w:trPr>
        <w:tc>
          <w:tcPr>
            <w:tcW w:w="3540" w:type="dxa"/>
            <w:vAlign w:val="bottom"/>
          </w:tcPr>
          <w:p>
            <w:pPr>
              <w:spacing w:after="0"/>
              <w:rPr>
                <w:sz w:val="22"/>
                <w:szCs w:val="22"/>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(in millions)</w:t>
            </w:r>
          </w:p>
        </w:tc>
        <w:tc>
          <w:tcPr>
            <w:tcW w:w="120" w:type="dxa"/>
            <w:vAlign w:val="bottom"/>
          </w:tcPr>
          <w:p>
            <w:pPr>
              <w:spacing w:after="0"/>
              <w:rPr>
                <w:sz w:val="22"/>
                <w:szCs w:val="22"/>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Share</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years)</w:t>
            </w:r>
            <w:r>
              <w:rPr>
                <w:rFonts w:ascii="Arial" w:cs="Arial" w:eastAsia="Arial" w:hAnsi="Arial"/>
                <w:sz w:val="21"/>
                <w:szCs w:val="21"/>
                <w:b w:val="1"/>
                <w:bCs w:val="1"/>
                <w:color w:val="auto"/>
                <w:w w:val="94"/>
                <w:vertAlign w:val="superscript"/>
              </w:rPr>
              <w:t>(1)</w:t>
            </w:r>
          </w:p>
        </w:tc>
        <w:tc>
          <w:tcPr>
            <w:tcW w:w="120" w:type="dxa"/>
            <w:vAlign w:val="bottom"/>
          </w:tcPr>
          <w:p>
            <w:pPr>
              <w:spacing w:after="0"/>
              <w:rPr>
                <w:sz w:val="22"/>
                <w:szCs w:val="22"/>
                <w:color w:val="auto"/>
              </w:rPr>
            </w:pPr>
          </w:p>
        </w:tc>
        <w:tc>
          <w:tcPr>
            <w:tcW w:w="182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Value (in millions)</w:t>
            </w:r>
            <w:r>
              <w:rPr>
                <w:rFonts w:ascii="Arial" w:cs="Arial" w:eastAsia="Arial" w:hAnsi="Arial"/>
                <w:sz w:val="21"/>
                <w:szCs w:val="21"/>
                <w:b w:val="1"/>
                <w:bCs w:val="1"/>
                <w:color w:val="auto"/>
                <w:w w:val="94"/>
                <w:vertAlign w:val="superscript"/>
              </w:rPr>
              <w:t>(2)</w:t>
            </w:r>
          </w:p>
        </w:tc>
      </w:tr>
      <w:tr>
        <w:trPr>
          <w:trHeight w:val="264"/>
        </w:trPr>
        <w:tc>
          <w:tcPr>
            <w:tcW w:w="3540" w:type="dxa"/>
            <w:vAlign w:val="bottom"/>
            <w:tcBorders>
              <w:top w:val="single" w:sz="8" w:color="DCE2EF"/>
            </w:tcBorders>
            <w:shd w:val="clear" w:color="auto" w:fill="DCE2EF"/>
          </w:tcPr>
          <w:p>
            <w:pPr>
              <w:ind w:left="40"/>
              <w:spacing w:after="0"/>
              <w:rPr>
                <w:sz w:val="20"/>
                <w:szCs w:val="20"/>
                <w:color w:val="auto"/>
              </w:rPr>
            </w:pPr>
            <w:r>
              <w:rPr>
                <w:rFonts w:ascii="Arial" w:cs="Arial" w:eastAsia="Arial" w:hAnsi="Arial"/>
                <w:sz w:val="18"/>
                <w:szCs w:val="18"/>
                <w:color w:val="auto"/>
              </w:rPr>
              <w:t>Outstanding at October 31, 2018</w:t>
            </w:r>
          </w:p>
        </w:tc>
        <w:tc>
          <w:tcPr>
            <w:tcW w:w="1840" w:type="dxa"/>
            <w:vAlign w:val="bottom"/>
            <w:tcBorders>
              <w:top w:val="single" w:sz="8" w:color="auto"/>
            </w:tcBorders>
            <w:shd w:val="clear" w:color="auto" w:fill="DCE2EF"/>
          </w:tcPr>
          <w:p>
            <w:pPr>
              <w:jc w:val="right"/>
              <w:ind w:right="30"/>
              <w:spacing w:after="0"/>
              <w:rPr>
                <w:sz w:val="20"/>
                <w:szCs w:val="20"/>
                <w:color w:val="auto"/>
              </w:rPr>
            </w:pPr>
            <w:r>
              <w:rPr>
                <w:rFonts w:ascii="Arial" w:cs="Arial" w:eastAsia="Arial" w:hAnsi="Arial"/>
                <w:sz w:val="18"/>
                <w:szCs w:val="18"/>
                <w:color w:val="auto"/>
              </w:rPr>
              <w:t>0.2</w:t>
            </w:r>
          </w:p>
        </w:tc>
        <w:tc>
          <w:tcPr>
            <w:tcW w:w="120" w:type="dxa"/>
            <w:vAlign w:val="bottom"/>
            <w:tcBorders>
              <w:top w:val="single" w:sz="8" w:color="DCE2EF"/>
            </w:tcBorders>
            <w:shd w:val="clear" w:color="auto" w:fill="DCE2EF"/>
          </w:tcPr>
          <w:p>
            <w:pPr>
              <w:spacing w:after="0"/>
              <w:rPr>
                <w:sz w:val="22"/>
                <w:szCs w:val="22"/>
                <w:color w:val="auto"/>
              </w:rPr>
            </w:pPr>
          </w:p>
        </w:tc>
        <w:tc>
          <w:tcPr>
            <w:tcW w:w="12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16.09</w:t>
            </w:r>
          </w:p>
        </w:tc>
        <w:tc>
          <w:tcPr>
            <w:tcW w:w="120" w:type="dxa"/>
            <w:vAlign w:val="bottom"/>
            <w:tcBorders>
              <w:top w:val="single" w:sz="8" w:color="DCE2EF"/>
            </w:tcBorders>
            <w:shd w:val="clear" w:color="auto" w:fill="DCE2EF"/>
          </w:tcPr>
          <w:p>
            <w:pPr>
              <w:spacing w:after="0"/>
              <w:rPr>
                <w:sz w:val="22"/>
                <w:szCs w:val="22"/>
                <w:color w:val="auto"/>
              </w:rPr>
            </w:pPr>
          </w:p>
        </w:tc>
        <w:tc>
          <w:tcPr>
            <w:tcW w:w="1920" w:type="dxa"/>
            <w:vAlign w:val="bottom"/>
            <w:tcBorders>
              <w:top w:val="single" w:sz="8" w:color="auto"/>
            </w:tcBorders>
            <w:shd w:val="clear" w:color="auto" w:fill="DCE2EF"/>
          </w:tcPr>
          <w:p>
            <w:pPr>
              <w:spacing w:after="0"/>
              <w:rPr>
                <w:sz w:val="22"/>
                <w:szCs w:val="22"/>
                <w:color w:val="auto"/>
              </w:rPr>
            </w:pPr>
          </w:p>
        </w:tc>
        <w:tc>
          <w:tcPr>
            <w:tcW w:w="120" w:type="dxa"/>
            <w:vAlign w:val="bottom"/>
            <w:tcBorders>
              <w:top w:val="single" w:sz="8" w:color="DCE2EF"/>
            </w:tcBorders>
            <w:shd w:val="clear" w:color="auto" w:fill="DCE2EF"/>
          </w:tcPr>
          <w:p>
            <w:pPr>
              <w:spacing w:after="0"/>
              <w:rPr>
                <w:sz w:val="22"/>
                <w:szCs w:val="22"/>
                <w:color w:val="auto"/>
              </w:rPr>
            </w:pPr>
          </w:p>
        </w:tc>
        <w:tc>
          <w:tcPr>
            <w:tcW w:w="120" w:type="dxa"/>
            <w:vAlign w:val="bottom"/>
            <w:tcBorders>
              <w:top w:val="single" w:sz="8" w:color="auto"/>
            </w:tcBorders>
            <w:shd w:val="clear" w:color="auto" w:fill="DCE2EF"/>
          </w:tcPr>
          <w:p>
            <w:pPr>
              <w:spacing w:after="0"/>
              <w:rPr>
                <w:sz w:val="22"/>
                <w:szCs w:val="22"/>
                <w:color w:val="auto"/>
              </w:rPr>
            </w:pPr>
          </w:p>
        </w:tc>
        <w:tc>
          <w:tcPr>
            <w:tcW w:w="1820" w:type="dxa"/>
            <w:vAlign w:val="bottom"/>
            <w:tcBorders>
              <w:top w:val="single" w:sz="8" w:color="auto"/>
            </w:tcBorders>
            <w:shd w:val="clear" w:color="auto" w:fill="DCE2EF"/>
          </w:tcPr>
          <w:p>
            <w:pPr>
              <w:spacing w:after="0"/>
              <w:rPr>
                <w:sz w:val="22"/>
                <w:szCs w:val="22"/>
                <w:color w:val="auto"/>
              </w:rPr>
            </w:pPr>
          </w:p>
        </w:tc>
      </w:tr>
      <w:tr>
        <w:trPr>
          <w:trHeight w:val="265"/>
        </w:trPr>
        <w:tc>
          <w:tcPr>
            <w:tcW w:w="3540" w:type="dxa"/>
            <w:vAlign w:val="bottom"/>
          </w:tcPr>
          <w:p>
            <w:pPr>
              <w:ind w:left="40"/>
              <w:spacing w:after="0"/>
              <w:rPr>
                <w:sz w:val="20"/>
                <w:szCs w:val="20"/>
                <w:color w:val="auto"/>
              </w:rPr>
            </w:pPr>
            <w:r>
              <w:rPr>
                <w:rFonts w:ascii="Arial" w:cs="Arial" w:eastAsia="Arial" w:hAnsi="Arial"/>
                <w:sz w:val="18"/>
                <w:szCs w:val="18"/>
                <w:color w:val="auto"/>
              </w:rPr>
              <w:t>Forfeited or expired</w:t>
            </w:r>
          </w:p>
        </w:tc>
        <w:tc>
          <w:tcPr>
            <w:tcW w:w="1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15.94</w:t>
            </w:r>
          </w:p>
        </w:tc>
        <w:tc>
          <w:tcPr>
            <w:tcW w:w="12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75"/>
        </w:trPr>
        <w:tc>
          <w:tcPr>
            <w:tcW w:w="3540" w:type="dxa"/>
            <w:vAlign w:val="bottom"/>
            <w:tcBorders>
              <w:bottom w:val="single" w:sz="8" w:color="DCE2EF"/>
            </w:tcBorders>
            <w:shd w:val="clear" w:color="auto" w:fill="DCE2EF"/>
          </w:tcPr>
          <w:p>
            <w:pPr>
              <w:ind w:left="40"/>
              <w:spacing w:after="0"/>
              <w:rPr>
                <w:sz w:val="20"/>
                <w:szCs w:val="20"/>
                <w:color w:val="auto"/>
              </w:rPr>
            </w:pPr>
            <w:r>
              <w:rPr>
                <w:rFonts w:ascii="Arial" w:cs="Arial" w:eastAsia="Arial" w:hAnsi="Arial"/>
                <w:sz w:val="18"/>
                <w:szCs w:val="18"/>
                <w:color w:val="auto"/>
                <w:shd w:val="clear" w:color="auto" w:fill="DCE2EF"/>
              </w:rPr>
              <w:t>Exercised</w:t>
            </w:r>
          </w:p>
        </w:tc>
        <w:tc>
          <w:tcPr>
            <w:tcW w:w="184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DCE2EF"/>
            </w:tcBorders>
            <w:shd w:val="clear" w:color="auto" w:fill="DCE2EF"/>
          </w:tcPr>
          <w:p>
            <w:pPr>
              <w:spacing w:after="0"/>
              <w:rPr>
                <w:sz w:val="23"/>
                <w:szCs w:val="23"/>
                <w:color w:val="auto"/>
              </w:rPr>
            </w:pPr>
          </w:p>
        </w:tc>
        <w:tc>
          <w:tcPr>
            <w:tcW w:w="120" w:type="dxa"/>
            <w:vAlign w:val="bottom"/>
            <w:tcBorders>
              <w:bottom w:val="single" w:sz="8" w:color="DCE2EF"/>
            </w:tcBorders>
            <w:shd w:val="clear" w:color="auto" w:fill="DCE2EF"/>
          </w:tcPr>
          <w:p>
            <w:pPr>
              <w:spacing w:after="0"/>
              <w:rPr>
                <w:sz w:val="23"/>
                <w:szCs w:val="23"/>
                <w:color w:val="auto"/>
              </w:rPr>
            </w:pPr>
          </w:p>
        </w:tc>
        <w:tc>
          <w:tcPr>
            <w:tcW w:w="1700" w:type="dxa"/>
            <w:vAlign w:val="bottom"/>
            <w:tcBorders>
              <w:bottom w:val="single" w:sz="8" w:color="DCE2EF"/>
            </w:tcBorders>
            <w:shd w:val="clear" w:color="auto" w:fill="DCE2EF"/>
          </w:tcPr>
          <w:p>
            <w:pPr>
              <w:jc w:val="right"/>
              <w:ind w:right="10"/>
              <w:spacing w:after="0"/>
              <w:rPr>
                <w:sz w:val="20"/>
                <w:szCs w:val="20"/>
                <w:color w:val="auto"/>
              </w:rPr>
            </w:pPr>
            <w:r>
              <w:rPr>
                <w:rFonts w:ascii="Arial" w:cs="Arial" w:eastAsia="Arial" w:hAnsi="Arial"/>
                <w:sz w:val="18"/>
                <w:szCs w:val="18"/>
                <w:color w:val="auto"/>
              </w:rPr>
              <w:t>18.03</w:t>
            </w:r>
          </w:p>
        </w:tc>
        <w:tc>
          <w:tcPr>
            <w:tcW w:w="120" w:type="dxa"/>
            <w:vAlign w:val="bottom"/>
            <w:tcBorders>
              <w:bottom w:val="single" w:sz="8" w:color="DCE2EF"/>
            </w:tcBorders>
            <w:shd w:val="clear" w:color="auto" w:fill="DCE2EF"/>
          </w:tcPr>
          <w:p>
            <w:pPr>
              <w:spacing w:after="0"/>
              <w:rPr>
                <w:sz w:val="23"/>
                <w:szCs w:val="23"/>
                <w:color w:val="auto"/>
              </w:rPr>
            </w:pPr>
          </w:p>
        </w:tc>
        <w:tc>
          <w:tcPr>
            <w:tcW w:w="1920" w:type="dxa"/>
            <w:vAlign w:val="bottom"/>
            <w:tcBorders>
              <w:bottom w:val="single" w:sz="8" w:color="DCE2EF"/>
            </w:tcBorders>
            <w:shd w:val="clear" w:color="auto" w:fill="DCE2EF"/>
          </w:tcPr>
          <w:p>
            <w:pPr>
              <w:spacing w:after="0"/>
              <w:rPr>
                <w:sz w:val="23"/>
                <w:szCs w:val="23"/>
                <w:color w:val="auto"/>
              </w:rPr>
            </w:pPr>
          </w:p>
        </w:tc>
        <w:tc>
          <w:tcPr>
            <w:tcW w:w="120" w:type="dxa"/>
            <w:vAlign w:val="bottom"/>
            <w:tcBorders>
              <w:bottom w:val="single" w:sz="8" w:color="DCE2EF"/>
            </w:tcBorders>
            <w:shd w:val="clear" w:color="auto" w:fill="DCE2EF"/>
          </w:tcPr>
          <w:p>
            <w:pPr>
              <w:spacing w:after="0"/>
              <w:rPr>
                <w:sz w:val="23"/>
                <w:szCs w:val="23"/>
                <w:color w:val="auto"/>
              </w:rPr>
            </w:pPr>
          </w:p>
        </w:tc>
        <w:tc>
          <w:tcPr>
            <w:tcW w:w="120" w:type="dxa"/>
            <w:vAlign w:val="bottom"/>
            <w:tcBorders>
              <w:bottom w:val="single" w:sz="8" w:color="DCE2EF"/>
            </w:tcBorders>
            <w:shd w:val="clear" w:color="auto" w:fill="DCE2EF"/>
          </w:tcPr>
          <w:p>
            <w:pPr>
              <w:spacing w:after="0"/>
              <w:rPr>
                <w:sz w:val="23"/>
                <w:szCs w:val="23"/>
                <w:color w:val="auto"/>
              </w:rPr>
            </w:pPr>
          </w:p>
        </w:tc>
        <w:tc>
          <w:tcPr>
            <w:tcW w:w="1820" w:type="dxa"/>
            <w:vAlign w:val="bottom"/>
            <w:tcBorders>
              <w:bottom w:val="single" w:sz="8" w:color="DCE2EF"/>
            </w:tcBorders>
            <w:shd w:val="clear" w:color="auto" w:fill="DCE2EF"/>
          </w:tcPr>
          <w:p>
            <w:pPr>
              <w:spacing w:after="0"/>
              <w:rPr>
                <w:sz w:val="23"/>
                <w:szCs w:val="23"/>
                <w:color w:val="auto"/>
              </w:rPr>
            </w:pPr>
          </w:p>
        </w:tc>
      </w:tr>
      <w:tr>
        <w:trPr>
          <w:trHeight w:val="245"/>
        </w:trPr>
        <w:tc>
          <w:tcPr>
            <w:tcW w:w="3540" w:type="dxa"/>
            <w:vAlign w:val="bottom"/>
            <w:tcBorders>
              <w:bottom w:val="single" w:sz="8" w:color="DCE2EF"/>
            </w:tcBorders>
          </w:tcPr>
          <w:p>
            <w:pPr>
              <w:ind w:left="40"/>
              <w:spacing w:after="0"/>
              <w:rPr>
                <w:sz w:val="20"/>
                <w:szCs w:val="20"/>
                <w:color w:val="auto"/>
              </w:rPr>
            </w:pPr>
            <w:r>
              <w:rPr>
                <w:rFonts w:ascii="Arial" w:cs="Arial" w:eastAsia="Arial" w:hAnsi="Arial"/>
                <w:sz w:val="18"/>
                <w:szCs w:val="18"/>
                <w:color w:val="auto"/>
              </w:rPr>
              <w:t>Outstanding at October 31, 2019</w:t>
            </w:r>
          </w:p>
        </w:tc>
        <w:tc>
          <w:tcPr>
            <w:tcW w:w="1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DCE2E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14.82</w:t>
            </w:r>
          </w:p>
        </w:tc>
        <w:tc>
          <w:tcPr>
            <w:tcW w:w="120" w:type="dxa"/>
            <w:vAlign w:val="bottom"/>
            <w:tcBorders>
              <w:bottom w:val="single" w:sz="8" w:color="DCE2EF"/>
            </w:tcBorders>
          </w:tcPr>
          <w:p>
            <w:pPr>
              <w:spacing w:after="0"/>
              <w:rPr>
                <w:sz w:val="21"/>
                <w:szCs w:val="21"/>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DCE2E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w:t>
            </w:r>
          </w:p>
        </w:tc>
      </w:tr>
      <w:tr>
        <w:trPr>
          <w:trHeight w:val="250"/>
        </w:trPr>
        <w:tc>
          <w:tcPr>
            <w:tcW w:w="3540" w:type="dxa"/>
            <w:vAlign w:val="bottom"/>
            <w:shd w:val="clear" w:color="auto" w:fill="DCE2EF"/>
          </w:tcPr>
          <w:p>
            <w:pPr>
              <w:ind w:left="40"/>
              <w:spacing w:after="0"/>
              <w:rPr>
                <w:sz w:val="20"/>
                <w:szCs w:val="20"/>
                <w:color w:val="auto"/>
              </w:rPr>
            </w:pPr>
            <w:r>
              <w:rPr>
                <w:rFonts w:ascii="Arial" w:cs="Arial" w:eastAsia="Arial" w:hAnsi="Arial"/>
                <w:sz w:val="18"/>
                <w:szCs w:val="18"/>
                <w:color w:val="auto"/>
              </w:rPr>
              <w:t>Exercisable at October 31, 2019</w:t>
            </w:r>
          </w:p>
        </w:tc>
        <w:tc>
          <w:tcPr>
            <w:tcW w:w="1840" w:type="dxa"/>
            <w:vAlign w:val="bottom"/>
            <w:tcBorders>
              <w:bottom w:val="single" w:sz="8" w:color="auto"/>
            </w:tcBorders>
            <w:shd w:val="clear" w:color="auto" w:fill="DCE2E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DCE2EF"/>
          </w:tcPr>
          <w:p>
            <w:pPr>
              <w:spacing w:after="0"/>
              <w:rPr>
                <w:sz w:val="21"/>
                <w:szCs w:val="21"/>
                <w:color w:val="auto"/>
              </w:rPr>
            </w:pPr>
          </w:p>
        </w:tc>
        <w:tc>
          <w:tcPr>
            <w:tcW w:w="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18.85</w:t>
            </w:r>
          </w:p>
        </w:tc>
        <w:tc>
          <w:tcPr>
            <w:tcW w:w="120" w:type="dxa"/>
            <w:vAlign w:val="bottom"/>
            <w:shd w:val="clear" w:color="auto" w:fill="DCE2EF"/>
          </w:tcPr>
          <w:p>
            <w:pPr>
              <w:spacing w:after="0"/>
              <w:rPr>
                <w:sz w:val="21"/>
                <w:szCs w:val="21"/>
                <w:color w:val="auto"/>
              </w:rPr>
            </w:pPr>
          </w:p>
        </w:tc>
        <w:tc>
          <w:tcPr>
            <w:tcW w:w="19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DCE2EF"/>
          </w:tcPr>
          <w:p>
            <w:pPr>
              <w:spacing w:after="0"/>
              <w:rPr>
                <w:sz w:val="21"/>
                <w:szCs w:val="21"/>
                <w:color w:val="auto"/>
              </w:rPr>
            </w:pPr>
          </w:p>
        </w:tc>
        <w:tc>
          <w:tcPr>
            <w:tcW w:w="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0.5</w:t>
            </w:r>
          </w:p>
        </w:tc>
      </w:tr>
    </w:tbl>
    <w:p>
      <w:pPr>
        <w:spacing w:after="0" w:line="121" w:lineRule="exact"/>
        <w:rPr>
          <w:sz w:val="20"/>
          <w:szCs w:val="20"/>
          <w:color w:val="auto"/>
        </w:rPr>
      </w:pPr>
    </w:p>
    <w:p>
      <w:pPr>
        <w:ind w:left="180" w:hanging="172"/>
        <w:spacing w:after="0"/>
        <w:tabs>
          <w:tab w:leader="none" w:pos="180" w:val="left"/>
        </w:tabs>
        <w:numPr>
          <w:ilvl w:val="0"/>
          <w:numId w:val="45"/>
        </w:numPr>
        <w:rPr>
          <w:rFonts w:ascii="Arial" w:cs="Arial" w:eastAsia="Arial" w:hAnsi="Arial"/>
          <w:sz w:val="21"/>
          <w:szCs w:val="21"/>
          <w:color w:val="auto"/>
          <w:vertAlign w:val="superscript"/>
        </w:rPr>
      </w:pPr>
      <w:r>
        <w:rPr>
          <w:rFonts w:ascii="Arial" w:cs="Arial" w:eastAsia="Arial" w:hAnsi="Arial"/>
          <w:sz w:val="15"/>
          <w:szCs w:val="15"/>
          <w:color w:val="auto"/>
        </w:rPr>
        <w:t>Excludes contractual terms associated with plans prior to the 2006 Equity Plan due to the uncertainty of expiration.</w:t>
      </w:r>
    </w:p>
    <w:p>
      <w:pPr>
        <w:spacing w:after="0" w:line="109"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45"/>
        </w:numPr>
        <w:rPr>
          <w:rFonts w:ascii="Arial" w:cs="Arial" w:eastAsia="Arial" w:hAnsi="Arial"/>
          <w:sz w:val="21"/>
          <w:szCs w:val="21"/>
          <w:color w:val="auto"/>
          <w:vertAlign w:val="superscript"/>
        </w:rPr>
      </w:pPr>
      <w:r>
        <w:rPr>
          <w:rFonts w:ascii="Arial" w:cs="Arial" w:eastAsia="Arial" w:hAnsi="Arial"/>
          <w:sz w:val="15"/>
          <w:szCs w:val="15"/>
          <w:color w:val="auto"/>
        </w:rPr>
        <w:t>Amount by which the current market price of our common stock on October 31, 2019 exceeds the exercise price.</w:t>
      </w:r>
    </w:p>
    <w:p>
      <w:pPr>
        <w:spacing w:after="0" w:line="12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At October 31, 2019, we had no unrecognized compensation cost related to stock option grants. For 2019, 2018, and 2017, the total intrinsic value of stock options exercised was $1.4 million, $0.6 million, and $2.6 million, respectively. In 2019 and 2018 no stock options vested. In 2017, the total grant date fair value of stock options vested was $0.2 million.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Employee Stock Purchase Plan</w:t>
      </w:r>
    </w:p>
    <w:p>
      <w:pPr>
        <w:spacing w:after="0" w:line="225"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Years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29845</wp:posOffset>
            </wp:positionV>
            <wp:extent cx="276161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08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300" w:type="dxa"/>
            <w:vAlign w:val="bottom"/>
          </w:tcPr>
          <w:p>
            <w:pPr>
              <w:spacing w:after="0"/>
              <w:rPr>
                <w:sz w:val="18"/>
                <w:szCs w:val="18"/>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2240" w:type="dxa"/>
            <w:vAlign w:val="bottom"/>
            <w:tcBorders>
              <w:top w:val="single" w:sz="8" w:color="auto"/>
              <w:bottom w:val="single" w:sz="8" w:color="DCE2EF"/>
            </w:tcBorders>
          </w:tcPr>
          <w:p>
            <w:pPr>
              <w:spacing w:after="0" w:line="20" w:lineRule="exact"/>
              <w:rPr>
                <w:sz w:val="1"/>
                <w:szCs w:val="1"/>
                <w:color w:val="auto"/>
              </w:rPr>
            </w:pPr>
          </w:p>
        </w:tc>
        <w:tc>
          <w:tcPr>
            <w:tcW w:w="480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0"/>
        </w:trPr>
        <w:tc>
          <w:tcPr>
            <w:tcW w:w="70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Weighted-average fair value of granted purchase rights per share</w:t>
            </w:r>
          </w:p>
        </w:tc>
        <w:tc>
          <w:tcPr>
            <w:tcW w:w="300" w:type="dxa"/>
            <w:vAlign w:val="bottom"/>
            <w:shd w:val="clear" w:color="auto" w:fill="DCE2E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DCE2EF"/>
          </w:tcPr>
          <w:p>
            <w:pPr>
              <w:spacing w:after="0"/>
              <w:rPr>
                <w:sz w:val="21"/>
                <w:szCs w:val="21"/>
                <w:color w:val="auto"/>
              </w:rPr>
            </w:pPr>
          </w:p>
        </w:tc>
        <w:tc>
          <w:tcPr>
            <w:tcW w:w="300" w:type="dxa"/>
            <w:vAlign w:val="bottom"/>
            <w:shd w:val="clear" w:color="auto" w:fill="DCE2E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DCE2EF"/>
          </w:tcPr>
          <w:p>
            <w:pPr>
              <w:spacing w:after="0"/>
              <w:rPr>
                <w:sz w:val="21"/>
                <w:szCs w:val="21"/>
                <w:color w:val="auto"/>
              </w:rPr>
            </w:pPr>
          </w:p>
        </w:tc>
        <w:tc>
          <w:tcPr>
            <w:tcW w:w="320" w:type="dxa"/>
            <w:vAlign w:val="bottom"/>
            <w:shd w:val="clear" w:color="auto" w:fill="DCE2E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2.11</w:t>
            </w:r>
          </w:p>
        </w:tc>
      </w:tr>
      <w:tr>
        <w:trPr>
          <w:trHeight w:val="265"/>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Common stock issued</w:t>
            </w: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5"/>
        </w:trPr>
        <w:tc>
          <w:tcPr>
            <w:tcW w:w="70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Fair value of common stock issued per share</w:t>
            </w:r>
          </w:p>
        </w:tc>
        <w:tc>
          <w:tcPr>
            <w:tcW w:w="300" w:type="dxa"/>
            <w:vAlign w:val="bottom"/>
            <w:shd w:val="clear" w:color="auto" w:fill="DCE2E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33.60</w:t>
            </w:r>
          </w:p>
        </w:tc>
        <w:tc>
          <w:tcPr>
            <w:tcW w:w="120" w:type="dxa"/>
            <w:vAlign w:val="bottom"/>
            <w:shd w:val="clear" w:color="auto" w:fill="DCE2EF"/>
          </w:tcPr>
          <w:p>
            <w:pPr>
              <w:spacing w:after="0"/>
              <w:rPr>
                <w:sz w:val="23"/>
                <w:szCs w:val="23"/>
                <w:color w:val="auto"/>
              </w:rPr>
            </w:pPr>
          </w:p>
        </w:tc>
        <w:tc>
          <w:tcPr>
            <w:tcW w:w="300" w:type="dxa"/>
            <w:vAlign w:val="bottom"/>
            <w:shd w:val="clear" w:color="auto" w:fill="DCE2E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32.34</w:t>
            </w:r>
          </w:p>
        </w:tc>
        <w:tc>
          <w:tcPr>
            <w:tcW w:w="100" w:type="dxa"/>
            <w:vAlign w:val="bottom"/>
            <w:shd w:val="clear" w:color="auto" w:fill="DCE2EF"/>
          </w:tcPr>
          <w:p>
            <w:pPr>
              <w:spacing w:after="0"/>
              <w:rPr>
                <w:sz w:val="23"/>
                <w:szCs w:val="23"/>
                <w:color w:val="auto"/>
              </w:rPr>
            </w:pPr>
          </w:p>
        </w:tc>
        <w:tc>
          <w:tcPr>
            <w:tcW w:w="320" w:type="dxa"/>
            <w:vAlign w:val="bottom"/>
            <w:shd w:val="clear" w:color="auto" w:fill="DCE2E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40.07</w:t>
            </w:r>
          </w:p>
        </w:tc>
      </w:tr>
      <w:tr>
        <w:trPr>
          <w:trHeight w:val="261"/>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Aggregate purchases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4.7</w:t>
            </w: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95"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0046AD"/>
        </w:rPr>
        <w:t>18.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Geographic Sources of Income from Continuing Operations Before Income Taxes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240" w:type="dxa"/>
            <w:vAlign w:val="bottom"/>
            <w:tcBorders>
              <w:bottom w:val="single" w:sz="8" w:color="auto"/>
            </w:tcBorders>
            <w:gridSpan w:val="6"/>
          </w:tcPr>
          <w:p>
            <w:pPr>
              <w:jc w:val="center"/>
              <w:ind w:left="710"/>
              <w:spacing w:after="0"/>
              <w:rPr>
                <w:sz w:val="20"/>
                <w:szCs w:val="20"/>
                <w:color w:val="auto"/>
              </w:rPr>
            </w:pPr>
            <w:r>
              <w:rPr>
                <w:rFonts w:ascii="Arial" w:cs="Arial" w:eastAsia="Arial" w:hAnsi="Arial"/>
                <w:sz w:val="18"/>
                <w:szCs w:val="18"/>
                <w:b w:val="1"/>
                <w:bCs w:val="1"/>
                <w:color w:val="auto"/>
                <w:w w:val="99"/>
              </w:rPr>
              <w:t>Years Ended October 31,</w:t>
            </w: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9"/>
                <w:szCs w:val="19"/>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center"/>
              <w:ind w:right="250"/>
              <w:spacing w:after="0"/>
              <w:rPr>
                <w:sz w:val="20"/>
                <w:szCs w:val="20"/>
                <w:color w:val="auto"/>
              </w:rPr>
            </w:pPr>
            <w:r>
              <w:rPr>
                <w:rFonts w:ascii="Arial" w:cs="Arial" w:eastAsia="Arial" w:hAnsi="Arial"/>
                <w:sz w:val="18"/>
                <w:szCs w:val="18"/>
                <w:b w:val="1"/>
                <w:bCs w:val="1"/>
                <w:color w:val="auto"/>
                <w:w w:val="99"/>
              </w:rPr>
              <w:t>2018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600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674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shd w:val="clear" w:color="auto" w:fill="DCE2E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137.1</w:t>
            </w:r>
          </w:p>
        </w:tc>
        <w:tc>
          <w:tcPr>
            <w:tcW w:w="100" w:type="dxa"/>
            <w:vAlign w:val="bottom"/>
            <w:shd w:val="clear" w:color="auto" w:fill="DCE2EF"/>
          </w:tcPr>
          <w:p>
            <w:pPr>
              <w:spacing w:after="0"/>
              <w:rPr>
                <w:sz w:val="21"/>
                <w:szCs w:val="21"/>
                <w:color w:val="auto"/>
              </w:rPr>
            </w:pPr>
          </w:p>
        </w:tc>
        <w:tc>
          <w:tcPr>
            <w:tcW w:w="340" w:type="dxa"/>
            <w:vAlign w:val="bottom"/>
            <w:shd w:val="clear" w:color="auto" w:fill="DCE2E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94.8</w:t>
            </w:r>
          </w:p>
        </w:tc>
        <w:tc>
          <w:tcPr>
            <w:tcW w:w="120" w:type="dxa"/>
            <w:vAlign w:val="bottom"/>
            <w:shd w:val="clear" w:color="auto" w:fill="DCE2EF"/>
          </w:tcPr>
          <w:p>
            <w:pPr>
              <w:spacing w:after="0"/>
              <w:rPr>
                <w:sz w:val="21"/>
                <w:szCs w:val="21"/>
                <w:color w:val="auto"/>
              </w:rPr>
            </w:pPr>
          </w:p>
        </w:tc>
        <w:tc>
          <w:tcPr>
            <w:tcW w:w="380" w:type="dxa"/>
            <w:vAlign w:val="bottom"/>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65"/>
        </w:trPr>
        <w:tc>
          <w:tcPr>
            <w:tcW w:w="6740" w:type="dxa"/>
            <w:vAlign w:val="bottom"/>
            <w:tcBorders>
              <w:bottom w:val="single" w:sz="8" w:color="DCE2EF"/>
            </w:tcBorders>
            <w:gridSpan w:val="3"/>
          </w:tcPr>
          <w:p>
            <w:pPr>
              <w:ind w:left="4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DCE2E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DCE2E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55"/>
        </w:trPr>
        <w:tc>
          <w:tcPr>
            <w:tcW w:w="6740" w:type="dxa"/>
            <w:vAlign w:val="bottom"/>
            <w:tcBorders>
              <w:bottom w:val="single" w:sz="8" w:color="DCE2EF"/>
            </w:tcBorders>
            <w:gridSpan w:val="3"/>
            <w:shd w:val="clear" w:color="auto" w:fill="DCE2EF"/>
          </w:tcPr>
          <w:p>
            <w:pPr>
              <w:ind w:left="40"/>
              <w:spacing w:after="0"/>
              <w:rPr>
                <w:sz w:val="20"/>
                <w:szCs w:val="20"/>
                <w:color w:val="auto"/>
              </w:rPr>
            </w:pPr>
            <w:r>
              <w:rPr>
                <w:rFonts w:ascii="Arial" w:cs="Arial" w:eastAsia="Arial" w:hAnsi="Arial"/>
                <w:sz w:val="18"/>
                <w:szCs w:val="18"/>
                <w:b w:val="1"/>
                <w:bCs w:val="1"/>
                <w:color w:val="auto"/>
              </w:rPr>
              <w:t>Income from continuing operations before income taxes</w:t>
            </w:r>
          </w:p>
        </w:tc>
        <w:tc>
          <w:tcPr>
            <w:tcW w:w="340" w:type="dxa"/>
            <w:vAlign w:val="bottom"/>
            <w:tcBorders>
              <w:bottom w:val="single" w:sz="8" w:color="auto"/>
            </w:tcBorders>
            <w:shd w:val="clear" w:color="auto" w:fill="DCE2E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DCE2EF"/>
          </w:tcPr>
          <w:p>
            <w:pPr>
              <w:jc w:val="right"/>
              <w:ind w:right="30"/>
              <w:spacing w:after="0"/>
              <w:rPr>
                <w:sz w:val="20"/>
                <w:szCs w:val="20"/>
                <w:color w:val="auto"/>
              </w:rPr>
            </w:pPr>
            <w:r>
              <w:rPr>
                <w:rFonts w:ascii="Arial" w:cs="Arial" w:eastAsia="Arial" w:hAnsi="Arial"/>
                <w:sz w:val="18"/>
                <w:szCs w:val="18"/>
                <w:color w:val="auto"/>
              </w:rPr>
              <w:t>160.2</w:t>
            </w:r>
          </w:p>
        </w:tc>
        <w:tc>
          <w:tcPr>
            <w:tcW w:w="100" w:type="dxa"/>
            <w:vAlign w:val="bottom"/>
            <w:tcBorders>
              <w:bottom w:val="single" w:sz="8" w:color="DCE2EF"/>
            </w:tcBorders>
            <w:shd w:val="clear" w:color="auto" w:fill="DCE2EF"/>
          </w:tcPr>
          <w:p>
            <w:pPr>
              <w:spacing w:after="0"/>
              <w:rPr>
                <w:sz w:val="22"/>
                <w:szCs w:val="22"/>
                <w:color w:val="auto"/>
              </w:rPr>
            </w:pPr>
          </w:p>
        </w:tc>
        <w:tc>
          <w:tcPr>
            <w:tcW w:w="340" w:type="dxa"/>
            <w:vAlign w:val="bottom"/>
            <w:tcBorders>
              <w:bottom w:val="single" w:sz="8" w:color="auto"/>
            </w:tcBorders>
            <w:shd w:val="clear" w:color="auto" w:fill="DCE2E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87.7</w:t>
            </w:r>
          </w:p>
        </w:tc>
        <w:tc>
          <w:tcPr>
            <w:tcW w:w="120" w:type="dxa"/>
            <w:vAlign w:val="bottom"/>
            <w:tcBorders>
              <w:bottom w:val="single" w:sz="8" w:color="DCE2EF"/>
            </w:tcBorders>
            <w:shd w:val="clear" w:color="auto" w:fill="DCE2EF"/>
          </w:tcPr>
          <w:p>
            <w:pPr>
              <w:spacing w:after="0"/>
              <w:rPr>
                <w:sz w:val="22"/>
                <w:szCs w:val="22"/>
                <w:color w:val="auto"/>
              </w:rPr>
            </w:pPr>
          </w:p>
        </w:tc>
        <w:tc>
          <w:tcPr>
            <w:tcW w:w="380" w:type="dxa"/>
            <w:vAlign w:val="bottom"/>
            <w:tcBorders>
              <w:bottom w:val="single" w:sz="8" w:color="auto"/>
            </w:tcBorders>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0"/>
        </w:trPr>
        <w:tc>
          <w:tcPr>
            <w:tcW w:w="6740" w:type="dxa"/>
            <w:vAlign w:val="bottom"/>
            <w:gridSpan w:val="3"/>
            <w:vMerge w:val="restart"/>
          </w:tcPr>
          <w:p>
            <w:pPr>
              <w:spacing w:after="0"/>
              <w:rPr>
                <w:sz w:val="20"/>
                <w:szCs w:val="20"/>
                <w:color w:val="auto"/>
              </w:rPr>
            </w:pPr>
            <w:r>
              <w:rPr>
                <w:rFonts w:ascii="Arial" w:cs="Arial" w:eastAsia="Arial" w:hAnsi="Arial"/>
                <w:sz w:val="18"/>
                <w:szCs w:val="18"/>
                <w:b w:val="1"/>
                <w:bCs w:val="1"/>
                <w:color w:val="0046AD"/>
              </w:rPr>
              <w:t>Components of Income Tax (Provision) Benefit</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674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6"/>
          </w:tcPr>
          <w:p>
            <w:pPr>
              <w:jc w:val="center"/>
              <w:ind w:left="710"/>
              <w:spacing w:after="0"/>
              <w:rPr>
                <w:sz w:val="20"/>
                <w:szCs w:val="20"/>
                <w:color w:val="auto"/>
              </w:rPr>
            </w:pPr>
            <w:r>
              <w:rPr>
                <w:rFonts w:ascii="Arial" w:cs="Arial" w:eastAsia="Arial" w:hAnsi="Arial"/>
                <w:sz w:val="18"/>
                <w:szCs w:val="18"/>
                <w:b w:val="1"/>
                <w:bCs w:val="1"/>
                <w:color w:val="auto"/>
                <w:w w:val="99"/>
              </w:rPr>
              <w:t>Years Ended October 31,</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9"/>
                <w:szCs w:val="19"/>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center"/>
              <w:ind w:right="250"/>
              <w:spacing w:after="0"/>
              <w:rPr>
                <w:sz w:val="20"/>
                <w:szCs w:val="20"/>
                <w:color w:val="auto"/>
              </w:rPr>
            </w:pPr>
            <w:r>
              <w:rPr>
                <w:rFonts w:ascii="Arial" w:cs="Arial" w:eastAsia="Arial" w:hAnsi="Arial"/>
                <w:sz w:val="18"/>
                <w:szCs w:val="18"/>
                <w:b w:val="1"/>
                <w:bCs w:val="1"/>
                <w:color w:val="auto"/>
                <w:w w:val="99"/>
              </w:rPr>
              <w:t>2018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600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DCE2EF"/>
            </w:tcBorders>
            <w:shd w:val="clear" w:color="auto" w:fill="DCE2EF"/>
          </w:tcPr>
          <w:p>
            <w:pPr>
              <w:spacing w:after="0"/>
              <w:rPr>
                <w:sz w:val="21"/>
                <w:szCs w:val="21"/>
                <w:color w:val="auto"/>
              </w:rPr>
            </w:pPr>
          </w:p>
        </w:tc>
        <w:tc>
          <w:tcPr>
            <w:tcW w:w="670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8"/>
                <w:szCs w:val="18"/>
                <w:b w:val="1"/>
                <w:bCs w:val="1"/>
                <w:i w:val="1"/>
                <w:iCs w:val="1"/>
                <w:color w:val="auto"/>
                <w:shd w:val="clear" w:color="auto" w:fill="DCE2EF"/>
              </w:rPr>
              <w:t>Current:</w:t>
            </w:r>
          </w:p>
        </w:tc>
        <w:tc>
          <w:tcPr>
            <w:tcW w:w="340" w:type="dxa"/>
            <w:vAlign w:val="bottom"/>
            <w:tcBorders>
              <w:bottom w:val="single" w:sz="8" w:color="DCE2EF"/>
            </w:tcBorders>
            <w:shd w:val="clear" w:color="auto" w:fill="DCE2EF"/>
          </w:tcPr>
          <w:p>
            <w:pPr>
              <w:spacing w:after="0"/>
              <w:rPr>
                <w:sz w:val="21"/>
                <w:szCs w:val="21"/>
                <w:color w:val="auto"/>
              </w:rPr>
            </w:pPr>
          </w:p>
        </w:tc>
        <w:tc>
          <w:tcPr>
            <w:tcW w:w="1160" w:type="dxa"/>
            <w:vAlign w:val="bottom"/>
            <w:tcBorders>
              <w:bottom w:val="single" w:sz="8" w:color="DCE2EF"/>
            </w:tcBorders>
            <w:shd w:val="clear" w:color="auto" w:fill="DCE2EF"/>
          </w:tcPr>
          <w:p>
            <w:pPr>
              <w:spacing w:after="0"/>
              <w:rPr>
                <w:sz w:val="21"/>
                <w:szCs w:val="21"/>
                <w:color w:val="auto"/>
              </w:rPr>
            </w:pPr>
          </w:p>
        </w:tc>
        <w:tc>
          <w:tcPr>
            <w:tcW w:w="100" w:type="dxa"/>
            <w:vAlign w:val="bottom"/>
            <w:tcBorders>
              <w:bottom w:val="single" w:sz="8" w:color="DCE2EF"/>
            </w:tcBorders>
            <w:shd w:val="clear" w:color="auto" w:fill="DCE2EF"/>
          </w:tcPr>
          <w:p>
            <w:pPr>
              <w:spacing w:after="0"/>
              <w:rPr>
                <w:sz w:val="21"/>
                <w:szCs w:val="21"/>
                <w:color w:val="auto"/>
              </w:rPr>
            </w:pPr>
          </w:p>
        </w:tc>
        <w:tc>
          <w:tcPr>
            <w:tcW w:w="340" w:type="dxa"/>
            <w:vAlign w:val="bottom"/>
            <w:tcBorders>
              <w:bottom w:val="single" w:sz="8" w:color="DCE2EF"/>
            </w:tcBorders>
            <w:shd w:val="clear" w:color="auto" w:fill="DCE2EF"/>
          </w:tcPr>
          <w:p>
            <w:pPr>
              <w:spacing w:after="0"/>
              <w:rPr>
                <w:sz w:val="21"/>
                <w:szCs w:val="21"/>
                <w:color w:val="auto"/>
              </w:rPr>
            </w:pPr>
          </w:p>
        </w:tc>
        <w:tc>
          <w:tcPr>
            <w:tcW w:w="1140" w:type="dxa"/>
            <w:vAlign w:val="bottom"/>
            <w:tcBorders>
              <w:bottom w:val="single" w:sz="8" w:color="DCE2EF"/>
            </w:tcBorders>
            <w:shd w:val="clear" w:color="auto" w:fill="DCE2EF"/>
          </w:tcPr>
          <w:p>
            <w:pPr>
              <w:spacing w:after="0"/>
              <w:rPr>
                <w:sz w:val="21"/>
                <w:szCs w:val="21"/>
                <w:color w:val="auto"/>
              </w:rPr>
            </w:pPr>
          </w:p>
        </w:tc>
        <w:tc>
          <w:tcPr>
            <w:tcW w:w="120" w:type="dxa"/>
            <w:vAlign w:val="bottom"/>
            <w:tcBorders>
              <w:bottom w:val="single" w:sz="8" w:color="DCE2EF"/>
            </w:tcBorders>
            <w:shd w:val="clear" w:color="auto" w:fill="DCE2EF"/>
          </w:tcPr>
          <w:p>
            <w:pPr>
              <w:spacing w:after="0"/>
              <w:rPr>
                <w:sz w:val="21"/>
                <w:szCs w:val="21"/>
                <w:color w:val="auto"/>
              </w:rPr>
            </w:pPr>
          </w:p>
        </w:tc>
        <w:tc>
          <w:tcPr>
            <w:tcW w:w="380" w:type="dxa"/>
            <w:vAlign w:val="bottom"/>
            <w:tcBorders>
              <w:bottom w:val="single" w:sz="8" w:color="DCE2EF"/>
            </w:tcBorders>
            <w:shd w:val="clear" w:color="auto" w:fill="DCE2EF"/>
          </w:tcPr>
          <w:p>
            <w:pPr>
              <w:spacing w:after="0"/>
              <w:rPr>
                <w:sz w:val="21"/>
                <w:szCs w:val="21"/>
                <w:color w:val="auto"/>
              </w:rPr>
            </w:pPr>
          </w:p>
        </w:tc>
        <w:tc>
          <w:tcPr>
            <w:tcW w:w="1100" w:type="dxa"/>
            <w:vAlign w:val="bottom"/>
            <w:tcBorders>
              <w:bottom w:val="single" w:sz="8" w:color="DCE2EF"/>
            </w:tcBorders>
            <w:shd w:val="clear" w:color="auto" w:fill="DCE2E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6700" w:type="dxa"/>
            <w:vAlign w:val="bottom"/>
            <w:gridSpan w:val="2"/>
          </w:tcPr>
          <w:p>
            <w:pPr>
              <w:ind w:left="140"/>
              <w:spacing w:after="0"/>
              <w:rPr>
                <w:sz w:val="20"/>
                <w:szCs w:val="20"/>
                <w:color w:val="auto"/>
              </w:rPr>
            </w:pPr>
            <w:r>
              <w:rPr>
                <w:rFonts w:ascii="Arial" w:cs="Arial" w:eastAsia="Arial" w:hAnsi="Arial"/>
                <w:sz w:val="18"/>
                <w:szCs w:val="18"/>
                <w:color w:val="auto"/>
              </w:rPr>
              <w:t>Federal</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55"/>
        </w:trPr>
        <w:tc>
          <w:tcPr>
            <w:tcW w:w="40" w:type="dxa"/>
            <w:vAlign w:val="bottom"/>
            <w:tcBorders>
              <w:bottom w:val="single" w:sz="8" w:color="DCE2EF"/>
            </w:tcBorders>
            <w:shd w:val="clear" w:color="auto" w:fill="DCE2EF"/>
          </w:tcPr>
          <w:p>
            <w:pPr>
              <w:spacing w:after="0"/>
              <w:rPr>
                <w:sz w:val="22"/>
                <w:szCs w:val="22"/>
                <w:color w:val="auto"/>
              </w:rPr>
            </w:pPr>
          </w:p>
        </w:tc>
        <w:tc>
          <w:tcPr>
            <w:tcW w:w="700" w:type="dxa"/>
            <w:vAlign w:val="bottom"/>
            <w:tcBorders>
              <w:bottom w:val="single" w:sz="8" w:color="DCE2EF"/>
            </w:tcBorders>
            <w:shd w:val="clear" w:color="auto" w:fill="DCE2EF"/>
          </w:tcPr>
          <w:p>
            <w:pPr>
              <w:ind w:left="140"/>
              <w:spacing w:after="0"/>
              <w:rPr>
                <w:sz w:val="20"/>
                <w:szCs w:val="20"/>
                <w:color w:val="auto"/>
              </w:rPr>
            </w:pPr>
            <w:r>
              <w:rPr>
                <w:rFonts w:ascii="Arial" w:cs="Arial" w:eastAsia="Arial" w:hAnsi="Arial"/>
                <w:sz w:val="18"/>
                <w:szCs w:val="18"/>
                <w:color w:val="auto"/>
                <w:shd w:val="clear" w:color="auto" w:fill="DCE2EF"/>
              </w:rPr>
              <w:t>State</w:t>
            </w:r>
          </w:p>
        </w:tc>
        <w:tc>
          <w:tcPr>
            <w:tcW w:w="6000" w:type="dxa"/>
            <w:vAlign w:val="bottom"/>
            <w:tcBorders>
              <w:bottom w:val="single" w:sz="8" w:color="DCE2EF"/>
            </w:tcBorders>
            <w:shd w:val="clear" w:color="auto" w:fill="DCE2EF"/>
          </w:tcPr>
          <w:p>
            <w:pPr>
              <w:spacing w:after="0"/>
              <w:rPr>
                <w:sz w:val="22"/>
                <w:szCs w:val="22"/>
                <w:color w:val="auto"/>
              </w:rPr>
            </w:pPr>
          </w:p>
        </w:tc>
        <w:tc>
          <w:tcPr>
            <w:tcW w:w="340" w:type="dxa"/>
            <w:vAlign w:val="bottom"/>
            <w:tcBorders>
              <w:bottom w:val="single" w:sz="8" w:color="DCE2EF"/>
            </w:tcBorders>
            <w:shd w:val="clear" w:color="auto" w:fill="DCE2EF"/>
          </w:tcPr>
          <w:p>
            <w:pPr>
              <w:spacing w:after="0"/>
              <w:rPr>
                <w:sz w:val="22"/>
                <w:szCs w:val="22"/>
                <w:color w:val="auto"/>
              </w:rPr>
            </w:pPr>
          </w:p>
        </w:tc>
        <w:tc>
          <w:tcPr>
            <w:tcW w:w="11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DCE2EF"/>
            </w:tcBorders>
            <w:shd w:val="clear" w:color="auto" w:fill="DCE2EF"/>
          </w:tcPr>
          <w:p>
            <w:pPr>
              <w:spacing w:after="0"/>
              <w:rPr>
                <w:sz w:val="22"/>
                <w:szCs w:val="22"/>
                <w:color w:val="auto"/>
              </w:rPr>
            </w:pPr>
          </w:p>
        </w:tc>
        <w:tc>
          <w:tcPr>
            <w:tcW w:w="340" w:type="dxa"/>
            <w:vAlign w:val="bottom"/>
            <w:tcBorders>
              <w:bottom w:val="single" w:sz="8" w:color="DCE2EF"/>
            </w:tcBorders>
            <w:shd w:val="clear" w:color="auto" w:fill="DCE2EF"/>
          </w:tcPr>
          <w:p>
            <w:pPr>
              <w:spacing w:after="0"/>
              <w:rPr>
                <w:sz w:val="22"/>
                <w:szCs w:val="22"/>
                <w:color w:val="auto"/>
              </w:rPr>
            </w:pPr>
          </w:p>
        </w:tc>
        <w:tc>
          <w:tcPr>
            <w:tcW w:w="114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DCE2EF"/>
            </w:tcBorders>
            <w:shd w:val="clear" w:color="auto" w:fill="DCE2EF"/>
          </w:tcPr>
          <w:p>
            <w:pPr>
              <w:spacing w:after="0"/>
              <w:rPr>
                <w:sz w:val="22"/>
                <w:szCs w:val="22"/>
                <w:color w:val="auto"/>
              </w:rPr>
            </w:pPr>
          </w:p>
        </w:tc>
        <w:tc>
          <w:tcPr>
            <w:tcW w:w="380" w:type="dxa"/>
            <w:vAlign w:val="bottom"/>
            <w:tcBorders>
              <w:bottom w:val="single" w:sz="8" w:color="DCE2EF"/>
            </w:tcBorders>
            <w:shd w:val="clear" w:color="auto" w:fill="DCE2EF"/>
          </w:tcPr>
          <w:p>
            <w:pPr>
              <w:spacing w:after="0"/>
              <w:rPr>
                <w:sz w:val="22"/>
                <w:szCs w:val="22"/>
                <w:color w:val="auto"/>
              </w:rPr>
            </w:pPr>
          </w:p>
        </w:tc>
        <w:tc>
          <w:tcPr>
            <w:tcW w:w="110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6700" w:type="dxa"/>
            <w:vAlign w:val="bottom"/>
            <w:gridSpan w:val="2"/>
          </w:tcPr>
          <w:p>
            <w:pPr>
              <w:ind w:left="140"/>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55"/>
        </w:trPr>
        <w:tc>
          <w:tcPr>
            <w:tcW w:w="40" w:type="dxa"/>
            <w:vAlign w:val="bottom"/>
            <w:tcBorders>
              <w:bottom w:val="single" w:sz="8" w:color="DCE2EF"/>
            </w:tcBorders>
            <w:shd w:val="clear" w:color="auto" w:fill="DCE2EF"/>
          </w:tcPr>
          <w:p>
            <w:pPr>
              <w:spacing w:after="0"/>
              <w:rPr>
                <w:sz w:val="22"/>
                <w:szCs w:val="22"/>
                <w:color w:val="auto"/>
              </w:rPr>
            </w:pPr>
          </w:p>
        </w:tc>
        <w:tc>
          <w:tcPr>
            <w:tcW w:w="670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8"/>
                <w:szCs w:val="18"/>
                <w:b w:val="1"/>
                <w:bCs w:val="1"/>
                <w:i w:val="1"/>
                <w:iCs w:val="1"/>
                <w:color w:val="auto"/>
                <w:shd w:val="clear" w:color="auto" w:fill="DCE2EF"/>
              </w:rPr>
              <w:t>Deferred:</w:t>
            </w:r>
          </w:p>
        </w:tc>
        <w:tc>
          <w:tcPr>
            <w:tcW w:w="340" w:type="dxa"/>
            <w:vAlign w:val="bottom"/>
            <w:tcBorders>
              <w:bottom w:val="single" w:sz="8" w:color="DCE2EF"/>
            </w:tcBorders>
            <w:shd w:val="clear" w:color="auto" w:fill="DCE2EF"/>
          </w:tcPr>
          <w:p>
            <w:pPr>
              <w:spacing w:after="0"/>
              <w:rPr>
                <w:sz w:val="22"/>
                <w:szCs w:val="22"/>
                <w:color w:val="auto"/>
              </w:rPr>
            </w:pPr>
          </w:p>
        </w:tc>
        <w:tc>
          <w:tcPr>
            <w:tcW w:w="1160" w:type="dxa"/>
            <w:vAlign w:val="bottom"/>
            <w:tcBorders>
              <w:bottom w:val="single" w:sz="8" w:color="DCE2EF"/>
            </w:tcBorders>
            <w:shd w:val="clear" w:color="auto" w:fill="DCE2EF"/>
          </w:tcPr>
          <w:p>
            <w:pPr>
              <w:spacing w:after="0"/>
              <w:rPr>
                <w:sz w:val="22"/>
                <w:szCs w:val="22"/>
                <w:color w:val="auto"/>
              </w:rPr>
            </w:pPr>
          </w:p>
        </w:tc>
        <w:tc>
          <w:tcPr>
            <w:tcW w:w="100" w:type="dxa"/>
            <w:vAlign w:val="bottom"/>
            <w:tcBorders>
              <w:bottom w:val="single" w:sz="8" w:color="DCE2EF"/>
            </w:tcBorders>
            <w:shd w:val="clear" w:color="auto" w:fill="DCE2EF"/>
          </w:tcPr>
          <w:p>
            <w:pPr>
              <w:spacing w:after="0"/>
              <w:rPr>
                <w:sz w:val="22"/>
                <w:szCs w:val="22"/>
                <w:color w:val="auto"/>
              </w:rPr>
            </w:pPr>
          </w:p>
        </w:tc>
        <w:tc>
          <w:tcPr>
            <w:tcW w:w="340" w:type="dxa"/>
            <w:vAlign w:val="bottom"/>
            <w:tcBorders>
              <w:bottom w:val="single" w:sz="8" w:color="DCE2EF"/>
            </w:tcBorders>
            <w:shd w:val="clear" w:color="auto" w:fill="DCE2EF"/>
          </w:tcPr>
          <w:p>
            <w:pPr>
              <w:spacing w:after="0"/>
              <w:rPr>
                <w:sz w:val="22"/>
                <w:szCs w:val="22"/>
                <w:color w:val="auto"/>
              </w:rPr>
            </w:pPr>
          </w:p>
        </w:tc>
        <w:tc>
          <w:tcPr>
            <w:tcW w:w="1140" w:type="dxa"/>
            <w:vAlign w:val="bottom"/>
            <w:tcBorders>
              <w:bottom w:val="single" w:sz="8" w:color="DCE2EF"/>
            </w:tcBorders>
            <w:shd w:val="clear" w:color="auto" w:fill="DCE2EF"/>
          </w:tcPr>
          <w:p>
            <w:pPr>
              <w:spacing w:after="0"/>
              <w:rPr>
                <w:sz w:val="22"/>
                <w:szCs w:val="22"/>
                <w:color w:val="auto"/>
              </w:rPr>
            </w:pPr>
          </w:p>
        </w:tc>
        <w:tc>
          <w:tcPr>
            <w:tcW w:w="120" w:type="dxa"/>
            <w:vAlign w:val="bottom"/>
            <w:tcBorders>
              <w:bottom w:val="single" w:sz="8" w:color="DCE2EF"/>
            </w:tcBorders>
            <w:shd w:val="clear" w:color="auto" w:fill="DCE2EF"/>
          </w:tcPr>
          <w:p>
            <w:pPr>
              <w:spacing w:after="0"/>
              <w:rPr>
                <w:sz w:val="22"/>
                <w:szCs w:val="22"/>
                <w:color w:val="auto"/>
              </w:rPr>
            </w:pPr>
          </w:p>
        </w:tc>
        <w:tc>
          <w:tcPr>
            <w:tcW w:w="380" w:type="dxa"/>
            <w:vAlign w:val="bottom"/>
            <w:tcBorders>
              <w:bottom w:val="single" w:sz="8" w:color="DCE2EF"/>
            </w:tcBorders>
            <w:shd w:val="clear" w:color="auto" w:fill="DCE2EF"/>
          </w:tcPr>
          <w:p>
            <w:pPr>
              <w:spacing w:after="0"/>
              <w:rPr>
                <w:sz w:val="22"/>
                <w:szCs w:val="22"/>
                <w:color w:val="auto"/>
              </w:rPr>
            </w:pPr>
          </w:p>
        </w:tc>
        <w:tc>
          <w:tcPr>
            <w:tcW w:w="1100" w:type="dxa"/>
            <w:vAlign w:val="bottom"/>
            <w:tcBorders>
              <w:bottom w:val="single" w:sz="8" w:color="DCE2EF"/>
            </w:tcBorders>
            <w:shd w:val="clear" w:color="auto" w:fill="DCE2E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6700" w:type="dxa"/>
            <w:vAlign w:val="bottom"/>
            <w:gridSpan w:val="2"/>
          </w:tcPr>
          <w:p>
            <w:pPr>
              <w:ind w:left="140"/>
              <w:spacing w:after="0"/>
              <w:rPr>
                <w:sz w:val="20"/>
                <w:szCs w:val="20"/>
                <w:color w:val="auto"/>
              </w:rPr>
            </w:pPr>
            <w:r>
              <w:rPr>
                <w:rFonts w:ascii="Arial" w:cs="Arial" w:eastAsia="Arial" w:hAnsi="Arial"/>
                <w:sz w:val="18"/>
                <w:szCs w:val="18"/>
                <w:color w:val="auto"/>
              </w:rPr>
              <w:t>Federal</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55"/>
        </w:trPr>
        <w:tc>
          <w:tcPr>
            <w:tcW w:w="40" w:type="dxa"/>
            <w:vAlign w:val="bottom"/>
            <w:tcBorders>
              <w:bottom w:val="single" w:sz="8" w:color="DCE2EF"/>
            </w:tcBorders>
            <w:shd w:val="clear" w:color="auto" w:fill="DCE2EF"/>
          </w:tcPr>
          <w:p>
            <w:pPr>
              <w:spacing w:after="0"/>
              <w:rPr>
                <w:sz w:val="22"/>
                <w:szCs w:val="22"/>
                <w:color w:val="auto"/>
              </w:rPr>
            </w:pPr>
          </w:p>
        </w:tc>
        <w:tc>
          <w:tcPr>
            <w:tcW w:w="700" w:type="dxa"/>
            <w:vAlign w:val="bottom"/>
            <w:tcBorders>
              <w:bottom w:val="single" w:sz="8" w:color="DCE2EF"/>
            </w:tcBorders>
            <w:shd w:val="clear" w:color="auto" w:fill="DCE2EF"/>
          </w:tcPr>
          <w:p>
            <w:pPr>
              <w:ind w:left="140"/>
              <w:spacing w:after="0"/>
              <w:rPr>
                <w:sz w:val="20"/>
                <w:szCs w:val="20"/>
                <w:color w:val="auto"/>
              </w:rPr>
            </w:pPr>
            <w:r>
              <w:rPr>
                <w:rFonts w:ascii="Arial" w:cs="Arial" w:eastAsia="Arial" w:hAnsi="Arial"/>
                <w:sz w:val="18"/>
                <w:szCs w:val="18"/>
                <w:color w:val="auto"/>
                <w:shd w:val="clear" w:color="auto" w:fill="DCE2EF"/>
              </w:rPr>
              <w:t>State</w:t>
            </w:r>
          </w:p>
        </w:tc>
        <w:tc>
          <w:tcPr>
            <w:tcW w:w="6000" w:type="dxa"/>
            <w:vAlign w:val="bottom"/>
            <w:tcBorders>
              <w:bottom w:val="single" w:sz="8" w:color="DCE2EF"/>
            </w:tcBorders>
            <w:shd w:val="clear" w:color="auto" w:fill="DCE2EF"/>
          </w:tcPr>
          <w:p>
            <w:pPr>
              <w:spacing w:after="0"/>
              <w:rPr>
                <w:sz w:val="22"/>
                <w:szCs w:val="22"/>
                <w:color w:val="auto"/>
              </w:rPr>
            </w:pPr>
          </w:p>
        </w:tc>
        <w:tc>
          <w:tcPr>
            <w:tcW w:w="340" w:type="dxa"/>
            <w:vAlign w:val="bottom"/>
            <w:tcBorders>
              <w:bottom w:val="single" w:sz="8" w:color="DCE2EF"/>
            </w:tcBorders>
            <w:shd w:val="clear" w:color="auto" w:fill="DCE2EF"/>
          </w:tcPr>
          <w:p>
            <w:pPr>
              <w:spacing w:after="0"/>
              <w:rPr>
                <w:sz w:val="22"/>
                <w:szCs w:val="22"/>
                <w:color w:val="auto"/>
              </w:rPr>
            </w:pPr>
          </w:p>
        </w:tc>
        <w:tc>
          <w:tcPr>
            <w:tcW w:w="11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DCE2EF"/>
            </w:tcBorders>
            <w:shd w:val="clear" w:color="auto" w:fill="DCE2EF"/>
          </w:tcPr>
          <w:p>
            <w:pPr>
              <w:spacing w:after="0"/>
              <w:rPr>
                <w:sz w:val="22"/>
                <w:szCs w:val="22"/>
                <w:color w:val="auto"/>
              </w:rPr>
            </w:pPr>
          </w:p>
        </w:tc>
        <w:tc>
          <w:tcPr>
            <w:tcW w:w="340" w:type="dxa"/>
            <w:vAlign w:val="bottom"/>
            <w:tcBorders>
              <w:bottom w:val="single" w:sz="8" w:color="DCE2EF"/>
            </w:tcBorders>
            <w:shd w:val="clear" w:color="auto" w:fill="DCE2EF"/>
          </w:tcPr>
          <w:p>
            <w:pPr>
              <w:spacing w:after="0"/>
              <w:rPr>
                <w:sz w:val="22"/>
                <w:szCs w:val="22"/>
                <w:color w:val="auto"/>
              </w:rPr>
            </w:pPr>
          </w:p>
        </w:tc>
        <w:tc>
          <w:tcPr>
            <w:tcW w:w="1140" w:type="dxa"/>
            <w:vAlign w:val="bottom"/>
            <w:tcBorders>
              <w:bottom w:val="single" w:sz="8" w:color="DCE2EF"/>
            </w:tcBorders>
            <w:shd w:val="clear" w:color="auto" w:fill="DCE2EF"/>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DCE2EF"/>
            </w:tcBorders>
            <w:shd w:val="clear" w:color="auto" w:fill="DCE2EF"/>
          </w:tcPr>
          <w:p>
            <w:pPr>
              <w:spacing w:after="0"/>
              <w:rPr>
                <w:sz w:val="22"/>
                <w:szCs w:val="22"/>
                <w:color w:val="auto"/>
              </w:rPr>
            </w:pPr>
          </w:p>
        </w:tc>
        <w:tc>
          <w:tcPr>
            <w:tcW w:w="380" w:type="dxa"/>
            <w:vAlign w:val="bottom"/>
            <w:tcBorders>
              <w:bottom w:val="single" w:sz="8" w:color="DCE2EF"/>
            </w:tcBorders>
            <w:shd w:val="clear" w:color="auto" w:fill="DCE2EF"/>
          </w:tcPr>
          <w:p>
            <w:pPr>
              <w:spacing w:after="0"/>
              <w:rPr>
                <w:sz w:val="22"/>
                <w:szCs w:val="22"/>
                <w:color w:val="auto"/>
              </w:rPr>
            </w:pPr>
          </w:p>
        </w:tc>
        <w:tc>
          <w:tcPr>
            <w:tcW w:w="1100" w:type="dxa"/>
            <w:vAlign w:val="bottom"/>
            <w:tcBorders>
              <w:bottom w:val="single" w:sz="8" w:color="DCE2EF"/>
            </w:tcBorders>
            <w:shd w:val="clear" w:color="auto" w:fill="DCE2EF"/>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65"/>
        </w:trPr>
        <w:tc>
          <w:tcPr>
            <w:tcW w:w="40" w:type="dxa"/>
            <w:vAlign w:val="bottom"/>
            <w:tcBorders>
              <w:bottom w:val="single" w:sz="8" w:color="DCE2EF"/>
            </w:tcBorders>
          </w:tcPr>
          <w:p>
            <w:pPr>
              <w:spacing w:after="0"/>
              <w:rPr>
                <w:sz w:val="23"/>
                <w:szCs w:val="23"/>
                <w:color w:val="auto"/>
              </w:rPr>
            </w:pPr>
          </w:p>
        </w:tc>
        <w:tc>
          <w:tcPr>
            <w:tcW w:w="6700" w:type="dxa"/>
            <w:vAlign w:val="bottom"/>
            <w:tcBorders>
              <w:bottom w:val="single" w:sz="8" w:color="DCE2EF"/>
            </w:tcBorders>
            <w:gridSpan w:val="2"/>
          </w:tcPr>
          <w:p>
            <w:pPr>
              <w:ind w:left="14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DCE2E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DCE2E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55"/>
        </w:trPr>
        <w:tc>
          <w:tcPr>
            <w:tcW w:w="6740" w:type="dxa"/>
            <w:vAlign w:val="bottom"/>
            <w:tcBorders>
              <w:bottom w:val="single" w:sz="8" w:color="DCE2EF"/>
            </w:tcBorders>
            <w:gridSpan w:val="3"/>
            <w:shd w:val="clear" w:color="auto" w:fill="DCE2EF"/>
          </w:tcPr>
          <w:p>
            <w:pPr>
              <w:ind w:left="40"/>
              <w:spacing w:after="0"/>
              <w:rPr>
                <w:sz w:val="20"/>
                <w:szCs w:val="20"/>
                <w:color w:val="auto"/>
              </w:rPr>
            </w:pPr>
            <w:r>
              <w:rPr>
                <w:rFonts w:ascii="Arial" w:cs="Arial" w:eastAsia="Arial" w:hAnsi="Arial"/>
                <w:sz w:val="18"/>
                <w:szCs w:val="18"/>
                <w:b w:val="1"/>
                <w:bCs w:val="1"/>
                <w:color w:val="auto"/>
              </w:rPr>
              <w:t>Income tax (provision) benefit</w:t>
            </w:r>
          </w:p>
        </w:tc>
        <w:tc>
          <w:tcPr>
            <w:tcW w:w="340" w:type="dxa"/>
            <w:vAlign w:val="bottom"/>
            <w:tcBorders>
              <w:bottom w:val="single" w:sz="8" w:color="auto"/>
            </w:tcBorders>
            <w:shd w:val="clear" w:color="auto" w:fill="DCE2E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DCE2EF"/>
            </w:tcBorders>
            <w:shd w:val="clear" w:color="auto" w:fill="DCE2EF"/>
          </w:tcPr>
          <w:p>
            <w:pPr>
              <w:spacing w:after="0"/>
              <w:rPr>
                <w:sz w:val="22"/>
                <w:szCs w:val="22"/>
                <w:color w:val="auto"/>
              </w:rPr>
            </w:pPr>
          </w:p>
        </w:tc>
        <w:tc>
          <w:tcPr>
            <w:tcW w:w="340" w:type="dxa"/>
            <w:vAlign w:val="bottom"/>
            <w:tcBorders>
              <w:bottom w:val="single" w:sz="8" w:color="auto"/>
            </w:tcBorders>
            <w:shd w:val="clear" w:color="auto" w:fill="DCE2E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DCE2EF"/>
            </w:tcBorders>
            <w:shd w:val="clear" w:color="auto" w:fill="DCE2EF"/>
          </w:tcPr>
          <w:p>
            <w:pPr>
              <w:spacing w:after="0"/>
              <w:rPr>
                <w:sz w:val="22"/>
                <w:szCs w:val="22"/>
                <w:color w:val="auto"/>
              </w:rPr>
            </w:pPr>
          </w:p>
        </w:tc>
        <w:tc>
          <w:tcPr>
            <w:tcW w:w="380" w:type="dxa"/>
            <w:vAlign w:val="bottom"/>
            <w:tcBorders>
              <w:bottom w:val="single" w:sz="8" w:color="auto"/>
            </w:tcBorders>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500" w:type="dxa"/>
            <w:vAlign w:val="bottom"/>
            <w:gridSpan w:val="3"/>
          </w:tcPr>
          <w:p>
            <w:pPr>
              <w:spacing w:after="0"/>
              <w:rPr>
                <w:sz w:val="20"/>
                <w:szCs w:val="20"/>
                <w:color w:val="auto"/>
              </w:rPr>
            </w:pPr>
            <w:r>
              <w:rPr>
                <w:rFonts w:ascii="Arial" w:cs="Arial" w:eastAsia="Arial" w:hAnsi="Arial"/>
                <w:sz w:val="18"/>
                <w:szCs w:val="18"/>
                <w:b w:val="1"/>
                <w:bCs w:val="1"/>
                <w:color w:val="0046AD"/>
              </w:rPr>
              <w:t>Reconciliation of the U.S. Statutory Tax Rate to Annual Effective Tax Rate</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392"/>
        </w:trPr>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740" w:type="dxa"/>
            <w:vAlign w:val="bottom"/>
            <w:tcBorders>
              <w:bottom w:val="single" w:sz="8" w:color="auto"/>
            </w:tcBorders>
            <w:gridSpan w:val="5"/>
          </w:tcPr>
          <w:p>
            <w:pPr>
              <w:ind w:left="1400"/>
              <w:spacing w:after="0"/>
              <w:rPr>
                <w:sz w:val="20"/>
                <w:szCs w:val="20"/>
                <w:color w:val="auto"/>
              </w:rPr>
            </w:pPr>
            <w:r>
              <w:rPr>
                <w:rFonts w:ascii="Arial" w:cs="Arial" w:eastAsia="Arial" w:hAnsi="Arial"/>
                <w:sz w:val="18"/>
                <w:szCs w:val="18"/>
                <w:b w:val="1"/>
                <w:bCs w:val="1"/>
                <w:color w:val="auto"/>
              </w:rPr>
              <w:t>Years Ended October 31,</w:t>
            </w:r>
          </w:p>
        </w:tc>
        <w:tc>
          <w:tcPr>
            <w:tcW w:w="1180" w:type="dxa"/>
            <w:vAlign w:val="bottom"/>
            <w:tcBorders>
              <w:bottom w:val="single" w:sz="8" w:color="auto"/>
            </w:tcBorders>
          </w:tcPr>
          <w:p>
            <w:pPr>
              <w:spacing w:after="0"/>
              <w:rPr>
                <w:sz w:val="24"/>
                <w:szCs w:val="24"/>
                <w:color w:val="auto"/>
              </w:rPr>
            </w:pPr>
          </w:p>
        </w:tc>
      </w:tr>
      <w:tr>
        <w:trPr>
          <w:trHeight w:val="264"/>
        </w:trPr>
        <w:tc>
          <w:tcPr>
            <w:tcW w:w="40" w:type="dxa"/>
            <w:vAlign w:val="bottom"/>
            <w:tcBorders>
              <w:bottom w:val="single" w:sz="8" w:color="DCE2EF"/>
            </w:tcBorders>
          </w:tcPr>
          <w:p>
            <w:pPr>
              <w:spacing w:after="0"/>
              <w:rPr>
                <w:sz w:val="22"/>
                <w:szCs w:val="22"/>
                <w:color w:val="auto"/>
              </w:rPr>
            </w:pPr>
          </w:p>
        </w:tc>
        <w:tc>
          <w:tcPr>
            <w:tcW w:w="1540" w:type="dxa"/>
            <w:vAlign w:val="bottom"/>
            <w:tcBorders>
              <w:bottom w:val="single" w:sz="8" w:color="DCE2EF"/>
            </w:tcBorders>
          </w:tcPr>
          <w:p>
            <w:pPr>
              <w:spacing w:after="0"/>
              <w:rPr>
                <w:sz w:val="22"/>
                <w:szCs w:val="22"/>
                <w:color w:val="auto"/>
              </w:rPr>
            </w:pPr>
          </w:p>
        </w:tc>
        <w:tc>
          <w:tcPr>
            <w:tcW w:w="4920" w:type="dxa"/>
            <w:vAlign w:val="bottom"/>
            <w:tcBorders>
              <w:bottom w:val="single" w:sz="8" w:color="DCE2EF"/>
            </w:tcBorders>
          </w:tcPr>
          <w:p>
            <w:pPr>
              <w:spacing w:after="0"/>
              <w:rPr>
                <w:sz w:val="22"/>
                <w:szCs w:val="22"/>
                <w:color w:val="auto"/>
              </w:rPr>
            </w:pPr>
          </w:p>
        </w:tc>
        <w:tc>
          <w:tcPr>
            <w:tcW w:w="15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DCE2EF"/>
            </w:tcBorders>
          </w:tcPr>
          <w:p>
            <w:pPr>
              <w:spacing w:after="0"/>
              <w:rPr>
                <w:sz w:val="22"/>
                <w:szCs w:val="22"/>
                <w:color w:val="auto"/>
              </w:rPr>
            </w:pPr>
          </w:p>
        </w:tc>
        <w:tc>
          <w:tcPr>
            <w:tcW w:w="15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DCE2E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r>
      <w:tr>
        <w:trPr>
          <w:trHeight w:val="231"/>
        </w:trPr>
        <w:tc>
          <w:tcPr>
            <w:tcW w:w="40" w:type="dxa"/>
            <w:vAlign w:val="bottom"/>
            <w:tcBorders>
              <w:bottom w:val="single" w:sz="8" w:color="DCE2EF"/>
            </w:tcBorders>
            <w:shd w:val="clear" w:color="auto" w:fill="DCE2EF"/>
          </w:tcPr>
          <w:p>
            <w:pPr>
              <w:spacing w:after="0"/>
              <w:rPr>
                <w:sz w:val="20"/>
                <w:szCs w:val="20"/>
                <w:color w:val="auto"/>
              </w:rPr>
            </w:pPr>
          </w:p>
        </w:tc>
        <w:tc>
          <w:tcPr>
            <w:tcW w:w="154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8"/>
                <w:szCs w:val="18"/>
                <w:b w:val="1"/>
                <w:bCs w:val="1"/>
                <w:color w:val="auto"/>
                <w:w w:val="98"/>
                <w:shd w:val="clear" w:color="auto" w:fill="DCE2EF"/>
              </w:rPr>
              <w:t>U.S. statutory rate</w:t>
            </w:r>
          </w:p>
        </w:tc>
        <w:tc>
          <w:tcPr>
            <w:tcW w:w="4920" w:type="dxa"/>
            <w:vAlign w:val="bottom"/>
            <w:tcBorders>
              <w:bottom w:val="single" w:sz="8" w:color="DCE2EF"/>
            </w:tcBorders>
            <w:shd w:val="clear" w:color="auto" w:fill="DCE2EF"/>
          </w:tcPr>
          <w:p>
            <w:pPr>
              <w:spacing w:after="0"/>
              <w:rPr>
                <w:sz w:val="20"/>
                <w:szCs w:val="20"/>
                <w:color w:val="auto"/>
              </w:rPr>
            </w:pPr>
          </w:p>
        </w:tc>
        <w:tc>
          <w:tcPr>
            <w:tcW w:w="15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DCE2EF"/>
            </w:tcBorders>
            <w:shd w:val="clear" w:color="auto" w:fill="DCE2EF"/>
          </w:tcPr>
          <w:p>
            <w:pPr>
              <w:spacing w:after="0"/>
              <w:rPr>
                <w:sz w:val="20"/>
                <w:szCs w:val="20"/>
                <w:color w:val="auto"/>
              </w:rPr>
            </w:pPr>
          </w:p>
        </w:tc>
        <w:tc>
          <w:tcPr>
            <w:tcW w:w="1580" w:type="dxa"/>
            <w:vAlign w:val="bottom"/>
            <w:tcBorders>
              <w:bottom w:val="single" w:sz="8" w:color="DCE2EF"/>
            </w:tcBorders>
            <w:shd w:val="clear" w:color="auto" w:fill="DCE2EF"/>
          </w:tcPr>
          <w:p>
            <w:pPr>
              <w:jc w:val="right"/>
              <w:ind w:right="10"/>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DCE2EF"/>
            </w:tcBorders>
            <w:shd w:val="clear" w:color="auto" w:fill="DCE2EF"/>
          </w:tcPr>
          <w:p>
            <w:pPr>
              <w:spacing w:after="0"/>
              <w:rPr>
                <w:sz w:val="20"/>
                <w:szCs w:val="20"/>
                <w:color w:val="auto"/>
              </w:rPr>
            </w:pPr>
          </w:p>
        </w:tc>
        <w:tc>
          <w:tcPr>
            <w:tcW w:w="380" w:type="dxa"/>
            <w:vAlign w:val="bottom"/>
            <w:tcBorders>
              <w:bottom w:val="single" w:sz="8" w:color="DCE2EF"/>
            </w:tcBorders>
            <w:shd w:val="clear" w:color="auto" w:fill="DCE2EF"/>
          </w:tcPr>
          <w:p>
            <w:pPr>
              <w:spacing w:after="0"/>
              <w:rPr>
                <w:sz w:val="20"/>
                <w:szCs w:val="20"/>
                <w:color w:val="auto"/>
              </w:rPr>
            </w:pPr>
          </w:p>
        </w:tc>
        <w:tc>
          <w:tcPr>
            <w:tcW w:w="11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8"/>
                <w:szCs w:val="18"/>
                <w:color w:val="auto"/>
              </w:rPr>
              <w:t>35.0%</w:t>
            </w:r>
          </w:p>
        </w:tc>
      </w:tr>
      <w:tr>
        <w:trPr>
          <w:trHeight w:val="265"/>
        </w:trPr>
        <w:tc>
          <w:tcPr>
            <w:tcW w:w="40" w:type="dxa"/>
            <w:vAlign w:val="bottom"/>
          </w:tcPr>
          <w:p>
            <w:pPr>
              <w:spacing w:after="0"/>
              <w:rPr>
                <w:sz w:val="23"/>
                <w:szCs w:val="23"/>
                <w:color w:val="auto"/>
              </w:rPr>
            </w:pPr>
          </w:p>
        </w:tc>
        <w:tc>
          <w:tcPr>
            <w:tcW w:w="6460" w:type="dxa"/>
            <w:vAlign w:val="bottom"/>
            <w:gridSpan w:val="2"/>
          </w:tcPr>
          <w:p>
            <w:pPr>
              <w:ind w:left="140"/>
              <w:spacing w:after="0"/>
              <w:rPr>
                <w:sz w:val="20"/>
                <w:szCs w:val="20"/>
                <w:color w:val="auto"/>
              </w:rPr>
            </w:pPr>
            <w:r>
              <w:rPr>
                <w:rFonts w:ascii="Arial" w:cs="Arial" w:eastAsia="Arial" w:hAnsi="Arial"/>
                <w:sz w:val="18"/>
                <w:szCs w:val="18"/>
                <w:color w:val="auto"/>
              </w:rPr>
              <w:t>State and local income taxes, net of federal tax benefit</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3"/>
                <w:szCs w:val="23"/>
                <w:color w:val="auto"/>
              </w:rPr>
            </w:pPr>
          </w:p>
        </w:tc>
        <w:tc>
          <w:tcPr>
            <w:tcW w:w="1580" w:type="dxa"/>
            <w:vAlign w:val="bottom"/>
          </w:tcPr>
          <w:p>
            <w:pPr>
              <w:jc w:val="right"/>
              <w:ind w:right="17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5.5</w:t>
            </w:r>
          </w:p>
        </w:tc>
      </w:tr>
      <w:tr>
        <w:trPr>
          <w:trHeight w:val="255"/>
        </w:trPr>
        <w:tc>
          <w:tcPr>
            <w:tcW w:w="40" w:type="dxa"/>
            <w:vAlign w:val="bottom"/>
            <w:tcBorders>
              <w:bottom w:val="single" w:sz="8" w:color="DCE2EF"/>
            </w:tcBorders>
            <w:shd w:val="clear" w:color="auto" w:fill="DCE2EF"/>
          </w:tcPr>
          <w:p>
            <w:pPr>
              <w:spacing w:after="0"/>
              <w:rPr>
                <w:sz w:val="22"/>
                <w:szCs w:val="22"/>
                <w:color w:val="auto"/>
              </w:rPr>
            </w:pPr>
          </w:p>
        </w:tc>
        <w:tc>
          <w:tcPr>
            <w:tcW w:w="6460" w:type="dxa"/>
            <w:vAlign w:val="bottom"/>
            <w:tcBorders>
              <w:bottom w:val="single" w:sz="8" w:color="DCE2EF"/>
            </w:tcBorders>
            <w:gridSpan w:val="2"/>
            <w:shd w:val="clear" w:color="auto" w:fill="DCE2EF"/>
          </w:tcPr>
          <w:p>
            <w:pPr>
              <w:ind w:left="140"/>
              <w:spacing w:after="0"/>
              <w:rPr>
                <w:sz w:val="20"/>
                <w:szCs w:val="20"/>
                <w:color w:val="auto"/>
              </w:rPr>
            </w:pPr>
            <w:r>
              <w:rPr>
                <w:rFonts w:ascii="Arial" w:cs="Arial" w:eastAsia="Arial" w:hAnsi="Arial"/>
                <w:sz w:val="18"/>
                <w:szCs w:val="18"/>
                <w:color w:val="auto"/>
                <w:shd w:val="clear" w:color="auto" w:fill="DCE2EF"/>
              </w:rPr>
              <w:t>Federal and state tax credits</w:t>
            </w:r>
          </w:p>
        </w:tc>
        <w:tc>
          <w:tcPr>
            <w:tcW w:w="1560" w:type="dxa"/>
            <w:vAlign w:val="bottom"/>
            <w:tcBorders>
              <w:bottom w:val="single" w:sz="8" w:color="DCE2EF"/>
            </w:tcBorders>
            <w:shd w:val="clear" w:color="auto" w:fill="DCE2EF"/>
          </w:tcPr>
          <w:p>
            <w:pPr>
              <w:jc w:val="right"/>
              <w:ind w:right="9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DCE2EF"/>
            </w:tcBorders>
            <w:shd w:val="clear" w:color="auto" w:fill="DCE2EF"/>
          </w:tcPr>
          <w:p>
            <w:pPr>
              <w:spacing w:after="0"/>
              <w:rPr>
                <w:sz w:val="22"/>
                <w:szCs w:val="22"/>
                <w:color w:val="auto"/>
              </w:rPr>
            </w:pPr>
          </w:p>
        </w:tc>
        <w:tc>
          <w:tcPr>
            <w:tcW w:w="1580" w:type="dxa"/>
            <w:vAlign w:val="bottom"/>
            <w:tcBorders>
              <w:bottom w:val="single" w:sz="8" w:color="DCE2EF"/>
            </w:tcBorders>
            <w:shd w:val="clear" w:color="auto" w:fill="DCE2EF"/>
          </w:tcPr>
          <w:p>
            <w:pPr>
              <w:jc w:val="right"/>
              <w:ind w:right="11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DCE2EF"/>
            </w:tcBorders>
            <w:shd w:val="clear" w:color="auto" w:fill="DCE2EF"/>
          </w:tcPr>
          <w:p>
            <w:pPr>
              <w:spacing w:after="0"/>
              <w:rPr>
                <w:sz w:val="22"/>
                <w:szCs w:val="22"/>
                <w:color w:val="auto"/>
              </w:rPr>
            </w:pPr>
          </w:p>
        </w:tc>
        <w:tc>
          <w:tcPr>
            <w:tcW w:w="380" w:type="dxa"/>
            <w:vAlign w:val="bottom"/>
            <w:tcBorders>
              <w:bottom w:val="single" w:sz="8" w:color="DCE2EF"/>
            </w:tcBorders>
            <w:shd w:val="clear" w:color="auto" w:fill="DCE2EF"/>
          </w:tcPr>
          <w:p>
            <w:pPr>
              <w:spacing w:after="0"/>
              <w:rPr>
                <w:sz w:val="22"/>
                <w:szCs w:val="22"/>
                <w:color w:val="auto"/>
              </w:rPr>
            </w:pPr>
          </w:p>
        </w:tc>
        <w:tc>
          <w:tcPr>
            <w:tcW w:w="1180" w:type="dxa"/>
            <w:vAlign w:val="bottom"/>
            <w:tcBorders>
              <w:bottom w:val="single" w:sz="8" w:color="DCE2EF"/>
            </w:tcBorders>
            <w:shd w:val="clear" w:color="auto" w:fill="DCE2EF"/>
          </w:tcPr>
          <w:p>
            <w:pPr>
              <w:jc w:val="right"/>
              <w:ind w:right="90"/>
              <w:spacing w:after="0"/>
              <w:rPr>
                <w:sz w:val="20"/>
                <w:szCs w:val="20"/>
                <w:color w:val="auto"/>
              </w:rPr>
            </w:pPr>
            <w:r>
              <w:rPr>
                <w:rFonts w:ascii="Arial" w:cs="Arial" w:eastAsia="Arial" w:hAnsi="Arial"/>
                <w:sz w:val="18"/>
                <w:szCs w:val="18"/>
                <w:color w:val="auto"/>
              </w:rPr>
              <w:t>(7.5)</w:t>
            </w:r>
          </w:p>
        </w:tc>
      </w:tr>
      <w:tr>
        <w:trPr>
          <w:trHeight w:val="265"/>
        </w:trPr>
        <w:tc>
          <w:tcPr>
            <w:tcW w:w="40" w:type="dxa"/>
            <w:vAlign w:val="bottom"/>
          </w:tcPr>
          <w:p>
            <w:pPr>
              <w:spacing w:after="0"/>
              <w:rPr>
                <w:sz w:val="23"/>
                <w:szCs w:val="23"/>
                <w:color w:val="auto"/>
              </w:rPr>
            </w:pPr>
          </w:p>
        </w:tc>
        <w:tc>
          <w:tcPr>
            <w:tcW w:w="6460" w:type="dxa"/>
            <w:vAlign w:val="bottom"/>
            <w:gridSpan w:val="2"/>
          </w:tcPr>
          <w:p>
            <w:pPr>
              <w:ind w:left="140"/>
              <w:spacing w:after="0"/>
              <w:rPr>
                <w:sz w:val="20"/>
                <w:szCs w:val="20"/>
                <w:color w:val="auto"/>
              </w:rPr>
            </w:pPr>
            <w:r>
              <w:rPr>
                <w:rFonts w:ascii="Arial" w:cs="Arial" w:eastAsia="Arial" w:hAnsi="Arial"/>
                <w:sz w:val="18"/>
                <w:szCs w:val="18"/>
                <w:color w:val="auto"/>
              </w:rPr>
              <w:t>Impact of foreign operations</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1580" w:type="dxa"/>
            <w:vAlign w:val="bottom"/>
          </w:tcPr>
          <w:p>
            <w:pPr>
              <w:jc w:val="right"/>
              <w:ind w:right="17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(2.7)</w:t>
            </w:r>
          </w:p>
        </w:tc>
      </w:tr>
      <w:tr>
        <w:trPr>
          <w:trHeight w:val="255"/>
        </w:trPr>
        <w:tc>
          <w:tcPr>
            <w:tcW w:w="40" w:type="dxa"/>
            <w:vAlign w:val="bottom"/>
            <w:tcBorders>
              <w:bottom w:val="single" w:sz="8" w:color="DCE2EF"/>
            </w:tcBorders>
            <w:shd w:val="clear" w:color="auto" w:fill="DCE2EF"/>
          </w:tcPr>
          <w:p>
            <w:pPr>
              <w:spacing w:after="0"/>
              <w:rPr>
                <w:sz w:val="22"/>
                <w:szCs w:val="22"/>
                <w:color w:val="auto"/>
              </w:rPr>
            </w:pPr>
          </w:p>
        </w:tc>
        <w:tc>
          <w:tcPr>
            <w:tcW w:w="6460" w:type="dxa"/>
            <w:vAlign w:val="bottom"/>
            <w:tcBorders>
              <w:bottom w:val="single" w:sz="8" w:color="DCE2EF"/>
            </w:tcBorders>
            <w:gridSpan w:val="2"/>
            <w:shd w:val="clear" w:color="auto" w:fill="DCE2EF"/>
          </w:tcPr>
          <w:p>
            <w:pPr>
              <w:ind w:left="140"/>
              <w:spacing w:after="0"/>
              <w:rPr>
                <w:sz w:val="20"/>
                <w:szCs w:val="20"/>
                <w:color w:val="auto"/>
              </w:rPr>
            </w:pPr>
            <w:r>
              <w:rPr>
                <w:rFonts w:ascii="Arial" w:cs="Arial" w:eastAsia="Arial" w:hAnsi="Arial"/>
                <w:sz w:val="18"/>
                <w:szCs w:val="18"/>
                <w:color w:val="auto"/>
                <w:shd w:val="clear" w:color="auto" w:fill="DCE2EF"/>
              </w:rPr>
              <w:t>Changes in uncertain tax positions</w:t>
            </w:r>
          </w:p>
        </w:tc>
        <w:tc>
          <w:tcPr>
            <w:tcW w:w="1560" w:type="dxa"/>
            <w:vAlign w:val="bottom"/>
            <w:tcBorders>
              <w:bottom w:val="single" w:sz="8" w:color="DCE2EF"/>
            </w:tcBorders>
            <w:shd w:val="clear" w:color="auto" w:fill="DCE2EF"/>
          </w:tcPr>
          <w:p>
            <w:pPr>
              <w:jc w:val="right"/>
              <w:ind w:right="9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DCE2EF"/>
            </w:tcBorders>
            <w:shd w:val="clear" w:color="auto" w:fill="DCE2EF"/>
          </w:tcPr>
          <w:p>
            <w:pPr>
              <w:spacing w:after="0"/>
              <w:rPr>
                <w:sz w:val="22"/>
                <w:szCs w:val="22"/>
                <w:color w:val="auto"/>
              </w:rPr>
            </w:pPr>
          </w:p>
        </w:tc>
        <w:tc>
          <w:tcPr>
            <w:tcW w:w="1580" w:type="dxa"/>
            <w:vAlign w:val="bottom"/>
            <w:tcBorders>
              <w:bottom w:val="single" w:sz="8" w:color="DCE2EF"/>
            </w:tcBorders>
            <w:shd w:val="clear" w:color="auto" w:fill="DCE2EF"/>
          </w:tcPr>
          <w:p>
            <w:pPr>
              <w:jc w:val="right"/>
              <w:ind w:right="110"/>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DCE2EF"/>
            </w:tcBorders>
            <w:shd w:val="clear" w:color="auto" w:fill="DCE2EF"/>
          </w:tcPr>
          <w:p>
            <w:pPr>
              <w:spacing w:after="0"/>
              <w:rPr>
                <w:sz w:val="22"/>
                <w:szCs w:val="22"/>
                <w:color w:val="auto"/>
              </w:rPr>
            </w:pPr>
          </w:p>
        </w:tc>
        <w:tc>
          <w:tcPr>
            <w:tcW w:w="380" w:type="dxa"/>
            <w:vAlign w:val="bottom"/>
            <w:tcBorders>
              <w:bottom w:val="single" w:sz="8" w:color="DCE2EF"/>
            </w:tcBorders>
            <w:shd w:val="clear" w:color="auto" w:fill="DCE2EF"/>
          </w:tcPr>
          <w:p>
            <w:pPr>
              <w:spacing w:after="0"/>
              <w:rPr>
                <w:sz w:val="22"/>
                <w:szCs w:val="22"/>
                <w:color w:val="auto"/>
              </w:rPr>
            </w:pPr>
          </w:p>
        </w:tc>
        <w:tc>
          <w:tcPr>
            <w:tcW w:w="1180" w:type="dxa"/>
            <w:vAlign w:val="bottom"/>
            <w:tcBorders>
              <w:bottom w:val="single" w:sz="8" w:color="DCE2EF"/>
            </w:tcBorders>
            <w:shd w:val="clear" w:color="auto" w:fill="DCE2EF"/>
          </w:tcPr>
          <w:p>
            <w:pPr>
              <w:jc w:val="right"/>
              <w:ind w:right="90"/>
              <w:spacing w:after="0"/>
              <w:rPr>
                <w:sz w:val="20"/>
                <w:szCs w:val="20"/>
                <w:color w:val="auto"/>
              </w:rPr>
            </w:pPr>
            <w:r>
              <w:rPr>
                <w:rFonts w:ascii="Arial" w:cs="Arial" w:eastAsia="Arial" w:hAnsi="Arial"/>
                <w:sz w:val="18"/>
                <w:szCs w:val="18"/>
                <w:color w:val="auto"/>
              </w:rPr>
              <w:t>(19.7)</w:t>
            </w:r>
          </w:p>
        </w:tc>
      </w:tr>
      <w:tr>
        <w:trPr>
          <w:trHeight w:val="265"/>
        </w:trPr>
        <w:tc>
          <w:tcPr>
            <w:tcW w:w="40" w:type="dxa"/>
            <w:vAlign w:val="bottom"/>
          </w:tcPr>
          <w:p>
            <w:pPr>
              <w:spacing w:after="0"/>
              <w:rPr>
                <w:sz w:val="23"/>
                <w:szCs w:val="23"/>
                <w:color w:val="auto"/>
              </w:rPr>
            </w:pPr>
          </w:p>
        </w:tc>
        <w:tc>
          <w:tcPr>
            <w:tcW w:w="6460" w:type="dxa"/>
            <w:vAlign w:val="bottom"/>
            <w:gridSpan w:val="2"/>
          </w:tcPr>
          <w:p>
            <w:pPr>
              <w:ind w:left="140"/>
              <w:spacing w:after="0"/>
              <w:rPr>
                <w:sz w:val="20"/>
                <w:szCs w:val="20"/>
                <w:color w:val="auto"/>
              </w:rPr>
            </w:pPr>
            <w:r>
              <w:rPr>
                <w:rFonts w:ascii="Arial" w:cs="Arial" w:eastAsia="Arial" w:hAnsi="Arial"/>
                <w:sz w:val="18"/>
                <w:szCs w:val="18"/>
                <w:color w:val="auto"/>
              </w:rPr>
              <w:t>Incremental tax benefit from share-based compensation awards</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3"/>
                <w:szCs w:val="23"/>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(4.2)</w:t>
            </w:r>
          </w:p>
        </w:tc>
      </w:tr>
      <w:tr>
        <w:trPr>
          <w:trHeight w:val="275"/>
        </w:trPr>
        <w:tc>
          <w:tcPr>
            <w:tcW w:w="40" w:type="dxa"/>
            <w:vAlign w:val="bottom"/>
            <w:shd w:val="clear" w:color="auto" w:fill="DCE2EF"/>
          </w:tcPr>
          <w:p>
            <w:pPr>
              <w:spacing w:after="0"/>
              <w:rPr>
                <w:sz w:val="23"/>
                <w:szCs w:val="23"/>
                <w:color w:val="auto"/>
              </w:rPr>
            </w:pPr>
          </w:p>
        </w:tc>
        <w:tc>
          <w:tcPr>
            <w:tcW w:w="6460" w:type="dxa"/>
            <w:vAlign w:val="bottom"/>
            <w:gridSpan w:val="2"/>
            <w:shd w:val="clear" w:color="auto" w:fill="DCE2EF"/>
          </w:tcPr>
          <w:p>
            <w:pPr>
              <w:ind w:left="140"/>
              <w:spacing w:after="0"/>
              <w:rPr>
                <w:sz w:val="20"/>
                <w:szCs w:val="20"/>
                <w:color w:val="auto"/>
              </w:rPr>
            </w:pPr>
            <w:r>
              <w:rPr>
                <w:rFonts w:ascii="Arial" w:cs="Arial" w:eastAsia="Arial" w:hAnsi="Arial"/>
                <w:sz w:val="18"/>
                <w:szCs w:val="18"/>
                <w:color w:val="auto"/>
              </w:rPr>
              <w:t>Tax credits for energy efficient government buildings</w:t>
            </w:r>
          </w:p>
        </w:tc>
        <w:tc>
          <w:tcPr>
            <w:tcW w:w="1660" w:type="dxa"/>
            <w:vAlign w:val="bottom"/>
            <w:gridSpan w:val="2"/>
            <w:shd w:val="clear" w:color="auto" w:fill="DCE2EF"/>
          </w:tcPr>
          <w:p>
            <w:pPr>
              <w:jc w:val="right"/>
              <w:ind w:right="3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DCE2EF"/>
          </w:tcPr>
          <w:p>
            <w:pPr>
              <w:jc w:val="right"/>
              <w:ind w:right="11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DCE2EF"/>
          </w:tcPr>
          <w:p>
            <w:pPr>
              <w:spacing w:after="0"/>
              <w:rPr>
                <w:sz w:val="23"/>
                <w:szCs w:val="23"/>
                <w:color w:val="auto"/>
              </w:rPr>
            </w:pPr>
          </w:p>
        </w:tc>
        <w:tc>
          <w:tcPr>
            <w:tcW w:w="380" w:type="dxa"/>
            <w:vAlign w:val="bottom"/>
            <w:shd w:val="clear" w:color="auto" w:fill="DCE2EF"/>
          </w:tcPr>
          <w:p>
            <w:pPr>
              <w:spacing w:after="0"/>
              <w:rPr>
                <w:sz w:val="23"/>
                <w:szCs w:val="23"/>
                <w:color w:val="auto"/>
              </w:rPr>
            </w:pPr>
          </w:p>
        </w:tc>
        <w:tc>
          <w:tcPr>
            <w:tcW w:w="1180" w:type="dxa"/>
            <w:vAlign w:val="bottom"/>
            <w:shd w:val="clear" w:color="auto" w:fill="DCE2EF"/>
          </w:tcPr>
          <w:p>
            <w:pPr>
              <w:jc w:val="right"/>
              <w:ind w:right="90"/>
              <w:spacing w:after="0"/>
              <w:rPr>
                <w:sz w:val="20"/>
                <w:szCs w:val="20"/>
                <w:color w:val="auto"/>
              </w:rPr>
            </w:pPr>
            <w:r>
              <w:rPr>
                <w:rFonts w:ascii="Arial" w:cs="Arial" w:eastAsia="Arial" w:hAnsi="Arial"/>
                <w:sz w:val="18"/>
                <w:szCs w:val="18"/>
                <w:color w:val="auto"/>
              </w:rPr>
              <w:t>(2.2)</w:t>
            </w:r>
          </w:p>
        </w:tc>
      </w:tr>
      <w:tr>
        <w:trPr>
          <w:trHeight w:val="265"/>
        </w:trPr>
        <w:tc>
          <w:tcPr>
            <w:tcW w:w="40" w:type="dxa"/>
            <w:vAlign w:val="bottom"/>
          </w:tcPr>
          <w:p>
            <w:pPr>
              <w:spacing w:after="0"/>
              <w:rPr>
                <w:sz w:val="23"/>
                <w:szCs w:val="23"/>
                <w:color w:val="auto"/>
              </w:rPr>
            </w:pPr>
          </w:p>
        </w:tc>
        <w:tc>
          <w:tcPr>
            <w:tcW w:w="6460" w:type="dxa"/>
            <w:vAlign w:val="bottom"/>
            <w:gridSpan w:val="2"/>
          </w:tcPr>
          <w:p>
            <w:pPr>
              <w:ind w:left="140"/>
              <w:spacing w:after="0"/>
              <w:rPr>
                <w:sz w:val="20"/>
                <w:szCs w:val="20"/>
                <w:color w:val="auto"/>
              </w:rPr>
            </w:pPr>
            <w:r>
              <w:rPr>
                <w:rFonts w:ascii="Arial" w:cs="Arial" w:eastAsia="Arial" w:hAnsi="Arial"/>
                <w:sz w:val="18"/>
                <w:szCs w:val="18"/>
                <w:color w:val="auto"/>
              </w:rPr>
              <w:t>Impact from goodwill impairment</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7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5"/>
        </w:trPr>
        <w:tc>
          <w:tcPr>
            <w:tcW w:w="40" w:type="dxa"/>
            <w:vAlign w:val="bottom"/>
            <w:shd w:val="clear" w:color="auto" w:fill="DCE2EF"/>
          </w:tcPr>
          <w:p>
            <w:pPr>
              <w:spacing w:after="0"/>
              <w:rPr>
                <w:sz w:val="23"/>
                <w:szCs w:val="23"/>
                <w:color w:val="auto"/>
              </w:rPr>
            </w:pPr>
          </w:p>
        </w:tc>
        <w:tc>
          <w:tcPr>
            <w:tcW w:w="6460" w:type="dxa"/>
            <w:vAlign w:val="bottom"/>
            <w:gridSpan w:val="2"/>
            <w:shd w:val="clear" w:color="auto" w:fill="DCE2EF"/>
          </w:tcPr>
          <w:p>
            <w:pPr>
              <w:ind w:left="140"/>
              <w:spacing w:after="0"/>
              <w:rPr>
                <w:sz w:val="20"/>
                <w:szCs w:val="20"/>
                <w:color w:val="auto"/>
              </w:rPr>
            </w:pPr>
            <w:r>
              <w:rPr>
                <w:rFonts w:ascii="Arial" w:cs="Arial" w:eastAsia="Arial" w:hAnsi="Arial"/>
                <w:sz w:val="18"/>
                <w:szCs w:val="18"/>
                <w:color w:val="auto"/>
              </w:rPr>
              <w:t>Transition tax on foreign earnings</w:t>
            </w:r>
          </w:p>
        </w:tc>
        <w:tc>
          <w:tcPr>
            <w:tcW w:w="1560" w:type="dxa"/>
            <w:vAlign w:val="bottom"/>
            <w:shd w:val="clear" w:color="auto" w:fill="DCE2EF"/>
          </w:tcPr>
          <w:p>
            <w:pPr>
              <w:jc w:val="right"/>
              <w:ind w:right="9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DCE2EF"/>
          </w:tcPr>
          <w:p>
            <w:pPr>
              <w:spacing w:after="0"/>
              <w:rPr>
                <w:sz w:val="23"/>
                <w:szCs w:val="23"/>
                <w:color w:val="auto"/>
              </w:rPr>
            </w:pPr>
          </w:p>
        </w:tc>
        <w:tc>
          <w:tcPr>
            <w:tcW w:w="1580" w:type="dxa"/>
            <w:vAlign w:val="bottom"/>
            <w:shd w:val="clear" w:color="auto" w:fill="DCE2EF"/>
          </w:tcPr>
          <w:p>
            <w:pPr>
              <w:jc w:val="right"/>
              <w:ind w:right="17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DCE2EF"/>
          </w:tcPr>
          <w:p>
            <w:pPr>
              <w:spacing w:after="0"/>
              <w:rPr>
                <w:sz w:val="23"/>
                <w:szCs w:val="23"/>
                <w:color w:val="auto"/>
              </w:rPr>
            </w:pPr>
          </w:p>
        </w:tc>
        <w:tc>
          <w:tcPr>
            <w:tcW w:w="380" w:type="dxa"/>
            <w:vAlign w:val="bottom"/>
            <w:shd w:val="clear" w:color="auto" w:fill="DCE2EF"/>
          </w:tcPr>
          <w:p>
            <w:pPr>
              <w:spacing w:after="0"/>
              <w:rPr>
                <w:sz w:val="23"/>
                <w:szCs w:val="23"/>
                <w:color w:val="auto"/>
              </w:rPr>
            </w:pPr>
          </w:p>
        </w:tc>
        <w:tc>
          <w:tcPr>
            <w:tcW w:w="1180" w:type="dxa"/>
            <w:vAlign w:val="bottom"/>
            <w:shd w:val="clear" w:color="auto" w:fill="DCE2EF"/>
          </w:tcPr>
          <w:p>
            <w:pPr>
              <w:jc w:val="right"/>
              <w:ind w:right="150"/>
              <w:spacing w:after="0"/>
              <w:rPr>
                <w:sz w:val="20"/>
                <w:szCs w:val="20"/>
                <w:color w:val="auto"/>
              </w:rPr>
            </w:pPr>
            <w:r>
              <w:rPr>
                <w:rFonts w:ascii="Arial" w:cs="Arial" w:eastAsia="Arial" w:hAnsi="Arial"/>
                <w:sz w:val="18"/>
                <w:szCs w:val="18"/>
                <w:color w:val="auto"/>
              </w:rPr>
              <w:t>—</w:t>
            </w:r>
          </w:p>
        </w:tc>
      </w:tr>
      <w:tr>
        <w:trPr>
          <w:trHeight w:val="265"/>
        </w:trPr>
        <w:tc>
          <w:tcPr>
            <w:tcW w:w="40" w:type="dxa"/>
            <w:vAlign w:val="bottom"/>
          </w:tcPr>
          <w:p>
            <w:pPr>
              <w:spacing w:after="0"/>
              <w:rPr>
                <w:sz w:val="23"/>
                <w:szCs w:val="23"/>
                <w:color w:val="auto"/>
              </w:rPr>
            </w:pPr>
          </w:p>
        </w:tc>
        <w:tc>
          <w:tcPr>
            <w:tcW w:w="6460" w:type="dxa"/>
            <w:vAlign w:val="bottom"/>
            <w:gridSpan w:val="2"/>
          </w:tcPr>
          <w:p>
            <w:pPr>
              <w:ind w:left="140"/>
              <w:spacing w:after="0"/>
              <w:rPr>
                <w:sz w:val="20"/>
                <w:szCs w:val="20"/>
                <w:color w:val="auto"/>
              </w:rPr>
            </w:pPr>
            <w:r>
              <w:rPr>
                <w:rFonts w:ascii="Arial" w:cs="Arial" w:eastAsia="Arial" w:hAnsi="Arial"/>
                <w:sz w:val="18"/>
                <w:szCs w:val="18"/>
                <w:color w:val="auto"/>
              </w:rPr>
              <w:t>Remeasurement of U.S. deferred taxes</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3"/>
                <w:szCs w:val="23"/>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5"/>
        </w:trPr>
        <w:tc>
          <w:tcPr>
            <w:tcW w:w="40" w:type="dxa"/>
            <w:vAlign w:val="bottom"/>
            <w:shd w:val="clear" w:color="auto" w:fill="DCE2EF"/>
          </w:tcPr>
          <w:p>
            <w:pPr>
              <w:spacing w:after="0"/>
              <w:rPr>
                <w:sz w:val="23"/>
                <w:szCs w:val="23"/>
                <w:color w:val="auto"/>
              </w:rPr>
            </w:pPr>
          </w:p>
        </w:tc>
        <w:tc>
          <w:tcPr>
            <w:tcW w:w="6460" w:type="dxa"/>
            <w:vAlign w:val="bottom"/>
            <w:gridSpan w:val="2"/>
            <w:shd w:val="clear" w:color="auto" w:fill="DCE2EF"/>
          </w:tcPr>
          <w:p>
            <w:pPr>
              <w:ind w:left="140"/>
              <w:spacing w:after="0"/>
              <w:rPr>
                <w:sz w:val="20"/>
                <w:szCs w:val="20"/>
                <w:color w:val="auto"/>
              </w:rPr>
            </w:pPr>
            <w:r>
              <w:rPr>
                <w:rFonts w:ascii="Arial" w:cs="Arial" w:eastAsia="Arial" w:hAnsi="Arial"/>
                <w:sz w:val="18"/>
                <w:szCs w:val="18"/>
                <w:color w:val="auto"/>
              </w:rPr>
              <w:t>Nondeductible expenses</w:t>
            </w:r>
          </w:p>
        </w:tc>
        <w:tc>
          <w:tcPr>
            <w:tcW w:w="1560" w:type="dxa"/>
            <w:vAlign w:val="bottom"/>
            <w:shd w:val="clear" w:color="auto" w:fill="DCE2EF"/>
          </w:tcPr>
          <w:p>
            <w:pPr>
              <w:jc w:val="right"/>
              <w:ind w:right="15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DCE2EF"/>
          </w:tcPr>
          <w:p>
            <w:pPr>
              <w:spacing w:after="0"/>
              <w:rPr>
                <w:sz w:val="23"/>
                <w:szCs w:val="23"/>
                <w:color w:val="auto"/>
              </w:rPr>
            </w:pPr>
          </w:p>
        </w:tc>
        <w:tc>
          <w:tcPr>
            <w:tcW w:w="1580" w:type="dxa"/>
            <w:vAlign w:val="bottom"/>
            <w:shd w:val="clear" w:color="auto" w:fill="DCE2EF"/>
          </w:tcPr>
          <w:p>
            <w:pPr>
              <w:jc w:val="right"/>
              <w:ind w:right="17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DCE2EF"/>
          </w:tcPr>
          <w:p>
            <w:pPr>
              <w:spacing w:after="0"/>
              <w:rPr>
                <w:sz w:val="23"/>
                <w:szCs w:val="23"/>
                <w:color w:val="auto"/>
              </w:rPr>
            </w:pPr>
          </w:p>
        </w:tc>
        <w:tc>
          <w:tcPr>
            <w:tcW w:w="380" w:type="dxa"/>
            <w:vAlign w:val="bottom"/>
            <w:shd w:val="clear" w:color="auto" w:fill="DCE2EF"/>
          </w:tcPr>
          <w:p>
            <w:pPr>
              <w:spacing w:after="0"/>
              <w:rPr>
                <w:sz w:val="23"/>
                <w:szCs w:val="23"/>
                <w:color w:val="auto"/>
              </w:rPr>
            </w:pPr>
          </w:p>
        </w:tc>
        <w:tc>
          <w:tcPr>
            <w:tcW w:w="1180" w:type="dxa"/>
            <w:vAlign w:val="bottom"/>
            <w:shd w:val="clear" w:color="auto" w:fill="DCE2EF"/>
          </w:tcPr>
          <w:p>
            <w:pPr>
              <w:jc w:val="right"/>
              <w:ind w:right="150"/>
              <w:spacing w:after="0"/>
              <w:rPr>
                <w:sz w:val="20"/>
                <w:szCs w:val="20"/>
                <w:color w:val="auto"/>
              </w:rPr>
            </w:pPr>
            <w:r>
              <w:rPr>
                <w:rFonts w:ascii="Arial" w:cs="Arial" w:eastAsia="Arial" w:hAnsi="Arial"/>
                <w:sz w:val="18"/>
                <w:szCs w:val="18"/>
                <w:color w:val="auto"/>
              </w:rPr>
              <w:t>5.7</w:t>
            </w:r>
          </w:p>
        </w:tc>
      </w:tr>
      <w:tr>
        <w:trPr>
          <w:trHeight w:val="265"/>
        </w:trPr>
        <w:tc>
          <w:tcPr>
            <w:tcW w:w="40" w:type="dxa"/>
            <w:vAlign w:val="bottom"/>
            <w:tcBorders>
              <w:bottom w:val="single" w:sz="8" w:color="DCE2EF"/>
            </w:tcBorders>
          </w:tcPr>
          <w:p>
            <w:pPr>
              <w:spacing w:after="0"/>
              <w:rPr>
                <w:sz w:val="23"/>
                <w:szCs w:val="23"/>
                <w:color w:val="auto"/>
              </w:rPr>
            </w:pPr>
          </w:p>
        </w:tc>
        <w:tc>
          <w:tcPr>
            <w:tcW w:w="6460" w:type="dxa"/>
            <w:vAlign w:val="bottom"/>
            <w:tcBorders>
              <w:bottom w:val="single" w:sz="8" w:color="DCE2EF"/>
            </w:tcBorders>
            <w:gridSpan w:val="2"/>
          </w:tcPr>
          <w:p>
            <w:pPr>
              <w:ind w:left="140"/>
              <w:spacing w:after="0"/>
              <w:rPr>
                <w:sz w:val="20"/>
                <w:szCs w:val="20"/>
                <w:color w:val="auto"/>
              </w:rPr>
            </w:pPr>
            <w:r>
              <w:rPr>
                <w:rFonts w:ascii="Arial" w:cs="Arial" w:eastAsia="Arial" w:hAnsi="Arial"/>
                <w:sz w:val="18"/>
                <w:szCs w:val="18"/>
                <w:color w:val="auto"/>
              </w:rPr>
              <w:t>Other, net</w:t>
            </w:r>
          </w:p>
        </w:tc>
        <w:tc>
          <w:tcPr>
            <w:tcW w:w="1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DCE2EF"/>
            </w:tcBorders>
          </w:tcPr>
          <w:p>
            <w:pPr>
              <w:spacing w:after="0"/>
              <w:rPr>
                <w:sz w:val="23"/>
                <w:szCs w:val="23"/>
                <w:color w:val="auto"/>
              </w:rPr>
            </w:pPr>
          </w:p>
        </w:tc>
        <w:tc>
          <w:tcPr>
            <w:tcW w:w="15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DCE2E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0.1</w:t>
            </w:r>
          </w:p>
        </w:tc>
      </w:tr>
      <w:tr>
        <w:trPr>
          <w:trHeight w:val="255"/>
        </w:trPr>
        <w:tc>
          <w:tcPr>
            <w:tcW w:w="6500" w:type="dxa"/>
            <w:vAlign w:val="bottom"/>
            <w:tcBorders>
              <w:bottom w:val="single" w:sz="8" w:color="DCE2EF"/>
            </w:tcBorders>
            <w:gridSpan w:val="3"/>
            <w:shd w:val="clear" w:color="auto" w:fill="DCE2EF"/>
          </w:tcPr>
          <w:p>
            <w:pPr>
              <w:ind w:left="40"/>
              <w:spacing w:after="0"/>
              <w:rPr>
                <w:sz w:val="20"/>
                <w:szCs w:val="20"/>
                <w:color w:val="auto"/>
              </w:rPr>
            </w:pPr>
            <w:r>
              <w:rPr>
                <w:rFonts w:ascii="Arial" w:cs="Arial" w:eastAsia="Arial" w:hAnsi="Arial"/>
                <w:sz w:val="18"/>
                <w:szCs w:val="18"/>
                <w:b w:val="1"/>
                <w:bCs w:val="1"/>
                <w:color w:val="auto"/>
              </w:rPr>
              <w:t>Effective tax rate</w:t>
            </w:r>
          </w:p>
        </w:tc>
        <w:tc>
          <w:tcPr>
            <w:tcW w:w="1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20.4 %</w:t>
            </w:r>
          </w:p>
        </w:tc>
        <w:tc>
          <w:tcPr>
            <w:tcW w:w="100" w:type="dxa"/>
            <w:vAlign w:val="bottom"/>
            <w:tcBorders>
              <w:bottom w:val="single" w:sz="8" w:color="DCE2EF"/>
            </w:tcBorders>
            <w:shd w:val="clear" w:color="auto" w:fill="DCE2EF"/>
          </w:tcPr>
          <w:p>
            <w:pPr>
              <w:spacing w:after="0"/>
              <w:rPr>
                <w:sz w:val="22"/>
                <w:szCs w:val="22"/>
                <w:color w:val="auto"/>
              </w:rPr>
            </w:pPr>
          </w:p>
        </w:tc>
        <w:tc>
          <w:tcPr>
            <w:tcW w:w="1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DCE2EF"/>
            </w:tcBorders>
            <w:shd w:val="clear" w:color="auto" w:fill="DCE2EF"/>
          </w:tcPr>
          <w:p>
            <w:pPr>
              <w:spacing w:after="0"/>
              <w:rPr>
                <w:sz w:val="22"/>
                <w:szCs w:val="22"/>
                <w:color w:val="auto"/>
              </w:rPr>
            </w:pPr>
          </w:p>
        </w:tc>
        <w:tc>
          <w:tcPr>
            <w:tcW w:w="380" w:type="dxa"/>
            <w:vAlign w:val="bottom"/>
            <w:tcBorders>
              <w:bottom w:val="single" w:sz="8" w:color="auto"/>
            </w:tcBorders>
            <w:shd w:val="clear" w:color="auto" w:fill="DCE2EF"/>
          </w:tcPr>
          <w:p>
            <w:pPr>
              <w:spacing w:after="0"/>
              <w:rPr>
                <w:sz w:val="22"/>
                <w:szCs w:val="22"/>
                <w:color w:val="auto"/>
              </w:rPr>
            </w:pP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10.1 %</w:t>
            </w:r>
          </w:p>
        </w:tc>
      </w:tr>
      <w:tr>
        <w:trPr>
          <w:trHeight w:val="20"/>
        </w:trPr>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On December 22, 2017, the Tax Act was enacted into law. Among other provisions, it reduced the federal corporate income tax rate from 35% to 21% and required companies to pay a one-time transition tax on the deemed repatriation of indefinitely reinvested earnings of international subsidiaries. Our U.S. statutory federal tax rate for fiscal 2019 and future years was reduced to 21% from our blended rate of 23.3% in fiscal 2018. Other provisions under the Tax Act became effective for us in fiscal 2019, including limitations on deductibility of interest and executive compensation, as well as a new minimum tax on Global Intangible Low-Taxed Income (“GILTI”), which we have elected to account for as a period cost.</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2018, we finalized our analysis of the transitional impacts of the Tax Act. As a result, we recorded a one-time tax benefit of $29.6 million from the remeasurement of certain deferred tax assets and liabilities based on the new tax rates at which they are expected to reverse in the future. In addition, we recorded an expense of $4.5 million for the one-time transition tax on the deemed repatriation of indefinitely reinvested earnings of our international</w:t>
      </w:r>
    </w:p>
    <w:p>
      <w:pPr>
        <w:sectPr>
          <w:pgSz w:w="11900" w:h="16838" w:orient="portrait"/>
          <w:cols w:equalWidth="0" w:num="1">
            <w:col w:w="11420"/>
          </w:cols>
          <w:pgMar w:left="240" w:top="493" w:right="239" w:bottom="1440" w:gutter="0" w:footer="0" w:header="0"/>
        </w:sect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1420"/>
          </w:cols>
          <w:pgMar w:left="240" w:top="493" w:right="239" w:bottom="1440" w:gutter="0" w:footer="0" w:header="0"/>
          <w:type w:val="continuous"/>
        </w:sectPr>
      </w:pPr>
    </w:p>
    <w:bookmarkStart w:id="94" w:name="page95"/>
    <w:bookmarkEnd w:id="94"/>
    <w:p>
      <w:pPr>
        <w:jc w:val="both"/>
        <w:spacing w:after="0" w:line="260" w:lineRule="auto"/>
        <w:rPr>
          <w:sz w:val="20"/>
          <w:szCs w:val="20"/>
          <w:color w:val="auto"/>
        </w:rPr>
      </w:pPr>
      <w:r>
        <w:rPr>
          <w:rFonts w:ascii="Arial" w:cs="Arial" w:eastAsia="Arial" w:hAnsi="Arial"/>
          <w:sz w:val="18"/>
          <w:szCs w:val="18"/>
          <w:color w:val="auto"/>
        </w:rPr>
        <w:t>subsidiaries. Upon finalizing our tax filings, the impact of the transition tax was ultimately an expense of $2.7 million, which resulted in a benefit of $1.8 million that was recorded in the fourth quarter of 2019. We plan to reinvest our foreign earnings to fund future non-U.S. growth and expansion, and we do not anticipate remitting such earnings to the United States. While U.S. federal tax expense has been recognized as a result of the Tax Act, no deferred tax liabilities with respect to federal and state income taxes or foreign withholding taxes have been recognized.</w:t>
      </w:r>
    </w:p>
    <w:p>
      <w:pPr>
        <w:spacing w:after="0" w:line="1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During 2019 and 2018, we had effective tax rates of 20.4% and (9.4)%, respectively, resulting in a provision for tax of $32.7 million and a benefit from tax of $8.2 million, respectively. Our effective tax rate for 2019 was impacted by the following discrete items: a $1.8 million benefit from the transition tax (including foreign tax credits); a $1.7 million benefit from state true-ups; a $1.6 million benefit from federal true-ups; a $1.3 million provision related to the Work Opportunity Tax Credit (“WOTC”); a $1.3 million benefit from expiring statutes of limitations; a $1.1 million benefit from the vesting of share-based compensation awards; and a $0.9 million benefit from research and development credits. Our effective tax rate for 2018 was impacted by the following discrete items: a $ 23.2 million benefit related to the Tax Act enactment; a $5.8 million benefit from expiring statutes of limitations; a $3.4 million benefit from the vesting of share-based compensation awards; a $2.8 million benefit for energy efficient government buildings; and a $1.0 million provision for certain tax credits, including WOTC.</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Components of Deferred Tax Assets and Liabilities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76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As of October 31,</w:t>
            </w:r>
          </w:p>
        </w:tc>
        <w:tc>
          <w:tcPr>
            <w:tcW w:w="1560" w:type="dxa"/>
            <w:vAlign w:val="bottom"/>
            <w:tcBorders>
              <w:bottom w:val="single" w:sz="8" w:color="auto"/>
            </w:tcBorders>
          </w:tcPr>
          <w:p>
            <w:pPr>
              <w:spacing w:after="0"/>
              <w:rPr>
                <w:sz w:val="22"/>
                <w:szCs w:val="22"/>
                <w:color w:val="auto"/>
              </w:rPr>
            </w:pPr>
          </w:p>
        </w:tc>
      </w:tr>
      <w:tr>
        <w:trPr>
          <w:trHeight w:val="224"/>
        </w:trPr>
        <w:tc>
          <w:tcPr>
            <w:tcW w:w="650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60" w:type="dxa"/>
            <w:vAlign w:val="bottom"/>
          </w:tcPr>
          <w:p>
            <w:pPr>
              <w:spacing w:after="0"/>
              <w:rPr>
                <w:sz w:val="19"/>
                <w:szCs w:val="19"/>
                <w:color w:val="auto"/>
              </w:rPr>
            </w:pPr>
          </w:p>
        </w:tc>
        <w:tc>
          <w:tcPr>
            <w:tcW w:w="1840" w:type="dxa"/>
            <w:vAlign w:val="bottom"/>
          </w:tcPr>
          <w:p>
            <w:pPr>
              <w:jc w:val="right"/>
              <w:ind w:right="9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60" w:type="dxa"/>
            <w:vAlign w:val="bottom"/>
          </w:tcPr>
          <w:p>
            <w:pPr>
              <w:jc w:val="right"/>
              <w:ind w:right="910"/>
              <w:spacing w:after="0"/>
              <w:rPr>
                <w:sz w:val="20"/>
                <w:szCs w:val="20"/>
                <w:color w:val="auto"/>
              </w:rPr>
            </w:pPr>
            <w:r>
              <w:rPr>
                <w:rFonts w:ascii="Arial" w:cs="Arial" w:eastAsia="Arial" w:hAnsi="Arial"/>
                <w:sz w:val="18"/>
                <w:szCs w:val="18"/>
                <w:b w:val="1"/>
                <w:bCs w:val="1"/>
                <w:color w:val="auto"/>
              </w:rPr>
              <w:t>2018</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5760" w:type="dxa"/>
            <w:vAlign w:val="bottom"/>
            <w:tcBorders>
              <w:bottom w:val="single" w:sz="8" w:color="DCE2E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64"/>
        </w:trPr>
        <w:tc>
          <w:tcPr>
            <w:tcW w:w="6500" w:type="dxa"/>
            <w:vAlign w:val="bottom"/>
            <w:gridSpan w:val="3"/>
            <w:shd w:val="clear" w:color="auto" w:fill="DCE2EF"/>
          </w:tcPr>
          <w:p>
            <w:pPr>
              <w:ind w:left="40"/>
              <w:spacing w:after="0"/>
              <w:rPr>
                <w:sz w:val="20"/>
                <w:szCs w:val="20"/>
                <w:color w:val="auto"/>
              </w:rPr>
            </w:pPr>
            <w:r>
              <w:rPr>
                <w:rFonts w:ascii="Arial" w:cs="Arial" w:eastAsia="Arial" w:hAnsi="Arial"/>
                <w:sz w:val="18"/>
                <w:szCs w:val="18"/>
                <w:b w:val="1"/>
                <w:bCs w:val="1"/>
                <w:i w:val="1"/>
                <w:iCs w:val="1"/>
                <w:color w:val="auto"/>
              </w:rPr>
              <w:t>Deferred tax assets attributable to:</w:t>
            </w:r>
          </w:p>
        </w:tc>
        <w:tc>
          <w:tcPr>
            <w:tcW w:w="560" w:type="dxa"/>
            <w:vAlign w:val="bottom"/>
            <w:shd w:val="clear" w:color="auto" w:fill="DCE2EF"/>
          </w:tcPr>
          <w:p>
            <w:pPr>
              <w:spacing w:after="0"/>
              <w:rPr>
                <w:sz w:val="22"/>
                <w:szCs w:val="22"/>
                <w:color w:val="auto"/>
              </w:rPr>
            </w:pPr>
          </w:p>
        </w:tc>
        <w:tc>
          <w:tcPr>
            <w:tcW w:w="184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840" w:type="dxa"/>
            <w:vAlign w:val="bottom"/>
            <w:shd w:val="clear" w:color="auto" w:fill="DCE2EF"/>
          </w:tcPr>
          <w:p>
            <w:pPr>
              <w:spacing w:after="0"/>
              <w:rPr>
                <w:sz w:val="22"/>
                <w:szCs w:val="22"/>
                <w:color w:val="auto"/>
              </w:rPr>
            </w:pPr>
          </w:p>
        </w:tc>
        <w:tc>
          <w:tcPr>
            <w:tcW w:w="1560" w:type="dxa"/>
            <w:vAlign w:val="bottom"/>
            <w:shd w:val="clear" w:color="auto" w:fill="DCE2EF"/>
          </w:tcPr>
          <w:p>
            <w:pPr>
              <w:spacing w:after="0"/>
              <w:rPr>
                <w:sz w:val="22"/>
                <w:szCs w:val="22"/>
                <w:color w:val="auto"/>
              </w:rPr>
            </w:pPr>
          </w:p>
        </w:tc>
      </w:tr>
      <w:tr>
        <w:trPr>
          <w:trHeight w:val="265"/>
        </w:trPr>
        <w:tc>
          <w:tcPr>
            <w:tcW w:w="40" w:type="dxa"/>
            <w:vAlign w:val="bottom"/>
          </w:tcPr>
          <w:p>
            <w:pPr>
              <w:spacing w:after="0"/>
              <w:rPr>
                <w:sz w:val="23"/>
                <w:szCs w:val="23"/>
                <w:color w:val="auto"/>
              </w:rPr>
            </w:pPr>
          </w:p>
        </w:tc>
        <w:tc>
          <w:tcPr>
            <w:tcW w:w="6460" w:type="dxa"/>
            <w:vAlign w:val="bottom"/>
            <w:gridSpan w:val="2"/>
          </w:tcPr>
          <w:p>
            <w:pPr>
              <w:ind w:left="140"/>
              <w:spacing w:after="0"/>
              <w:rPr>
                <w:sz w:val="20"/>
                <w:szCs w:val="20"/>
                <w:color w:val="auto"/>
              </w:rPr>
            </w:pPr>
            <w:r>
              <w:rPr>
                <w:rFonts w:ascii="Arial" w:cs="Arial" w:eastAsia="Arial" w:hAnsi="Arial"/>
                <w:sz w:val="18"/>
                <w:szCs w:val="18"/>
                <w:color w:val="auto"/>
              </w:rPr>
              <w:t>Self-insurance claims (net of recoverables)</w:t>
            </w:r>
          </w:p>
        </w:tc>
        <w:tc>
          <w:tcPr>
            <w:tcW w:w="5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83.6</w:t>
            </w:r>
          </w:p>
        </w:tc>
        <w:tc>
          <w:tcPr>
            <w:tcW w:w="120" w:type="dxa"/>
            <w:vAlign w:val="bottom"/>
          </w:tcPr>
          <w:p>
            <w:pPr>
              <w:spacing w:after="0"/>
              <w:rPr>
                <w:sz w:val="23"/>
                <w:szCs w:val="23"/>
                <w:color w:val="auto"/>
              </w:rPr>
            </w:pP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83.5</w:t>
            </w:r>
          </w:p>
        </w:tc>
      </w:tr>
      <w:tr>
        <w:trPr>
          <w:trHeight w:val="255"/>
        </w:trPr>
        <w:tc>
          <w:tcPr>
            <w:tcW w:w="40" w:type="dxa"/>
            <w:vAlign w:val="bottom"/>
            <w:tcBorders>
              <w:bottom w:val="single" w:sz="8" w:color="DCE2EF"/>
            </w:tcBorders>
            <w:shd w:val="clear" w:color="auto" w:fill="DCE2EF"/>
          </w:tcPr>
          <w:p>
            <w:pPr>
              <w:spacing w:after="0"/>
              <w:rPr>
                <w:sz w:val="22"/>
                <w:szCs w:val="22"/>
                <w:color w:val="auto"/>
              </w:rPr>
            </w:pPr>
          </w:p>
        </w:tc>
        <w:tc>
          <w:tcPr>
            <w:tcW w:w="6460" w:type="dxa"/>
            <w:vAlign w:val="bottom"/>
            <w:tcBorders>
              <w:bottom w:val="single" w:sz="8" w:color="DCE2EF"/>
            </w:tcBorders>
            <w:gridSpan w:val="2"/>
            <w:shd w:val="clear" w:color="auto" w:fill="DCE2EF"/>
          </w:tcPr>
          <w:p>
            <w:pPr>
              <w:ind w:left="140"/>
              <w:spacing w:after="0"/>
              <w:rPr>
                <w:sz w:val="20"/>
                <w:szCs w:val="20"/>
                <w:color w:val="auto"/>
              </w:rPr>
            </w:pPr>
            <w:r>
              <w:rPr>
                <w:rFonts w:ascii="Arial" w:cs="Arial" w:eastAsia="Arial" w:hAnsi="Arial"/>
                <w:sz w:val="18"/>
                <w:szCs w:val="18"/>
                <w:color w:val="auto"/>
                <w:shd w:val="clear" w:color="auto" w:fill="DCE2EF"/>
              </w:rPr>
              <w:t>Deferred and other compensation</w:t>
            </w:r>
          </w:p>
        </w:tc>
        <w:tc>
          <w:tcPr>
            <w:tcW w:w="560" w:type="dxa"/>
            <w:vAlign w:val="bottom"/>
            <w:tcBorders>
              <w:bottom w:val="single" w:sz="8" w:color="DCE2EF"/>
            </w:tcBorders>
            <w:shd w:val="clear" w:color="auto" w:fill="DCE2EF"/>
          </w:tcPr>
          <w:p>
            <w:pPr>
              <w:spacing w:after="0"/>
              <w:rPr>
                <w:sz w:val="22"/>
                <w:szCs w:val="22"/>
                <w:color w:val="auto"/>
              </w:rPr>
            </w:pPr>
          </w:p>
        </w:tc>
        <w:tc>
          <w:tcPr>
            <w:tcW w:w="1840" w:type="dxa"/>
            <w:vAlign w:val="bottom"/>
            <w:tcBorders>
              <w:bottom w:val="single" w:sz="8" w:color="DCE2EF"/>
            </w:tcBorders>
            <w:shd w:val="clear" w:color="auto" w:fill="DCE2EF"/>
          </w:tcPr>
          <w:p>
            <w:pPr>
              <w:jc w:val="right"/>
              <w:ind w:right="10"/>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DCE2EF"/>
            </w:tcBorders>
            <w:shd w:val="clear" w:color="auto" w:fill="DCE2EF"/>
          </w:tcPr>
          <w:p>
            <w:pPr>
              <w:spacing w:after="0"/>
              <w:rPr>
                <w:sz w:val="22"/>
                <w:szCs w:val="22"/>
                <w:color w:val="auto"/>
              </w:rPr>
            </w:pPr>
          </w:p>
        </w:tc>
        <w:tc>
          <w:tcPr>
            <w:tcW w:w="840" w:type="dxa"/>
            <w:vAlign w:val="bottom"/>
            <w:tcBorders>
              <w:bottom w:val="single" w:sz="8" w:color="DCE2EF"/>
            </w:tcBorders>
            <w:shd w:val="clear" w:color="auto" w:fill="DCE2EF"/>
          </w:tcPr>
          <w:p>
            <w:pPr>
              <w:spacing w:after="0"/>
              <w:rPr>
                <w:sz w:val="22"/>
                <w:szCs w:val="22"/>
                <w:color w:val="auto"/>
              </w:rPr>
            </w:pPr>
          </w:p>
        </w:tc>
        <w:tc>
          <w:tcPr>
            <w:tcW w:w="1560" w:type="dxa"/>
            <w:vAlign w:val="bottom"/>
            <w:tcBorders>
              <w:bottom w:val="single" w:sz="8" w:color="DCE2EF"/>
            </w:tcBorders>
            <w:shd w:val="clear" w:color="auto" w:fill="DCE2EF"/>
          </w:tcPr>
          <w:p>
            <w:pPr>
              <w:jc w:val="right"/>
              <w:ind w:right="10"/>
              <w:spacing w:after="0"/>
              <w:rPr>
                <w:sz w:val="20"/>
                <w:szCs w:val="20"/>
                <w:color w:val="auto"/>
              </w:rPr>
            </w:pPr>
            <w:r>
              <w:rPr>
                <w:rFonts w:ascii="Arial" w:cs="Arial" w:eastAsia="Arial" w:hAnsi="Arial"/>
                <w:sz w:val="18"/>
                <w:szCs w:val="18"/>
                <w:color w:val="auto"/>
              </w:rPr>
              <w:t>22.7</w:t>
            </w:r>
          </w:p>
        </w:tc>
      </w:tr>
      <w:tr>
        <w:trPr>
          <w:trHeight w:val="265"/>
        </w:trPr>
        <w:tc>
          <w:tcPr>
            <w:tcW w:w="40" w:type="dxa"/>
            <w:vAlign w:val="bottom"/>
          </w:tcPr>
          <w:p>
            <w:pPr>
              <w:spacing w:after="0"/>
              <w:rPr>
                <w:sz w:val="23"/>
                <w:szCs w:val="23"/>
                <w:color w:val="auto"/>
              </w:rPr>
            </w:pPr>
          </w:p>
        </w:tc>
        <w:tc>
          <w:tcPr>
            <w:tcW w:w="6460" w:type="dxa"/>
            <w:vAlign w:val="bottom"/>
            <w:gridSpan w:val="2"/>
          </w:tcPr>
          <w:p>
            <w:pPr>
              <w:ind w:left="140"/>
              <w:spacing w:after="0"/>
              <w:rPr>
                <w:sz w:val="20"/>
                <w:szCs w:val="20"/>
                <w:color w:val="auto"/>
              </w:rPr>
            </w:pPr>
            <w:r>
              <w:rPr>
                <w:rFonts w:ascii="Arial" w:cs="Arial" w:eastAsia="Arial" w:hAnsi="Arial"/>
                <w:sz w:val="18"/>
                <w:szCs w:val="18"/>
                <w:color w:val="auto"/>
              </w:rPr>
              <w:t>Accounts receivable allowances</w:t>
            </w:r>
          </w:p>
        </w:tc>
        <w:tc>
          <w:tcPr>
            <w:tcW w:w="56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6.5</w:t>
            </w:r>
          </w:p>
        </w:tc>
      </w:tr>
      <w:tr>
        <w:trPr>
          <w:trHeight w:val="275"/>
        </w:trPr>
        <w:tc>
          <w:tcPr>
            <w:tcW w:w="40" w:type="dxa"/>
            <w:vAlign w:val="bottom"/>
            <w:shd w:val="clear" w:color="auto" w:fill="DCE2EF"/>
          </w:tcPr>
          <w:p>
            <w:pPr>
              <w:spacing w:after="0"/>
              <w:rPr>
                <w:sz w:val="23"/>
                <w:szCs w:val="23"/>
                <w:color w:val="auto"/>
              </w:rPr>
            </w:pPr>
          </w:p>
        </w:tc>
        <w:tc>
          <w:tcPr>
            <w:tcW w:w="6460" w:type="dxa"/>
            <w:vAlign w:val="bottom"/>
            <w:gridSpan w:val="2"/>
            <w:shd w:val="clear" w:color="auto" w:fill="DCE2EF"/>
          </w:tcPr>
          <w:p>
            <w:pPr>
              <w:ind w:left="140"/>
              <w:spacing w:after="0"/>
              <w:rPr>
                <w:sz w:val="20"/>
                <w:szCs w:val="20"/>
                <w:color w:val="auto"/>
              </w:rPr>
            </w:pPr>
            <w:r>
              <w:rPr>
                <w:rFonts w:ascii="Arial" w:cs="Arial" w:eastAsia="Arial" w:hAnsi="Arial"/>
                <w:sz w:val="18"/>
                <w:szCs w:val="18"/>
                <w:color w:val="auto"/>
              </w:rPr>
              <w:t>Settlement liabilities</w:t>
            </w:r>
          </w:p>
        </w:tc>
        <w:tc>
          <w:tcPr>
            <w:tcW w:w="560" w:type="dxa"/>
            <w:vAlign w:val="bottom"/>
            <w:shd w:val="clear" w:color="auto" w:fill="DCE2EF"/>
          </w:tcPr>
          <w:p>
            <w:pPr>
              <w:spacing w:after="0"/>
              <w:rPr>
                <w:sz w:val="23"/>
                <w:szCs w:val="23"/>
                <w:color w:val="auto"/>
              </w:rPr>
            </w:pPr>
          </w:p>
        </w:tc>
        <w:tc>
          <w:tcPr>
            <w:tcW w:w="18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DCE2EF"/>
          </w:tcPr>
          <w:p>
            <w:pPr>
              <w:spacing w:after="0"/>
              <w:rPr>
                <w:sz w:val="23"/>
                <w:szCs w:val="23"/>
                <w:color w:val="auto"/>
              </w:rPr>
            </w:pPr>
          </w:p>
        </w:tc>
        <w:tc>
          <w:tcPr>
            <w:tcW w:w="840" w:type="dxa"/>
            <w:vAlign w:val="bottom"/>
            <w:shd w:val="clear" w:color="auto" w:fill="DCE2EF"/>
          </w:tcPr>
          <w:p>
            <w:pPr>
              <w:spacing w:after="0"/>
              <w:rPr>
                <w:sz w:val="23"/>
                <w:szCs w:val="23"/>
                <w:color w:val="auto"/>
              </w:rPr>
            </w:pPr>
          </w:p>
        </w:tc>
        <w:tc>
          <w:tcPr>
            <w:tcW w:w="15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3.3</w:t>
            </w:r>
          </w:p>
        </w:tc>
      </w:tr>
      <w:tr>
        <w:trPr>
          <w:trHeight w:val="265"/>
        </w:trPr>
        <w:tc>
          <w:tcPr>
            <w:tcW w:w="40" w:type="dxa"/>
            <w:vAlign w:val="bottom"/>
          </w:tcPr>
          <w:p>
            <w:pPr>
              <w:spacing w:after="0"/>
              <w:rPr>
                <w:sz w:val="23"/>
                <w:szCs w:val="23"/>
                <w:color w:val="auto"/>
              </w:rPr>
            </w:pPr>
          </w:p>
        </w:tc>
        <w:tc>
          <w:tcPr>
            <w:tcW w:w="6460" w:type="dxa"/>
            <w:vAlign w:val="bottom"/>
            <w:gridSpan w:val="2"/>
          </w:tcPr>
          <w:p>
            <w:pPr>
              <w:ind w:left="140"/>
              <w:spacing w:after="0"/>
              <w:rPr>
                <w:sz w:val="20"/>
                <w:szCs w:val="20"/>
                <w:color w:val="auto"/>
              </w:rPr>
            </w:pPr>
            <w:r>
              <w:rPr>
                <w:rFonts w:ascii="Arial" w:cs="Arial" w:eastAsia="Arial" w:hAnsi="Arial"/>
                <w:sz w:val="18"/>
                <w:szCs w:val="18"/>
                <w:color w:val="auto"/>
              </w:rPr>
              <w:t>Other accruals</w:t>
            </w:r>
          </w:p>
        </w:tc>
        <w:tc>
          <w:tcPr>
            <w:tcW w:w="56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5"/>
        </w:trPr>
        <w:tc>
          <w:tcPr>
            <w:tcW w:w="40" w:type="dxa"/>
            <w:vAlign w:val="bottom"/>
            <w:shd w:val="clear" w:color="auto" w:fill="DCE2EF"/>
          </w:tcPr>
          <w:p>
            <w:pPr>
              <w:spacing w:after="0"/>
              <w:rPr>
                <w:sz w:val="23"/>
                <w:szCs w:val="23"/>
                <w:color w:val="auto"/>
              </w:rPr>
            </w:pPr>
          </w:p>
        </w:tc>
        <w:tc>
          <w:tcPr>
            <w:tcW w:w="6460" w:type="dxa"/>
            <w:vAlign w:val="bottom"/>
            <w:gridSpan w:val="2"/>
            <w:shd w:val="clear" w:color="auto" w:fill="DCE2EF"/>
          </w:tcPr>
          <w:p>
            <w:pPr>
              <w:ind w:left="140"/>
              <w:spacing w:after="0"/>
              <w:rPr>
                <w:sz w:val="20"/>
                <w:szCs w:val="20"/>
                <w:color w:val="auto"/>
              </w:rPr>
            </w:pPr>
            <w:r>
              <w:rPr>
                <w:rFonts w:ascii="Arial" w:cs="Arial" w:eastAsia="Arial" w:hAnsi="Arial"/>
                <w:sz w:val="18"/>
                <w:szCs w:val="18"/>
                <w:color w:val="auto"/>
              </w:rPr>
              <w:t>Other comprehensive income</w:t>
            </w:r>
          </w:p>
        </w:tc>
        <w:tc>
          <w:tcPr>
            <w:tcW w:w="560" w:type="dxa"/>
            <w:vAlign w:val="bottom"/>
            <w:shd w:val="clear" w:color="auto" w:fill="DCE2EF"/>
          </w:tcPr>
          <w:p>
            <w:pPr>
              <w:spacing w:after="0"/>
              <w:rPr>
                <w:sz w:val="23"/>
                <w:szCs w:val="23"/>
                <w:color w:val="auto"/>
              </w:rPr>
            </w:pPr>
          </w:p>
        </w:tc>
        <w:tc>
          <w:tcPr>
            <w:tcW w:w="18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DCE2EF"/>
          </w:tcPr>
          <w:p>
            <w:pPr>
              <w:spacing w:after="0"/>
              <w:rPr>
                <w:sz w:val="23"/>
                <w:szCs w:val="23"/>
                <w:color w:val="auto"/>
              </w:rPr>
            </w:pPr>
          </w:p>
        </w:tc>
        <w:tc>
          <w:tcPr>
            <w:tcW w:w="840" w:type="dxa"/>
            <w:vAlign w:val="bottom"/>
            <w:shd w:val="clear" w:color="auto" w:fill="DCE2EF"/>
          </w:tcPr>
          <w:p>
            <w:pPr>
              <w:spacing w:after="0"/>
              <w:rPr>
                <w:sz w:val="23"/>
                <w:szCs w:val="23"/>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(5.7)</w:t>
            </w:r>
          </w:p>
        </w:tc>
      </w:tr>
      <w:tr>
        <w:trPr>
          <w:trHeight w:val="265"/>
        </w:trPr>
        <w:tc>
          <w:tcPr>
            <w:tcW w:w="40" w:type="dxa"/>
            <w:vAlign w:val="bottom"/>
          </w:tcPr>
          <w:p>
            <w:pPr>
              <w:spacing w:after="0"/>
              <w:rPr>
                <w:sz w:val="23"/>
                <w:szCs w:val="23"/>
                <w:color w:val="auto"/>
              </w:rPr>
            </w:pPr>
          </w:p>
        </w:tc>
        <w:tc>
          <w:tcPr>
            <w:tcW w:w="6460" w:type="dxa"/>
            <w:vAlign w:val="bottom"/>
            <w:gridSpan w:val="2"/>
          </w:tcPr>
          <w:p>
            <w:pPr>
              <w:ind w:left="140"/>
              <w:spacing w:after="0"/>
              <w:rPr>
                <w:sz w:val="20"/>
                <w:szCs w:val="20"/>
                <w:color w:val="auto"/>
              </w:rPr>
            </w:pPr>
            <w:r>
              <w:rPr>
                <w:rFonts w:ascii="Arial" w:cs="Arial" w:eastAsia="Arial" w:hAnsi="Arial"/>
                <w:sz w:val="18"/>
                <w:szCs w:val="18"/>
                <w:color w:val="auto"/>
              </w:rPr>
              <w:t>State taxes</w:t>
            </w:r>
          </w:p>
        </w:tc>
        <w:tc>
          <w:tcPr>
            <w:tcW w:w="56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0.5</w:t>
            </w:r>
          </w:p>
        </w:tc>
      </w:tr>
      <w:tr>
        <w:trPr>
          <w:trHeight w:val="275"/>
        </w:trPr>
        <w:tc>
          <w:tcPr>
            <w:tcW w:w="40" w:type="dxa"/>
            <w:vAlign w:val="bottom"/>
            <w:shd w:val="clear" w:color="auto" w:fill="DCE2EF"/>
          </w:tcPr>
          <w:p>
            <w:pPr>
              <w:spacing w:after="0"/>
              <w:rPr>
                <w:sz w:val="23"/>
                <w:szCs w:val="23"/>
                <w:color w:val="auto"/>
              </w:rPr>
            </w:pPr>
          </w:p>
        </w:tc>
        <w:tc>
          <w:tcPr>
            <w:tcW w:w="6460" w:type="dxa"/>
            <w:vAlign w:val="bottom"/>
            <w:gridSpan w:val="2"/>
            <w:shd w:val="clear" w:color="auto" w:fill="DCE2EF"/>
          </w:tcPr>
          <w:p>
            <w:pPr>
              <w:ind w:left="140"/>
              <w:spacing w:after="0"/>
              <w:rPr>
                <w:sz w:val="20"/>
                <w:szCs w:val="20"/>
                <w:color w:val="auto"/>
              </w:rPr>
            </w:pPr>
            <w:r>
              <w:rPr>
                <w:rFonts w:ascii="Arial" w:cs="Arial" w:eastAsia="Arial" w:hAnsi="Arial"/>
                <w:sz w:val="18"/>
                <w:szCs w:val="18"/>
                <w:color w:val="auto"/>
              </w:rPr>
              <w:t>State net operating loss carryforwards</w:t>
            </w:r>
          </w:p>
        </w:tc>
        <w:tc>
          <w:tcPr>
            <w:tcW w:w="560" w:type="dxa"/>
            <w:vAlign w:val="bottom"/>
            <w:shd w:val="clear" w:color="auto" w:fill="DCE2EF"/>
          </w:tcPr>
          <w:p>
            <w:pPr>
              <w:spacing w:after="0"/>
              <w:rPr>
                <w:sz w:val="23"/>
                <w:szCs w:val="23"/>
                <w:color w:val="auto"/>
              </w:rPr>
            </w:pPr>
          </w:p>
        </w:tc>
        <w:tc>
          <w:tcPr>
            <w:tcW w:w="18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DCE2EF"/>
          </w:tcPr>
          <w:p>
            <w:pPr>
              <w:spacing w:after="0"/>
              <w:rPr>
                <w:sz w:val="23"/>
                <w:szCs w:val="23"/>
                <w:color w:val="auto"/>
              </w:rPr>
            </w:pPr>
          </w:p>
        </w:tc>
        <w:tc>
          <w:tcPr>
            <w:tcW w:w="840" w:type="dxa"/>
            <w:vAlign w:val="bottom"/>
            <w:shd w:val="clear" w:color="auto" w:fill="DCE2EF"/>
          </w:tcPr>
          <w:p>
            <w:pPr>
              <w:spacing w:after="0"/>
              <w:rPr>
                <w:sz w:val="23"/>
                <w:szCs w:val="23"/>
                <w:color w:val="auto"/>
              </w:rPr>
            </w:pPr>
          </w:p>
        </w:tc>
        <w:tc>
          <w:tcPr>
            <w:tcW w:w="15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15.9</w:t>
            </w:r>
          </w:p>
        </w:tc>
      </w:tr>
      <w:tr>
        <w:trPr>
          <w:trHeight w:val="265"/>
        </w:trPr>
        <w:tc>
          <w:tcPr>
            <w:tcW w:w="40" w:type="dxa"/>
            <w:vAlign w:val="bottom"/>
          </w:tcPr>
          <w:p>
            <w:pPr>
              <w:spacing w:after="0"/>
              <w:rPr>
                <w:sz w:val="23"/>
                <w:szCs w:val="23"/>
                <w:color w:val="auto"/>
              </w:rPr>
            </w:pPr>
          </w:p>
        </w:tc>
        <w:tc>
          <w:tcPr>
            <w:tcW w:w="6460" w:type="dxa"/>
            <w:vAlign w:val="bottom"/>
            <w:gridSpan w:val="2"/>
          </w:tcPr>
          <w:p>
            <w:pPr>
              <w:ind w:left="140"/>
              <w:spacing w:after="0"/>
              <w:rPr>
                <w:sz w:val="20"/>
                <w:szCs w:val="20"/>
                <w:color w:val="auto"/>
              </w:rPr>
            </w:pPr>
            <w:r>
              <w:rPr>
                <w:rFonts w:ascii="Arial" w:cs="Arial" w:eastAsia="Arial" w:hAnsi="Arial"/>
                <w:sz w:val="18"/>
                <w:szCs w:val="18"/>
                <w:color w:val="auto"/>
              </w:rPr>
              <w:t>Federal net operating loss carryforwards</w:t>
            </w:r>
          </w:p>
        </w:tc>
        <w:tc>
          <w:tcPr>
            <w:tcW w:w="560" w:type="dxa"/>
            <w:vAlign w:val="bottom"/>
          </w:tcPr>
          <w:p>
            <w:pPr>
              <w:spacing w:after="0"/>
              <w:rPr>
                <w:sz w:val="23"/>
                <w:szCs w:val="23"/>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75"/>
        </w:trPr>
        <w:tc>
          <w:tcPr>
            <w:tcW w:w="40" w:type="dxa"/>
            <w:vAlign w:val="bottom"/>
            <w:shd w:val="clear" w:color="auto" w:fill="DCE2EF"/>
          </w:tcPr>
          <w:p>
            <w:pPr>
              <w:spacing w:after="0"/>
              <w:rPr>
                <w:sz w:val="23"/>
                <w:szCs w:val="23"/>
                <w:color w:val="auto"/>
              </w:rPr>
            </w:pPr>
          </w:p>
        </w:tc>
        <w:tc>
          <w:tcPr>
            <w:tcW w:w="6460" w:type="dxa"/>
            <w:vAlign w:val="bottom"/>
            <w:gridSpan w:val="2"/>
            <w:shd w:val="clear" w:color="auto" w:fill="DCE2EF"/>
          </w:tcPr>
          <w:p>
            <w:pPr>
              <w:ind w:left="140"/>
              <w:spacing w:after="0"/>
              <w:rPr>
                <w:sz w:val="20"/>
                <w:szCs w:val="20"/>
                <w:color w:val="auto"/>
              </w:rPr>
            </w:pPr>
            <w:r>
              <w:rPr>
                <w:rFonts w:ascii="Arial" w:cs="Arial" w:eastAsia="Arial" w:hAnsi="Arial"/>
                <w:sz w:val="18"/>
                <w:szCs w:val="18"/>
                <w:color w:val="auto"/>
              </w:rPr>
              <w:t>Tax credits</w:t>
            </w:r>
          </w:p>
        </w:tc>
        <w:tc>
          <w:tcPr>
            <w:tcW w:w="560" w:type="dxa"/>
            <w:vAlign w:val="bottom"/>
            <w:shd w:val="clear" w:color="auto" w:fill="DCE2EF"/>
          </w:tcPr>
          <w:p>
            <w:pPr>
              <w:spacing w:after="0"/>
              <w:rPr>
                <w:sz w:val="23"/>
                <w:szCs w:val="23"/>
                <w:color w:val="auto"/>
              </w:rPr>
            </w:pPr>
          </w:p>
        </w:tc>
        <w:tc>
          <w:tcPr>
            <w:tcW w:w="18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DCE2EF"/>
          </w:tcPr>
          <w:p>
            <w:pPr>
              <w:spacing w:after="0"/>
              <w:rPr>
                <w:sz w:val="23"/>
                <w:szCs w:val="23"/>
                <w:color w:val="auto"/>
              </w:rPr>
            </w:pPr>
          </w:p>
        </w:tc>
        <w:tc>
          <w:tcPr>
            <w:tcW w:w="840" w:type="dxa"/>
            <w:vAlign w:val="bottom"/>
            <w:shd w:val="clear" w:color="auto" w:fill="DCE2EF"/>
          </w:tcPr>
          <w:p>
            <w:pPr>
              <w:spacing w:after="0"/>
              <w:rPr>
                <w:sz w:val="23"/>
                <w:szCs w:val="23"/>
                <w:color w:val="auto"/>
              </w:rPr>
            </w:pPr>
          </w:p>
        </w:tc>
        <w:tc>
          <w:tcPr>
            <w:tcW w:w="15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21.7</w:t>
            </w:r>
          </w:p>
        </w:tc>
      </w:tr>
      <w:tr>
        <w:trPr>
          <w:trHeight w:val="265"/>
        </w:trPr>
        <w:tc>
          <w:tcPr>
            <w:tcW w:w="40" w:type="dxa"/>
            <w:vAlign w:val="bottom"/>
          </w:tcPr>
          <w:p>
            <w:pPr>
              <w:spacing w:after="0"/>
              <w:rPr>
                <w:sz w:val="23"/>
                <w:szCs w:val="23"/>
                <w:color w:val="auto"/>
              </w:rPr>
            </w:pPr>
          </w:p>
        </w:tc>
        <w:tc>
          <w:tcPr>
            <w:tcW w:w="6460" w:type="dxa"/>
            <w:vAlign w:val="bottom"/>
            <w:gridSpan w:val="2"/>
          </w:tcPr>
          <w:p>
            <w:pPr>
              <w:ind w:left="140"/>
              <w:spacing w:after="0"/>
              <w:rPr>
                <w:sz w:val="20"/>
                <w:szCs w:val="20"/>
                <w:color w:val="auto"/>
              </w:rPr>
            </w:pPr>
            <w:r>
              <w:rPr>
                <w:rFonts w:ascii="Arial" w:cs="Arial" w:eastAsia="Arial" w:hAnsi="Arial"/>
                <w:sz w:val="18"/>
                <w:szCs w:val="18"/>
                <w:color w:val="auto"/>
              </w:rPr>
              <w:t>Unrecognized tax benefits</w:t>
            </w:r>
          </w:p>
        </w:tc>
        <w:tc>
          <w:tcPr>
            <w:tcW w:w="56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5"/>
        </w:trPr>
        <w:tc>
          <w:tcPr>
            <w:tcW w:w="40" w:type="dxa"/>
            <w:vAlign w:val="bottom"/>
            <w:shd w:val="clear" w:color="auto" w:fill="DCE2EF"/>
          </w:tcPr>
          <w:p>
            <w:pPr>
              <w:spacing w:after="0"/>
              <w:rPr>
                <w:sz w:val="23"/>
                <w:szCs w:val="23"/>
                <w:color w:val="auto"/>
              </w:rPr>
            </w:pPr>
          </w:p>
        </w:tc>
        <w:tc>
          <w:tcPr>
            <w:tcW w:w="6460" w:type="dxa"/>
            <w:vAlign w:val="bottom"/>
            <w:gridSpan w:val="2"/>
            <w:shd w:val="clear" w:color="auto" w:fill="DCE2EF"/>
          </w:tcPr>
          <w:p>
            <w:pPr>
              <w:ind w:left="140"/>
              <w:spacing w:after="0"/>
              <w:rPr>
                <w:sz w:val="20"/>
                <w:szCs w:val="20"/>
                <w:color w:val="auto"/>
              </w:rPr>
            </w:pPr>
            <w:r>
              <w:rPr>
                <w:rFonts w:ascii="Arial" w:cs="Arial" w:eastAsia="Arial" w:hAnsi="Arial"/>
                <w:sz w:val="18"/>
                <w:szCs w:val="18"/>
                <w:color w:val="auto"/>
              </w:rPr>
              <w:t>Other</w:t>
            </w:r>
          </w:p>
        </w:tc>
        <w:tc>
          <w:tcPr>
            <w:tcW w:w="560" w:type="dxa"/>
            <w:vAlign w:val="bottom"/>
            <w:shd w:val="clear" w:color="auto" w:fill="DCE2EF"/>
          </w:tcPr>
          <w:p>
            <w:pPr>
              <w:spacing w:after="0"/>
              <w:rPr>
                <w:sz w:val="23"/>
                <w:szCs w:val="23"/>
                <w:color w:val="auto"/>
              </w:rPr>
            </w:pPr>
          </w:p>
        </w:tc>
        <w:tc>
          <w:tcPr>
            <w:tcW w:w="1960" w:type="dxa"/>
            <w:vAlign w:val="bottom"/>
            <w:gridSpan w:val="2"/>
            <w:shd w:val="clear" w:color="auto" w:fill="DCE2E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DCE2EF"/>
          </w:tcPr>
          <w:p>
            <w:pPr>
              <w:spacing w:after="0"/>
              <w:rPr>
                <w:sz w:val="23"/>
                <w:szCs w:val="23"/>
                <w:color w:val="auto"/>
              </w:rPr>
            </w:pPr>
          </w:p>
        </w:tc>
        <w:tc>
          <w:tcPr>
            <w:tcW w:w="15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1.7</w:t>
            </w:r>
          </w:p>
        </w:tc>
      </w:tr>
      <w:tr>
        <w:trPr>
          <w:trHeight w:val="249"/>
        </w:trPr>
        <w:tc>
          <w:tcPr>
            <w:tcW w:w="6500" w:type="dxa"/>
            <w:vAlign w:val="bottom"/>
            <w:gridSpan w:val="3"/>
          </w:tcPr>
          <w:p>
            <w:pPr>
              <w:ind w:left="40"/>
              <w:spacing w:after="0"/>
              <w:rPr>
                <w:sz w:val="20"/>
                <w:szCs w:val="20"/>
                <w:color w:val="auto"/>
              </w:rPr>
            </w:pPr>
            <w:r>
              <w:rPr>
                <w:rFonts w:ascii="Arial" w:cs="Arial" w:eastAsia="Arial" w:hAnsi="Arial"/>
                <w:sz w:val="18"/>
                <w:szCs w:val="18"/>
                <w:b w:val="1"/>
                <w:bCs w:val="1"/>
                <w:color w:val="auto"/>
              </w:rPr>
              <w:t>Gross deferred tax assets</w:t>
            </w:r>
          </w:p>
        </w:tc>
        <w:tc>
          <w:tcPr>
            <w:tcW w:w="560" w:type="dxa"/>
            <w:vAlign w:val="bottom"/>
            <w:tcBorders>
              <w:top w:val="single" w:sz="8" w:color="auto"/>
            </w:tcBorders>
          </w:tcPr>
          <w:p>
            <w:pPr>
              <w:spacing w:after="0"/>
              <w:rPr>
                <w:sz w:val="21"/>
                <w:szCs w:val="21"/>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141.2</w:t>
            </w:r>
          </w:p>
        </w:tc>
        <w:tc>
          <w:tcPr>
            <w:tcW w:w="12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157.6</w:t>
            </w:r>
          </w:p>
        </w:tc>
      </w:tr>
      <w:tr>
        <w:trPr>
          <w:trHeight w:val="271"/>
        </w:trPr>
        <w:tc>
          <w:tcPr>
            <w:tcW w:w="6500" w:type="dxa"/>
            <w:vAlign w:val="bottom"/>
            <w:gridSpan w:val="3"/>
            <w:shd w:val="clear" w:color="auto" w:fill="DCE2EF"/>
          </w:tcPr>
          <w:p>
            <w:pPr>
              <w:ind w:left="40"/>
              <w:spacing w:after="0"/>
              <w:rPr>
                <w:sz w:val="20"/>
                <w:szCs w:val="20"/>
                <w:color w:val="auto"/>
              </w:rPr>
            </w:pPr>
            <w:r>
              <w:rPr>
                <w:rFonts w:ascii="Arial" w:cs="Arial" w:eastAsia="Arial" w:hAnsi="Arial"/>
                <w:sz w:val="18"/>
                <w:szCs w:val="18"/>
                <w:b w:val="1"/>
                <w:bCs w:val="1"/>
                <w:color w:val="auto"/>
              </w:rPr>
              <w:t>Valuation allowance</w:t>
            </w:r>
          </w:p>
        </w:tc>
        <w:tc>
          <w:tcPr>
            <w:tcW w:w="560" w:type="dxa"/>
            <w:vAlign w:val="bottom"/>
            <w:tcBorders>
              <w:bottom w:val="single" w:sz="8" w:color="auto"/>
            </w:tcBorders>
            <w:shd w:val="clear" w:color="auto" w:fill="DCE2EF"/>
          </w:tcPr>
          <w:p>
            <w:pPr>
              <w:spacing w:after="0"/>
              <w:rPr>
                <w:sz w:val="23"/>
                <w:szCs w:val="23"/>
                <w:color w:val="auto"/>
              </w:rPr>
            </w:pPr>
          </w:p>
        </w:tc>
        <w:tc>
          <w:tcPr>
            <w:tcW w:w="18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DCE2EF"/>
          </w:tcPr>
          <w:p>
            <w:pPr>
              <w:spacing w:after="0"/>
              <w:rPr>
                <w:sz w:val="23"/>
                <w:szCs w:val="23"/>
                <w:color w:val="auto"/>
              </w:rPr>
            </w:pPr>
          </w:p>
        </w:tc>
        <w:tc>
          <w:tcPr>
            <w:tcW w:w="840" w:type="dxa"/>
            <w:vAlign w:val="bottom"/>
            <w:tcBorders>
              <w:bottom w:val="single" w:sz="8" w:color="auto"/>
            </w:tcBorders>
            <w:shd w:val="clear" w:color="auto" w:fill="DCE2EF"/>
          </w:tcPr>
          <w:p>
            <w:pPr>
              <w:spacing w:after="0"/>
              <w:rPr>
                <w:sz w:val="23"/>
                <w:szCs w:val="23"/>
                <w:color w:val="auto"/>
              </w:rPr>
            </w:pPr>
          </w:p>
        </w:tc>
        <w:tc>
          <w:tcPr>
            <w:tcW w:w="1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(12.0)</w:t>
            </w:r>
          </w:p>
        </w:tc>
      </w:tr>
      <w:tr>
        <w:trPr>
          <w:trHeight w:val="249"/>
        </w:trPr>
        <w:tc>
          <w:tcPr>
            <w:tcW w:w="6500" w:type="dxa"/>
            <w:vAlign w:val="bottom"/>
            <w:tcBorders>
              <w:bottom w:val="single" w:sz="8" w:color="DCE2EF"/>
            </w:tcBorders>
            <w:gridSpan w:val="3"/>
          </w:tcPr>
          <w:p>
            <w:pPr>
              <w:ind w:left="40"/>
              <w:spacing w:after="0"/>
              <w:rPr>
                <w:sz w:val="20"/>
                <w:szCs w:val="20"/>
                <w:color w:val="auto"/>
              </w:rPr>
            </w:pPr>
            <w:r>
              <w:rPr>
                <w:rFonts w:ascii="Arial" w:cs="Arial" w:eastAsia="Arial" w:hAnsi="Arial"/>
                <w:sz w:val="18"/>
                <w:szCs w:val="18"/>
                <w:b w:val="1"/>
                <w:bCs w:val="1"/>
                <w:color w:val="auto"/>
              </w:rPr>
              <w:t>Total deferred tax assets</w:t>
            </w:r>
          </w:p>
        </w:tc>
        <w:tc>
          <w:tcPr>
            <w:tcW w:w="5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132.8</w:t>
            </w:r>
          </w:p>
        </w:tc>
        <w:tc>
          <w:tcPr>
            <w:tcW w:w="120" w:type="dxa"/>
            <w:vAlign w:val="bottom"/>
            <w:tcBorders>
              <w:bottom w:val="single" w:sz="8" w:color="DCE2EF"/>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145.7</w:t>
            </w:r>
          </w:p>
        </w:tc>
      </w:tr>
      <w:tr>
        <w:trPr>
          <w:trHeight w:val="291"/>
        </w:trPr>
        <w:tc>
          <w:tcPr>
            <w:tcW w:w="40" w:type="dxa"/>
            <w:vAlign w:val="bottom"/>
            <w:shd w:val="clear" w:color="auto" w:fill="DCE2EF"/>
          </w:tcPr>
          <w:p>
            <w:pPr>
              <w:spacing w:after="0"/>
              <w:rPr>
                <w:sz w:val="24"/>
                <w:szCs w:val="24"/>
                <w:color w:val="auto"/>
              </w:rPr>
            </w:pPr>
          </w:p>
        </w:tc>
        <w:tc>
          <w:tcPr>
            <w:tcW w:w="700" w:type="dxa"/>
            <w:vAlign w:val="bottom"/>
            <w:shd w:val="clear" w:color="auto" w:fill="DCE2EF"/>
          </w:tcPr>
          <w:p>
            <w:pPr>
              <w:spacing w:after="0"/>
              <w:rPr>
                <w:sz w:val="24"/>
                <w:szCs w:val="24"/>
                <w:color w:val="auto"/>
              </w:rPr>
            </w:pPr>
          </w:p>
        </w:tc>
        <w:tc>
          <w:tcPr>
            <w:tcW w:w="5760" w:type="dxa"/>
            <w:vAlign w:val="bottom"/>
            <w:shd w:val="clear" w:color="auto" w:fill="DCE2EF"/>
          </w:tcPr>
          <w:p>
            <w:pPr>
              <w:spacing w:after="0"/>
              <w:rPr>
                <w:sz w:val="24"/>
                <w:szCs w:val="24"/>
                <w:color w:val="auto"/>
              </w:rPr>
            </w:pPr>
          </w:p>
        </w:tc>
        <w:tc>
          <w:tcPr>
            <w:tcW w:w="560" w:type="dxa"/>
            <w:vAlign w:val="bottom"/>
            <w:shd w:val="clear" w:color="auto" w:fill="DCE2EF"/>
          </w:tcPr>
          <w:p>
            <w:pPr>
              <w:spacing w:after="0"/>
              <w:rPr>
                <w:sz w:val="24"/>
                <w:szCs w:val="24"/>
                <w:color w:val="auto"/>
              </w:rPr>
            </w:pPr>
          </w:p>
        </w:tc>
        <w:tc>
          <w:tcPr>
            <w:tcW w:w="184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840" w:type="dxa"/>
            <w:vAlign w:val="bottom"/>
            <w:shd w:val="clear" w:color="auto" w:fill="DCE2EF"/>
          </w:tcPr>
          <w:p>
            <w:pPr>
              <w:spacing w:after="0"/>
              <w:rPr>
                <w:sz w:val="24"/>
                <w:szCs w:val="24"/>
                <w:color w:val="auto"/>
              </w:rPr>
            </w:pPr>
          </w:p>
        </w:tc>
        <w:tc>
          <w:tcPr>
            <w:tcW w:w="1560" w:type="dxa"/>
            <w:vAlign w:val="bottom"/>
            <w:shd w:val="clear" w:color="auto" w:fill="DCE2EF"/>
          </w:tcPr>
          <w:p>
            <w:pPr>
              <w:spacing w:after="0"/>
              <w:rPr>
                <w:sz w:val="24"/>
                <w:szCs w:val="24"/>
                <w:color w:val="auto"/>
              </w:rPr>
            </w:pPr>
          </w:p>
        </w:tc>
      </w:tr>
      <w:tr>
        <w:trPr>
          <w:trHeight w:val="269"/>
        </w:trPr>
        <w:tc>
          <w:tcPr>
            <w:tcW w:w="650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Deferred tax liabilities attributable to:</w:t>
            </w:r>
          </w:p>
        </w:tc>
        <w:tc>
          <w:tcPr>
            <w:tcW w:w="56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1"/>
        </w:trPr>
        <w:tc>
          <w:tcPr>
            <w:tcW w:w="40" w:type="dxa"/>
            <w:vAlign w:val="bottom"/>
            <w:shd w:val="clear" w:color="auto" w:fill="DCE2EF"/>
          </w:tcPr>
          <w:p>
            <w:pPr>
              <w:spacing w:after="0"/>
              <w:rPr>
                <w:sz w:val="23"/>
                <w:szCs w:val="23"/>
                <w:color w:val="auto"/>
              </w:rPr>
            </w:pPr>
          </w:p>
        </w:tc>
        <w:tc>
          <w:tcPr>
            <w:tcW w:w="6460" w:type="dxa"/>
            <w:vAlign w:val="bottom"/>
            <w:gridSpan w:val="2"/>
            <w:shd w:val="clear" w:color="auto" w:fill="DCE2EF"/>
          </w:tcPr>
          <w:p>
            <w:pPr>
              <w:ind w:left="140"/>
              <w:spacing w:after="0"/>
              <w:rPr>
                <w:sz w:val="20"/>
                <w:szCs w:val="20"/>
                <w:color w:val="auto"/>
              </w:rPr>
            </w:pPr>
            <w:r>
              <w:rPr>
                <w:rFonts w:ascii="Arial" w:cs="Arial" w:eastAsia="Arial" w:hAnsi="Arial"/>
                <w:sz w:val="18"/>
                <w:szCs w:val="18"/>
                <w:color w:val="auto"/>
              </w:rPr>
              <w:t>Property, plant and equipment</w:t>
            </w:r>
          </w:p>
        </w:tc>
        <w:tc>
          <w:tcPr>
            <w:tcW w:w="560" w:type="dxa"/>
            <w:vAlign w:val="bottom"/>
            <w:shd w:val="clear" w:color="auto" w:fill="DCE2EF"/>
          </w:tcPr>
          <w:p>
            <w:pPr>
              <w:spacing w:after="0"/>
              <w:rPr>
                <w:sz w:val="23"/>
                <w:szCs w:val="23"/>
                <w:color w:val="auto"/>
              </w:rPr>
            </w:pPr>
          </w:p>
        </w:tc>
        <w:tc>
          <w:tcPr>
            <w:tcW w:w="18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DCE2EF"/>
          </w:tcPr>
          <w:p>
            <w:pPr>
              <w:spacing w:after="0"/>
              <w:rPr>
                <w:sz w:val="23"/>
                <w:szCs w:val="23"/>
                <w:color w:val="auto"/>
              </w:rPr>
            </w:pPr>
          </w:p>
        </w:tc>
        <w:tc>
          <w:tcPr>
            <w:tcW w:w="840" w:type="dxa"/>
            <w:vAlign w:val="bottom"/>
            <w:shd w:val="clear" w:color="auto" w:fill="DCE2EF"/>
          </w:tcPr>
          <w:p>
            <w:pPr>
              <w:spacing w:after="0"/>
              <w:rPr>
                <w:sz w:val="23"/>
                <w:szCs w:val="23"/>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(4.2)</w:t>
            </w:r>
          </w:p>
        </w:tc>
      </w:tr>
      <w:tr>
        <w:trPr>
          <w:trHeight w:val="265"/>
        </w:trPr>
        <w:tc>
          <w:tcPr>
            <w:tcW w:w="40" w:type="dxa"/>
            <w:vAlign w:val="bottom"/>
          </w:tcPr>
          <w:p>
            <w:pPr>
              <w:spacing w:after="0"/>
              <w:rPr>
                <w:sz w:val="23"/>
                <w:szCs w:val="23"/>
                <w:color w:val="auto"/>
              </w:rPr>
            </w:pPr>
          </w:p>
        </w:tc>
        <w:tc>
          <w:tcPr>
            <w:tcW w:w="6460" w:type="dxa"/>
            <w:vAlign w:val="bottom"/>
            <w:gridSpan w:val="2"/>
          </w:tcPr>
          <w:p>
            <w:pPr>
              <w:ind w:left="140"/>
              <w:spacing w:after="0"/>
              <w:rPr>
                <w:sz w:val="20"/>
                <w:szCs w:val="20"/>
                <w:color w:val="auto"/>
              </w:rPr>
            </w:pPr>
            <w:r>
              <w:rPr>
                <w:rFonts w:ascii="Arial" w:cs="Arial" w:eastAsia="Arial" w:hAnsi="Arial"/>
                <w:sz w:val="18"/>
                <w:szCs w:val="18"/>
                <w:color w:val="auto"/>
              </w:rPr>
              <w:t>Goodwill and other acquired intangibles</w:t>
            </w:r>
          </w:p>
        </w:tc>
        <w:tc>
          <w:tcPr>
            <w:tcW w:w="56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(170.6)</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(179.2)</w:t>
            </w:r>
          </w:p>
        </w:tc>
      </w:tr>
      <w:tr>
        <w:trPr>
          <w:trHeight w:val="275"/>
        </w:trPr>
        <w:tc>
          <w:tcPr>
            <w:tcW w:w="40" w:type="dxa"/>
            <w:vAlign w:val="bottom"/>
            <w:shd w:val="clear" w:color="auto" w:fill="DCE2EF"/>
          </w:tcPr>
          <w:p>
            <w:pPr>
              <w:spacing w:after="0"/>
              <w:rPr>
                <w:sz w:val="23"/>
                <w:szCs w:val="23"/>
                <w:color w:val="auto"/>
              </w:rPr>
            </w:pPr>
          </w:p>
        </w:tc>
        <w:tc>
          <w:tcPr>
            <w:tcW w:w="6460" w:type="dxa"/>
            <w:vAlign w:val="bottom"/>
            <w:gridSpan w:val="2"/>
            <w:shd w:val="clear" w:color="auto" w:fill="DCE2EF"/>
          </w:tcPr>
          <w:p>
            <w:pPr>
              <w:ind w:left="140"/>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shd w:val="clear" w:color="auto" w:fill="DCE2EF"/>
          </w:tcPr>
          <w:p>
            <w:pPr>
              <w:spacing w:after="0"/>
              <w:rPr>
                <w:sz w:val="23"/>
                <w:szCs w:val="23"/>
                <w:color w:val="auto"/>
              </w:rPr>
            </w:pPr>
          </w:p>
        </w:tc>
        <w:tc>
          <w:tcPr>
            <w:tcW w:w="18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DCE2EF"/>
          </w:tcPr>
          <w:p>
            <w:pPr>
              <w:spacing w:after="0"/>
              <w:rPr>
                <w:sz w:val="23"/>
                <w:szCs w:val="23"/>
                <w:color w:val="auto"/>
              </w:rPr>
            </w:pPr>
          </w:p>
        </w:tc>
        <w:tc>
          <w:tcPr>
            <w:tcW w:w="840" w:type="dxa"/>
            <w:vAlign w:val="bottom"/>
            <w:tcBorders>
              <w:bottom w:val="single" w:sz="8" w:color="auto"/>
            </w:tcBorders>
            <w:shd w:val="clear" w:color="auto" w:fill="DCE2EF"/>
          </w:tcPr>
          <w:p>
            <w:pPr>
              <w:spacing w:after="0"/>
              <w:rPr>
                <w:sz w:val="23"/>
                <w:szCs w:val="23"/>
                <w:color w:val="auto"/>
              </w:rPr>
            </w:pPr>
          </w:p>
        </w:tc>
        <w:tc>
          <w:tcPr>
            <w:tcW w:w="156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w:t>
            </w:r>
          </w:p>
        </w:tc>
      </w:tr>
      <w:tr>
        <w:trPr>
          <w:trHeight w:val="249"/>
        </w:trPr>
        <w:tc>
          <w:tcPr>
            <w:tcW w:w="6500" w:type="dxa"/>
            <w:vAlign w:val="bottom"/>
            <w:tcBorders>
              <w:bottom w:val="single" w:sz="8" w:color="DCE2EF"/>
            </w:tcBorders>
            <w:gridSpan w:val="3"/>
          </w:tcPr>
          <w:p>
            <w:pPr>
              <w:ind w:left="40"/>
              <w:spacing w:after="0"/>
              <w:rPr>
                <w:sz w:val="20"/>
                <w:szCs w:val="20"/>
                <w:color w:val="auto"/>
              </w:rPr>
            </w:pPr>
            <w:r>
              <w:rPr>
                <w:rFonts w:ascii="Arial" w:cs="Arial" w:eastAsia="Arial" w:hAnsi="Arial"/>
                <w:sz w:val="18"/>
                <w:szCs w:val="18"/>
                <w:b w:val="1"/>
                <w:bCs w:val="1"/>
                <w:color w:val="auto"/>
              </w:rPr>
              <w:t>Total deferred tax liabilities</w:t>
            </w:r>
          </w:p>
        </w:tc>
        <w:tc>
          <w:tcPr>
            <w:tcW w:w="5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w:t>
            </w:r>
          </w:p>
        </w:tc>
        <w:tc>
          <w:tcPr>
            <w:tcW w:w="120" w:type="dxa"/>
            <w:vAlign w:val="bottom"/>
            <w:tcBorders>
              <w:bottom w:val="single" w:sz="8" w:color="DCE2EF"/>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(183.4)</w:t>
            </w:r>
          </w:p>
        </w:tc>
      </w:tr>
      <w:tr>
        <w:trPr>
          <w:trHeight w:val="291"/>
        </w:trPr>
        <w:tc>
          <w:tcPr>
            <w:tcW w:w="40" w:type="dxa"/>
            <w:vAlign w:val="bottom"/>
            <w:shd w:val="clear" w:color="auto" w:fill="DCE2EF"/>
          </w:tcPr>
          <w:p>
            <w:pPr>
              <w:spacing w:after="0"/>
              <w:rPr>
                <w:sz w:val="24"/>
                <w:szCs w:val="24"/>
                <w:color w:val="auto"/>
              </w:rPr>
            </w:pPr>
          </w:p>
        </w:tc>
        <w:tc>
          <w:tcPr>
            <w:tcW w:w="700" w:type="dxa"/>
            <w:vAlign w:val="bottom"/>
            <w:shd w:val="clear" w:color="auto" w:fill="DCE2EF"/>
          </w:tcPr>
          <w:p>
            <w:pPr>
              <w:spacing w:after="0"/>
              <w:rPr>
                <w:sz w:val="24"/>
                <w:szCs w:val="24"/>
                <w:color w:val="auto"/>
              </w:rPr>
            </w:pPr>
          </w:p>
        </w:tc>
        <w:tc>
          <w:tcPr>
            <w:tcW w:w="5760" w:type="dxa"/>
            <w:vAlign w:val="bottom"/>
            <w:shd w:val="clear" w:color="auto" w:fill="DCE2EF"/>
          </w:tcPr>
          <w:p>
            <w:pPr>
              <w:spacing w:after="0"/>
              <w:rPr>
                <w:sz w:val="24"/>
                <w:szCs w:val="24"/>
                <w:color w:val="auto"/>
              </w:rPr>
            </w:pPr>
          </w:p>
        </w:tc>
        <w:tc>
          <w:tcPr>
            <w:tcW w:w="560" w:type="dxa"/>
            <w:vAlign w:val="bottom"/>
            <w:tcBorders>
              <w:bottom w:val="single" w:sz="8" w:color="auto"/>
            </w:tcBorders>
            <w:shd w:val="clear" w:color="auto" w:fill="DCE2EF"/>
          </w:tcPr>
          <w:p>
            <w:pPr>
              <w:spacing w:after="0"/>
              <w:rPr>
                <w:sz w:val="24"/>
                <w:szCs w:val="24"/>
                <w:color w:val="auto"/>
              </w:rPr>
            </w:pPr>
          </w:p>
        </w:tc>
        <w:tc>
          <w:tcPr>
            <w:tcW w:w="1840" w:type="dxa"/>
            <w:vAlign w:val="bottom"/>
            <w:tcBorders>
              <w:bottom w:val="single" w:sz="8" w:color="auto"/>
            </w:tcBorders>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840" w:type="dxa"/>
            <w:vAlign w:val="bottom"/>
            <w:tcBorders>
              <w:bottom w:val="single" w:sz="8" w:color="auto"/>
            </w:tcBorders>
            <w:shd w:val="clear" w:color="auto" w:fill="DCE2EF"/>
          </w:tcPr>
          <w:p>
            <w:pPr>
              <w:spacing w:after="0"/>
              <w:rPr>
                <w:sz w:val="24"/>
                <w:szCs w:val="24"/>
                <w:color w:val="auto"/>
              </w:rPr>
            </w:pPr>
          </w:p>
        </w:tc>
        <w:tc>
          <w:tcPr>
            <w:tcW w:w="1560" w:type="dxa"/>
            <w:vAlign w:val="bottom"/>
            <w:tcBorders>
              <w:bottom w:val="single" w:sz="8" w:color="auto"/>
            </w:tcBorders>
            <w:shd w:val="clear" w:color="auto" w:fill="DCE2EF"/>
          </w:tcPr>
          <w:p>
            <w:pPr>
              <w:spacing w:after="0"/>
              <w:rPr>
                <w:sz w:val="24"/>
                <w:szCs w:val="24"/>
                <w:color w:val="auto"/>
              </w:rPr>
            </w:pPr>
          </w:p>
        </w:tc>
      </w:tr>
      <w:tr>
        <w:trPr>
          <w:trHeight w:val="250"/>
        </w:trPr>
        <w:tc>
          <w:tcPr>
            <w:tcW w:w="650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deferred tax liabilities</w:t>
            </w:r>
          </w:p>
        </w:tc>
        <w:tc>
          <w:tcPr>
            <w:tcW w:w="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21"/>
                <w:szCs w:val="21"/>
                <w:color w:val="auto"/>
              </w:rPr>
            </w:pP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Net Operating Loss Carryforwards and Credits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State net operating loss carryforwards totaling $144.8 million at October 31, 2019 are being carried forward in several state jurisdictions where we are permitted to use net operating losses from prior periods to reduce future taxable income. These losses will expire between 2020 and 2039. Federal net operating loss carryforwards were fully utilized during 2019. Federal and state tax credit carryforwards totaling $7.6 million are available to reduce future cash taxes and will expire between 2022 and 2039.</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95" w:right="239" w:bottom="1440" w:gutter="0" w:footer="0" w:header="0"/>
        </w:sectPr>
      </w:pPr>
    </w:p>
    <w:bookmarkStart w:id="95" w:name="page96"/>
    <w:bookmarkEnd w:id="95"/>
    <w:p>
      <w:pPr>
        <w:jc w:val="both"/>
        <w:ind w:firstLine="648"/>
        <w:spacing w:after="0" w:line="292" w:lineRule="auto"/>
        <w:rPr>
          <w:sz w:val="20"/>
          <w:szCs w:val="20"/>
          <w:color w:val="auto"/>
        </w:rPr>
      </w:pPr>
      <w:r>
        <w:rPr>
          <w:rFonts w:ascii="Arial" w:cs="Arial" w:eastAsia="Arial" w:hAnsi="Arial"/>
          <w:sz w:val="18"/>
          <w:szCs w:val="18"/>
          <w:color w:val="auto"/>
        </w:rPr>
        <w:t>The valuation allowance represents the amount of tax benefits related to state net operating loss carryforwards that are not likely to be realized. We believe the remaining deferred tax assets are more likely than not to be realizable based on estimates of future taxable income.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Changes to the Valuation Allowance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34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Years Ended October 31,</w:t>
            </w:r>
          </w:p>
        </w:tc>
        <w:tc>
          <w:tcPr>
            <w:tcW w:w="1220" w:type="dxa"/>
            <w:vAlign w:val="bottom"/>
            <w:tcBorders>
              <w:bottom w:val="single" w:sz="8" w:color="auto"/>
            </w:tcBorders>
          </w:tcPr>
          <w:p>
            <w:pPr>
              <w:spacing w:after="0"/>
              <w:rPr>
                <w:sz w:val="22"/>
                <w:szCs w:val="22"/>
                <w:color w:val="auto"/>
              </w:rPr>
            </w:pPr>
          </w:p>
        </w:tc>
      </w:tr>
      <w:tr>
        <w:trPr>
          <w:trHeight w:val="224"/>
        </w:trPr>
        <w:tc>
          <w:tcPr>
            <w:tcW w:w="638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564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0"/>
        </w:trPr>
        <w:tc>
          <w:tcPr>
            <w:tcW w:w="6380" w:type="dxa"/>
            <w:vAlign w:val="bottom"/>
            <w:gridSpan w:val="3"/>
            <w:shd w:val="clear" w:color="auto" w:fill="DCE2EF"/>
          </w:tcPr>
          <w:p>
            <w:pPr>
              <w:ind w:left="40"/>
              <w:spacing w:after="0"/>
              <w:rPr>
                <w:sz w:val="20"/>
                <w:szCs w:val="20"/>
                <w:color w:val="auto"/>
              </w:rPr>
            </w:pPr>
            <w:r>
              <w:rPr>
                <w:rFonts w:ascii="Arial" w:cs="Arial" w:eastAsia="Arial" w:hAnsi="Arial"/>
                <w:sz w:val="18"/>
                <w:szCs w:val="18"/>
                <w:b w:val="1"/>
                <w:bCs w:val="1"/>
                <w:color w:val="auto"/>
              </w:rPr>
              <w:t>Valuation allowance at beginning of year</w:t>
            </w:r>
          </w:p>
        </w:tc>
        <w:tc>
          <w:tcPr>
            <w:tcW w:w="360" w:type="dxa"/>
            <w:vAlign w:val="bottom"/>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DCE2EF"/>
          </w:tcPr>
          <w:p>
            <w:pPr>
              <w:spacing w:after="0"/>
              <w:rPr>
                <w:sz w:val="21"/>
                <w:szCs w:val="21"/>
                <w:color w:val="auto"/>
              </w:rPr>
            </w:pPr>
          </w:p>
        </w:tc>
        <w:tc>
          <w:tcPr>
            <w:tcW w:w="360" w:type="dxa"/>
            <w:vAlign w:val="bottom"/>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7.7</w:t>
            </w:r>
          </w:p>
        </w:tc>
        <w:tc>
          <w:tcPr>
            <w:tcW w:w="120" w:type="dxa"/>
            <w:vAlign w:val="bottom"/>
            <w:shd w:val="clear" w:color="auto" w:fill="DCE2EF"/>
          </w:tcPr>
          <w:p>
            <w:pPr>
              <w:spacing w:after="0"/>
              <w:rPr>
                <w:sz w:val="21"/>
                <w:szCs w:val="21"/>
                <w:color w:val="auto"/>
              </w:rPr>
            </w:pPr>
          </w:p>
        </w:tc>
        <w:tc>
          <w:tcPr>
            <w:tcW w:w="380" w:type="dxa"/>
            <w:vAlign w:val="bottom"/>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5.4</w:t>
            </w:r>
          </w:p>
        </w:tc>
      </w:tr>
      <w:tr>
        <w:trPr>
          <w:trHeight w:val="265"/>
        </w:trPr>
        <w:tc>
          <w:tcPr>
            <w:tcW w:w="40" w:type="dxa"/>
            <w:vAlign w:val="bottom"/>
          </w:tcPr>
          <w:p>
            <w:pPr>
              <w:spacing w:after="0"/>
              <w:rPr>
                <w:sz w:val="23"/>
                <w:szCs w:val="23"/>
                <w:color w:val="auto"/>
              </w:rPr>
            </w:pPr>
          </w:p>
        </w:tc>
        <w:tc>
          <w:tcPr>
            <w:tcW w:w="6340" w:type="dxa"/>
            <w:vAlign w:val="bottom"/>
            <w:gridSpan w:val="2"/>
          </w:tcPr>
          <w:p>
            <w:pPr>
              <w:ind w:left="140"/>
              <w:spacing w:after="0"/>
              <w:rPr>
                <w:sz w:val="20"/>
                <w:szCs w:val="20"/>
                <w:color w:val="auto"/>
              </w:rPr>
            </w:pPr>
            <w:r>
              <w:rPr>
                <w:rFonts w:ascii="Arial" w:cs="Arial" w:eastAsia="Arial" w:hAnsi="Arial"/>
                <w:sz w:val="18"/>
                <w:szCs w:val="18"/>
                <w:color w:val="auto"/>
              </w:rPr>
              <w:t>GCA acquisition</w:t>
            </w:r>
          </w:p>
        </w:tc>
        <w:tc>
          <w:tcPr>
            <w:tcW w:w="36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70"/>
        </w:trPr>
        <w:tc>
          <w:tcPr>
            <w:tcW w:w="40" w:type="dxa"/>
            <w:vAlign w:val="bottom"/>
            <w:shd w:val="clear" w:color="auto" w:fill="DCE2EF"/>
          </w:tcPr>
          <w:p>
            <w:pPr>
              <w:spacing w:after="0"/>
              <w:rPr>
                <w:sz w:val="23"/>
                <w:szCs w:val="23"/>
                <w:color w:val="auto"/>
              </w:rPr>
            </w:pPr>
          </w:p>
        </w:tc>
        <w:tc>
          <w:tcPr>
            <w:tcW w:w="6340" w:type="dxa"/>
            <w:vAlign w:val="bottom"/>
            <w:gridSpan w:val="2"/>
            <w:shd w:val="clear" w:color="auto" w:fill="DCE2EF"/>
          </w:tcPr>
          <w:p>
            <w:pPr>
              <w:ind w:left="14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auto"/>
            </w:tcBorders>
            <w:shd w:val="clear" w:color="auto" w:fill="DCE2EF"/>
          </w:tcPr>
          <w:p>
            <w:pPr>
              <w:spacing w:after="0"/>
              <w:rPr>
                <w:sz w:val="23"/>
                <w:szCs w:val="23"/>
                <w:color w:val="auto"/>
              </w:rPr>
            </w:pPr>
          </w:p>
        </w:tc>
        <w:tc>
          <w:tcPr>
            <w:tcW w:w="12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DCE2EF"/>
          </w:tcPr>
          <w:p>
            <w:pPr>
              <w:spacing w:after="0"/>
              <w:rPr>
                <w:sz w:val="23"/>
                <w:szCs w:val="23"/>
                <w:color w:val="auto"/>
              </w:rPr>
            </w:pPr>
          </w:p>
        </w:tc>
        <w:tc>
          <w:tcPr>
            <w:tcW w:w="360" w:type="dxa"/>
            <w:vAlign w:val="bottom"/>
            <w:tcBorders>
              <w:bottom w:val="single" w:sz="8" w:color="auto"/>
            </w:tcBorders>
            <w:shd w:val="clear" w:color="auto" w:fill="DCE2EF"/>
          </w:tcPr>
          <w:p>
            <w:pPr>
              <w:spacing w:after="0"/>
              <w:rPr>
                <w:sz w:val="23"/>
                <w:szCs w:val="23"/>
                <w:color w:val="auto"/>
              </w:rPr>
            </w:pP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DCE2EF"/>
          </w:tcPr>
          <w:p>
            <w:pPr>
              <w:spacing w:after="0"/>
              <w:rPr>
                <w:sz w:val="23"/>
                <w:szCs w:val="23"/>
                <w:color w:val="auto"/>
              </w:rPr>
            </w:pPr>
          </w:p>
        </w:tc>
        <w:tc>
          <w:tcPr>
            <w:tcW w:w="380" w:type="dxa"/>
            <w:vAlign w:val="bottom"/>
            <w:tcBorders>
              <w:bottom w:val="single" w:sz="8" w:color="auto"/>
            </w:tcBorders>
            <w:shd w:val="clear" w:color="auto" w:fill="DCE2EF"/>
          </w:tcPr>
          <w:p>
            <w:pPr>
              <w:spacing w:after="0"/>
              <w:rPr>
                <w:sz w:val="23"/>
                <w:szCs w:val="23"/>
                <w:color w:val="auto"/>
              </w:rPr>
            </w:pPr>
          </w:p>
        </w:tc>
        <w:tc>
          <w:tcPr>
            <w:tcW w:w="12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(1.8)</w:t>
            </w:r>
          </w:p>
        </w:tc>
      </w:tr>
      <w:tr>
        <w:trPr>
          <w:trHeight w:val="255"/>
        </w:trPr>
        <w:tc>
          <w:tcPr>
            <w:tcW w:w="6380" w:type="dxa"/>
            <w:vAlign w:val="bottom"/>
            <w:gridSpan w:val="3"/>
          </w:tcPr>
          <w:p>
            <w:pPr>
              <w:ind w:left="40"/>
              <w:spacing w:after="0"/>
              <w:rPr>
                <w:sz w:val="20"/>
                <w:szCs w:val="20"/>
                <w:color w:val="auto"/>
              </w:rPr>
            </w:pPr>
            <w:r>
              <w:rPr>
                <w:rFonts w:ascii="Arial" w:cs="Arial" w:eastAsia="Arial" w:hAnsi="Arial"/>
                <w:sz w:val="18"/>
                <w:szCs w:val="18"/>
                <w:b w:val="1"/>
                <w:bCs w:val="1"/>
                <w:color w:val="auto"/>
              </w:rPr>
              <w:t>Valuation allowance at end of year</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Unrecognized Tax Benefits</w:t>
      </w:r>
    </w:p>
    <w:p>
      <w:pPr>
        <w:spacing w:after="0" w:line="17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At October 31, 2019, 2018, and 2017, there were $35.3 million, $35.8 million, and $50.5 million, respectively, of unrecognized tax benefits that if recognized in the future would impact our effective tax rate. We estimate that a decrease in unrecognized tax benefits of up to approximately $4.7 million is reasonably possible over the next twelve months due to lapses of applicable statutes of limitations. At October 31, 2019 and 2018, accrued interest and penalties were $1.2 million and $1.0 million, respectively. For interest and penalties, we recognized an expense of $0.2 million in 2019 and benefits of $1.0 million and $0.5 million in 2018 and 2017,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Reconciliation of Total Unrecognized Tax Benefits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34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Years Ended October 31,</w:t>
            </w:r>
          </w:p>
        </w:tc>
        <w:tc>
          <w:tcPr>
            <w:tcW w:w="1220" w:type="dxa"/>
            <w:vAlign w:val="bottom"/>
            <w:tcBorders>
              <w:bottom w:val="single" w:sz="8" w:color="auto"/>
            </w:tcBorders>
          </w:tcPr>
          <w:p>
            <w:pPr>
              <w:spacing w:after="0"/>
              <w:rPr>
                <w:sz w:val="22"/>
                <w:szCs w:val="22"/>
                <w:color w:val="auto"/>
              </w:rPr>
            </w:pPr>
          </w:p>
        </w:tc>
      </w:tr>
      <w:tr>
        <w:trPr>
          <w:trHeight w:val="224"/>
        </w:trPr>
        <w:tc>
          <w:tcPr>
            <w:tcW w:w="6380" w:type="dxa"/>
            <w:vAlign w:val="bottom"/>
            <w:gridSpan w:val="4"/>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1740" w:type="dxa"/>
            <w:vAlign w:val="bottom"/>
            <w:tcBorders>
              <w:bottom w:val="single" w:sz="8" w:color="DCE2EF"/>
            </w:tcBorders>
          </w:tcPr>
          <w:p>
            <w:pPr>
              <w:spacing w:after="0" w:line="20" w:lineRule="exact"/>
              <w:rPr>
                <w:sz w:val="1"/>
                <w:szCs w:val="1"/>
                <w:color w:val="auto"/>
              </w:rPr>
            </w:pPr>
          </w:p>
        </w:tc>
        <w:tc>
          <w:tcPr>
            <w:tcW w:w="390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0"/>
        </w:trPr>
        <w:tc>
          <w:tcPr>
            <w:tcW w:w="40" w:type="dxa"/>
            <w:vAlign w:val="bottom"/>
            <w:tcBorders>
              <w:bottom w:val="single" w:sz="8" w:color="DCE2EF"/>
            </w:tcBorders>
            <w:shd w:val="clear" w:color="auto" w:fill="DCE2EF"/>
          </w:tcPr>
          <w:p>
            <w:pPr>
              <w:spacing w:after="0"/>
              <w:rPr>
                <w:sz w:val="20"/>
                <w:szCs w:val="20"/>
                <w:color w:val="auto"/>
              </w:rPr>
            </w:pPr>
          </w:p>
        </w:tc>
        <w:tc>
          <w:tcPr>
            <w:tcW w:w="244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8"/>
                <w:szCs w:val="18"/>
                <w:b w:val="1"/>
                <w:bCs w:val="1"/>
                <w:color w:val="auto"/>
                <w:w w:val="98"/>
                <w:shd w:val="clear" w:color="auto" w:fill="DCE2EF"/>
              </w:rPr>
              <w:t>Balance at beginning of year</w:t>
            </w:r>
          </w:p>
        </w:tc>
        <w:tc>
          <w:tcPr>
            <w:tcW w:w="3900" w:type="dxa"/>
            <w:vAlign w:val="bottom"/>
            <w:tcBorders>
              <w:bottom w:val="single" w:sz="8" w:color="DCE2EF"/>
            </w:tcBorders>
            <w:shd w:val="clear" w:color="auto" w:fill="DCE2EF"/>
          </w:tcPr>
          <w:p>
            <w:pPr>
              <w:spacing w:after="0"/>
              <w:rPr>
                <w:sz w:val="20"/>
                <w:szCs w:val="20"/>
                <w:color w:val="auto"/>
              </w:rPr>
            </w:pPr>
          </w:p>
        </w:tc>
        <w:tc>
          <w:tcPr>
            <w:tcW w:w="360" w:type="dxa"/>
            <w:vAlign w:val="bottom"/>
            <w:tcBorders>
              <w:bottom w:val="single" w:sz="8" w:color="DCE2EF"/>
            </w:tcBorders>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DCE2EF"/>
            </w:tcBorders>
            <w:shd w:val="clear" w:color="auto" w:fill="DCE2EF"/>
          </w:tcPr>
          <w:p>
            <w:pPr>
              <w:jc w:val="right"/>
              <w:ind w:right="10"/>
              <w:spacing w:after="0"/>
              <w:rPr>
                <w:sz w:val="20"/>
                <w:szCs w:val="20"/>
                <w:color w:val="auto"/>
              </w:rPr>
            </w:pPr>
            <w:r>
              <w:rPr>
                <w:rFonts w:ascii="Arial" w:cs="Arial" w:eastAsia="Arial" w:hAnsi="Arial"/>
                <w:sz w:val="18"/>
                <w:szCs w:val="18"/>
                <w:color w:val="auto"/>
              </w:rPr>
              <w:t>35.8</w:t>
            </w:r>
          </w:p>
        </w:tc>
        <w:tc>
          <w:tcPr>
            <w:tcW w:w="120" w:type="dxa"/>
            <w:vAlign w:val="bottom"/>
            <w:tcBorders>
              <w:bottom w:val="single" w:sz="8" w:color="DCE2EF"/>
            </w:tcBorders>
            <w:shd w:val="clear" w:color="auto" w:fill="DCE2EF"/>
          </w:tcPr>
          <w:p>
            <w:pPr>
              <w:spacing w:after="0"/>
              <w:rPr>
                <w:sz w:val="20"/>
                <w:szCs w:val="20"/>
                <w:color w:val="auto"/>
              </w:rPr>
            </w:pPr>
          </w:p>
        </w:tc>
        <w:tc>
          <w:tcPr>
            <w:tcW w:w="360" w:type="dxa"/>
            <w:vAlign w:val="bottom"/>
            <w:tcBorders>
              <w:bottom w:val="single" w:sz="8" w:color="DCE2EF"/>
            </w:tcBorders>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DCE2EF"/>
            </w:tcBorders>
            <w:shd w:val="clear" w:color="auto" w:fill="DCE2EF"/>
          </w:tcPr>
          <w:p>
            <w:pPr>
              <w:jc w:val="right"/>
              <w:ind w:right="10"/>
              <w:spacing w:after="0"/>
              <w:rPr>
                <w:sz w:val="20"/>
                <w:szCs w:val="20"/>
                <w:color w:val="auto"/>
              </w:rPr>
            </w:pPr>
            <w:r>
              <w:rPr>
                <w:rFonts w:ascii="Arial" w:cs="Arial" w:eastAsia="Arial" w:hAnsi="Arial"/>
                <w:sz w:val="18"/>
                <w:szCs w:val="18"/>
                <w:color w:val="auto"/>
              </w:rPr>
              <w:t>53.4</w:t>
            </w:r>
          </w:p>
        </w:tc>
        <w:tc>
          <w:tcPr>
            <w:tcW w:w="120" w:type="dxa"/>
            <w:vAlign w:val="bottom"/>
            <w:tcBorders>
              <w:bottom w:val="single" w:sz="8" w:color="DCE2EF"/>
            </w:tcBorders>
            <w:shd w:val="clear" w:color="auto" w:fill="DCE2EF"/>
          </w:tcPr>
          <w:p>
            <w:pPr>
              <w:spacing w:after="0"/>
              <w:rPr>
                <w:sz w:val="20"/>
                <w:szCs w:val="20"/>
                <w:color w:val="auto"/>
              </w:rPr>
            </w:pPr>
          </w:p>
        </w:tc>
        <w:tc>
          <w:tcPr>
            <w:tcW w:w="380" w:type="dxa"/>
            <w:vAlign w:val="bottom"/>
            <w:tcBorders>
              <w:bottom w:val="single" w:sz="8" w:color="DCE2EF"/>
            </w:tcBorders>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DCE2EF"/>
            </w:tcBorders>
            <w:shd w:val="clear" w:color="auto" w:fill="DCE2EF"/>
          </w:tcPr>
          <w:p>
            <w:pPr>
              <w:jc w:val="right"/>
              <w:ind w:right="10"/>
              <w:spacing w:after="0"/>
              <w:rPr>
                <w:sz w:val="20"/>
                <w:szCs w:val="20"/>
                <w:color w:val="auto"/>
              </w:rPr>
            </w:pPr>
            <w:r>
              <w:rPr>
                <w:rFonts w:ascii="Arial" w:cs="Arial" w:eastAsia="Arial" w:hAnsi="Arial"/>
                <w:sz w:val="18"/>
                <w:szCs w:val="18"/>
                <w:color w:val="auto"/>
              </w:rPr>
              <w:t>57.2</w:t>
            </w:r>
          </w:p>
        </w:tc>
      </w:tr>
      <w:tr>
        <w:trPr>
          <w:trHeight w:val="265"/>
        </w:trPr>
        <w:tc>
          <w:tcPr>
            <w:tcW w:w="40" w:type="dxa"/>
            <w:vAlign w:val="bottom"/>
          </w:tcPr>
          <w:p>
            <w:pPr>
              <w:spacing w:after="0"/>
              <w:rPr>
                <w:sz w:val="23"/>
                <w:szCs w:val="23"/>
                <w:color w:val="auto"/>
              </w:rPr>
            </w:pPr>
          </w:p>
        </w:tc>
        <w:tc>
          <w:tcPr>
            <w:tcW w:w="6340" w:type="dxa"/>
            <w:vAlign w:val="bottom"/>
            <w:gridSpan w:val="3"/>
          </w:tcPr>
          <w:p>
            <w:pPr>
              <w:ind w:left="140"/>
              <w:spacing w:after="0"/>
              <w:rPr>
                <w:sz w:val="20"/>
                <w:szCs w:val="20"/>
                <w:color w:val="auto"/>
              </w:rPr>
            </w:pPr>
            <w:r>
              <w:rPr>
                <w:rFonts w:ascii="Arial" w:cs="Arial" w:eastAsia="Arial" w:hAnsi="Arial"/>
                <w:sz w:val="18"/>
                <w:szCs w:val="18"/>
                <w:color w:val="auto"/>
              </w:rPr>
              <w:t>Additions for tax positions related to the current year</w:t>
            </w:r>
          </w:p>
        </w:tc>
        <w:tc>
          <w:tcPr>
            <w:tcW w:w="36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5"/>
        </w:trPr>
        <w:tc>
          <w:tcPr>
            <w:tcW w:w="40" w:type="dxa"/>
            <w:vAlign w:val="bottom"/>
            <w:tcBorders>
              <w:bottom w:val="single" w:sz="8" w:color="DCE2EF"/>
            </w:tcBorders>
            <w:shd w:val="clear" w:color="auto" w:fill="DCE2EF"/>
          </w:tcPr>
          <w:p>
            <w:pPr>
              <w:spacing w:after="0"/>
              <w:rPr>
                <w:sz w:val="22"/>
                <w:szCs w:val="22"/>
                <w:color w:val="auto"/>
              </w:rPr>
            </w:pPr>
          </w:p>
        </w:tc>
        <w:tc>
          <w:tcPr>
            <w:tcW w:w="6340" w:type="dxa"/>
            <w:vAlign w:val="bottom"/>
            <w:tcBorders>
              <w:bottom w:val="single" w:sz="8" w:color="DCE2EF"/>
            </w:tcBorders>
            <w:gridSpan w:val="3"/>
            <w:shd w:val="clear" w:color="auto" w:fill="DCE2EF"/>
          </w:tcPr>
          <w:p>
            <w:pPr>
              <w:ind w:left="140"/>
              <w:spacing w:after="0"/>
              <w:rPr>
                <w:sz w:val="20"/>
                <w:szCs w:val="20"/>
                <w:color w:val="auto"/>
              </w:rPr>
            </w:pPr>
            <w:r>
              <w:rPr>
                <w:rFonts w:ascii="Arial" w:cs="Arial" w:eastAsia="Arial" w:hAnsi="Arial"/>
                <w:sz w:val="18"/>
                <w:szCs w:val="18"/>
                <w:color w:val="auto"/>
                <w:shd w:val="clear" w:color="auto" w:fill="DCE2EF"/>
              </w:rPr>
              <w:t>Additions for tax positions related to prior years</w:t>
            </w:r>
          </w:p>
        </w:tc>
        <w:tc>
          <w:tcPr>
            <w:tcW w:w="360" w:type="dxa"/>
            <w:vAlign w:val="bottom"/>
            <w:tcBorders>
              <w:bottom w:val="single" w:sz="8" w:color="DCE2EF"/>
            </w:tcBorders>
            <w:shd w:val="clear" w:color="auto" w:fill="DCE2EF"/>
          </w:tcPr>
          <w:p>
            <w:pPr>
              <w:spacing w:after="0"/>
              <w:rPr>
                <w:sz w:val="22"/>
                <w:szCs w:val="22"/>
                <w:color w:val="auto"/>
              </w:rPr>
            </w:pPr>
          </w:p>
        </w:tc>
        <w:tc>
          <w:tcPr>
            <w:tcW w:w="1240" w:type="dxa"/>
            <w:vAlign w:val="bottom"/>
            <w:tcBorders>
              <w:bottom w:val="single" w:sz="8" w:color="DCE2EF"/>
            </w:tcBorders>
            <w:shd w:val="clear" w:color="auto" w:fill="DCE2EF"/>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DCE2EF"/>
            </w:tcBorders>
            <w:shd w:val="clear" w:color="auto" w:fill="DCE2EF"/>
          </w:tcPr>
          <w:p>
            <w:pPr>
              <w:spacing w:after="0"/>
              <w:rPr>
                <w:sz w:val="22"/>
                <w:szCs w:val="22"/>
                <w:color w:val="auto"/>
              </w:rPr>
            </w:pPr>
          </w:p>
        </w:tc>
        <w:tc>
          <w:tcPr>
            <w:tcW w:w="360" w:type="dxa"/>
            <w:vAlign w:val="bottom"/>
            <w:tcBorders>
              <w:bottom w:val="single" w:sz="8" w:color="DCE2EF"/>
            </w:tcBorders>
            <w:shd w:val="clear" w:color="auto" w:fill="DCE2EF"/>
          </w:tcPr>
          <w:p>
            <w:pPr>
              <w:spacing w:after="0"/>
              <w:rPr>
                <w:sz w:val="22"/>
                <w:szCs w:val="22"/>
                <w:color w:val="auto"/>
              </w:rPr>
            </w:pPr>
          </w:p>
        </w:tc>
        <w:tc>
          <w:tcPr>
            <w:tcW w:w="1360" w:type="dxa"/>
            <w:vAlign w:val="bottom"/>
            <w:tcBorders>
              <w:bottom w:val="single" w:sz="8" w:color="DCE2EF"/>
            </w:tcBorders>
            <w:gridSpan w:val="2"/>
            <w:shd w:val="clear" w:color="auto" w:fill="DCE2E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DCE2EF"/>
            </w:tcBorders>
            <w:shd w:val="clear" w:color="auto" w:fill="DCE2EF"/>
          </w:tcPr>
          <w:p>
            <w:pPr>
              <w:spacing w:after="0"/>
              <w:rPr>
                <w:sz w:val="22"/>
                <w:szCs w:val="22"/>
                <w:color w:val="auto"/>
              </w:rPr>
            </w:pPr>
          </w:p>
        </w:tc>
        <w:tc>
          <w:tcPr>
            <w:tcW w:w="1220" w:type="dxa"/>
            <w:vAlign w:val="bottom"/>
            <w:tcBorders>
              <w:bottom w:val="single" w:sz="8" w:color="DCE2EF"/>
            </w:tcBorders>
            <w:shd w:val="clear" w:color="auto" w:fill="DCE2EF"/>
          </w:tcPr>
          <w:p>
            <w:pPr>
              <w:jc w:val="right"/>
              <w:ind w:right="10"/>
              <w:spacing w:after="0"/>
              <w:rPr>
                <w:sz w:val="20"/>
                <w:szCs w:val="20"/>
                <w:color w:val="auto"/>
              </w:rPr>
            </w:pPr>
            <w:r>
              <w:rPr>
                <w:rFonts w:ascii="Arial" w:cs="Arial" w:eastAsia="Arial" w:hAnsi="Arial"/>
                <w:sz w:val="18"/>
                <w:szCs w:val="18"/>
                <w:color w:val="auto"/>
              </w:rPr>
              <w:t>16.4</w:t>
            </w:r>
          </w:p>
        </w:tc>
      </w:tr>
      <w:tr>
        <w:trPr>
          <w:trHeight w:val="265"/>
        </w:trPr>
        <w:tc>
          <w:tcPr>
            <w:tcW w:w="40" w:type="dxa"/>
            <w:vAlign w:val="bottom"/>
          </w:tcPr>
          <w:p>
            <w:pPr>
              <w:spacing w:after="0"/>
              <w:rPr>
                <w:sz w:val="23"/>
                <w:szCs w:val="23"/>
                <w:color w:val="auto"/>
              </w:rPr>
            </w:pPr>
          </w:p>
        </w:tc>
        <w:tc>
          <w:tcPr>
            <w:tcW w:w="6340" w:type="dxa"/>
            <w:vAlign w:val="bottom"/>
            <w:gridSpan w:val="3"/>
          </w:tcPr>
          <w:p>
            <w:pPr>
              <w:ind w:left="140"/>
              <w:spacing w:after="0"/>
              <w:rPr>
                <w:sz w:val="20"/>
                <w:szCs w:val="20"/>
                <w:color w:val="auto"/>
              </w:rPr>
            </w:pPr>
            <w:r>
              <w:rPr>
                <w:rFonts w:ascii="Arial" w:cs="Arial" w:eastAsia="Arial" w:hAnsi="Arial"/>
                <w:sz w:val="18"/>
                <w:szCs w:val="18"/>
                <w:color w:val="auto"/>
              </w:rPr>
              <w:t>Reductions for tax positions related to prior years</w:t>
            </w:r>
          </w:p>
        </w:tc>
        <w:tc>
          <w:tcPr>
            <w:tcW w:w="36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55"/>
        </w:trPr>
        <w:tc>
          <w:tcPr>
            <w:tcW w:w="40" w:type="dxa"/>
            <w:vAlign w:val="bottom"/>
            <w:tcBorders>
              <w:bottom w:val="single" w:sz="8" w:color="DCE2EF"/>
            </w:tcBorders>
            <w:shd w:val="clear" w:color="auto" w:fill="DCE2EF"/>
          </w:tcPr>
          <w:p>
            <w:pPr>
              <w:spacing w:after="0"/>
              <w:rPr>
                <w:sz w:val="22"/>
                <w:szCs w:val="22"/>
                <w:color w:val="auto"/>
              </w:rPr>
            </w:pPr>
          </w:p>
        </w:tc>
        <w:tc>
          <w:tcPr>
            <w:tcW w:w="6340" w:type="dxa"/>
            <w:vAlign w:val="bottom"/>
            <w:tcBorders>
              <w:bottom w:val="single" w:sz="8" w:color="DCE2EF"/>
            </w:tcBorders>
            <w:gridSpan w:val="3"/>
            <w:shd w:val="clear" w:color="auto" w:fill="DCE2EF"/>
          </w:tcPr>
          <w:p>
            <w:pPr>
              <w:ind w:left="140"/>
              <w:spacing w:after="0"/>
              <w:rPr>
                <w:sz w:val="20"/>
                <w:szCs w:val="20"/>
                <w:color w:val="auto"/>
              </w:rPr>
            </w:pPr>
            <w:r>
              <w:rPr>
                <w:rFonts w:ascii="Arial" w:cs="Arial" w:eastAsia="Arial" w:hAnsi="Arial"/>
                <w:sz w:val="18"/>
                <w:szCs w:val="18"/>
                <w:color w:val="auto"/>
                <w:shd w:val="clear" w:color="auto" w:fill="DCE2EF"/>
              </w:rPr>
              <w:t>Reductions for lapse of statute of limitations</w:t>
            </w:r>
          </w:p>
        </w:tc>
        <w:tc>
          <w:tcPr>
            <w:tcW w:w="360" w:type="dxa"/>
            <w:vAlign w:val="bottom"/>
            <w:tcBorders>
              <w:bottom w:val="single" w:sz="8" w:color="DCE2EF"/>
            </w:tcBorders>
            <w:shd w:val="clear" w:color="auto" w:fill="DCE2EF"/>
          </w:tcPr>
          <w:p>
            <w:pPr>
              <w:spacing w:after="0"/>
              <w:rPr>
                <w:sz w:val="22"/>
                <w:szCs w:val="22"/>
                <w:color w:val="auto"/>
              </w:rPr>
            </w:pPr>
          </w:p>
        </w:tc>
        <w:tc>
          <w:tcPr>
            <w:tcW w:w="124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DCE2EF"/>
            </w:tcBorders>
            <w:shd w:val="clear" w:color="auto" w:fill="DCE2EF"/>
          </w:tcPr>
          <w:p>
            <w:pPr>
              <w:spacing w:after="0"/>
              <w:rPr>
                <w:sz w:val="22"/>
                <w:szCs w:val="22"/>
                <w:color w:val="auto"/>
              </w:rPr>
            </w:pPr>
          </w:p>
        </w:tc>
        <w:tc>
          <w:tcPr>
            <w:tcW w:w="360" w:type="dxa"/>
            <w:vAlign w:val="bottom"/>
            <w:tcBorders>
              <w:bottom w:val="single" w:sz="8" w:color="DCE2EF"/>
            </w:tcBorders>
            <w:shd w:val="clear" w:color="auto" w:fill="DCE2EF"/>
          </w:tcPr>
          <w:p>
            <w:pPr>
              <w:spacing w:after="0"/>
              <w:rPr>
                <w:sz w:val="22"/>
                <w:szCs w:val="22"/>
                <w:color w:val="auto"/>
              </w:rPr>
            </w:pPr>
          </w:p>
        </w:tc>
        <w:tc>
          <w:tcPr>
            <w:tcW w:w="124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DCE2EF"/>
            </w:tcBorders>
            <w:shd w:val="clear" w:color="auto" w:fill="DCE2EF"/>
          </w:tcPr>
          <w:p>
            <w:pPr>
              <w:spacing w:after="0"/>
              <w:rPr>
                <w:sz w:val="22"/>
                <w:szCs w:val="22"/>
                <w:color w:val="auto"/>
              </w:rPr>
            </w:pPr>
          </w:p>
        </w:tc>
        <w:tc>
          <w:tcPr>
            <w:tcW w:w="380" w:type="dxa"/>
            <w:vAlign w:val="bottom"/>
            <w:tcBorders>
              <w:bottom w:val="single" w:sz="8" w:color="DCE2EF"/>
            </w:tcBorders>
            <w:shd w:val="clear" w:color="auto" w:fill="DCE2EF"/>
          </w:tcPr>
          <w:p>
            <w:pPr>
              <w:spacing w:after="0"/>
              <w:rPr>
                <w:sz w:val="22"/>
                <w:szCs w:val="22"/>
                <w:color w:val="auto"/>
              </w:rPr>
            </w:pPr>
          </w:p>
        </w:tc>
        <w:tc>
          <w:tcPr>
            <w:tcW w:w="122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8"/>
                <w:szCs w:val="18"/>
                <w:color w:val="auto"/>
              </w:rPr>
              <w:t>(19.7)</w:t>
            </w:r>
          </w:p>
        </w:tc>
      </w:tr>
      <w:tr>
        <w:trPr>
          <w:trHeight w:val="265"/>
        </w:trPr>
        <w:tc>
          <w:tcPr>
            <w:tcW w:w="40" w:type="dxa"/>
            <w:vAlign w:val="bottom"/>
            <w:tcBorders>
              <w:bottom w:val="single" w:sz="8" w:color="DCE2EF"/>
            </w:tcBorders>
          </w:tcPr>
          <w:p>
            <w:pPr>
              <w:spacing w:after="0"/>
              <w:rPr>
                <w:sz w:val="23"/>
                <w:szCs w:val="23"/>
                <w:color w:val="auto"/>
              </w:rPr>
            </w:pPr>
          </w:p>
        </w:tc>
        <w:tc>
          <w:tcPr>
            <w:tcW w:w="6340" w:type="dxa"/>
            <w:vAlign w:val="bottom"/>
            <w:tcBorders>
              <w:bottom w:val="single" w:sz="8" w:color="DCE2EF"/>
            </w:tcBorders>
            <w:gridSpan w:val="3"/>
          </w:tcPr>
          <w:p>
            <w:pPr>
              <w:ind w:left="140"/>
              <w:spacing w:after="0"/>
              <w:rPr>
                <w:sz w:val="20"/>
                <w:szCs w:val="20"/>
                <w:color w:val="auto"/>
              </w:rPr>
            </w:pPr>
            <w:r>
              <w:rPr>
                <w:rFonts w:ascii="Arial" w:cs="Arial" w:eastAsia="Arial" w:hAnsi="Arial"/>
                <w:sz w:val="18"/>
                <w:szCs w:val="18"/>
                <w:color w:val="auto"/>
              </w:rPr>
              <w:t>Settlements</w:t>
            </w: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DCE2E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DCE2E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55"/>
        </w:trPr>
        <w:tc>
          <w:tcPr>
            <w:tcW w:w="6380" w:type="dxa"/>
            <w:vAlign w:val="bottom"/>
            <w:tcBorders>
              <w:bottom w:val="single" w:sz="8" w:color="DCE2EF"/>
            </w:tcBorders>
            <w:gridSpan w:val="4"/>
            <w:shd w:val="clear" w:color="auto" w:fill="DCE2EF"/>
          </w:tcPr>
          <w:p>
            <w:pPr>
              <w:ind w:left="40"/>
              <w:spacing w:after="0"/>
              <w:rPr>
                <w:sz w:val="20"/>
                <w:szCs w:val="20"/>
                <w:color w:val="auto"/>
              </w:rPr>
            </w:pPr>
            <w:r>
              <w:rPr>
                <w:rFonts w:ascii="Arial" w:cs="Arial" w:eastAsia="Arial" w:hAnsi="Arial"/>
                <w:sz w:val="18"/>
                <w:szCs w:val="18"/>
                <w:b w:val="1"/>
                <w:bCs w:val="1"/>
                <w:color w:val="auto"/>
              </w:rPr>
              <w:t>Balance at end of year</w:t>
            </w:r>
          </w:p>
        </w:tc>
        <w:tc>
          <w:tcPr>
            <w:tcW w:w="360" w:type="dxa"/>
            <w:vAlign w:val="bottom"/>
            <w:tcBorders>
              <w:bottom w:val="single" w:sz="8" w:color="auto"/>
            </w:tcBorders>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35.3</w:t>
            </w:r>
          </w:p>
        </w:tc>
        <w:tc>
          <w:tcPr>
            <w:tcW w:w="120" w:type="dxa"/>
            <w:vAlign w:val="bottom"/>
            <w:tcBorders>
              <w:bottom w:val="single" w:sz="8" w:color="DCE2EF"/>
            </w:tcBorders>
            <w:shd w:val="clear" w:color="auto" w:fill="DCE2EF"/>
          </w:tcPr>
          <w:p>
            <w:pPr>
              <w:spacing w:after="0"/>
              <w:rPr>
                <w:sz w:val="22"/>
                <w:szCs w:val="22"/>
                <w:color w:val="auto"/>
              </w:rPr>
            </w:pPr>
          </w:p>
        </w:tc>
        <w:tc>
          <w:tcPr>
            <w:tcW w:w="360" w:type="dxa"/>
            <w:vAlign w:val="bottom"/>
            <w:tcBorders>
              <w:bottom w:val="single" w:sz="8" w:color="auto"/>
            </w:tcBorders>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35.8</w:t>
            </w:r>
          </w:p>
        </w:tc>
        <w:tc>
          <w:tcPr>
            <w:tcW w:w="120" w:type="dxa"/>
            <w:vAlign w:val="bottom"/>
            <w:tcBorders>
              <w:bottom w:val="single" w:sz="8" w:color="DCE2EF"/>
            </w:tcBorders>
            <w:shd w:val="clear" w:color="auto" w:fill="DCE2EF"/>
          </w:tcPr>
          <w:p>
            <w:pPr>
              <w:spacing w:after="0"/>
              <w:rPr>
                <w:sz w:val="22"/>
                <w:szCs w:val="22"/>
                <w:color w:val="auto"/>
              </w:rPr>
            </w:pPr>
          </w:p>
        </w:tc>
        <w:tc>
          <w:tcPr>
            <w:tcW w:w="380" w:type="dxa"/>
            <w:vAlign w:val="bottom"/>
            <w:tcBorders>
              <w:bottom w:val="single" w:sz="8" w:color="auto"/>
            </w:tcBorders>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53.4</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Jurisdictions</w:t>
      </w:r>
    </w:p>
    <w:p>
      <w:pPr>
        <w:spacing w:after="0" w:line="17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We conduct business in all 50 states, significantly in California, Texas, and New York, as well as in various foreign jurisdictions. Our most significant income tax jurisdiction is the United States. Due to expired statutes and closed audits, our federal income tax returns for years prior to fiscal 2016 are no longer subject to examination by the U.S. Internal Revenue Service. Generally, for the majority of state and foreign jurisdictions where we do business, periods prior to fiscal 2015 are no longer subject to examination. We are currently being examined by the IRS and state tax authorities of California, Illinois, Massachusetts, and Wisconsin.</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95"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0046AD"/>
        </w:rPr>
        <w:t>19. SEGMENT AND GEOGRAPHIC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Segment Information</w:t>
      </w:r>
    </w:p>
    <w:p>
      <w:pPr>
        <w:spacing w:after="0" w:line="17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Our current reportable segments consist of B&amp;I, Aviation, T&amp;M, Education, and Technical Solutions, as further described below. Refer to Note 2, “Basis of Presentation and Significant Accounting Policies,” for information related to the modification in our presentation of inter-segment revenues and the reorganization of our Healthcare business into our other industry groups, primarily B&amp;I, during 2019, as well as information related to our former Government Services business that we sold during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54875" cy="24872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4875" cy="2487295"/>
                    </a:xfrm>
                    <a:prstGeom prst="rect">
                      <a:avLst/>
                    </a:prstGeom>
                    <a:noFill/>
                  </pic:spPr>
                </pic:pic>
              </a:graphicData>
            </a:graphic>
          </wp:anchor>
        </w:drawing>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46AD"/>
          <w:shd w:val="clear" w:color="auto" w:fill="DCE2EF"/>
        </w:rPr>
        <w:t>REPORTABLE SEGMENTS AND DESCRIPTIONS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360" w:type="dxa"/>
            <w:vAlign w:val="bottom"/>
            <w:tcBorders>
              <w:top w:val="single" w:sz="8" w:color="auto"/>
              <w:right w:val="single" w:sz="8" w:color="auto"/>
            </w:tcBorders>
          </w:tcPr>
          <w:p>
            <w:pPr>
              <w:spacing w:after="0"/>
              <w:rPr>
                <w:sz w:val="17"/>
                <w:szCs w:val="17"/>
                <w:color w:val="auto"/>
              </w:rPr>
            </w:pPr>
          </w:p>
        </w:tc>
        <w:tc>
          <w:tcPr>
            <w:tcW w:w="808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rPr>
              <w:t>B&amp;I, our largest reportable segment, encompasses janitorial, facilities services, and parking services</w:t>
            </w:r>
          </w:p>
        </w:tc>
        <w:tc>
          <w:tcPr>
            <w:tcW w:w="0" w:type="dxa"/>
            <w:vAlign w:val="bottom"/>
          </w:tcPr>
          <w:p>
            <w:pPr>
              <w:spacing w:after="0"/>
              <w:rPr>
                <w:sz w:val="1"/>
                <w:szCs w:val="1"/>
                <w:color w:val="auto"/>
              </w:rPr>
            </w:pPr>
          </w:p>
        </w:tc>
      </w:tr>
      <w:tr>
        <w:trPr>
          <w:trHeight w:val="203"/>
        </w:trPr>
        <w:tc>
          <w:tcPr>
            <w:tcW w:w="3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B&amp;I</w:t>
            </w:r>
          </w:p>
        </w:tc>
        <w:tc>
          <w:tcPr>
            <w:tcW w:w="8080" w:type="dxa"/>
            <w:vAlign w:val="bottom"/>
          </w:tcPr>
          <w:p>
            <w:pPr>
              <w:ind w:left="20"/>
              <w:spacing w:after="0" w:line="202" w:lineRule="exact"/>
              <w:rPr>
                <w:sz w:val="20"/>
                <w:szCs w:val="20"/>
                <w:color w:val="auto"/>
              </w:rPr>
            </w:pPr>
            <w:r>
              <w:rPr>
                <w:rFonts w:ascii="Arial" w:cs="Arial" w:eastAsia="Arial" w:hAnsi="Arial"/>
                <w:sz w:val="18"/>
                <w:szCs w:val="18"/>
                <w:color w:val="auto"/>
              </w:rPr>
              <w:t>for commercial real estate properties, sports and entertainment venues, and traditional hospitals and</w:t>
            </w:r>
          </w:p>
        </w:tc>
        <w:tc>
          <w:tcPr>
            <w:tcW w:w="0" w:type="dxa"/>
            <w:vAlign w:val="bottom"/>
          </w:tcPr>
          <w:p>
            <w:pPr>
              <w:spacing w:after="0"/>
              <w:rPr>
                <w:sz w:val="1"/>
                <w:szCs w:val="1"/>
                <w:color w:val="auto"/>
              </w:rPr>
            </w:pPr>
          </w:p>
        </w:tc>
      </w:tr>
      <w:tr>
        <w:trPr>
          <w:trHeight w:val="135"/>
        </w:trPr>
        <w:tc>
          <w:tcPr>
            <w:tcW w:w="3360" w:type="dxa"/>
            <w:vAlign w:val="bottom"/>
            <w:tcBorders>
              <w:right w:val="single" w:sz="8" w:color="auto"/>
            </w:tcBorders>
            <w:vMerge w:val="continue"/>
          </w:tcPr>
          <w:p>
            <w:pPr>
              <w:spacing w:after="0"/>
              <w:rPr>
                <w:sz w:val="11"/>
                <w:szCs w:val="11"/>
                <w:color w:val="auto"/>
              </w:rPr>
            </w:pPr>
          </w:p>
        </w:tc>
        <w:tc>
          <w:tcPr>
            <w:tcW w:w="808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non-acute healthcare facilities. B&amp;I also provides vehicle maintenance and other services to rental</w:t>
            </w:r>
          </w:p>
        </w:tc>
        <w:tc>
          <w:tcPr>
            <w:tcW w:w="0" w:type="dxa"/>
            <w:vAlign w:val="bottom"/>
          </w:tcPr>
          <w:p>
            <w:pPr>
              <w:spacing w:after="0"/>
              <w:rPr>
                <w:sz w:val="1"/>
                <w:szCs w:val="1"/>
                <w:color w:val="auto"/>
              </w:rPr>
            </w:pPr>
          </w:p>
        </w:tc>
      </w:tr>
      <w:tr>
        <w:trPr>
          <w:trHeight w:val="68"/>
        </w:trPr>
        <w:tc>
          <w:tcPr>
            <w:tcW w:w="3360" w:type="dxa"/>
            <w:vAlign w:val="bottom"/>
            <w:tcBorders>
              <w:right w:val="single" w:sz="8" w:color="auto"/>
            </w:tcBorders>
          </w:tcPr>
          <w:p>
            <w:pPr>
              <w:spacing w:after="0"/>
              <w:rPr>
                <w:sz w:val="5"/>
                <w:szCs w:val="5"/>
                <w:color w:val="auto"/>
              </w:rPr>
            </w:pPr>
          </w:p>
        </w:tc>
        <w:tc>
          <w:tcPr>
            <w:tcW w:w="8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3360" w:type="dxa"/>
            <w:vAlign w:val="bottom"/>
            <w:tcBorders>
              <w:bottom w:val="single" w:sz="8" w:color="auto"/>
              <w:right w:val="single" w:sz="8" w:color="auto"/>
            </w:tcBorders>
          </w:tcPr>
          <w:p>
            <w:pPr>
              <w:spacing w:after="0"/>
              <w:rPr>
                <w:sz w:val="21"/>
                <w:szCs w:val="21"/>
                <w:color w:val="auto"/>
              </w:rPr>
            </w:pPr>
          </w:p>
        </w:tc>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car providers.</w:t>
            </w:r>
          </w:p>
        </w:tc>
        <w:tc>
          <w:tcPr>
            <w:tcW w:w="0" w:type="dxa"/>
            <w:vAlign w:val="bottom"/>
          </w:tcPr>
          <w:p>
            <w:pPr>
              <w:spacing w:after="0"/>
              <w:rPr>
                <w:sz w:val="1"/>
                <w:szCs w:val="1"/>
                <w:color w:val="auto"/>
              </w:rPr>
            </w:pPr>
          </w:p>
        </w:tc>
      </w:tr>
      <w:tr>
        <w:trPr>
          <w:trHeight w:val="313"/>
        </w:trPr>
        <w:tc>
          <w:tcPr>
            <w:tcW w:w="3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Aviation</w:t>
            </w:r>
          </w:p>
        </w:tc>
        <w:tc>
          <w:tcPr>
            <w:tcW w:w="8080" w:type="dxa"/>
            <w:vAlign w:val="bottom"/>
          </w:tcPr>
          <w:p>
            <w:pPr>
              <w:ind w:left="20"/>
              <w:spacing w:after="0"/>
              <w:rPr>
                <w:sz w:val="20"/>
                <w:szCs w:val="20"/>
                <w:color w:val="auto"/>
              </w:rPr>
            </w:pPr>
            <w:r>
              <w:rPr>
                <w:rFonts w:ascii="Arial" w:cs="Arial" w:eastAsia="Arial" w:hAnsi="Arial"/>
                <w:sz w:val="18"/>
                <w:szCs w:val="18"/>
                <w:color w:val="auto"/>
              </w:rPr>
              <w:t>Aviation supports airlines and airports with services ranging from parking and janitorial to passenger</w:t>
            </w:r>
          </w:p>
        </w:tc>
        <w:tc>
          <w:tcPr>
            <w:tcW w:w="0" w:type="dxa"/>
            <w:vAlign w:val="bottom"/>
          </w:tcPr>
          <w:p>
            <w:pPr>
              <w:spacing w:after="0"/>
              <w:rPr>
                <w:sz w:val="1"/>
                <w:szCs w:val="1"/>
                <w:color w:val="auto"/>
              </w:rPr>
            </w:pPr>
          </w:p>
        </w:tc>
      </w:tr>
      <w:tr>
        <w:trPr>
          <w:trHeight w:val="135"/>
        </w:trPr>
        <w:tc>
          <w:tcPr>
            <w:tcW w:w="3360" w:type="dxa"/>
            <w:vAlign w:val="bottom"/>
            <w:tcBorders>
              <w:right w:val="single" w:sz="8" w:color="auto"/>
            </w:tcBorders>
            <w:vMerge w:val="continue"/>
          </w:tcPr>
          <w:p>
            <w:pPr>
              <w:spacing w:after="0"/>
              <w:rPr>
                <w:sz w:val="11"/>
                <w:szCs w:val="11"/>
                <w:color w:val="auto"/>
              </w:rPr>
            </w:pPr>
          </w:p>
        </w:tc>
        <w:tc>
          <w:tcPr>
            <w:tcW w:w="8080" w:type="dxa"/>
            <w:vAlign w:val="bottom"/>
            <w:vMerge w:val="restart"/>
          </w:tcPr>
          <w:p>
            <w:pPr>
              <w:ind w:left="20"/>
              <w:spacing w:after="0"/>
              <w:rPr>
                <w:sz w:val="20"/>
                <w:szCs w:val="20"/>
                <w:color w:val="auto"/>
              </w:rPr>
            </w:pPr>
            <w:r>
              <w:rPr>
                <w:rFonts w:ascii="Arial" w:cs="Arial" w:eastAsia="Arial" w:hAnsi="Arial"/>
                <w:sz w:val="18"/>
                <w:szCs w:val="18"/>
                <w:color w:val="auto"/>
              </w:rPr>
              <w:t>assistance, catering logistics, air cabin maintenance, and transportation.</w:t>
            </w:r>
          </w:p>
        </w:tc>
        <w:tc>
          <w:tcPr>
            <w:tcW w:w="0" w:type="dxa"/>
            <w:vAlign w:val="bottom"/>
          </w:tcPr>
          <w:p>
            <w:pPr>
              <w:spacing w:after="0"/>
              <w:rPr>
                <w:sz w:val="1"/>
                <w:szCs w:val="1"/>
                <w:color w:val="auto"/>
              </w:rPr>
            </w:pPr>
          </w:p>
        </w:tc>
      </w:tr>
      <w:tr>
        <w:trPr>
          <w:trHeight w:val="108"/>
        </w:trPr>
        <w:tc>
          <w:tcPr>
            <w:tcW w:w="3360" w:type="dxa"/>
            <w:vAlign w:val="bottom"/>
            <w:tcBorders>
              <w:right w:val="single" w:sz="8" w:color="auto"/>
            </w:tcBorders>
          </w:tcPr>
          <w:p>
            <w:pPr>
              <w:spacing w:after="0"/>
              <w:rPr>
                <w:sz w:val="9"/>
                <w:szCs w:val="9"/>
                <w:color w:val="auto"/>
              </w:rPr>
            </w:pPr>
          </w:p>
        </w:tc>
        <w:tc>
          <w:tcPr>
            <w:tcW w:w="8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3360" w:type="dxa"/>
            <w:vAlign w:val="bottom"/>
            <w:tcBorders>
              <w:bottom w:val="single" w:sz="8" w:color="auto"/>
              <w:right w:val="single" w:sz="8" w:color="auto"/>
            </w:tcBorders>
          </w:tcPr>
          <w:p>
            <w:pPr>
              <w:spacing w:after="0"/>
              <w:rPr>
                <w:sz w:val="10"/>
                <w:szCs w:val="10"/>
                <w:color w:val="auto"/>
              </w:rPr>
            </w:pPr>
          </w:p>
        </w:tc>
        <w:tc>
          <w:tcPr>
            <w:tcW w:w="80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08"/>
        </w:trPr>
        <w:tc>
          <w:tcPr>
            <w:tcW w:w="3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T&amp;M</w:t>
            </w:r>
          </w:p>
        </w:tc>
        <w:tc>
          <w:tcPr>
            <w:tcW w:w="8080" w:type="dxa"/>
            <w:vAlign w:val="bottom"/>
          </w:tcPr>
          <w:p>
            <w:pPr>
              <w:ind w:left="20"/>
              <w:spacing w:after="0"/>
              <w:rPr>
                <w:sz w:val="20"/>
                <w:szCs w:val="20"/>
                <w:color w:val="auto"/>
              </w:rPr>
            </w:pPr>
            <w:r>
              <w:rPr>
                <w:rFonts w:ascii="Arial" w:cs="Arial" w:eastAsia="Arial" w:hAnsi="Arial"/>
                <w:sz w:val="18"/>
                <w:szCs w:val="18"/>
                <w:color w:val="auto"/>
              </w:rPr>
              <w:t>T&amp;M  provides  janitorial,  facilities  services,  and  parking  services  to  industrial  and  high-tech</w:t>
            </w:r>
          </w:p>
        </w:tc>
        <w:tc>
          <w:tcPr>
            <w:tcW w:w="0" w:type="dxa"/>
            <w:vAlign w:val="bottom"/>
          </w:tcPr>
          <w:p>
            <w:pPr>
              <w:spacing w:after="0"/>
              <w:rPr>
                <w:sz w:val="1"/>
                <w:szCs w:val="1"/>
                <w:color w:val="auto"/>
              </w:rPr>
            </w:pPr>
          </w:p>
        </w:tc>
      </w:tr>
      <w:tr>
        <w:trPr>
          <w:trHeight w:val="135"/>
        </w:trPr>
        <w:tc>
          <w:tcPr>
            <w:tcW w:w="3360" w:type="dxa"/>
            <w:vAlign w:val="bottom"/>
            <w:tcBorders>
              <w:right w:val="single" w:sz="8" w:color="auto"/>
            </w:tcBorders>
            <w:vMerge w:val="continue"/>
          </w:tcPr>
          <w:p>
            <w:pPr>
              <w:spacing w:after="0"/>
              <w:rPr>
                <w:sz w:val="11"/>
                <w:szCs w:val="11"/>
                <w:color w:val="auto"/>
              </w:rPr>
            </w:pPr>
          </w:p>
        </w:tc>
        <w:tc>
          <w:tcPr>
            <w:tcW w:w="8080" w:type="dxa"/>
            <w:vAlign w:val="bottom"/>
            <w:vMerge w:val="restart"/>
          </w:tcPr>
          <w:p>
            <w:pPr>
              <w:ind w:left="20"/>
              <w:spacing w:after="0"/>
              <w:rPr>
                <w:sz w:val="20"/>
                <w:szCs w:val="20"/>
                <w:color w:val="auto"/>
              </w:rPr>
            </w:pPr>
            <w:r>
              <w:rPr>
                <w:rFonts w:ascii="Arial" w:cs="Arial" w:eastAsia="Arial" w:hAnsi="Arial"/>
                <w:sz w:val="18"/>
                <w:szCs w:val="18"/>
                <w:color w:val="auto"/>
              </w:rPr>
              <w:t>manufacturing facilities.</w:t>
            </w:r>
          </w:p>
        </w:tc>
        <w:tc>
          <w:tcPr>
            <w:tcW w:w="0" w:type="dxa"/>
            <w:vAlign w:val="bottom"/>
          </w:tcPr>
          <w:p>
            <w:pPr>
              <w:spacing w:after="0"/>
              <w:rPr>
                <w:sz w:val="1"/>
                <w:szCs w:val="1"/>
                <w:color w:val="auto"/>
              </w:rPr>
            </w:pPr>
          </w:p>
        </w:tc>
      </w:tr>
      <w:tr>
        <w:trPr>
          <w:trHeight w:val="108"/>
        </w:trPr>
        <w:tc>
          <w:tcPr>
            <w:tcW w:w="3360" w:type="dxa"/>
            <w:vAlign w:val="bottom"/>
            <w:tcBorders>
              <w:right w:val="single" w:sz="8" w:color="auto"/>
            </w:tcBorders>
          </w:tcPr>
          <w:p>
            <w:pPr>
              <w:spacing w:after="0"/>
              <w:rPr>
                <w:sz w:val="9"/>
                <w:szCs w:val="9"/>
                <w:color w:val="auto"/>
              </w:rPr>
            </w:pPr>
          </w:p>
        </w:tc>
        <w:tc>
          <w:tcPr>
            <w:tcW w:w="8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3360" w:type="dxa"/>
            <w:vAlign w:val="bottom"/>
            <w:tcBorders>
              <w:bottom w:val="single" w:sz="8" w:color="auto"/>
              <w:right w:val="single" w:sz="8" w:color="auto"/>
            </w:tcBorders>
          </w:tcPr>
          <w:p>
            <w:pPr>
              <w:spacing w:after="0"/>
              <w:rPr>
                <w:sz w:val="10"/>
                <w:szCs w:val="10"/>
                <w:color w:val="auto"/>
              </w:rPr>
            </w:pPr>
          </w:p>
        </w:tc>
        <w:tc>
          <w:tcPr>
            <w:tcW w:w="80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08"/>
        </w:trPr>
        <w:tc>
          <w:tcPr>
            <w:tcW w:w="3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Education</w:t>
            </w:r>
          </w:p>
        </w:tc>
        <w:tc>
          <w:tcPr>
            <w:tcW w:w="8080" w:type="dxa"/>
            <w:vAlign w:val="bottom"/>
          </w:tcPr>
          <w:p>
            <w:pPr>
              <w:ind w:left="20"/>
              <w:spacing w:after="0"/>
              <w:rPr>
                <w:sz w:val="20"/>
                <w:szCs w:val="20"/>
                <w:color w:val="auto"/>
              </w:rPr>
            </w:pPr>
            <w:r>
              <w:rPr>
                <w:rFonts w:ascii="Arial" w:cs="Arial" w:eastAsia="Arial" w:hAnsi="Arial"/>
                <w:sz w:val="18"/>
                <w:szCs w:val="18"/>
                <w:color w:val="auto"/>
              </w:rPr>
              <w:t>Education delivers janitorial, custodial, landscaping and grounds, facilities engineering, and parking</w:t>
            </w:r>
          </w:p>
        </w:tc>
        <w:tc>
          <w:tcPr>
            <w:tcW w:w="0" w:type="dxa"/>
            <w:vAlign w:val="bottom"/>
          </w:tcPr>
          <w:p>
            <w:pPr>
              <w:spacing w:after="0"/>
              <w:rPr>
                <w:sz w:val="1"/>
                <w:szCs w:val="1"/>
                <w:color w:val="auto"/>
              </w:rPr>
            </w:pPr>
          </w:p>
        </w:tc>
      </w:tr>
      <w:tr>
        <w:trPr>
          <w:trHeight w:val="135"/>
        </w:trPr>
        <w:tc>
          <w:tcPr>
            <w:tcW w:w="3360" w:type="dxa"/>
            <w:vAlign w:val="bottom"/>
            <w:tcBorders>
              <w:right w:val="single" w:sz="8" w:color="auto"/>
            </w:tcBorders>
            <w:vMerge w:val="continue"/>
          </w:tcPr>
          <w:p>
            <w:pPr>
              <w:spacing w:after="0"/>
              <w:rPr>
                <w:sz w:val="11"/>
                <w:szCs w:val="11"/>
                <w:color w:val="auto"/>
              </w:rPr>
            </w:pPr>
          </w:p>
        </w:tc>
        <w:tc>
          <w:tcPr>
            <w:tcW w:w="8080" w:type="dxa"/>
            <w:vAlign w:val="bottom"/>
            <w:vMerge w:val="restart"/>
          </w:tcPr>
          <w:p>
            <w:pPr>
              <w:ind w:left="20"/>
              <w:spacing w:after="0"/>
              <w:rPr>
                <w:sz w:val="20"/>
                <w:szCs w:val="20"/>
                <w:color w:val="auto"/>
              </w:rPr>
            </w:pPr>
            <w:r>
              <w:rPr>
                <w:rFonts w:ascii="Arial" w:cs="Arial" w:eastAsia="Arial" w:hAnsi="Arial"/>
                <w:sz w:val="18"/>
                <w:szCs w:val="18"/>
                <w:color w:val="auto"/>
              </w:rPr>
              <w:t>services for public school districts, private schools, colleges, and universities.</w:t>
            </w:r>
          </w:p>
        </w:tc>
        <w:tc>
          <w:tcPr>
            <w:tcW w:w="0" w:type="dxa"/>
            <w:vAlign w:val="bottom"/>
          </w:tcPr>
          <w:p>
            <w:pPr>
              <w:spacing w:after="0"/>
              <w:rPr>
                <w:sz w:val="1"/>
                <w:szCs w:val="1"/>
                <w:color w:val="auto"/>
              </w:rPr>
            </w:pPr>
          </w:p>
        </w:tc>
      </w:tr>
      <w:tr>
        <w:trPr>
          <w:trHeight w:val="108"/>
        </w:trPr>
        <w:tc>
          <w:tcPr>
            <w:tcW w:w="3360" w:type="dxa"/>
            <w:vAlign w:val="bottom"/>
            <w:tcBorders>
              <w:right w:val="single" w:sz="8" w:color="auto"/>
            </w:tcBorders>
          </w:tcPr>
          <w:p>
            <w:pPr>
              <w:spacing w:after="0"/>
              <w:rPr>
                <w:sz w:val="9"/>
                <w:szCs w:val="9"/>
                <w:color w:val="auto"/>
              </w:rPr>
            </w:pPr>
          </w:p>
        </w:tc>
        <w:tc>
          <w:tcPr>
            <w:tcW w:w="8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3360" w:type="dxa"/>
            <w:vAlign w:val="bottom"/>
            <w:tcBorders>
              <w:bottom w:val="single" w:sz="8" w:color="auto"/>
              <w:right w:val="single" w:sz="8" w:color="auto"/>
            </w:tcBorders>
          </w:tcPr>
          <w:p>
            <w:pPr>
              <w:spacing w:after="0"/>
              <w:rPr>
                <w:sz w:val="10"/>
                <w:szCs w:val="10"/>
                <w:color w:val="auto"/>
              </w:rPr>
            </w:pPr>
          </w:p>
        </w:tc>
        <w:tc>
          <w:tcPr>
            <w:tcW w:w="80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08"/>
        </w:trPr>
        <w:tc>
          <w:tcPr>
            <w:tcW w:w="3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Technical Solutions</w:t>
            </w:r>
          </w:p>
        </w:tc>
        <w:tc>
          <w:tcPr>
            <w:tcW w:w="8080" w:type="dxa"/>
            <w:vAlign w:val="bottom"/>
          </w:tcPr>
          <w:p>
            <w:pPr>
              <w:ind w:left="20"/>
              <w:spacing w:after="0"/>
              <w:rPr>
                <w:sz w:val="20"/>
                <w:szCs w:val="20"/>
                <w:color w:val="auto"/>
              </w:rPr>
            </w:pPr>
            <w:r>
              <w:rPr>
                <w:rFonts w:ascii="Arial" w:cs="Arial" w:eastAsia="Arial" w:hAnsi="Arial"/>
                <w:sz w:val="18"/>
                <w:szCs w:val="18"/>
                <w:color w:val="auto"/>
              </w:rPr>
              <w:t>Technical Solutions specializes in mechanical and electrical services. These services can also be</w:t>
            </w:r>
          </w:p>
        </w:tc>
        <w:tc>
          <w:tcPr>
            <w:tcW w:w="0" w:type="dxa"/>
            <w:vAlign w:val="bottom"/>
          </w:tcPr>
          <w:p>
            <w:pPr>
              <w:spacing w:after="0"/>
              <w:rPr>
                <w:sz w:val="1"/>
                <w:szCs w:val="1"/>
                <w:color w:val="auto"/>
              </w:rPr>
            </w:pPr>
          </w:p>
        </w:tc>
      </w:tr>
      <w:tr>
        <w:trPr>
          <w:trHeight w:val="135"/>
        </w:trPr>
        <w:tc>
          <w:tcPr>
            <w:tcW w:w="3360" w:type="dxa"/>
            <w:vAlign w:val="bottom"/>
            <w:tcBorders>
              <w:right w:val="single" w:sz="8" w:color="auto"/>
            </w:tcBorders>
            <w:vMerge w:val="continue"/>
          </w:tcPr>
          <w:p>
            <w:pPr>
              <w:spacing w:after="0"/>
              <w:rPr>
                <w:sz w:val="11"/>
                <w:szCs w:val="11"/>
                <w:color w:val="auto"/>
              </w:rPr>
            </w:pPr>
          </w:p>
        </w:tc>
        <w:tc>
          <w:tcPr>
            <w:tcW w:w="8080" w:type="dxa"/>
            <w:vAlign w:val="bottom"/>
            <w:vMerge w:val="restart"/>
          </w:tcPr>
          <w:p>
            <w:pPr>
              <w:ind w:left="20"/>
              <w:spacing w:after="0"/>
              <w:rPr>
                <w:sz w:val="20"/>
                <w:szCs w:val="20"/>
                <w:color w:val="auto"/>
              </w:rPr>
            </w:pPr>
            <w:r>
              <w:rPr>
                <w:rFonts w:ascii="Arial" w:cs="Arial" w:eastAsia="Arial" w:hAnsi="Arial"/>
                <w:sz w:val="18"/>
                <w:szCs w:val="18"/>
                <w:color w:val="auto"/>
              </w:rPr>
              <w:t>leveraged for cross-selling across all of our industry groups, both domestically and internationally.</w:t>
            </w:r>
          </w:p>
        </w:tc>
        <w:tc>
          <w:tcPr>
            <w:tcW w:w="0" w:type="dxa"/>
            <w:vAlign w:val="bottom"/>
          </w:tcPr>
          <w:p>
            <w:pPr>
              <w:spacing w:after="0"/>
              <w:rPr>
                <w:sz w:val="1"/>
                <w:szCs w:val="1"/>
                <w:color w:val="auto"/>
              </w:rPr>
            </w:pPr>
          </w:p>
        </w:tc>
      </w:tr>
      <w:tr>
        <w:trPr>
          <w:trHeight w:val="108"/>
        </w:trPr>
        <w:tc>
          <w:tcPr>
            <w:tcW w:w="3360" w:type="dxa"/>
            <w:vAlign w:val="bottom"/>
            <w:tcBorders>
              <w:right w:val="single" w:sz="8" w:color="auto"/>
            </w:tcBorders>
          </w:tcPr>
          <w:p>
            <w:pPr>
              <w:spacing w:after="0"/>
              <w:rPr>
                <w:sz w:val="9"/>
                <w:szCs w:val="9"/>
                <w:color w:val="auto"/>
              </w:rPr>
            </w:pPr>
          </w:p>
        </w:tc>
        <w:tc>
          <w:tcPr>
            <w:tcW w:w="8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3360" w:type="dxa"/>
            <w:vAlign w:val="bottom"/>
            <w:tcBorders>
              <w:bottom w:val="single" w:sz="8" w:color="auto"/>
              <w:right w:val="single" w:sz="8" w:color="auto"/>
            </w:tcBorders>
          </w:tcPr>
          <w:p>
            <w:pPr>
              <w:spacing w:after="0"/>
              <w:rPr>
                <w:sz w:val="10"/>
                <w:szCs w:val="10"/>
                <w:color w:val="auto"/>
              </w:rPr>
            </w:pPr>
          </w:p>
        </w:tc>
        <w:tc>
          <w:tcPr>
            <w:tcW w:w="80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The accounting policies for our segments are the same as those disclosed within our significant accounting policies in Note 2, “Basis of Presentation and Significant Accounting Policies.” Our management evaluates the performance of each reportable segment based on its respective operating profit results, which include the allocation of certain centrally incurred costs. Corporate expenses not allocated to segments include certain CEO and other finance and human resource departmental expenses, certain information technology costs, share-based compensation, certain legal costs and settlements, restructuring and related costs, certain actuarial adjustments to self-insurance reserves, and direct acquisition costs. Management does not review asset information by segment, therefore we do not present assets in this note.</w:t>
      </w: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40"/>
          </w:cols>
          <w:pgMar w:left="240" w:top="493" w:right="21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i w:val="1"/>
          <w:iCs w:val="1"/>
          <w:color w:val="0046AD"/>
        </w:rPr>
        <w:t>Financial Information by Reportable Segment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34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Years Ended October 31,</w:t>
            </w:r>
          </w:p>
        </w:tc>
        <w:tc>
          <w:tcPr>
            <w:tcW w:w="12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638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564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DCE2EF"/>
            </w:tcBorders>
            <w:shd w:val="clear" w:color="auto" w:fill="DCE2EF"/>
          </w:tcPr>
          <w:p>
            <w:pPr>
              <w:spacing w:after="0"/>
              <w:rPr>
                <w:sz w:val="21"/>
                <w:szCs w:val="21"/>
                <w:color w:val="auto"/>
              </w:rPr>
            </w:pPr>
          </w:p>
        </w:tc>
        <w:tc>
          <w:tcPr>
            <w:tcW w:w="634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8"/>
                <w:szCs w:val="18"/>
                <w:b w:val="1"/>
                <w:bCs w:val="1"/>
                <w:color w:val="auto"/>
                <w:shd w:val="clear" w:color="auto" w:fill="DCE2EF"/>
              </w:rPr>
              <w:t>Revenues</w:t>
            </w:r>
          </w:p>
        </w:tc>
        <w:tc>
          <w:tcPr>
            <w:tcW w:w="360" w:type="dxa"/>
            <w:vAlign w:val="bottom"/>
            <w:tcBorders>
              <w:bottom w:val="single" w:sz="8" w:color="DCE2EF"/>
            </w:tcBorders>
            <w:shd w:val="clear" w:color="auto" w:fill="DCE2EF"/>
          </w:tcPr>
          <w:p>
            <w:pPr>
              <w:spacing w:after="0"/>
              <w:rPr>
                <w:sz w:val="21"/>
                <w:szCs w:val="21"/>
                <w:color w:val="auto"/>
              </w:rPr>
            </w:pPr>
          </w:p>
        </w:tc>
        <w:tc>
          <w:tcPr>
            <w:tcW w:w="1240" w:type="dxa"/>
            <w:vAlign w:val="bottom"/>
            <w:tcBorders>
              <w:bottom w:val="single" w:sz="8" w:color="DCE2EF"/>
            </w:tcBorders>
            <w:shd w:val="clear" w:color="auto" w:fill="DCE2EF"/>
          </w:tcPr>
          <w:p>
            <w:pPr>
              <w:spacing w:after="0"/>
              <w:rPr>
                <w:sz w:val="21"/>
                <w:szCs w:val="21"/>
                <w:color w:val="auto"/>
              </w:rPr>
            </w:pPr>
          </w:p>
        </w:tc>
        <w:tc>
          <w:tcPr>
            <w:tcW w:w="120" w:type="dxa"/>
            <w:vAlign w:val="bottom"/>
            <w:tcBorders>
              <w:bottom w:val="single" w:sz="8" w:color="DCE2EF"/>
            </w:tcBorders>
            <w:shd w:val="clear" w:color="auto" w:fill="DCE2EF"/>
          </w:tcPr>
          <w:p>
            <w:pPr>
              <w:spacing w:after="0"/>
              <w:rPr>
                <w:sz w:val="21"/>
                <w:szCs w:val="21"/>
                <w:color w:val="auto"/>
              </w:rPr>
            </w:pPr>
          </w:p>
        </w:tc>
        <w:tc>
          <w:tcPr>
            <w:tcW w:w="360" w:type="dxa"/>
            <w:vAlign w:val="bottom"/>
            <w:tcBorders>
              <w:bottom w:val="single" w:sz="8" w:color="DCE2EF"/>
            </w:tcBorders>
            <w:shd w:val="clear" w:color="auto" w:fill="DCE2EF"/>
          </w:tcPr>
          <w:p>
            <w:pPr>
              <w:spacing w:after="0"/>
              <w:rPr>
                <w:sz w:val="21"/>
                <w:szCs w:val="21"/>
                <w:color w:val="auto"/>
              </w:rPr>
            </w:pPr>
          </w:p>
        </w:tc>
        <w:tc>
          <w:tcPr>
            <w:tcW w:w="1240" w:type="dxa"/>
            <w:vAlign w:val="bottom"/>
            <w:tcBorders>
              <w:bottom w:val="single" w:sz="8" w:color="DCE2EF"/>
            </w:tcBorders>
            <w:shd w:val="clear" w:color="auto" w:fill="DCE2EF"/>
          </w:tcPr>
          <w:p>
            <w:pPr>
              <w:spacing w:after="0"/>
              <w:rPr>
                <w:sz w:val="21"/>
                <w:szCs w:val="21"/>
                <w:color w:val="auto"/>
              </w:rPr>
            </w:pPr>
          </w:p>
        </w:tc>
        <w:tc>
          <w:tcPr>
            <w:tcW w:w="120" w:type="dxa"/>
            <w:vAlign w:val="bottom"/>
            <w:tcBorders>
              <w:bottom w:val="single" w:sz="8" w:color="DCE2EF"/>
            </w:tcBorders>
            <w:shd w:val="clear" w:color="auto" w:fill="DCE2EF"/>
          </w:tcPr>
          <w:p>
            <w:pPr>
              <w:spacing w:after="0"/>
              <w:rPr>
                <w:sz w:val="21"/>
                <w:szCs w:val="21"/>
                <w:color w:val="auto"/>
              </w:rPr>
            </w:pPr>
          </w:p>
        </w:tc>
        <w:tc>
          <w:tcPr>
            <w:tcW w:w="380" w:type="dxa"/>
            <w:vAlign w:val="bottom"/>
            <w:tcBorders>
              <w:bottom w:val="single" w:sz="8" w:color="DCE2EF"/>
            </w:tcBorders>
            <w:shd w:val="clear" w:color="auto" w:fill="DCE2EF"/>
          </w:tcPr>
          <w:p>
            <w:pPr>
              <w:spacing w:after="0"/>
              <w:rPr>
                <w:sz w:val="21"/>
                <w:szCs w:val="21"/>
                <w:color w:val="auto"/>
              </w:rPr>
            </w:pPr>
          </w:p>
        </w:tc>
        <w:tc>
          <w:tcPr>
            <w:tcW w:w="1220" w:type="dxa"/>
            <w:vAlign w:val="bottom"/>
            <w:tcBorders>
              <w:bottom w:val="single" w:sz="8" w:color="DCE2EF"/>
            </w:tcBorders>
            <w:shd w:val="clear" w:color="auto" w:fill="DCE2E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Business &amp; Industry</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3,251.4</w:t>
            </w:r>
          </w:p>
        </w:tc>
        <w:tc>
          <w:tcPr>
            <w:tcW w:w="12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3,268.4</w:t>
            </w:r>
          </w:p>
        </w:tc>
        <w:tc>
          <w:tcPr>
            <w:tcW w:w="12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2,939.4</w:t>
            </w:r>
          </w:p>
        </w:tc>
        <w:tc>
          <w:tcPr>
            <w:tcW w:w="0" w:type="dxa"/>
            <w:vAlign w:val="bottom"/>
          </w:tcPr>
          <w:p>
            <w:pPr>
              <w:spacing w:after="0"/>
              <w:rPr>
                <w:sz w:val="1"/>
                <w:szCs w:val="1"/>
                <w:color w:val="auto"/>
              </w:rPr>
            </w:pPr>
          </w:p>
        </w:tc>
      </w:tr>
      <w:tr>
        <w:trPr>
          <w:trHeight w:val="255"/>
        </w:trPr>
        <w:tc>
          <w:tcPr>
            <w:tcW w:w="40" w:type="dxa"/>
            <w:vAlign w:val="bottom"/>
            <w:tcBorders>
              <w:bottom w:val="single" w:sz="8" w:color="DCE2EF"/>
            </w:tcBorders>
            <w:shd w:val="clear" w:color="auto" w:fill="DCE2EF"/>
          </w:tcPr>
          <w:p>
            <w:pPr>
              <w:spacing w:after="0"/>
              <w:rPr>
                <w:sz w:val="22"/>
                <w:szCs w:val="22"/>
                <w:color w:val="auto"/>
              </w:rPr>
            </w:pPr>
          </w:p>
        </w:tc>
        <w:tc>
          <w:tcPr>
            <w:tcW w:w="70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8"/>
                <w:szCs w:val="18"/>
                <w:color w:val="auto"/>
                <w:shd w:val="clear" w:color="auto" w:fill="DCE2EF"/>
              </w:rPr>
              <w:t>Aviation</w:t>
            </w:r>
          </w:p>
        </w:tc>
        <w:tc>
          <w:tcPr>
            <w:tcW w:w="5640" w:type="dxa"/>
            <w:vAlign w:val="bottom"/>
            <w:tcBorders>
              <w:bottom w:val="single" w:sz="8" w:color="DCE2EF"/>
            </w:tcBorders>
            <w:shd w:val="clear" w:color="auto" w:fill="DCE2EF"/>
          </w:tcPr>
          <w:p>
            <w:pPr>
              <w:spacing w:after="0"/>
              <w:rPr>
                <w:sz w:val="22"/>
                <w:szCs w:val="22"/>
                <w:color w:val="auto"/>
              </w:rPr>
            </w:pPr>
          </w:p>
        </w:tc>
        <w:tc>
          <w:tcPr>
            <w:tcW w:w="360" w:type="dxa"/>
            <w:vAlign w:val="bottom"/>
            <w:tcBorders>
              <w:bottom w:val="single" w:sz="8" w:color="DCE2EF"/>
            </w:tcBorders>
            <w:shd w:val="clear" w:color="auto" w:fill="DCE2EF"/>
          </w:tcPr>
          <w:p>
            <w:pPr>
              <w:spacing w:after="0"/>
              <w:rPr>
                <w:sz w:val="22"/>
                <w:szCs w:val="22"/>
                <w:color w:val="auto"/>
              </w:rPr>
            </w:pPr>
          </w:p>
        </w:tc>
        <w:tc>
          <w:tcPr>
            <w:tcW w:w="1240" w:type="dxa"/>
            <w:vAlign w:val="bottom"/>
            <w:tcBorders>
              <w:bottom w:val="single" w:sz="8" w:color="DCE2EF"/>
            </w:tcBorders>
            <w:shd w:val="clear" w:color="auto" w:fill="DCE2EF"/>
          </w:tcPr>
          <w:p>
            <w:pPr>
              <w:jc w:val="right"/>
              <w:ind w:right="10"/>
              <w:spacing w:after="0"/>
              <w:rPr>
                <w:sz w:val="20"/>
                <w:szCs w:val="20"/>
                <w:color w:val="auto"/>
              </w:rPr>
            </w:pPr>
            <w:r>
              <w:rPr>
                <w:rFonts w:ascii="Arial" w:cs="Arial" w:eastAsia="Arial" w:hAnsi="Arial"/>
                <w:sz w:val="18"/>
                <w:szCs w:val="18"/>
                <w:color w:val="auto"/>
              </w:rPr>
              <w:t>1,017.3</w:t>
            </w:r>
          </w:p>
        </w:tc>
        <w:tc>
          <w:tcPr>
            <w:tcW w:w="120" w:type="dxa"/>
            <w:vAlign w:val="bottom"/>
            <w:tcBorders>
              <w:bottom w:val="single" w:sz="8" w:color="DCE2EF"/>
            </w:tcBorders>
            <w:shd w:val="clear" w:color="auto" w:fill="DCE2EF"/>
          </w:tcPr>
          <w:p>
            <w:pPr>
              <w:spacing w:after="0"/>
              <w:rPr>
                <w:sz w:val="22"/>
                <w:szCs w:val="22"/>
                <w:color w:val="auto"/>
              </w:rPr>
            </w:pPr>
          </w:p>
        </w:tc>
        <w:tc>
          <w:tcPr>
            <w:tcW w:w="360" w:type="dxa"/>
            <w:vAlign w:val="bottom"/>
            <w:tcBorders>
              <w:bottom w:val="single" w:sz="8" w:color="DCE2EF"/>
            </w:tcBorders>
            <w:shd w:val="clear" w:color="auto" w:fill="DCE2EF"/>
          </w:tcPr>
          <w:p>
            <w:pPr>
              <w:spacing w:after="0"/>
              <w:rPr>
                <w:sz w:val="22"/>
                <w:szCs w:val="22"/>
                <w:color w:val="auto"/>
              </w:rPr>
            </w:pPr>
          </w:p>
        </w:tc>
        <w:tc>
          <w:tcPr>
            <w:tcW w:w="1240" w:type="dxa"/>
            <w:vAlign w:val="bottom"/>
            <w:tcBorders>
              <w:bottom w:val="single" w:sz="8" w:color="DCE2EF"/>
            </w:tcBorders>
            <w:shd w:val="clear" w:color="auto" w:fill="DCE2EF"/>
          </w:tcPr>
          <w:p>
            <w:pPr>
              <w:jc w:val="right"/>
              <w:ind w:right="10"/>
              <w:spacing w:after="0"/>
              <w:rPr>
                <w:sz w:val="20"/>
                <w:szCs w:val="20"/>
                <w:color w:val="auto"/>
              </w:rPr>
            </w:pPr>
            <w:r>
              <w:rPr>
                <w:rFonts w:ascii="Arial" w:cs="Arial" w:eastAsia="Arial" w:hAnsi="Arial"/>
                <w:sz w:val="18"/>
                <w:szCs w:val="18"/>
                <w:color w:val="auto"/>
              </w:rPr>
              <w:t>1,038.7</w:t>
            </w:r>
          </w:p>
        </w:tc>
        <w:tc>
          <w:tcPr>
            <w:tcW w:w="120" w:type="dxa"/>
            <w:vAlign w:val="bottom"/>
            <w:tcBorders>
              <w:bottom w:val="single" w:sz="8" w:color="DCE2EF"/>
            </w:tcBorders>
            <w:shd w:val="clear" w:color="auto" w:fill="DCE2EF"/>
          </w:tcPr>
          <w:p>
            <w:pPr>
              <w:spacing w:after="0"/>
              <w:rPr>
                <w:sz w:val="22"/>
                <w:szCs w:val="22"/>
                <w:color w:val="auto"/>
              </w:rPr>
            </w:pPr>
          </w:p>
        </w:tc>
        <w:tc>
          <w:tcPr>
            <w:tcW w:w="380" w:type="dxa"/>
            <w:vAlign w:val="bottom"/>
            <w:tcBorders>
              <w:bottom w:val="single" w:sz="8" w:color="DCE2EF"/>
            </w:tcBorders>
            <w:shd w:val="clear" w:color="auto" w:fill="DCE2EF"/>
          </w:tcPr>
          <w:p>
            <w:pPr>
              <w:spacing w:after="0"/>
              <w:rPr>
                <w:sz w:val="22"/>
                <w:szCs w:val="22"/>
                <w:color w:val="auto"/>
              </w:rPr>
            </w:pPr>
          </w:p>
        </w:tc>
        <w:tc>
          <w:tcPr>
            <w:tcW w:w="1220" w:type="dxa"/>
            <w:vAlign w:val="bottom"/>
            <w:tcBorders>
              <w:bottom w:val="single" w:sz="8" w:color="DCE2EF"/>
            </w:tcBorders>
            <w:shd w:val="clear" w:color="auto" w:fill="DCE2EF"/>
          </w:tcPr>
          <w:p>
            <w:pPr>
              <w:jc w:val="right"/>
              <w:ind w:right="10"/>
              <w:spacing w:after="0"/>
              <w:rPr>
                <w:sz w:val="20"/>
                <w:szCs w:val="20"/>
                <w:color w:val="auto"/>
              </w:rPr>
            </w:pPr>
            <w:r>
              <w:rPr>
                <w:rFonts w:ascii="Arial" w:cs="Arial" w:eastAsia="Arial" w:hAnsi="Arial"/>
                <w:sz w:val="18"/>
                <w:szCs w:val="18"/>
                <w:color w:val="auto"/>
              </w:rPr>
              <w:t>1,003.0</w:t>
            </w:r>
          </w:p>
        </w:tc>
        <w:tc>
          <w:tcPr>
            <w:tcW w:w="0" w:type="dxa"/>
            <w:vAlign w:val="bottom"/>
          </w:tcPr>
          <w:p>
            <w:pPr>
              <w:spacing w:after="0"/>
              <w:rPr>
                <w:sz w:val="1"/>
                <w:szCs w:val="1"/>
                <w:color w:val="auto"/>
              </w:rPr>
            </w:pPr>
          </w:p>
        </w:tc>
      </w:tr>
      <w:tr>
        <w:trPr>
          <w:trHeight w:val="265"/>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Technology &amp; Manufacturing</w:t>
            </w: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917.0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925.4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698.1</w:t>
            </w:r>
          </w:p>
        </w:tc>
        <w:tc>
          <w:tcPr>
            <w:tcW w:w="0" w:type="dxa"/>
            <w:vAlign w:val="bottom"/>
          </w:tcPr>
          <w:p>
            <w:pPr>
              <w:spacing w:after="0"/>
              <w:rPr>
                <w:sz w:val="1"/>
                <w:szCs w:val="1"/>
                <w:color w:val="auto"/>
              </w:rPr>
            </w:pPr>
          </w:p>
        </w:tc>
      </w:tr>
      <w:tr>
        <w:trPr>
          <w:trHeight w:val="275"/>
        </w:trPr>
        <w:tc>
          <w:tcPr>
            <w:tcW w:w="63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Education</w:t>
            </w:r>
          </w:p>
        </w:tc>
        <w:tc>
          <w:tcPr>
            <w:tcW w:w="360" w:type="dxa"/>
            <w:vAlign w:val="bottom"/>
            <w:shd w:val="clear" w:color="auto" w:fill="DCE2EF"/>
          </w:tcPr>
          <w:p>
            <w:pPr>
              <w:spacing w:after="0"/>
              <w:rPr>
                <w:sz w:val="23"/>
                <w:szCs w:val="23"/>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847.4</w:t>
            </w:r>
          </w:p>
        </w:tc>
        <w:tc>
          <w:tcPr>
            <w:tcW w:w="120" w:type="dxa"/>
            <w:vAlign w:val="bottom"/>
            <w:shd w:val="clear" w:color="auto" w:fill="DCE2EF"/>
          </w:tcPr>
          <w:p>
            <w:pPr>
              <w:spacing w:after="0"/>
              <w:rPr>
                <w:sz w:val="23"/>
                <w:szCs w:val="23"/>
                <w:color w:val="auto"/>
              </w:rPr>
            </w:pPr>
          </w:p>
        </w:tc>
        <w:tc>
          <w:tcPr>
            <w:tcW w:w="360" w:type="dxa"/>
            <w:vAlign w:val="bottom"/>
            <w:shd w:val="clear" w:color="auto" w:fill="DCE2EF"/>
          </w:tcPr>
          <w:p>
            <w:pPr>
              <w:spacing w:after="0"/>
              <w:rPr>
                <w:sz w:val="23"/>
                <w:szCs w:val="23"/>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856.7</w:t>
            </w:r>
          </w:p>
        </w:tc>
        <w:tc>
          <w:tcPr>
            <w:tcW w:w="120" w:type="dxa"/>
            <w:vAlign w:val="bottom"/>
            <w:shd w:val="clear" w:color="auto" w:fill="DCE2EF"/>
          </w:tcPr>
          <w:p>
            <w:pPr>
              <w:spacing w:after="0"/>
              <w:rPr>
                <w:sz w:val="23"/>
                <w:szCs w:val="23"/>
                <w:color w:val="auto"/>
              </w:rPr>
            </w:pPr>
          </w:p>
        </w:tc>
        <w:tc>
          <w:tcPr>
            <w:tcW w:w="380" w:type="dxa"/>
            <w:vAlign w:val="bottom"/>
            <w:shd w:val="clear" w:color="auto" w:fill="DCE2EF"/>
          </w:tcPr>
          <w:p>
            <w:pPr>
              <w:spacing w:after="0"/>
              <w:rPr>
                <w:sz w:val="23"/>
                <w:szCs w:val="23"/>
                <w:color w:val="auto"/>
              </w:rPr>
            </w:pPr>
          </w:p>
        </w:tc>
        <w:tc>
          <w:tcPr>
            <w:tcW w:w="12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368.8</w:t>
            </w:r>
          </w:p>
        </w:tc>
        <w:tc>
          <w:tcPr>
            <w:tcW w:w="0" w:type="dxa"/>
            <w:vAlign w:val="bottom"/>
          </w:tcPr>
          <w:p>
            <w:pPr>
              <w:spacing w:after="0"/>
              <w:rPr>
                <w:sz w:val="1"/>
                <w:szCs w:val="1"/>
                <w:color w:val="auto"/>
              </w:rPr>
            </w:pPr>
          </w:p>
        </w:tc>
      </w:tr>
      <w:tr>
        <w:trPr>
          <w:trHeight w:val="265"/>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Technical Solutions</w:t>
            </w: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593.2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500.1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473.4</w:t>
            </w:r>
          </w:p>
        </w:tc>
        <w:tc>
          <w:tcPr>
            <w:tcW w:w="0" w:type="dxa"/>
            <w:vAlign w:val="bottom"/>
          </w:tcPr>
          <w:p>
            <w:pPr>
              <w:spacing w:after="0"/>
              <w:rPr>
                <w:sz w:val="1"/>
                <w:szCs w:val="1"/>
                <w:color w:val="auto"/>
              </w:rPr>
            </w:pPr>
          </w:p>
        </w:tc>
      </w:tr>
      <w:tr>
        <w:trPr>
          <w:trHeight w:val="275"/>
        </w:trPr>
        <w:tc>
          <w:tcPr>
            <w:tcW w:w="63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Government Services</w:t>
            </w:r>
          </w:p>
        </w:tc>
        <w:tc>
          <w:tcPr>
            <w:tcW w:w="360" w:type="dxa"/>
            <w:vAlign w:val="bottom"/>
            <w:shd w:val="clear" w:color="auto" w:fill="DCE2EF"/>
          </w:tcPr>
          <w:p>
            <w:pPr>
              <w:spacing w:after="0"/>
              <w:rPr>
                <w:sz w:val="23"/>
                <w:szCs w:val="23"/>
                <w:color w:val="auto"/>
              </w:rPr>
            </w:pPr>
          </w:p>
        </w:tc>
        <w:tc>
          <w:tcPr>
            <w:tcW w:w="1360" w:type="dxa"/>
            <w:vAlign w:val="bottom"/>
            <w:gridSpan w:val="2"/>
            <w:shd w:val="clear" w:color="auto" w:fill="DCE2E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DCE2EF"/>
          </w:tcPr>
          <w:p>
            <w:pPr>
              <w:spacing w:after="0"/>
              <w:rPr>
                <w:sz w:val="23"/>
                <w:szCs w:val="23"/>
                <w:color w:val="auto"/>
              </w:rPr>
            </w:pPr>
          </w:p>
        </w:tc>
        <w:tc>
          <w:tcPr>
            <w:tcW w:w="1360" w:type="dxa"/>
            <w:vAlign w:val="bottom"/>
            <w:gridSpan w:val="2"/>
            <w:shd w:val="clear" w:color="auto" w:fill="DCE2E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DCE2EF"/>
          </w:tcPr>
          <w:p>
            <w:pPr>
              <w:spacing w:after="0"/>
              <w:rPr>
                <w:sz w:val="23"/>
                <w:szCs w:val="23"/>
                <w:color w:val="auto"/>
              </w:rPr>
            </w:pPr>
          </w:p>
        </w:tc>
        <w:tc>
          <w:tcPr>
            <w:tcW w:w="12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65"/>
        </w:trPr>
        <w:tc>
          <w:tcPr>
            <w:tcW w:w="6380" w:type="dxa"/>
            <w:vAlign w:val="bottom"/>
            <w:tcBorders>
              <w:bottom w:val="single" w:sz="8" w:color="DCE2EF"/>
            </w:tcBorders>
            <w:gridSpan w:val="3"/>
          </w:tcPr>
          <w:p>
            <w:pPr>
              <w:ind w:left="40"/>
              <w:spacing w:after="0"/>
              <w:rPr>
                <w:sz w:val="20"/>
                <w:szCs w:val="20"/>
                <w:color w:val="auto"/>
              </w:rPr>
            </w:pPr>
            <w:r>
              <w:rPr>
                <w:rFonts w:ascii="Arial" w:cs="Arial" w:eastAsia="Arial" w:hAnsi="Arial"/>
                <w:sz w:val="18"/>
                <w:szCs w:val="18"/>
                <w:color w:val="auto"/>
              </w:rPr>
              <w:t>Elimination of inter-segment revenues</w:t>
            </w: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w:t>
            </w:r>
          </w:p>
        </w:tc>
        <w:tc>
          <w:tcPr>
            <w:tcW w:w="120" w:type="dxa"/>
            <w:vAlign w:val="bottom"/>
            <w:tcBorders>
              <w:bottom w:val="single" w:sz="8" w:color="DCE2E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w:t>
            </w:r>
          </w:p>
        </w:tc>
        <w:tc>
          <w:tcPr>
            <w:tcW w:w="120" w:type="dxa"/>
            <w:vAlign w:val="bottom"/>
            <w:tcBorders>
              <w:bottom w:val="single" w:sz="8" w:color="DCE2E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50"/>
        </w:trPr>
        <w:tc>
          <w:tcPr>
            <w:tcW w:w="40" w:type="dxa"/>
            <w:vAlign w:val="bottom"/>
            <w:tcBorders>
              <w:bottom w:val="single" w:sz="8" w:color="DCE2EF"/>
            </w:tcBorders>
            <w:shd w:val="clear" w:color="auto" w:fill="DCE2EF"/>
          </w:tcPr>
          <w:p>
            <w:pPr>
              <w:spacing w:after="0"/>
              <w:rPr>
                <w:sz w:val="21"/>
                <w:szCs w:val="21"/>
                <w:color w:val="auto"/>
              </w:rPr>
            </w:pPr>
          </w:p>
        </w:tc>
        <w:tc>
          <w:tcPr>
            <w:tcW w:w="700" w:type="dxa"/>
            <w:vAlign w:val="bottom"/>
            <w:tcBorders>
              <w:bottom w:val="single" w:sz="8" w:color="DCE2EF"/>
            </w:tcBorders>
            <w:shd w:val="clear" w:color="auto" w:fill="DCE2EF"/>
          </w:tcPr>
          <w:p>
            <w:pPr>
              <w:spacing w:after="0"/>
              <w:rPr>
                <w:sz w:val="21"/>
                <w:szCs w:val="21"/>
                <w:color w:val="auto"/>
              </w:rPr>
            </w:pPr>
          </w:p>
        </w:tc>
        <w:tc>
          <w:tcPr>
            <w:tcW w:w="5640" w:type="dxa"/>
            <w:vAlign w:val="bottom"/>
            <w:tcBorders>
              <w:bottom w:val="single" w:sz="8" w:color="DCE2EF"/>
            </w:tcBorders>
            <w:shd w:val="clear" w:color="auto" w:fill="DCE2EF"/>
          </w:tcPr>
          <w:p>
            <w:pPr>
              <w:spacing w:after="0"/>
              <w:rPr>
                <w:sz w:val="21"/>
                <w:szCs w:val="21"/>
                <w:color w:val="auto"/>
              </w:rPr>
            </w:pPr>
          </w:p>
        </w:tc>
        <w:tc>
          <w:tcPr>
            <w:tcW w:w="360" w:type="dxa"/>
            <w:vAlign w:val="bottom"/>
            <w:tcBorders>
              <w:bottom w:val="single" w:sz="8" w:color="auto"/>
            </w:tcBorders>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6,498.6</w:t>
            </w:r>
          </w:p>
        </w:tc>
        <w:tc>
          <w:tcPr>
            <w:tcW w:w="120" w:type="dxa"/>
            <w:vAlign w:val="bottom"/>
            <w:tcBorders>
              <w:bottom w:val="single" w:sz="8" w:color="DCE2EF"/>
            </w:tcBorders>
            <w:shd w:val="clear" w:color="auto" w:fill="DCE2EF"/>
          </w:tcPr>
          <w:p>
            <w:pPr>
              <w:spacing w:after="0"/>
              <w:rPr>
                <w:sz w:val="21"/>
                <w:szCs w:val="21"/>
                <w:color w:val="auto"/>
              </w:rPr>
            </w:pPr>
          </w:p>
        </w:tc>
        <w:tc>
          <w:tcPr>
            <w:tcW w:w="360" w:type="dxa"/>
            <w:vAlign w:val="bottom"/>
            <w:tcBorders>
              <w:bottom w:val="single" w:sz="8" w:color="auto"/>
            </w:tcBorders>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6,442.2</w:t>
            </w:r>
          </w:p>
        </w:tc>
        <w:tc>
          <w:tcPr>
            <w:tcW w:w="120" w:type="dxa"/>
            <w:vAlign w:val="bottom"/>
            <w:tcBorders>
              <w:bottom w:val="single" w:sz="8" w:color="DCE2EF"/>
            </w:tcBorders>
            <w:shd w:val="clear" w:color="auto" w:fill="DCE2EF"/>
          </w:tcPr>
          <w:p>
            <w:pPr>
              <w:spacing w:after="0"/>
              <w:rPr>
                <w:sz w:val="21"/>
                <w:szCs w:val="21"/>
                <w:color w:val="auto"/>
              </w:rPr>
            </w:pPr>
          </w:p>
        </w:tc>
        <w:tc>
          <w:tcPr>
            <w:tcW w:w="380" w:type="dxa"/>
            <w:vAlign w:val="bottom"/>
            <w:tcBorders>
              <w:bottom w:val="single" w:sz="8" w:color="auto"/>
            </w:tcBorders>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5,453.6</w:t>
            </w:r>
          </w:p>
        </w:tc>
        <w:tc>
          <w:tcPr>
            <w:tcW w:w="0" w:type="dxa"/>
            <w:vAlign w:val="bottom"/>
          </w:tcPr>
          <w:p>
            <w:pPr>
              <w:spacing w:after="0"/>
              <w:rPr>
                <w:sz w:val="1"/>
                <w:szCs w:val="1"/>
                <w:color w:val="auto"/>
              </w:rPr>
            </w:pPr>
          </w:p>
        </w:tc>
      </w:tr>
      <w:tr>
        <w:trPr>
          <w:trHeight w:val="20"/>
        </w:trPr>
        <w:tc>
          <w:tcPr>
            <w:tcW w:w="638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Operating profit (loss)</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6380" w:type="dxa"/>
            <w:vAlign w:val="bottom"/>
            <w:gridSpan w:val="3"/>
            <w:vMerge w:val="continue"/>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63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Business &amp; Industry</w:t>
            </w:r>
          </w:p>
        </w:tc>
        <w:tc>
          <w:tcPr>
            <w:tcW w:w="360" w:type="dxa"/>
            <w:vAlign w:val="bottom"/>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182.3</w:t>
            </w:r>
          </w:p>
        </w:tc>
        <w:tc>
          <w:tcPr>
            <w:tcW w:w="120" w:type="dxa"/>
            <w:vAlign w:val="bottom"/>
            <w:shd w:val="clear" w:color="auto" w:fill="DCE2EF"/>
          </w:tcPr>
          <w:p>
            <w:pPr>
              <w:spacing w:after="0"/>
              <w:rPr>
                <w:sz w:val="23"/>
                <w:szCs w:val="23"/>
                <w:color w:val="auto"/>
              </w:rPr>
            </w:pPr>
          </w:p>
        </w:tc>
        <w:tc>
          <w:tcPr>
            <w:tcW w:w="360" w:type="dxa"/>
            <w:vAlign w:val="bottom"/>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157.9</w:t>
            </w:r>
          </w:p>
        </w:tc>
        <w:tc>
          <w:tcPr>
            <w:tcW w:w="120" w:type="dxa"/>
            <w:vAlign w:val="bottom"/>
            <w:shd w:val="clear" w:color="auto" w:fill="DCE2EF"/>
          </w:tcPr>
          <w:p>
            <w:pPr>
              <w:spacing w:after="0"/>
              <w:rPr>
                <w:sz w:val="23"/>
                <w:szCs w:val="23"/>
                <w:color w:val="auto"/>
              </w:rPr>
            </w:pPr>
          </w:p>
        </w:tc>
        <w:tc>
          <w:tcPr>
            <w:tcW w:w="380" w:type="dxa"/>
            <w:vAlign w:val="bottom"/>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65"/>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Aviation</w:t>
            </w: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75"/>
        </w:trPr>
        <w:tc>
          <w:tcPr>
            <w:tcW w:w="63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Technology &amp; Manufacturing</w:t>
            </w:r>
          </w:p>
        </w:tc>
        <w:tc>
          <w:tcPr>
            <w:tcW w:w="360" w:type="dxa"/>
            <w:vAlign w:val="bottom"/>
            <w:shd w:val="clear" w:color="auto" w:fill="DCE2EF"/>
          </w:tcPr>
          <w:p>
            <w:pPr>
              <w:spacing w:after="0"/>
              <w:rPr>
                <w:sz w:val="23"/>
                <w:szCs w:val="23"/>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72.5</w:t>
            </w:r>
          </w:p>
        </w:tc>
        <w:tc>
          <w:tcPr>
            <w:tcW w:w="120" w:type="dxa"/>
            <w:vAlign w:val="bottom"/>
            <w:shd w:val="clear" w:color="auto" w:fill="DCE2EF"/>
          </w:tcPr>
          <w:p>
            <w:pPr>
              <w:spacing w:after="0"/>
              <w:rPr>
                <w:sz w:val="23"/>
                <w:szCs w:val="23"/>
                <w:color w:val="auto"/>
              </w:rPr>
            </w:pPr>
          </w:p>
        </w:tc>
        <w:tc>
          <w:tcPr>
            <w:tcW w:w="360" w:type="dxa"/>
            <w:vAlign w:val="bottom"/>
            <w:shd w:val="clear" w:color="auto" w:fill="DCE2EF"/>
          </w:tcPr>
          <w:p>
            <w:pPr>
              <w:spacing w:after="0"/>
              <w:rPr>
                <w:sz w:val="23"/>
                <w:szCs w:val="23"/>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67.4</w:t>
            </w:r>
          </w:p>
        </w:tc>
        <w:tc>
          <w:tcPr>
            <w:tcW w:w="120" w:type="dxa"/>
            <w:vAlign w:val="bottom"/>
            <w:shd w:val="clear" w:color="auto" w:fill="DCE2EF"/>
          </w:tcPr>
          <w:p>
            <w:pPr>
              <w:spacing w:after="0"/>
              <w:rPr>
                <w:sz w:val="23"/>
                <w:szCs w:val="23"/>
                <w:color w:val="auto"/>
              </w:rPr>
            </w:pPr>
          </w:p>
        </w:tc>
        <w:tc>
          <w:tcPr>
            <w:tcW w:w="380" w:type="dxa"/>
            <w:vAlign w:val="bottom"/>
            <w:shd w:val="clear" w:color="auto" w:fill="DCE2EF"/>
          </w:tcPr>
          <w:p>
            <w:pPr>
              <w:spacing w:after="0"/>
              <w:rPr>
                <w:sz w:val="23"/>
                <w:szCs w:val="23"/>
                <w:color w:val="auto"/>
              </w:rPr>
            </w:pPr>
          </w:p>
        </w:tc>
        <w:tc>
          <w:tcPr>
            <w:tcW w:w="12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65"/>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Education</w:t>
            </w: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5"/>
        </w:trPr>
        <w:tc>
          <w:tcPr>
            <w:tcW w:w="63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Technical Solutions</w:t>
            </w:r>
          </w:p>
        </w:tc>
        <w:tc>
          <w:tcPr>
            <w:tcW w:w="360" w:type="dxa"/>
            <w:vAlign w:val="bottom"/>
            <w:shd w:val="clear" w:color="auto" w:fill="DCE2EF"/>
          </w:tcPr>
          <w:p>
            <w:pPr>
              <w:spacing w:after="0"/>
              <w:rPr>
                <w:sz w:val="23"/>
                <w:szCs w:val="23"/>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55.4</w:t>
            </w:r>
          </w:p>
        </w:tc>
        <w:tc>
          <w:tcPr>
            <w:tcW w:w="120" w:type="dxa"/>
            <w:vAlign w:val="bottom"/>
            <w:shd w:val="clear" w:color="auto" w:fill="DCE2EF"/>
          </w:tcPr>
          <w:p>
            <w:pPr>
              <w:spacing w:after="0"/>
              <w:rPr>
                <w:sz w:val="23"/>
                <w:szCs w:val="23"/>
                <w:color w:val="auto"/>
              </w:rPr>
            </w:pPr>
          </w:p>
        </w:tc>
        <w:tc>
          <w:tcPr>
            <w:tcW w:w="360" w:type="dxa"/>
            <w:vAlign w:val="bottom"/>
            <w:shd w:val="clear" w:color="auto" w:fill="DCE2EF"/>
          </w:tcPr>
          <w:p>
            <w:pPr>
              <w:spacing w:after="0"/>
              <w:rPr>
                <w:sz w:val="23"/>
                <w:szCs w:val="23"/>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DCE2EF"/>
          </w:tcPr>
          <w:p>
            <w:pPr>
              <w:spacing w:after="0"/>
              <w:rPr>
                <w:sz w:val="23"/>
                <w:szCs w:val="23"/>
                <w:color w:val="auto"/>
              </w:rPr>
            </w:pPr>
          </w:p>
        </w:tc>
        <w:tc>
          <w:tcPr>
            <w:tcW w:w="380" w:type="dxa"/>
            <w:vAlign w:val="bottom"/>
            <w:shd w:val="clear" w:color="auto" w:fill="DCE2EF"/>
          </w:tcPr>
          <w:p>
            <w:pPr>
              <w:spacing w:after="0"/>
              <w:rPr>
                <w:sz w:val="23"/>
                <w:szCs w:val="23"/>
                <w:color w:val="auto"/>
              </w:rPr>
            </w:pPr>
          </w:p>
        </w:tc>
        <w:tc>
          <w:tcPr>
            <w:tcW w:w="12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65"/>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Government Services</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5"/>
        </w:trPr>
        <w:tc>
          <w:tcPr>
            <w:tcW w:w="63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Corporate</w:t>
            </w:r>
          </w:p>
        </w:tc>
        <w:tc>
          <w:tcPr>
            <w:tcW w:w="360" w:type="dxa"/>
            <w:vAlign w:val="bottom"/>
            <w:shd w:val="clear" w:color="auto" w:fill="DCE2EF"/>
          </w:tcPr>
          <w:p>
            <w:pPr>
              <w:spacing w:after="0"/>
              <w:rPr>
                <w:sz w:val="23"/>
                <w:szCs w:val="23"/>
                <w:color w:val="auto"/>
              </w:rPr>
            </w:pPr>
          </w:p>
        </w:tc>
        <w:tc>
          <w:tcPr>
            <w:tcW w:w="12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(159.0)</w:t>
            </w:r>
          </w:p>
        </w:tc>
        <w:tc>
          <w:tcPr>
            <w:tcW w:w="120" w:type="dxa"/>
            <w:vAlign w:val="bottom"/>
            <w:shd w:val="clear" w:color="auto" w:fill="DCE2EF"/>
          </w:tcPr>
          <w:p>
            <w:pPr>
              <w:spacing w:after="0"/>
              <w:rPr>
                <w:sz w:val="23"/>
                <w:szCs w:val="23"/>
                <w:color w:val="auto"/>
              </w:rPr>
            </w:pPr>
          </w:p>
        </w:tc>
        <w:tc>
          <w:tcPr>
            <w:tcW w:w="360" w:type="dxa"/>
            <w:vAlign w:val="bottom"/>
            <w:shd w:val="clear" w:color="auto" w:fill="DCE2EF"/>
          </w:tcPr>
          <w:p>
            <w:pPr>
              <w:spacing w:after="0"/>
              <w:rPr>
                <w:sz w:val="23"/>
                <w:szCs w:val="23"/>
                <w:color w:val="auto"/>
              </w:rPr>
            </w:pPr>
          </w:p>
        </w:tc>
        <w:tc>
          <w:tcPr>
            <w:tcW w:w="12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(168.8)</w:t>
            </w:r>
          </w:p>
        </w:tc>
        <w:tc>
          <w:tcPr>
            <w:tcW w:w="120" w:type="dxa"/>
            <w:vAlign w:val="bottom"/>
            <w:shd w:val="clear" w:color="auto" w:fill="DCE2EF"/>
          </w:tcPr>
          <w:p>
            <w:pPr>
              <w:spacing w:after="0"/>
              <w:rPr>
                <w:sz w:val="23"/>
                <w:szCs w:val="23"/>
                <w:color w:val="auto"/>
              </w:rPr>
            </w:pPr>
          </w:p>
        </w:tc>
        <w:tc>
          <w:tcPr>
            <w:tcW w:w="380" w:type="dxa"/>
            <w:vAlign w:val="bottom"/>
            <w:shd w:val="clear" w:color="auto" w:fill="DCE2EF"/>
          </w:tcPr>
          <w:p>
            <w:pPr>
              <w:spacing w:after="0"/>
              <w:rPr>
                <w:sz w:val="23"/>
                <w:szCs w:val="23"/>
                <w:color w:val="auto"/>
              </w:rPr>
            </w:pPr>
          </w:p>
        </w:tc>
        <w:tc>
          <w:tcPr>
            <w:tcW w:w="12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207"/>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Adjustment for income from unconsolidated affiliates, included in Aviation and</w:t>
            </w: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6340" w:type="dxa"/>
            <w:vAlign w:val="bottom"/>
            <w:gridSpan w:val="2"/>
          </w:tcPr>
          <w:p>
            <w:pPr>
              <w:ind w:left="160"/>
              <w:spacing w:after="0"/>
              <w:rPr>
                <w:sz w:val="20"/>
                <w:szCs w:val="20"/>
                <w:color w:val="auto"/>
              </w:rPr>
            </w:pPr>
            <w:r>
              <w:rPr>
                <w:rFonts w:ascii="Arial" w:cs="Arial" w:eastAsia="Arial" w:hAnsi="Arial"/>
                <w:sz w:val="18"/>
                <w:szCs w:val="18"/>
                <w:color w:val="auto"/>
              </w:rPr>
              <w:t>Government Services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1"/>
        </w:trPr>
        <w:tc>
          <w:tcPr>
            <w:tcW w:w="63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Adjustment for tax deductions for energy efficient government buildings,</w:t>
            </w:r>
          </w:p>
        </w:tc>
        <w:tc>
          <w:tcPr>
            <w:tcW w:w="360" w:type="dxa"/>
            <w:vAlign w:val="bottom"/>
            <w:shd w:val="clear" w:color="auto" w:fill="DCE2EF"/>
          </w:tcPr>
          <w:p>
            <w:pPr>
              <w:spacing w:after="0"/>
              <w:rPr>
                <w:sz w:val="18"/>
                <w:szCs w:val="18"/>
                <w:color w:val="auto"/>
              </w:rPr>
            </w:pPr>
          </w:p>
        </w:tc>
        <w:tc>
          <w:tcPr>
            <w:tcW w:w="124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360" w:type="dxa"/>
            <w:vAlign w:val="bottom"/>
            <w:shd w:val="clear" w:color="auto" w:fill="DCE2EF"/>
          </w:tcPr>
          <w:p>
            <w:pPr>
              <w:spacing w:after="0"/>
              <w:rPr>
                <w:sz w:val="18"/>
                <w:szCs w:val="18"/>
                <w:color w:val="auto"/>
              </w:rPr>
            </w:pPr>
          </w:p>
        </w:tc>
        <w:tc>
          <w:tcPr>
            <w:tcW w:w="124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220" w:type="dxa"/>
            <w:vAlign w:val="bottom"/>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0" w:type="dxa"/>
            <w:vAlign w:val="bottom"/>
            <w:shd w:val="clear" w:color="auto" w:fill="DCE2EF"/>
          </w:tcPr>
          <w:p>
            <w:pPr>
              <w:spacing w:after="0"/>
              <w:rPr>
                <w:sz w:val="21"/>
                <w:szCs w:val="21"/>
                <w:color w:val="auto"/>
              </w:rPr>
            </w:pPr>
          </w:p>
        </w:tc>
        <w:tc>
          <w:tcPr>
            <w:tcW w:w="6340" w:type="dxa"/>
            <w:vAlign w:val="bottom"/>
            <w:gridSpan w:val="2"/>
            <w:shd w:val="clear" w:color="auto" w:fill="DCE2EF"/>
          </w:tcPr>
          <w:p>
            <w:pPr>
              <w:ind w:left="160"/>
              <w:spacing w:after="0"/>
              <w:rPr>
                <w:sz w:val="20"/>
                <w:szCs w:val="20"/>
                <w:color w:val="auto"/>
              </w:rPr>
            </w:pPr>
            <w:r>
              <w:rPr>
                <w:rFonts w:ascii="Arial" w:cs="Arial" w:eastAsia="Arial" w:hAnsi="Arial"/>
                <w:sz w:val="18"/>
                <w:szCs w:val="18"/>
                <w:color w:val="auto"/>
              </w:rPr>
              <w:t>included in Technical Solutions</w:t>
            </w:r>
          </w:p>
        </w:tc>
        <w:tc>
          <w:tcPr>
            <w:tcW w:w="360" w:type="dxa"/>
            <w:vAlign w:val="bottom"/>
            <w:tcBorders>
              <w:bottom w:val="single" w:sz="8" w:color="auto"/>
            </w:tcBorders>
            <w:shd w:val="clear" w:color="auto" w:fill="DCE2EF"/>
          </w:tcPr>
          <w:p>
            <w:pPr>
              <w:spacing w:after="0"/>
              <w:rPr>
                <w:sz w:val="21"/>
                <w:szCs w:val="21"/>
                <w:color w:val="auto"/>
              </w:rPr>
            </w:pP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DCE2EF"/>
          </w:tcPr>
          <w:p>
            <w:pPr>
              <w:spacing w:after="0"/>
              <w:rPr>
                <w:sz w:val="21"/>
                <w:szCs w:val="21"/>
                <w:color w:val="auto"/>
              </w:rPr>
            </w:pPr>
          </w:p>
        </w:tc>
        <w:tc>
          <w:tcPr>
            <w:tcW w:w="360" w:type="dxa"/>
            <w:vAlign w:val="bottom"/>
            <w:tcBorders>
              <w:bottom w:val="single" w:sz="8" w:color="auto"/>
            </w:tcBorders>
            <w:shd w:val="clear" w:color="auto" w:fill="DCE2EF"/>
          </w:tcPr>
          <w:p>
            <w:pPr>
              <w:spacing w:after="0"/>
              <w:rPr>
                <w:sz w:val="21"/>
                <w:szCs w:val="21"/>
                <w:color w:val="auto"/>
              </w:rPr>
            </w:pPr>
          </w:p>
        </w:tc>
        <w:tc>
          <w:tcPr>
            <w:tcW w:w="12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DCE2EF"/>
          </w:tcPr>
          <w:p>
            <w:pPr>
              <w:spacing w:after="0"/>
              <w:rPr>
                <w:sz w:val="21"/>
                <w:szCs w:val="21"/>
                <w:color w:val="auto"/>
              </w:rPr>
            </w:pPr>
          </w:p>
        </w:tc>
        <w:tc>
          <w:tcPr>
            <w:tcW w:w="380" w:type="dxa"/>
            <w:vAlign w:val="bottom"/>
            <w:tcBorders>
              <w:bottom w:val="single" w:sz="8" w:color="auto"/>
            </w:tcBorders>
            <w:shd w:val="clear" w:color="auto" w:fill="DCE2EF"/>
          </w:tcPr>
          <w:p>
            <w:pPr>
              <w:spacing w:after="0"/>
              <w:rPr>
                <w:sz w:val="21"/>
                <w:szCs w:val="21"/>
                <w:color w:val="auto"/>
              </w:rPr>
            </w:pPr>
          </w:p>
        </w:tc>
        <w:tc>
          <w:tcPr>
            <w:tcW w:w="12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0"/>
        </w:trPr>
        <w:tc>
          <w:tcPr>
            <w:tcW w:w="40" w:type="dxa"/>
            <w:vAlign w:val="bottom"/>
            <w:tcBorders>
              <w:bottom w:val="single" w:sz="8" w:color="DCE2EF"/>
            </w:tcBorders>
          </w:tcPr>
          <w:p>
            <w:pPr>
              <w:spacing w:after="0"/>
              <w:rPr>
                <w:sz w:val="21"/>
                <w:szCs w:val="21"/>
                <w:color w:val="auto"/>
              </w:rPr>
            </w:pPr>
          </w:p>
        </w:tc>
        <w:tc>
          <w:tcPr>
            <w:tcW w:w="700" w:type="dxa"/>
            <w:vAlign w:val="bottom"/>
            <w:tcBorders>
              <w:bottom w:val="single" w:sz="8" w:color="DCE2EF"/>
            </w:tcBorders>
          </w:tcPr>
          <w:p>
            <w:pPr>
              <w:spacing w:after="0"/>
              <w:rPr>
                <w:sz w:val="21"/>
                <w:szCs w:val="21"/>
                <w:color w:val="auto"/>
              </w:rPr>
            </w:pPr>
          </w:p>
        </w:tc>
        <w:tc>
          <w:tcPr>
            <w:tcW w:w="5640" w:type="dxa"/>
            <w:vAlign w:val="bottom"/>
            <w:tcBorders>
              <w:bottom w:val="single" w:sz="8" w:color="DCE2E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208.3</w:t>
            </w:r>
          </w:p>
        </w:tc>
        <w:tc>
          <w:tcPr>
            <w:tcW w:w="120" w:type="dxa"/>
            <w:vAlign w:val="bottom"/>
            <w:tcBorders>
              <w:bottom w:val="single" w:sz="8" w:color="DCE2E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138.6</w:t>
            </w:r>
          </w:p>
        </w:tc>
        <w:tc>
          <w:tcPr>
            <w:tcW w:w="120" w:type="dxa"/>
            <w:vAlign w:val="bottom"/>
            <w:tcBorders>
              <w:bottom w:val="single" w:sz="8" w:color="DCE2E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55"/>
        </w:trPr>
        <w:tc>
          <w:tcPr>
            <w:tcW w:w="63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Income from unconsolidated affiliates</w:t>
            </w:r>
          </w:p>
        </w:tc>
        <w:tc>
          <w:tcPr>
            <w:tcW w:w="360" w:type="dxa"/>
            <w:vAlign w:val="bottom"/>
            <w:shd w:val="clear" w:color="auto" w:fill="DCE2EF"/>
          </w:tcPr>
          <w:p>
            <w:pPr>
              <w:spacing w:after="0"/>
              <w:rPr>
                <w:sz w:val="22"/>
                <w:szCs w:val="22"/>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DCE2EF"/>
          </w:tcPr>
          <w:p>
            <w:pPr>
              <w:spacing w:after="0"/>
              <w:rPr>
                <w:sz w:val="22"/>
                <w:szCs w:val="22"/>
                <w:color w:val="auto"/>
              </w:rPr>
            </w:pPr>
          </w:p>
        </w:tc>
        <w:tc>
          <w:tcPr>
            <w:tcW w:w="360" w:type="dxa"/>
            <w:vAlign w:val="bottom"/>
            <w:shd w:val="clear" w:color="auto" w:fill="DCE2EF"/>
          </w:tcPr>
          <w:p>
            <w:pPr>
              <w:spacing w:after="0"/>
              <w:rPr>
                <w:sz w:val="22"/>
                <w:szCs w:val="22"/>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DCE2EF"/>
          </w:tcPr>
          <w:p>
            <w:pPr>
              <w:spacing w:after="0"/>
              <w:rPr>
                <w:sz w:val="22"/>
                <w:szCs w:val="22"/>
                <w:color w:val="auto"/>
              </w:rPr>
            </w:pPr>
          </w:p>
        </w:tc>
        <w:tc>
          <w:tcPr>
            <w:tcW w:w="380" w:type="dxa"/>
            <w:vAlign w:val="bottom"/>
            <w:shd w:val="clear" w:color="auto" w:fill="DCE2EF"/>
          </w:tcPr>
          <w:p>
            <w:pPr>
              <w:spacing w:after="0"/>
              <w:rPr>
                <w:sz w:val="22"/>
                <w:szCs w:val="22"/>
                <w:color w:val="auto"/>
              </w:rPr>
            </w:pPr>
          </w:p>
        </w:tc>
        <w:tc>
          <w:tcPr>
            <w:tcW w:w="12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65"/>
        </w:trPr>
        <w:tc>
          <w:tcPr>
            <w:tcW w:w="6380" w:type="dxa"/>
            <w:vAlign w:val="bottom"/>
            <w:tcBorders>
              <w:bottom w:val="single" w:sz="8" w:color="DCE2EF"/>
            </w:tcBorders>
            <w:gridSpan w:val="3"/>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120" w:type="dxa"/>
            <w:vAlign w:val="bottom"/>
            <w:tcBorders>
              <w:bottom w:val="single" w:sz="8" w:color="DCE2E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Borders>
              <w:bottom w:val="single" w:sz="8" w:color="DCE2E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55"/>
        </w:trPr>
        <w:tc>
          <w:tcPr>
            <w:tcW w:w="6380" w:type="dxa"/>
            <w:vAlign w:val="bottom"/>
            <w:tcBorders>
              <w:bottom w:val="single" w:sz="8" w:color="DCE2EF"/>
            </w:tcBorders>
            <w:gridSpan w:val="3"/>
            <w:shd w:val="clear" w:color="auto" w:fill="DCE2E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360" w:type="dxa"/>
            <w:vAlign w:val="bottom"/>
            <w:tcBorders>
              <w:bottom w:val="single" w:sz="8" w:color="auto"/>
            </w:tcBorders>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160.2</w:t>
            </w:r>
          </w:p>
        </w:tc>
        <w:tc>
          <w:tcPr>
            <w:tcW w:w="120" w:type="dxa"/>
            <w:vAlign w:val="bottom"/>
            <w:tcBorders>
              <w:bottom w:val="single" w:sz="8" w:color="DCE2EF"/>
            </w:tcBorders>
            <w:shd w:val="clear" w:color="auto" w:fill="DCE2EF"/>
          </w:tcPr>
          <w:p>
            <w:pPr>
              <w:spacing w:after="0"/>
              <w:rPr>
                <w:sz w:val="22"/>
                <w:szCs w:val="22"/>
                <w:color w:val="auto"/>
              </w:rPr>
            </w:pPr>
          </w:p>
        </w:tc>
        <w:tc>
          <w:tcPr>
            <w:tcW w:w="360" w:type="dxa"/>
            <w:vAlign w:val="bottom"/>
            <w:tcBorders>
              <w:bottom w:val="single" w:sz="8" w:color="auto"/>
            </w:tcBorders>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87.7</w:t>
            </w:r>
          </w:p>
        </w:tc>
        <w:tc>
          <w:tcPr>
            <w:tcW w:w="120" w:type="dxa"/>
            <w:vAlign w:val="bottom"/>
            <w:tcBorders>
              <w:bottom w:val="single" w:sz="8" w:color="DCE2EF"/>
            </w:tcBorders>
            <w:shd w:val="clear" w:color="auto" w:fill="DCE2EF"/>
          </w:tcPr>
          <w:p>
            <w:pPr>
              <w:spacing w:after="0"/>
              <w:rPr>
                <w:sz w:val="22"/>
                <w:szCs w:val="22"/>
                <w:color w:val="auto"/>
              </w:rPr>
            </w:pPr>
          </w:p>
        </w:tc>
        <w:tc>
          <w:tcPr>
            <w:tcW w:w="380" w:type="dxa"/>
            <w:vAlign w:val="bottom"/>
            <w:tcBorders>
              <w:bottom w:val="single" w:sz="8" w:color="auto"/>
            </w:tcBorders>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380" w:type="dxa"/>
            <w:vAlign w:val="bottom"/>
            <w:gridSpan w:val="3"/>
            <w:shd w:val="clear" w:color="auto" w:fill="DCE2EF"/>
          </w:tcPr>
          <w:p>
            <w:pPr>
              <w:ind w:left="40"/>
              <w:spacing w:after="0"/>
              <w:rPr>
                <w:sz w:val="20"/>
                <w:szCs w:val="20"/>
                <w:color w:val="auto"/>
              </w:rPr>
            </w:pPr>
            <w:r>
              <w:rPr>
                <w:rFonts w:ascii="Arial" w:cs="Arial" w:eastAsia="Arial" w:hAnsi="Arial"/>
                <w:sz w:val="18"/>
                <w:szCs w:val="18"/>
                <w:b w:val="1"/>
                <w:bCs w:val="1"/>
                <w:color w:val="auto"/>
              </w:rPr>
              <w:t>Depreciation and amortization</w:t>
            </w:r>
            <w:r>
              <w:rPr>
                <w:rFonts w:ascii="Arial" w:cs="Arial" w:eastAsia="Arial" w:hAnsi="Arial"/>
                <w:sz w:val="21"/>
                <w:szCs w:val="21"/>
                <w:b w:val="1"/>
                <w:bCs w:val="1"/>
                <w:color w:val="auto"/>
                <w:vertAlign w:val="superscript"/>
              </w:rPr>
              <w:t>(1)</w:t>
            </w:r>
          </w:p>
        </w:tc>
        <w:tc>
          <w:tcPr>
            <w:tcW w:w="360" w:type="dxa"/>
            <w:vAlign w:val="bottom"/>
            <w:shd w:val="clear" w:color="auto" w:fill="DCE2EF"/>
          </w:tcPr>
          <w:p>
            <w:pPr>
              <w:spacing w:after="0"/>
              <w:rPr>
                <w:sz w:val="23"/>
                <w:szCs w:val="23"/>
                <w:color w:val="auto"/>
              </w:rPr>
            </w:pPr>
          </w:p>
        </w:tc>
        <w:tc>
          <w:tcPr>
            <w:tcW w:w="1240" w:type="dxa"/>
            <w:vAlign w:val="bottom"/>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360" w:type="dxa"/>
            <w:vAlign w:val="bottom"/>
            <w:shd w:val="clear" w:color="auto" w:fill="DCE2EF"/>
          </w:tcPr>
          <w:p>
            <w:pPr>
              <w:spacing w:after="0"/>
              <w:rPr>
                <w:sz w:val="23"/>
                <w:szCs w:val="23"/>
                <w:color w:val="auto"/>
              </w:rPr>
            </w:pPr>
          </w:p>
        </w:tc>
        <w:tc>
          <w:tcPr>
            <w:tcW w:w="1240" w:type="dxa"/>
            <w:vAlign w:val="bottom"/>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380" w:type="dxa"/>
            <w:vAlign w:val="bottom"/>
            <w:shd w:val="clear" w:color="auto" w:fill="DCE2EF"/>
          </w:tcPr>
          <w:p>
            <w:pPr>
              <w:spacing w:after="0"/>
              <w:rPr>
                <w:sz w:val="23"/>
                <w:szCs w:val="23"/>
                <w:color w:val="auto"/>
              </w:rPr>
            </w:pPr>
          </w:p>
        </w:tc>
        <w:tc>
          <w:tcPr>
            <w:tcW w:w="1220" w:type="dxa"/>
            <w:vAlign w:val="bottom"/>
            <w:shd w:val="clear" w:color="auto" w:fill="DCE2E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Business &amp; Industry</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5"/>
        </w:trPr>
        <w:tc>
          <w:tcPr>
            <w:tcW w:w="63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Aviation</w:t>
            </w:r>
          </w:p>
        </w:tc>
        <w:tc>
          <w:tcPr>
            <w:tcW w:w="360" w:type="dxa"/>
            <w:vAlign w:val="bottom"/>
            <w:shd w:val="clear" w:color="auto" w:fill="DCE2EF"/>
          </w:tcPr>
          <w:p>
            <w:pPr>
              <w:spacing w:after="0"/>
              <w:rPr>
                <w:sz w:val="23"/>
                <w:szCs w:val="23"/>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DCE2EF"/>
          </w:tcPr>
          <w:p>
            <w:pPr>
              <w:spacing w:after="0"/>
              <w:rPr>
                <w:sz w:val="23"/>
                <w:szCs w:val="23"/>
                <w:color w:val="auto"/>
              </w:rPr>
            </w:pPr>
          </w:p>
        </w:tc>
        <w:tc>
          <w:tcPr>
            <w:tcW w:w="360" w:type="dxa"/>
            <w:vAlign w:val="bottom"/>
            <w:shd w:val="clear" w:color="auto" w:fill="DCE2EF"/>
          </w:tcPr>
          <w:p>
            <w:pPr>
              <w:spacing w:after="0"/>
              <w:rPr>
                <w:sz w:val="23"/>
                <w:szCs w:val="23"/>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DCE2EF"/>
          </w:tcPr>
          <w:p>
            <w:pPr>
              <w:spacing w:after="0"/>
              <w:rPr>
                <w:sz w:val="23"/>
                <w:szCs w:val="23"/>
                <w:color w:val="auto"/>
              </w:rPr>
            </w:pPr>
          </w:p>
        </w:tc>
        <w:tc>
          <w:tcPr>
            <w:tcW w:w="380" w:type="dxa"/>
            <w:vAlign w:val="bottom"/>
            <w:shd w:val="clear" w:color="auto" w:fill="DCE2EF"/>
          </w:tcPr>
          <w:p>
            <w:pPr>
              <w:spacing w:after="0"/>
              <w:rPr>
                <w:sz w:val="23"/>
                <w:szCs w:val="23"/>
                <w:color w:val="auto"/>
              </w:rPr>
            </w:pPr>
          </w:p>
        </w:tc>
        <w:tc>
          <w:tcPr>
            <w:tcW w:w="12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65"/>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Technology &amp; Manufacturing</w:t>
            </w: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5"/>
        </w:trPr>
        <w:tc>
          <w:tcPr>
            <w:tcW w:w="63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Education</w:t>
            </w:r>
          </w:p>
        </w:tc>
        <w:tc>
          <w:tcPr>
            <w:tcW w:w="360" w:type="dxa"/>
            <w:vAlign w:val="bottom"/>
            <w:shd w:val="clear" w:color="auto" w:fill="DCE2EF"/>
          </w:tcPr>
          <w:p>
            <w:pPr>
              <w:spacing w:after="0"/>
              <w:rPr>
                <w:sz w:val="23"/>
                <w:szCs w:val="23"/>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37.3</w:t>
            </w:r>
          </w:p>
        </w:tc>
        <w:tc>
          <w:tcPr>
            <w:tcW w:w="120" w:type="dxa"/>
            <w:vAlign w:val="bottom"/>
            <w:shd w:val="clear" w:color="auto" w:fill="DCE2EF"/>
          </w:tcPr>
          <w:p>
            <w:pPr>
              <w:spacing w:after="0"/>
              <w:rPr>
                <w:sz w:val="23"/>
                <w:szCs w:val="23"/>
                <w:color w:val="auto"/>
              </w:rPr>
            </w:pPr>
          </w:p>
        </w:tc>
        <w:tc>
          <w:tcPr>
            <w:tcW w:w="360" w:type="dxa"/>
            <w:vAlign w:val="bottom"/>
            <w:shd w:val="clear" w:color="auto" w:fill="DCE2EF"/>
          </w:tcPr>
          <w:p>
            <w:pPr>
              <w:spacing w:after="0"/>
              <w:rPr>
                <w:sz w:val="23"/>
                <w:szCs w:val="23"/>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DCE2EF"/>
          </w:tcPr>
          <w:p>
            <w:pPr>
              <w:spacing w:after="0"/>
              <w:rPr>
                <w:sz w:val="23"/>
                <w:szCs w:val="23"/>
                <w:color w:val="auto"/>
              </w:rPr>
            </w:pPr>
          </w:p>
        </w:tc>
        <w:tc>
          <w:tcPr>
            <w:tcW w:w="380" w:type="dxa"/>
            <w:vAlign w:val="bottom"/>
            <w:shd w:val="clear" w:color="auto" w:fill="DCE2EF"/>
          </w:tcPr>
          <w:p>
            <w:pPr>
              <w:spacing w:after="0"/>
              <w:rPr>
                <w:sz w:val="23"/>
                <w:szCs w:val="23"/>
                <w:color w:val="auto"/>
              </w:rPr>
            </w:pPr>
          </w:p>
        </w:tc>
        <w:tc>
          <w:tcPr>
            <w:tcW w:w="12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65"/>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Technical Solutions</w:t>
            </w: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0"/>
        </w:trPr>
        <w:tc>
          <w:tcPr>
            <w:tcW w:w="63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Corporate</w:t>
            </w:r>
          </w:p>
        </w:tc>
        <w:tc>
          <w:tcPr>
            <w:tcW w:w="360" w:type="dxa"/>
            <w:vAlign w:val="bottom"/>
            <w:tcBorders>
              <w:bottom w:val="single" w:sz="8" w:color="auto"/>
            </w:tcBorders>
            <w:shd w:val="clear" w:color="auto" w:fill="DCE2EF"/>
          </w:tcPr>
          <w:p>
            <w:pPr>
              <w:spacing w:after="0"/>
              <w:rPr>
                <w:sz w:val="23"/>
                <w:szCs w:val="23"/>
                <w:color w:val="auto"/>
              </w:rPr>
            </w:pP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DCE2EF"/>
          </w:tcPr>
          <w:p>
            <w:pPr>
              <w:spacing w:after="0"/>
              <w:rPr>
                <w:sz w:val="23"/>
                <w:szCs w:val="23"/>
                <w:color w:val="auto"/>
              </w:rPr>
            </w:pPr>
          </w:p>
        </w:tc>
        <w:tc>
          <w:tcPr>
            <w:tcW w:w="360" w:type="dxa"/>
            <w:vAlign w:val="bottom"/>
            <w:tcBorders>
              <w:bottom w:val="single" w:sz="8" w:color="auto"/>
            </w:tcBorders>
            <w:shd w:val="clear" w:color="auto" w:fill="DCE2EF"/>
          </w:tcPr>
          <w:p>
            <w:pPr>
              <w:spacing w:after="0"/>
              <w:rPr>
                <w:sz w:val="23"/>
                <w:szCs w:val="23"/>
                <w:color w:val="auto"/>
              </w:rPr>
            </w:pP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DCE2EF"/>
          </w:tcPr>
          <w:p>
            <w:pPr>
              <w:spacing w:after="0"/>
              <w:rPr>
                <w:sz w:val="23"/>
                <w:szCs w:val="23"/>
                <w:color w:val="auto"/>
              </w:rPr>
            </w:pPr>
          </w:p>
        </w:tc>
        <w:tc>
          <w:tcPr>
            <w:tcW w:w="380" w:type="dxa"/>
            <w:vAlign w:val="bottom"/>
            <w:tcBorders>
              <w:bottom w:val="single" w:sz="8" w:color="auto"/>
            </w:tcBorders>
            <w:shd w:val="clear" w:color="auto" w:fill="DCE2EF"/>
          </w:tcPr>
          <w:p>
            <w:pPr>
              <w:spacing w:after="0"/>
              <w:rPr>
                <w:sz w:val="23"/>
                <w:szCs w:val="23"/>
                <w:color w:val="auto"/>
              </w:rPr>
            </w:pPr>
          </w:p>
        </w:tc>
        <w:tc>
          <w:tcPr>
            <w:tcW w:w="122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107.4</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112.5</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left="180" w:hanging="172"/>
        <w:spacing w:after="0"/>
        <w:tabs>
          <w:tab w:leader="none" w:pos="180" w:val="left"/>
        </w:tabs>
        <w:numPr>
          <w:ilvl w:val="0"/>
          <w:numId w:val="46"/>
        </w:numPr>
        <w:rPr>
          <w:rFonts w:ascii="Arial" w:cs="Arial" w:eastAsia="Arial" w:hAnsi="Arial"/>
          <w:sz w:val="21"/>
          <w:szCs w:val="21"/>
          <w:color w:val="auto"/>
          <w:vertAlign w:val="superscript"/>
        </w:rPr>
      </w:pPr>
      <w:r>
        <w:rPr>
          <w:rFonts w:ascii="Arial" w:cs="Arial" w:eastAsia="Arial" w:hAnsi="Arial"/>
          <w:sz w:val="15"/>
          <w:szCs w:val="15"/>
          <w:color w:val="auto"/>
        </w:rPr>
        <w:t>Excludes amortization related to income from unconsolidated affiliates.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Geographic Information Based on the Country in Which the Sale Originated</w:t>
      </w:r>
      <w:r>
        <w:rPr>
          <w:rFonts w:ascii="Arial" w:cs="Arial" w:eastAsia="Arial" w:hAnsi="Arial"/>
          <w:sz w:val="21"/>
          <w:szCs w:val="21"/>
          <w:color w:val="0046AD"/>
          <w:vertAlign w:val="superscript"/>
        </w:rPr>
        <w:t>(1)</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34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Years Ended October 31,</w:t>
            </w:r>
          </w:p>
        </w:tc>
        <w:tc>
          <w:tcPr>
            <w:tcW w:w="1220" w:type="dxa"/>
            <w:vAlign w:val="bottom"/>
            <w:tcBorders>
              <w:bottom w:val="single" w:sz="8" w:color="auto"/>
            </w:tcBorders>
          </w:tcPr>
          <w:p>
            <w:pPr>
              <w:spacing w:after="0"/>
              <w:rPr>
                <w:sz w:val="22"/>
                <w:szCs w:val="22"/>
                <w:color w:val="auto"/>
              </w:rPr>
            </w:pPr>
          </w:p>
        </w:tc>
      </w:tr>
      <w:tr>
        <w:trPr>
          <w:trHeight w:val="224"/>
        </w:trPr>
        <w:tc>
          <w:tcPr>
            <w:tcW w:w="638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564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64"/>
        </w:trPr>
        <w:tc>
          <w:tcPr>
            <w:tcW w:w="6380" w:type="dxa"/>
            <w:vAlign w:val="bottom"/>
            <w:gridSpan w:val="3"/>
            <w:shd w:val="clear" w:color="auto" w:fill="DCE2EF"/>
          </w:tcPr>
          <w:p>
            <w:pPr>
              <w:ind w:left="40"/>
              <w:spacing w:after="0"/>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DCE2EF"/>
          </w:tcPr>
          <w:p>
            <w:pPr>
              <w:spacing w:after="0"/>
              <w:rPr>
                <w:sz w:val="22"/>
                <w:szCs w:val="22"/>
                <w:color w:val="auto"/>
              </w:rPr>
            </w:pPr>
          </w:p>
        </w:tc>
        <w:tc>
          <w:tcPr>
            <w:tcW w:w="124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360" w:type="dxa"/>
            <w:vAlign w:val="bottom"/>
            <w:shd w:val="clear" w:color="auto" w:fill="DCE2EF"/>
          </w:tcPr>
          <w:p>
            <w:pPr>
              <w:spacing w:after="0"/>
              <w:rPr>
                <w:sz w:val="22"/>
                <w:szCs w:val="22"/>
                <w:color w:val="auto"/>
              </w:rPr>
            </w:pPr>
          </w:p>
        </w:tc>
        <w:tc>
          <w:tcPr>
            <w:tcW w:w="124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380" w:type="dxa"/>
            <w:vAlign w:val="bottom"/>
            <w:shd w:val="clear" w:color="auto" w:fill="DCE2EF"/>
          </w:tcPr>
          <w:p>
            <w:pPr>
              <w:spacing w:after="0"/>
              <w:rPr>
                <w:sz w:val="22"/>
                <w:szCs w:val="22"/>
                <w:color w:val="auto"/>
              </w:rPr>
            </w:pPr>
          </w:p>
        </w:tc>
        <w:tc>
          <w:tcPr>
            <w:tcW w:w="1220" w:type="dxa"/>
            <w:vAlign w:val="bottom"/>
            <w:shd w:val="clear" w:color="auto" w:fill="DCE2EF"/>
          </w:tcPr>
          <w:p>
            <w:pPr>
              <w:spacing w:after="0"/>
              <w:rPr>
                <w:sz w:val="22"/>
                <w:szCs w:val="22"/>
                <w:color w:val="auto"/>
              </w:rPr>
            </w:pPr>
          </w:p>
        </w:tc>
      </w:tr>
      <w:tr>
        <w:trPr>
          <w:trHeight w:val="265"/>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6,025.2</w:t>
            </w:r>
          </w:p>
        </w:tc>
        <w:tc>
          <w:tcPr>
            <w:tcW w:w="12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5,997.4</w:t>
            </w:r>
          </w:p>
        </w:tc>
        <w:tc>
          <w:tcPr>
            <w:tcW w:w="12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5,126.8</w:t>
            </w:r>
          </w:p>
        </w:tc>
      </w:tr>
      <w:tr>
        <w:trPr>
          <w:trHeight w:val="270"/>
        </w:trPr>
        <w:tc>
          <w:tcPr>
            <w:tcW w:w="63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All other countries</w:t>
            </w:r>
          </w:p>
        </w:tc>
        <w:tc>
          <w:tcPr>
            <w:tcW w:w="360" w:type="dxa"/>
            <w:vAlign w:val="bottom"/>
            <w:tcBorders>
              <w:bottom w:val="single" w:sz="8" w:color="auto"/>
            </w:tcBorders>
            <w:shd w:val="clear" w:color="auto" w:fill="DCE2EF"/>
          </w:tcPr>
          <w:p>
            <w:pPr>
              <w:spacing w:after="0"/>
              <w:rPr>
                <w:sz w:val="23"/>
                <w:szCs w:val="23"/>
                <w:color w:val="auto"/>
              </w:rPr>
            </w:pP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473.3</w:t>
            </w:r>
          </w:p>
        </w:tc>
        <w:tc>
          <w:tcPr>
            <w:tcW w:w="120" w:type="dxa"/>
            <w:vAlign w:val="bottom"/>
            <w:shd w:val="clear" w:color="auto" w:fill="DCE2EF"/>
          </w:tcPr>
          <w:p>
            <w:pPr>
              <w:spacing w:after="0"/>
              <w:rPr>
                <w:sz w:val="23"/>
                <w:szCs w:val="23"/>
                <w:color w:val="auto"/>
              </w:rPr>
            </w:pPr>
          </w:p>
        </w:tc>
        <w:tc>
          <w:tcPr>
            <w:tcW w:w="360" w:type="dxa"/>
            <w:vAlign w:val="bottom"/>
            <w:tcBorders>
              <w:bottom w:val="single" w:sz="8" w:color="auto"/>
            </w:tcBorders>
            <w:shd w:val="clear" w:color="auto" w:fill="DCE2EF"/>
          </w:tcPr>
          <w:p>
            <w:pPr>
              <w:spacing w:after="0"/>
              <w:rPr>
                <w:sz w:val="23"/>
                <w:szCs w:val="23"/>
                <w:color w:val="auto"/>
              </w:rPr>
            </w:pP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444.8</w:t>
            </w:r>
          </w:p>
        </w:tc>
        <w:tc>
          <w:tcPr>
            <w:tcW w:w="120" w:type="dxa"/>
            <w:vAlign w:val="bottom"/>
            <w:shd w:val="clear" w:color="auto" w:fill="DCE2EF"/>
          </w:tcPr>
          <w:p>
            <w:pPr>
              <w:spacing w:after="0"/>
              <w:rPr>
                <w:sz w:val="23"/>
                <w:szCs w:val="23"/>
                <w:color w:val="auto"/>
              </w:rPr>
            </w:pPr>
          </w:p>
        </w:tc>
        <w:tc>
          <w:tcPr>
            <w:tcW w:w="380" w:type="dxa"/>
            <w:vAlign w:val="bottom"/>
            <w:tcBorders>
              <w:bottom w:val="single" w:sz="8" w:color="auto"/>
            </w:tcBorders>
            <w:shd w:val="clear" w:color="auto" w:fill="DCE2EF"/>
          </w:tcPr>
          <w:p>
            <w:pPr>
              <w:spacing w:after="0"/>
              <w:rPr>
                <w:sz w:val="23"/>
                <w:szCs w:val="23"/>
                <w:color w:val="auto"/>
              </w:rPr>
            </w:pPr>
          </w:p>
        </w:tc>
        <w:tc>
          <w:tcPr>
            <w:tcW w:w="122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326.8</w:t>
            </w:r>
          </w:p>
        </w:tc>
      </w:tr>
      <w:tr>
        <w:trPr>
          <w:trHeight w:val="250"/>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6,498.6</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6,442.2</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5,453.6</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180" w:hanging="172"/>
        <w:spacing w:after="0"/>
        <w:tabs>
          <w:tab w:leader="none" w:pos="180" w:val="left"/>
        </w:tabs>
        <w:numPr>
          <w:ilvl w:val="0"/>
          <w:numId w:val="47"/>
        </w:numPr>
        <w:rPr>
          <w:rFonts w:ascii="Arial" w:cs="Arial" w:eastAsia="Arial" w:hAnsi="Arial"/>
          <w:sz w:val="21"/>
          <w:szCs w:val="21"/>
          <w:color w:val="auto"/>
          <w:vertAlign w:val="superscript"/>
        </w:rPr>
      </w:pPr>
      <w:r>
        <w:rPr>
          <w:rFonts w:ascii="Arial" w:cs="Arial" w:eastAsia="Arial" w:hAnsi="Arial"/>
          <w:sz w:val="15"/>
          <w:szCs w:val="15"/>
          <w:color w:val="auto"/>
        </w:rPr>
        <w:t>Substantially all of our long-lived assets are related to United States operations.</w:t>
      </w:r>
    </w:p>
    <w:p>
      <w:pPr>
        <w:sectPr>
          <w:pgSz w:w="11900" w:h="16838" w:orient="portrait"/>
          <w:cols w:equalWidth="0" w:num="1">
            <w:col w:w="11420"/>
          </w:cols>
          <w:pgMar w:left="240" w:top="495" w:right="2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1420"/>
          </w:cols>
          <w:pgMar w:left="240" w:top="495" w:right="23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7"/>
          <w:szCs w:val="17"/>
          <w:b w:val="1"/>
          <w:bCs w:val="1"/>
          <w:color w:val="0046AD"/>
        </w:rPr>
        <w:t>20. SELECTED QUARTERLY FINANCIAL DATA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8629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ectPr>
          <w:pgSz w:w="11900" w:h="16838" w:orient="portrait"/>
          <w:cols w:equalWidth="0" w:num="1">
            <w:col w:w="11240"/>
          </w:cols>
          <w:pgMar w:left="240" w:top="493" w:right="419" w:bottom="1440" w:gutter="0" w:footer="0" w:header="0"/>
        </w:sect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600" w:type="dxa"/>
            <w:vAlign w:val="bottom"/>
            <w:tcBorders>
              <w:bottom w:val="single" w:sz="8" w:color="auto"/>
            </w:tcBorders>
            <w:gridSpan w:val="5"/>
          </w:tcPr>
          <w:p>
            <w:pPr>
              <w:ind w:left="460"/>
              <w:spacing w:after="0"/>
              <w:rPr>
                <w:sz w:val="20"/>
                <w:szCs w:val="20"/>
                <w:color w:val="auto"/>
              </w:rPr>
            </w:pPr>
            <w:r>
              <w:rPr>
                <w:rFonts w:ascii="Arial" w:cs="Arial" w:eastAsia="Arial" w:hAnsi="Arial"/>
                <w:sz w:val="18"/>
                <w:szCs w:val="18"/>
                <w:b w:val="1"/>
                <w:bCs w:val="1"/>
                <w:color w:val="auto"/>
              </w:rPr>
              <w:t>Fiscal Quarter</w:t>
            </w: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r>
      <w:tr>
        <w:trPr>
          <w:trHeight w:val="224"/>
        </w:trPr>
        <w:tc>
          <w:tcPr>
            <w:tcW w:w="590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240" w:type="dxa"/>
            <w:vAlign w:val="bottom"/>
          </w:tcPr>
          <w:p>
            <w:pPr>
              <w:spacing w:after="0"/>
              <w:rPr>
                <w:sz w:val="19"/>
                <w:szCs w:val="19"/>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First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Second</w:t>
            </w:r>
          </w:p>
        </w:tc>
        <w:tc>
          <w:tcPr>
            <w:tcW w:w="220" w:type="dxa"/>
            <w:vAlign w:val="bottom"/>
          </w:tcPr>
          <w:p>
            <w:pPr>
              <w:spacing w:after="0"/>
              <w:rPr>
                <w:sz w:val="19"/>
                <w:szCs w:val="19"/>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Third</w:t>
            </w:r>
          </w:p>
        </w:tc>
        <w:tc>
          <w:tcPr>
            <w:tcW w:w="180" w:type="dxa"/>
            <w:vAlign w:val="bottom"/>
          </w:tcPr>
          <w:p>
            <w:pPr>
              <w:spacing w:after="0"/>
              <w:rPr>
                <w:sz w:val="19"/>
                <w:szCs w:val="19"/>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b w:val="1"/>
                <w:bCs w:val="1"/>
                <w:color w:val="auto"/>
              </w:rPr>
              <w:t>Fourth</w:t>
            </w:r>
          </w:p>
        </w:tc>
        <w:tc>
          <w:tcPr>
            <w:tcW w:w="160" w:type="dxa"/>
            <w:vAlign w:val="bottom"/>
          </w:tcPr>
          <w:p>
            <w:pPr>
              <w:spacing w:after="0"/>
              <w:rPr>
                <w:sz w:val="19"/>
                <w:szCs w:val="19"/>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2240" w:type="dxa"/>
            <w:vAlign w:val="bottom"/>
            <w:tcBorders>
              <w:top w:val="single" w:sz="8" w:color="auto"/>
              <w:bottom w:val="single" w:sz="8" w:color="DCE2EF"/>
            </w:tcBorders>
          </w:tcPr>
          <w:p>
            <w:pPr>
              <w:spacing w:after="0" w:line="20" w:lineRule="exact"/>
              <w:rPr>
                <w:sz w:val="1"/>
                <w:szCs w:val="1"/>
                <w:color w:val="auto"/>
              </w:rPr>
            </w:pPr>
          </w:p>
        </w:tc>
        <w:tc>
          <w:tcPr>
            <w:tcW w:w="362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64"/>
        </w:trPr>
        <w:tc>
          <w:tcPr>
            <w:tcW w:w="5900" w:type="dxa"/>
            <w:vAlign w:val="bottom"/>
            <w:gridSpan w:val="3"/>
            <w:shd w:val="clear" w:color="auto" w:fill="DCE2EF"/>
          </w:tcPr>
          <w:p>
            <w:pPr>
              <w:ind w:left="40"/>
              <w:spacing w:after="0"/>
              <w:rPr>
                <w:sz w:val="20"/>
                <w:szCs w:val="20"/>
                <w:color w:val="auto"/>
              </w:rPr>
            </w:pPr>
            <w:r>
              <w:rPr>
                <w:rFonts w:ascii="Arial" w:cs="Arial" w:eastAsia="Arial" w:hAnsi="Arial"/>
                <w:sz w:val="18"/>
                <w:szCs w:val="18"/>
                <w:b w:val="1"/>
                <w:bCs w:val="1"/>
                <w:color w:val="auto"/>
              </w:rPr>
              <w:t>Year ended October 31, 2019</w:t>
            </w:r>
          </w:p>
        </w:tc>
        <w:tc>
          <w:tcPr>
            <w:tcW w:w="240" w:type="dxa"/>
            <w:vAlign w:val="bottom"/>
            <w:shd w:val="clear" w:color="auto" w:fill="DCE2EF"/>
          </w:tcPr>
          <w:p>
            <w:pPr>
              <w:spacing w:after="0"/>
              <w:rPr>
                <w:sz w:val="22"/>
                <w:szCs w:val="22"/>
                <w:color w:val="auto"/>
              </w:rPr>
            </w:pPr>
          </w:p>
        </w:tc>
        <w:tc>
          <w:tcPr>
            <w:tcW w:w="800" w:type="dxa"/>
            <w:vAlign w:val="bottom"/>
            <w:shd w:val="clear" w:color="auto" w:fill="DCE2EF"/>
          </w:tcPr>
          <w:p>
            <w:pPr>
              <w:spacing w:after="0"/>
              <w:rPr>
                <w:sz w:val="22"/>
                <w:szCs w:val="22"/>
                <w:color w:val="auto"/>
              </w:rPr>
            </w:pPr>
          </w:p>
        </w:tc>
        <w:tc>
          <w:tcPr>
            <w:tcW w:w="340" w:type="dxa"/>
            <w:vAlign w:val="bottom"/>
            <w:shd w:val="clear" w:color="auto" w:fill="DCE2EF"/>
          </w:tcPr>
          <w:p>
            <w:pPr>
              <w:spacing w:after="0"/>
              <w:rPr>
                <w:sz w:val="22"/>
                <w:szCs w:val="22"/>
                <w:color w:val="auto"/>
              </w:rPr>
            </w:pPr>
          </w:p>
        </w:tc>
        <w:tc>
          <w:tcPr>
            <w:tcW w:w="160" w:type="dxa"/>
            <w:vAlign w:val="bottom"/>
            <w:shd w:val="clear" w:color="auto" w:fill="DCE2EF"/>
          </w:tcPr>
          <w:p>
            <w:pPr>
              <w:spacing w:after="0"/>
              <w:rPr>
                <w:sz w:val="22"/>
                <w:szCs w:val="22"/>
                <w:color w:val="auto"/>
              </w:rPr>
            </w:pPr>
          </w:p>
        </w:tc>
        <w:tc>
          <w:tcPr>
            <w:tcW w:w="880" w:type="dxa"/>
            <w:vAlign w:val="bottom"/>
            <w:shd w:val="clear" w:color="auto" w:fill="DCE2EF"/>
          </w:tcPr>
          <w:p>
            <w:pPr>
              <w:spacing w:after="0"/>
              <w:rPr>
                <w:sz w:val="22"/>
                <w:szCs w:val="22"/>
                <w:color w:val="auto"/>
              </w:rPr>
            </w:pPr>
          </w:p>
        </w:tc>
        <w:tc>
          <w:tcPr>
            <w:tcW w:w="340" w:type="dxa"/>
            <w:vAlign w:val="bottom"/>
            <w:shd w:val="clear" w:color="auto" w:fill="DCE2EF"/>
          </w:tcPr>
          <w:p>
            <w:pPr>
              <w:spacing w:after="0"/>
              <w:rPr>
                <w:sz w:val="22"/>
                <w:szCs w:val="22"/>
                <w:color w:val="auto"/>
              </w:rPr>
            </w:pPr>
          </w:p>
        </w:tc>
        <w:tc>
          <w:tcPr>
            <w:tcW w:w="220" w:type="dxa"/>
            <w:vAlign w:val="bottom"/>
            <w:shd w:val="clear" w:color="auto" w:fill="DCE2EF"/>
          </w:tcPr>
          <w:p>
            <w:pPr>
              <w:spacing w:after="0"/>
              <w:rPr>
                <w:sz w:val="22"/>
                <w:szCs w:val="22"/>
                <w:color w:val="auto"/>
              </w:rPr>
            </w:pPr>
          </w:p>
        </w:tc>
        <w:tc>
          <w:tcPr>
            <w:tcW w:w="820" w:type="dxa"/>
            <w:vAlign w:val="bottom"/>
            <w:shd w:val="clear" w:color="auto" w:fill="DCE2EF"/>
          </w:tcPr>
          <w:p>
            <w:pPr>
              <w:spacing w:after="0"/>
              <w:rPr>
                <w:sz w:val="22"/>
                <w:szCs w:val="22"/>
                <w:color w:val="auto"/>
              </w:rPr>
            </w:pPr>
          </w:p>
        </w:tc>
        <w:tc>
          <w:tcPr>
            <w:tcW w:w="340" w:type="dxa"/>
            <w:vAlign w:val="bottom"/>
            <w:shd w:val="clear" w:color="auto" w:fill="DCE2EF"/>
          </w:tcPr>
          <w:p>
            <w:pPr>
              <w:spacing w:after="0"/>
              <w:rPr>
                <w:sz w:val="22"/>
                <w:szCs w:val="22"/>
                <w:color w:val="auto"/>
              </w:rPr>
            </w:pPr>
          </w:p>
        </w:tc>
        <w:tc>
          <w:tcPr>
            <w:tcW w:w="180" w:type="dxa"/>
            <w:vAlign w:val="bottom"/>
            <w:shd w:val="clear" w:color="auto" w:fill="DCE2EF"/>
          </w:tcPr>
          <w:p>
            <w:pPr>
              <w:spacing w:after="0"/>
              <w:rPr>
                <w:sz w:val="22"/>
                <w:szCs w:val="22"/>
                <w:color w:val="auto"/>
              </w:rPr>
            </w:pPr>
          </w:p>
        </w:tc>
        <w:tc>
          <w:tcPr>
            <w:tcW w:w="860" w:type="dxa"/>
            <w:vAlign w:val="bottom"/>
            <w:shd w:val="clear" w:color="auto" w:fill="DCE2EF"/>
          </w:tcPr>
          <w:p>
            <w:pPr>
              <w:spacing w:after="0"/>
              <w:rPr>
                <w:sz w:val="22"/>
                <w:szCs w:val="22"/>
                <w:color w:val="auto"/>
              </w:rPr>
            </w:pPr>
          </w:p>
        </w:tc>
        <w:tc>
          <w:tcPr>
            <w:tcW w:w="160" w:type="dxa"/>
            <w:vAlign w:val="bottom"/>
          </w:tcPr>
          <w:p>
            <w:pPr>
              <w:spacing w:after="0"/>
              <w:rPr>
                <w:sz w:val="22"/>
                <w:szCs w:val="22"/>
                <w:color w:val="auto"/>
              </w:rPr>
            </w:pPr>
          </w:p>
        </w:tc>
      </w:tr>
      <w:tr>
        <w:trPr>
          <w:trHeight w:val="265"/>
        </w:trPr>
        <w:tc>
          <w:tcPr>
            <w:tcW w:w="5900" w:type="dxa"/>
            <w:vAlign w:val="bottom"/>
            <w:gridSpan w:val="3"/>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1,607.9</w:t>
            </w:r>
          </w:p>
        </w:tc>
        <w:tc>
          <w:tcPr>
            <w:tcW w:w="34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1,594.7</w:t>
            </w:r>
          </w:p>
        </w:tc>
        <w:tc>
          <w:tcPr>
            <w:tcW w:w="34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1,647.9</w:t>
            </w:r>
          </w:p>
        </w:tc>
        <w:tc>
          <w:tcPr>
            <w:tcW w:w="3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1,648.0</w:t>
            </w:r>
          </w:p>
        </w:tc>
        <w:tc>
          <w:tcPr>
            <w:tcW w:w="160" w:type="dxa"/>
            <w:vAlign w:val="bottom"/>
          </w:tcPr>
          <w:p>
            <w:pPr>
              <w:spacing w:after="0"/>
              <w:rPr>
                <w:sz w:val="23"/>
                <w:szCs w:val="23"/>
                <w:color w:val="auto"/>
              </w:rPr>
            </w:pPr>
          </w:p>
        </w:tc>
      </w:tr>
      <w:tr>
        <w:trPr>
          <w:trHeight w:val="255"/>
        </w:trPr>
        <w:tc>
          <w:tcPr>
            <w:tcW w:w="40" w:type="dxa"/>
            <w:vAlign w:val="bottom"/>
            <w:tcBorders>
              <w:bottom w:val="single" w:sz="8" w:color="DCE2EF"/>
            </w:tcBorders>
            <w:shd w:val="clear" w:color="auto" w:fill="DCE2EF"/>
          </w:tcPr>
          <w:p>
            <w:pPr>
              <w:spacing w:after="0"/>
              <w:rPr>
                <w:sz w:val="22"/>
                <w:szCs w:val="22"/>
                <w:color w:val="auto"/>
              </w:rPr>
            </w:pPr>
          </w:p>
        </w:tc>
        <w:tc>
          <w:tcPr>
            <w:tcW w:w="224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8"/>
                <w:szCs w:val="18"/>
                <w:color w:val="auto"/>
                <w:shd w:val="clear" w:color="auto" w:fill="DCE2EF"/>
              </w:rPr>
              <w:t>Gross profit</w:t>
            </w:r>
          </w:p>
        </w:tc>
        <w:tc>
          <w:tcPr>
            <w:tcW w:w="3620" w:type="dxa"/>
            <w:vAlign w:val="bottom"/>
            <w:tcBorders>
              <w:bottom w:val="single" w:sz="8" w:color="DCE2EF"/>
            </w:tcBorders>
            <w:shd w:val="clear" w:color="auto" w:fill="DCE2EF"/>
          </w:tcPr>
          <w:p>
            <w:pPr>
              <w:spacing w:after="0"/>
              <w:rPr>
                <w:sz w:val="22"/>
                <w:szCs w:val="22"/>
                <w:color w:val="auto"/>
              </w:rPr>
            </w:pPr>
          </w:p>
        </w:tc>
        <w:tc>
          <w:tcPr>
            <w:tcW w:w="240" w:type="dxa"/>
            <w:vAlign w:val="bottom"/>
            <w:tcBorders>
              <w:bottom w:val="single" w:sz="8" w:color="DCE2EF"/>
            </w:tcBorders>
            <w:shd w:val="clear" w:color="auto" w:fill="DCE2EF"/>
          </w:tcPr>
          <w:p>
            <w:pPr>
              <w:spacing w:after="0"/>
              <w:rPr>
                <w:sz w:val="22"/>
                <w:szCs w:val="22"/>
                <w:color w:val="auto"/>
              </w:rPr>
            </w:pPr>
          </w:p>
        </w:tc>
        <w:tc>
          <w:tcPr>
            <w:tcW w:w="800" w:type="dxa"/>
            <w:vAlign w:val="bottom"/>
            <w:tcBorders>
              <w:bottom w:val="single" w:sz="8" w:color="DCE2EF"/>
            </w:tcBorders>
            <w:shd w:val="clear" w:color="auto" w:fill="DCE2EF"/>
          </w:tcPr>
          <w:p>
            <w:pPr>
              <w:jc w:val="right"/>
              <w:ind w:right="10"/>
              <w:spacing w:after="0"/>
              <w:rPr>
                <w:sz w:val="20"/>
                <w:szCs w:val="20"/>
                <w:color w:val="auto"/>
              </w:rPr>
            </w:pPr>
            <w:r>
              <w:rPr>
                <w:rFonts w:ascii="Arial" w:cs="Arial" w:eastAsia="Arial" w:hAnsi="Arial"/>
                <w:sz w:val="18"/>
                <w:szCs w:val="18"/>
                <w:color w:val="auto"/>
              </w:rPr>
              <w:t>162.0</w:t>
            </w:r>
          </w:p>
        </w:tc>
        <w:tc>
          <w:tcPr>
            <w:tcW w:w="340" w:type="dxa"/>
            <w:vAlign w:val="bottom"/>
            <w:tcBorders>
              <w:bottom w:val="single" w:sz="8" w:color="DCE2EF"/>
            </w:tcBorders>
            <w:shd w:val="clear" w:color="auto" w:fill="DCE2EF"/>
          </w:tcPr>
          <w:p>
            <w:pPr>
              <w:spacing w:after="0"/>
              <w:rPr>
                <w:sz w:val="22"/>
                <w:szCs w:val="22"/>
                <w:color w:val="auto"/>
              </w:rPr>
            </w:pPr>
          </w:p>
        </w:tc>
        <w:tc>
          <w:tcPr>
            <w:tcW w:w="160" w:type="dxa"/>
            <w:vAlign w:val="bottom"/>
            <w:tcBorders>
              <w:bottom w:val="single" w:sz="8" w:color="DCE2EF"/>
            </w:tcBorders>
            <w:shd w:val="clear" w:color="auto" w:fill="DCE2EF"/>
          </w:tcPr>
          <w:p>
            <w:pPr>
              <w:spacing w:after="0"/>
              <w:rPr>
                <w:sz w:val="22"/>
                <w:szCs w:val="22"/>
                <w:color w:val="auto"/>
              </w:rPr>
            </w:pPr>
          </w:p>
        </w:tc>
        <w:tc>
          <w:tcPr>
            <w:tcW w:w="880" w:type="dxa"/>
            <w:vAlign w:val="bottom"/>
            <w:tcBorders>
              <w:bottom w:val="single" w:sz="8" w:color="DCE2EF"/>
            </w:tcBorders>
            <w:shd w:val="clear" w:color="auto" w:fill="DCE2EF"/>
          </w:tcPr>
          <w:p>
            <w:pPr>
              <w:jc w:val="right"/>
              <w:ind w:right="10"/>
              <w:spacing w:after="0"/>
              <w:rPr>
                <w:sz w:val="20"/>
                <w:szCs w:val="20"/>
                <w:color w:val="auto"/>
              </w:rPr>
            </w:pPr>
            <w:r>
              <w:rPr>
                <w:rFonts w:ascii="Arial" w:cs="Arial" w:eastAsia="Arial" w:hAnsi="Arial"/>
                <w:sz w:val="18"/>
                <w:szCs w:val="18"/>
                <w:color w:val="auto"/>
              </w:rPr>
              <w:t>180.5</w:t>
            </w:r>
          </w:p>
        </w:tc>
        <w:tc>
          <w:tcPr>
            <w:tcW w:w="340" w:type="dxa"/>
            <w:vAlign w:val="bottom"/>
            <w:tcBorders>
              <w:bottom w:val="single" w:sz="8" w:color="DCE2EF"/>
            </w:tcBorders>
            <w:shd w:val="clear" w:color="auto" w:fill="DCE2EF"/>
          </w:tcPr>
          <w:p>
            <w:pPr>
              <w:spacing w:after="0"/>
              <w:rPr>
                <w:sz w:val="22"/>
                <w:szCs w:val="22"/>
                <w:color w:val="auto"/>
              </w:rPr>
            </w:pPr>
          </w:p>
        </w:tc>
        <w:tc>
          <w:tcPr>
            <w:tcW w:w="220" w:type="dxa"/>
            <w:vAlign w:val="bottom"/>
            <w:tcBorders>
              <w:bottom w:val="single" w:sz="8" w:color="DCE2EF"/>
            </w:tcBorders>
            <w:shd w:val="clear" w:color="auto" w:fill="DCE2EF"/>
          </w:tcPr>
          <w:p>
            <w:pPr>
              <w:spacing w:after="0"/>
              <w:rPr>
                <w:sz w:val="22"/>
                <w:szCs w:val="22"/>
                <w:color w:val="auto"/>
              </w:rPr>
            </w:pPr>
          </w:p>
        </w:tc>
        <w:tc>
          <w:tcPr>
            <w:tcW w:w="820" w:type="dxa"/>
            <w:vAlign w:val="bottom"/>
            <w:tcBorders>
              <w:bottom w:val="single" w:sz="8" w:color="DCE2EF"/>
            </w:tcBorders>
            <w:shd w:val="clear" w:color="auto" w:fill="DCE2EF"/>
          </w:tcPr>
          <w:p>
            <w:pPr>
              <w:jc w:val="right"/>
              <w:ind w:right="10"/>
              <w:spacing w:after="0"/>
              <w:rPr>
                <w:sz w:val="20"/>
                <w:szCs w:val="20"/>
                <w:color w:val="auto"/>
              </w:rPr>
            </w:pPr>
            <w:r>
              <w:rPr>
                <w:rFonts w:ascii="Arial" w:cs="Arial" w:eastAsia="Arial" w:hAnsi="Arial"/>
                <w:sz w:val="18"/>
                <w:szCs w:val="18"/>
                <w:color w:val="auto"/>
              </w:rPr>
              <w:t>193.9</w:t>
            </w:r>
          </w:p>
        </w:tc>
        <w:tc>
          <w:tcPr>
            <w:tcW w:w="340" w:type="dxa"/>
            <w:vAlign w:val="bottom"/>
            <w:tcBorders>
              <w:bottom w:val="single" w:sz="8" w:color="DCE2EF"/>
            </w:tcBorders>
            <w:shd w:val="clear" w:color="auto" w:fill="DCE2EF"/>
          </w:tcPr>
          <w:p>
            <w:pPr>
              <w:spacing w:after="0"/>
              <w:rPr>
                <w:sz w:val="22"/>
                <w:szCs w:val="22"/>
                <w:color w:val="auto"/>
              </w:rPr>
            </w:pPr>
          </w:p>
        </w:tc>
        <w:tc>
          <w:tcPr>
            <w:tcW w:w="180" w:type="dxa"/>
            <w:vAlign w:val="bottom"/>
            <w:tcBorders>
              <w:bottom w:val="single" w:sz="8" w:color="DCE2EF"/>
            </w:tcBorders>
            <w:shd w:val="clear" w:color="auto" w:fill="DCE2EF"/>
          </w:tcPr>
          <w:p>
            <w:pPr>
              <w:spacing w:after="0"/>
              <w:rPr>
                <w:sz w:val="22"/>
                <w:szCs w:val="22"/>
                <w:color w:val="auto"/>
              </w:rPr>
            </w:pPr>
          </w:p>
        </w:tc>
        <w:tc>
          <w:tcPr>
            <w:tcW w:w="860" w:type="dxa"/>
            <w:vAlign w:val="bottom"/>
            <w:tcBorders>
              <w:bottom w:val="single" w:sz="8" w:color="DCE2EF"/>
            </w:tcBorders>
            <w:shd w:val="clear" w:color="auto" w:fill="DCE2EF"/>
          </w:tcPr>
          <w:p>
            <w:pPr>
              <w:jc w:val="right"/>
              <w:ind w:right="10"/>
              <w:spacing w:after="0"/>
              <w:rPr>
                <w:sz w:val="20"/>
                <w:szCs w:val="20"/>
                <w:color w:val="auto"/>
              </w:rPr>
            </w:pPr>
            <w:r>
              <w:rPr>
                <w:rFonts w:ascii="Arial" w:cs="Arial" w:eastAsia="Arial" w:hAnsi="Arial"/>
                <w:sz w:val="18"/>
                <w:szCs w:val="18"/>
                <w:color w:val="auto"/>
              </w:rPr>
              <w:t>194.7</w:t>
            </w:r>
          </w:p>
        </w:tc>
        <w:tc>
          <w:tcPr>
            <w:tcW w:w="160" w:type="dxa"/>
            <w:vAlign w:val="bottom"/>
          </w:tcPr>
          <w:p>
            <w:pPr>
              <w:spacing w:after="0"/>
              <w:rPr>
                <w:sz w:val="22"/>
                <w:szCs w:val="22"/>
                <w:color w:val="auto"/>
              </w:rPr>
            </w:pPr>
          </w:p>
        </w:tc>
      </w:tr>
      <w:tr>
        <w:trPr>
          <w:trHeight w:val="265"/>
        </w:trPr>
        <w:tc>
          <w:tcPr>
            <w:tcW w:w="5900" w:type="dxa"/>
            <w:vAlign w:val="bottom"/>
            <w:gridSpan w:val="3"/>
          </w:tcPr>
          <w:p>
            <w:pPr>
              <w:ind w:left="4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29.9</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36.5</w:t>
            </w: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48.1</w:t>
            </w:r>
          </w:p>
        </w:tc>
        <w:tc>
          <w:tcPr>
            <w:tcW w:w="160" w:type="dxa"/>
            <w:vAlign w:val="bottom"/>
          </w:tcPr>
          <w:p>
            <w:pPr>
              <w:spacing w:after="0"/>
              <w:rPr>
                <w:sz w:val="23"/>
                <w:szCs w:val="23"/>
                <w:color w:val="auto"/>
              </w:rPr>
            </w:pPr>
          </w:p>
        </w:tc>
      </w:tr>
      <w:tr>
        <w:trPr>
          <w:trHeight w:val="270"/>
        </w:trPr>
        <w:tc>
          <w:tcPr>
            <w:tcW w:w="59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(Loss) income from discontinued operations, net of taxes</w:t>
            </w:r>
          </w:p>
        </w:tc>
        <w:tc>
          <w:tcPr>
            <w:tcW w:w="240" w:type="dxa"/>
            <w:vAlign w:val="bottom"/>
            <w:tcBorders>
              <w:bottom w:val="single" w:sz="8" w:color="auto"/>
            </w:tcBorders>
            <w:shd w:val="clear" w:color="auto" w:fill="DCE2EF"/>
          </w:tcPr>
          <w:p>
            <w:pPr>
              <w:spacing w:after="0"/>
              <w:rPr>
                <w:sz w:val="23"/>
                <w:szCs w:val="23"/>
                <w:color w:val="auto"/>
              </w:rPr>
            </w:pPr>
          </w:p>
        </w:tc>
        <w:tc>
          <w:tcPr>
            <w:tcW w:w="8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(0.1)</w:t>
            </w:r>
          </w:p>
        </w:tc>
        <w:tc>
          <w:tcPr>
            <w:tcW w:w="340" w:type="dxa"/>
            <w:vAlign w:val="bottom"/>
            <w:shd w:val="clear" w:color="auto" w:fill="DCE2EF"/>
          </w:tcPr>
          <w:p>
            <w:pPr>
              <w:spacing w:after="0"/>
              <w:rPr>
                <w:sz w:val="23"/>
                <w:szCs w:val="23"/>
                <w:color w:val="auto"/>
              </w:rPr>
            </w:pPr>
          </w:p>
        </w:tc>
        <w:tc>
          <w:tcPr>
            <w:tcW w:w="160" w:type="dxa"/>
            <w:vAlign w:val="bottom"/>
            <w:tcBorders>
              <w:bottom w:val="single" w:sz="8" w:color="auto"/>
            </w:tcBorders>
            <w:shd w:val="clear" w:color="auto" w:fill="DCE2EF"/>
          </w:tcPr>
          <w:p>
            <w:pPr>
              <w:spacing w:after="0"/>
              <w:rPr>
                <w:sz w:val="23"/>
                <w:szCs w:val="23"/>
                <w:color w:val="auto"/>
              </w:rPr>
            </w:pPr>
          </w:p>
        </w:tc>
        <w:tc>
          <w:tcPr>
            <w:tcW w:w="8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(0.2)</w:t>
            </w:r>
          </w:p>
        </w:tc>
        <w:tc>
          <w:tcPr>
            <w:tcW w:w="340" w:type="dxa"/>
            <w:vAlign w:val="bottom"/>
            <w:shd w:val="clear" w:color="auto" w:fill="DCE2EF"/>
          </w:tcPr>
          <w:p>
            <w:pPr>
              <w:spacing w:after="0"/>
              <w:rPr>
                <w:sz w:val="23"/>
                <w:szCs w:val="23"/>
                <w:color w:val="auto"/>
              </w:rPr>
            </w:pPr>
          </w:p>
        </w:tc>
        <w:tc>
          <w:tcPr>
            <w:tcW w:w="220" w:type="dxa"/>
            <w:vAlign w:val="bottom"/>
            <w:tcBorders>
              <w:bottom w:val="single" w:sz="8" w:color="auto"/>
            </w:tcBorders>
            <w:shd w:val="clear" w:color="auto" w:fill="DCE2EF"/>
          </w:tcPr>
          <w:p>
            <w:pPr>
              <w:spacing w:after="0"/>
              <w:rPr>
                <w:sz w:val="23"/>
                <w:szCs w:val="23"/>
                <w:color w:val="auto"/>
              </w:rPr>
            </w:pPr>
          </w:p>
        </w:tc>
        <w:tc>
          <w:tcPr>
            <w:tcW w:w="82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0.2</w:t>
            </w:r>
          </w:p>
        </w:tc>
        <w:tc>
          <w:tcPr>
            <w:tcW w:w="340" w:type="dxa"/>
            <w:vAlign w:val="bottom"/>
            <w:shd w:val="clear" w:color="auto" w:fill="DCE2EF"/>
          </w:tcPr>
          <w:p>
            <w:pPr>
              <w:spacing w:after="0"/>
              <w:rPr>
                <w:sz w:val="23"/>
                <w:szCs w:val="23"/>
                <w:color w:val="auto"/>
              </w:rPr>
            </w:pPr>
          </w:p>
        </w:tc>
        <w:tc>
          <w:tcPr>
            <w:tcW w:w="180" w:type="dxa"/>
            <w:vAlign w:val="bottom"/>
            <w:tcBorders>
              <w:bottom w:val="single" w:sz="8" w:color="auto"/>
            </w:tcBorders>
            <w:shd w:val="clear" w:color="auto" w:fill="DCE2EF"/>
          </w:tcPr>
          <w:p>
            <w:pPr>
              <w:spacing w:after="0"/>
              <w:rPr>
                <w:sz w:val="23"/>
                <w:szCs w:val="23"/>
                <w:color w:val="auto"/>
              </w:rPr>
            </w:pPr>
          </w:p>
        </w:tc>
        <w:tc>
          <w:tcPr>
            <w:tcW w:w="8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23"/>
                <w:szCs w:val="23"/>
                <w:color w:val="auto"/>
              </w:rPr>
            </w:pPr>
          </w:p>
        </w:tc>
      </w:tr>
      <w:tr>
        <w:trPr>
          <w:trHeight w:val="295"/>
        </w:trPr>
        <w:tc>
          <w:tcPr>
            <w:tcW w:w="5900" w:type="dxa"/>
            <w:vAlign w:val="bottom"/>
            <w:tcBorders>
              <w:bottom w:val="single" w:sz="8" w:color="DCE2EF"/>
            </w:tcBorders>
            <w:gridSpan w:val="3"/>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w:t>
            </w:r>
          </w:p>
        </w:tc>
        <w:tc>
          <w:tcPr>
            <w:tcW w:w="340" w:type="dxa"/>
            <w:vAlign w:val="bottom"/>
            <w:tcBorders>
              <w:bottom w:val="single" w:sz="8" w:color="DCE2E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29.7</w:t>
            </w:r>
          </w:p>
        </w:tc>
        <w:tc>
          <w:tcPr>
            <w:tcW w:w="340" w:type="dxa"/>
            <w:vAlign w:val="bottom"/>
            <w:tcBorders>
              <w:bottom w:val="single" w:sz="8" w:color="DCE2EF"/>
            </w:tcBorders>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36.8</w:t>
            </w:r>
          </w:p>
        </w:tc>
        <w:tc>
          <w:tcPr>
            <w:tcW w:w="340" w:type="dxa"/>
            <w:vAlign w:val="bottom"/>
            <w:tcBorders>
              <w:bottom w:val="single" w:sz="8" w:color="DCE2E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47.9</w:t>
            </w:r>
          </w:p>
        </w:tc>
        <w:tc>
          <w:tcPr>
            <w:tcW w:w="160" w:type="dxa"/>
            <w:vAlign w:val="bottom"/>
          </w:tcPr>
          <w:p>
            <w:pPr>
              <w:spacing w:after="0"/>
              <w:rPr>
                <w:sz w:val="24"/>
                <w:szCs w:val="24"/>
                <w:color w:val="auto"/>
              </w:rPr>
            </w:pPr>
          </w:p>
        </w:tc>
      </w:tr>
      <w:tr>
        <w:trPr>
          <w:trHeight w:val="278"/>
        </w:trPr>
        <w:tc>
          <w:tcPr>
            <w:tcW w:w="40" w:type="dxa"/>
            <w:vAlign w:val="bottom"/>
            <w:shd w:val="clear" w:color="auto" w:fill="DCE2EF"/>
          </w:tcPr>
          <w:p>
            <w:pPr>
              <w:spacing w:after="0"/>
              <w:rPr>
                <w:sz w:val="24"/>
                <w:szCs w:val="24"/>
                <w:color w:val="auto"/>
              </w:rPr>
            </w:pPr>
          </w:p>
        </w:tc>
        <w:tc>
          <w:tcPr>
            <w:tcW w:w="2240" w:type="dxa"/>
            <w:vAlign w:val="bottom"/>
            <w:shd w:val="clear" w:color="auto" w:fill="DCE2EF"/>
          </w:tcPr>
          <w:p>
            <w:pPr>
              <w:spacing w:after="0"/>
              <w:rPr>
                <w:sz w:val="24"/>
                <w:szCs w:val="24"/>
                <w:color w:val="auto"/>
              </w:rPr>
            </w:pPr>
          </w:p>
        </w:tc>
        <w:tc>
          <w:tcPr>
            <w:tcW w:w="3620" w:type="dxa"/>
            <w:vAlign w:val="bottom"/>
            <w:shd w:val="clear" w:color="auto" w:fill="DCE2EF"/>
          </w:tcPr>
          <w:p>
            <w:pPr>
              <w:spacing w:after="0"/>
              <w:rPr>
                <w:sz w:val="24"/>
                <w:szCs w:val="24"/>
                <w:color w:val="auto"/>
              </w:rPr>
            </w:pPr>
          </w:p>
        </w:tc>
        <w:tc>
          <w:tcPr>
            <w:tcW w:w="240" w:type="dxa"/>
            <w:vAlign w:val="bottom"/>
            <w:shd w:val="clear" w:color="auto" w:fill="DCE2EF"/>
          </w:tcPr>
          <w:p>
            <w:pPr>
              <w:spacing w:after="0"/>
              <w:rPr>
                <w:sz w:val="24"/>
                <w:szCs w:val="24"/>
                <w:color w:val="auto"/>
              </w:rPr>
            </w:pPr>
          </w:p>
        </w:tc>
        <w:tc>
          <w:tcPr>
            <w:tcW w:w="80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88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8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860" w:type="dxa"/>
            <w:vAlign w:val="bottom"/>
            <w:shd w:val="clear" w:color="auto" w:fill="DCE2EF"/>
          </w:tcPr>
          <w:p>
            <w:pPr>
              <w:spacing w:after="0"/>
              <w:rPr>
                <w:sz w:val="24"/>
                <w:szCs w:val="24"/>
                <w:color w:val="auto"/>
              </w:rPr>
            </w:pPr>
          </w:p>
        </w:tc>
        <w:tc>
          <w:tcPr>
            <w:tcW w:w="160" w:type="dxa"/>
            <w:vAlign w:val="bottom"/>
          </w:tcPr>
          <w:p>
            <w:pPr>
              <w:spacing w:after="0"/>
              <w:rPr>
                <w:sz w:val="24"/>
                <w:szCs w:val="24"/>
                <w:color w:val="auto"/>
              </w:rPr>
            </w:pPr>
          </w:p>
        </w:tc>
      </w:tr>
      <w:tr>
        <w:trPr>
          <w:trHeight w:val="265"/>
        </w:trPr>
        <w:tc>
          <w:tcPr>
            <w:tcW w:w="5900" w:type="dxa"/>
            <w:vAlign w:val="bottom"/>
            <w:gridSpan w:val="3"/>
          </w:tcPr>
          <w:p>
            <w:pPr>
              <w:ind w:left="40"/>
              <w:spacing w:after="0"/>
              <w:rPr>
                <w:sz w:val="20"/>
                <w:szCs w:val="20"/>
                <w:color w:val="auto"/>
              </w:rPr>
            </w:pPr>
            <w:r>
              <w:rPr>
                <w:rFonts w:ascii="Arial" w:cs="Arial" w:eastAsia="Arial" w:hAnsi="Arial"/>
                <w:sz w:val="18"/>
                <w:szCs w:val="18"/>
                <w:color w:val="auto"/>
              </w:rPr>
              <w:t>Net income per common share — Basic</w:t>
            </w: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75"/>
        </w:trPr>
        <w:tc>
          <w:tcPr>
            <w:tcW w:w="40" w:type="dxa"/>
            <w:vAlign w:val="bottom"/>
            <w:shd w:val="clear" w:color="auto" w:fill="DCE2EF"/>
          </w:tcPr>
          <w:p>
            <w:pPr>
              <w:spacing w:after="0"/>
              <w:rPr>
                <w:sz w:val="23"/>
                <w:szCs w:val="23"/>
                <w:color w:val="auto"/>
              </w:rPr>
            </w:pPr>
          </w:p>
        </w:tc>
        <w:tc>
          <w:tcPr>
            <w:tcW w:w="586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0.20</w:t>
            </w:r>
          </w:p>
        </w:tc>
        <w:tc>
          <w:tcPr>
            <w:tcW w:w="340" w:type="dxa"/>
            <w:vAlign w:val="bottom"/>
            <w:shd w:val="clear" w:color="auto" w:fill="DCE2EF"/>
          </w:tcPr>
          <w:p>
            <w:pPr>
              <w:spacing w:after="0"/>
              <w:rPr>
                <w:sz w:val="23"/>
                <w:szCs w:val="23"/>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0.45</w:t>
            </w:r>
          </w:p>
        </w:tc>
        <w:tc>
          <w:tcPr>
            <w:tcW w:w="340" w:type="dxa"/>
            <w:vAlign w:val="bottom"/>
            <w:shd w:val="clear" w:color="auto" w:fill="DCE2EF"/>
          </w:tcPr>
          <w:p>
            <w:pPr>
              <w:spacing w:after="0"/>
              <w:rPr>
                <w:sz w:val="23"/>
                <w:szCs w:val="23"/>
                <w:color w:val="auto"/>
              </w:rPr>
            </w:pPr>
          </w:p>
        </w:tc>
        <w:tc>
          <w:tcPr>
            <w:tcW w:w="2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0.55</w:t>
            </w:r>
          </w:p>
        </w:tc>
        <w:tc>
          <w:tcPr>
            <w:tcW w:w="340" w:type="dxa"/>
            <w:vAlign w:val="bottom"/>
            <w:shd w:val="clear" w:color="auto" w:fill="DCE2EF"/>
          </w:tcPr>
          <w:p>
            <w:pPr>
              <w:spacing w:after="0"/>
              <w:rPr>
                <w:sz w:val="23"/>
                <w:szCs w:val="23"/>
                <w:color w:val="auto"/>
              </w:rPr>
            </w:pPr>
          </w:p>
        </w:tc>
        <w:tc>
          <w:tcPr>
            <w:tcW w:w="18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0.72</w:t>
            </w:r>
          </w:p>
        </w:tc>
        <w:tc>
          <w:tcPr>
            <w:tcW w:w="160" w:type="dxa"/>
            <w:vAlign w:val="bottom"/>
          </w:tcPr>
          <w:p>
            <w:pPr>
              <w:spacing w:after="0"/>
              <w:rPr>
                <w:sz w:val="23"/>
                <w:szCs w:val="23"/>
                <w:color w:val="auto"/>
              </w:rPr>
            </w:pPr>
          </w:p>
        </w:tc>
      </w:tr>
      <w:tr>
        <w:trPr>
          <w:trHeight w:val="265"/>
        </w:trPr>
        <w:tc>
          <w:tcPr>
            <w:tcW w:w="40" w:type="dxa"/>
            <w:vAlign w:val="bottom"/>
          </w:tcPr>
          <w:p>
            <w:pPr>
              <w:spacing w:after="0"/>
              <w:rPr>
                <w:sz w:val="23"/>
                <w:szCs w:val="23"/>
                <w:color w:val="auto"/>
              </w:rPr>
            </w:pPr>
          </w:p>
        </w:tc>
        <w:tc>
          <w:tcPr>
            <w:tcW w:w="5860" w:type="dxa"/>
            <w:vAlign w:val="bottom"/>
            <w:gridSpan w:val="2"/>
          </w:tcPr>
          <w:p>
            <w:pPr>
              <w:ind w:left="340"/>
              <w:spacing w:after="0"/>
              <w:rPr>
                <w:sz w:val="20"/>
                <w:szCs w:val="20"/>
                <w:color w:val="auto"/>
              </w:rPr>
            </w:pPr>
            <w:r>
              <w:rPr>
                <w:rFonts w:ascii="Arial" w:cs="Arial" w:eastAsia="Arial" w:hAnsi="Arial"/>
                <w:sz w:val="18"/>
                <w:szCs w:val="18"/>
                <w:color w:val="auto"/>
              </w:rPr>
              <w:t>Income from discontinued operations</w:t>
            </w:r>
          </w:p>
        </w:tc>
        <w:tc>
          <w:tcPr>
            <w:tcW w:w="24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r>
      <w:tr>
        <w:trPr>
          <w:trHeight w:val="255"/>
        </w:trPr>
        <w:tc>
          <w:tcPr>
            <w:tcW w:w="40" w:type="dxa"/>
            <w:vAlign w:val="bottom"/>
            <w:tcBorders>
              <w:top w:val="single" w:sz="8" w:color="DCE2EF"/>
              <w:bottom w:val="single" w:sz="8" w:color="DCE2EF"/>
            </w:tcBorders>
            <w:shd w:val="clear" w:color="auto" w:fill="DCE2EF"/>
          </w:tcPr>
          <w:p>
            <w:pPr>
              <w:spacing w:after="0"/>
              <w:rPr>
                <w:sz w:val="22"/>
                <w:szCs w:val="22"/>
                <w:color w:val="auto"/>
              </w:rPr>
            </w:pPr>
          </w:p>
        </w:tc>
        <w:tc>
          <w:tcPr>
            <w:tcW w:w="5860" w:type="dxa"/>
            <w:vAlign w:val="bottom"/>
            <w:tcBorders>
              <w:top w:val="single" w:sz="8" w:color="DCE2EF"/>
              <w:bottom w:val="single" w:sz="8" w:color="DCE2EF"/>
            </w:tcBorders>
            <w:gridSpan w:val="2"/>
            <w:shd w:val="clear" w:color="auto" w:fill="DCE2EF"/>
          </w:tcPr>
          <w:p>
            <w:pPr>
              <w:ind w:left="3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0.20</w:t>
            </w:r>
          </w:p>
        </w:tc>
        <w:tc>
          <w:tcPr>
            <w:tcW w:w="340" w:type="dxa"/>
            <w:vAlign w:val="bottom"/>
            <w:tcBorders>
              <w:top w:val="single" w:sz="8" w:color="DCE2EF"/>
              <w:bottom w:val="single" w:sz="8" w:color="DCE2EF"/>
            </w:tcBorders>
            <w:shd w:val="clear" w:color="auto" w:fill="DCE2EF"/>
          </w:tcPr>
          <w:p>
            <w:pPr>
              <w:spacing w:after="0"/>
              <w:rPr>
                <w:sz w:val="22"/>
                <w:szCs w:val="22"/>
                <w:color w:val="auto"/>
              </w:rPr>
            </w:pPr>
          </w:p>
        </w:tc>
        <w:tc>
          <w:tcPr>
            <w:tcW w:w="16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0.45</w:t>
            </w:r>
          </w:p>
        </w:tc>
        <w:tc>
          <w:tcPr>
            <w:tcW w:w="340" w:type="dxa"/>
            <w:vAlign w:val="bottom"/>
            <w:tcBorders>
              <w:top w:val="single" w:sz="8" w:color="DCE2EF"/>
              <w:bottom w:val="single" w:sz="8" w:color="DCE2EF"/>
            </w:tcBorders>
            <w:shd w:val="clear" w:color="auto" w:fill="DCE2EF"/>
          </w:tcPr>
          <w:p>
            <w:pPr>
              <w:spacing w:after="0"/>
              <w:rPr>
                <w:sz w:val="22"/>
                <w:szCs w:val="22"/>
                <w:color w:val="auto"/>
              </w:rPr>
            </w:pPr>
          </w:p>
        </w:tc>
        <w:tc>
          <w:tcPr>
            <w:tcW w:w="22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0.55</w:t>
            </w:r>
          </w:p>
        </w:tc>
        <w:tc>
          <w:tcPr>
            <w:tcW w:w="340" w:type="dxa"/>
            <w:vAlign w:val="bottom"/>
            <w:tcBorders>
              <w:top w:val="single" w:sz="8" w:color="DCE2EF"/>
              <w:bottom w:val="single" w:sz="8" w:color="DCE2EF"/>
            </w:tcBorders>
            <w:shd w:val="clear" w:color="auto" w:fill="DCE2EF"/>
          </w:tcPr>
          <w:p>
            <w:pPr>
              <w:spacing w:after="0"/>
              <w:rPr>
                <w:sz w:val="22"/>
                <w:szCs w:val="22"/>
                <w:color w:val="auto"/>
              </w:rPr>
            </w:pPr>
          </w:p>
        </w:tc>
        <w:tc>
          <w:tcPr>
            <w:tcW w:w="18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0.72</w:t>
            </w:r>
          </w:p>
        </w:tc>
        <w:tc>
          <w:tcPr>
            <w:tcW w:w="16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78"/>
        </w:trPr>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70"/>
        </w:trPr>
        <w:tc>
          <w:tcPr>
            <w:tcW w:w="59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Net income per common share — Diluted</w:t>
            </w:r>
          </w:p>
        </w:tc>
        <w:tc>
          <w:tcPr>
            <w:tcW w:w="240" w:type="dxa"/>
            <w:vAlign w:val="bottom"/>
            <w:shd w:val="clear" w:color="auto" w:fill="DCE2EF"/>
          </w:tcPr>
          <w:p>
            <w:pPr>
              <w:spacing w:after="0"/>
              <w:rPr>
                <w:sz w:val="23"/>
                <w:szCs w:val="23"/>
                <w:color w:val="auto"/>
              </w:rPr>
            </w:pPr>
          </w:p>
        </w:tc>
        <w:tc>
          <w:tcPr>
            <w:tcW w:w="80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60" w:type="dxa"/>
            <w:vAlign w:val="bottom"/>
            <w:shd w:val="clear" w:color="auto" w:fill="DCE2EF"/>
          </w:tcPr>
          <w:p>
            <w:pPr>
              <w:spacing w:after="0"/>
              <w:rPr>
                <w:sz w:val="23"/>
                <w:szCs w:val="23"/>
                <w:color w:val="auto"/>
              </w:rPr>
            </w:pPr>
          </w:p>
        </w:tc>
        <w:tc>
          <w:tcPr>
            <w:tcW w:w="88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220" w:type="dxa"/>
            <w:vAlign w:val="bottom"/>
            <w:shd w:val="clear" w:color="auto" w:fill="DCE2EF"/>
          </w:tcPr>
          <w:p>
            <w:pPr>
              <w:spacing w:after="0"/>
              <w:rPr>
                <w:sz w:val="23"/>
                <w:szCs w:val="23"/>
                <w:color w:val="auto"/>
              </w:rPr>
            </w:pPr>
          </w:p>
        </w:tc>
        <w:tc>
          <w:tcPr>
            <w:tcW w:w="82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80" w:type="dxa"/>
            <w:vAlign w:val="bottom"/>
            <w:shd w:val="clear" w:color="auto" w:fill="DCE2EF"/>
          </w:tcPr>
          <w:p>
            <w:pPr>
              <w:spacing w:after="0"/>
              <w:rPr>
                <w:sz w:val="23"/>
                <w:szCs w:val="23"/>
                <w:color w:val="auto"/>
              </w:rPr>
            </w:pPr>
          </w:p>
        </w:tc>
        <w:tc>
          <w:tcPr>
            <w:tcW w:w="860" w:type="dxa"/>
            <w:vAlign w:val="bottom"/>
            <w:shd w:val="clear" w:color="auto" w:fill="DCE2EF"/>
          </w:tcPr>
          <w:p>
            <w:pPr>
              <w:spacing w:after="0"/>
              <w:rPr>
                <w:sz w:val="23"/>
                <w:szCs w:val="23"/>
                <w:color w:val="auto"/>
              </w:rPr>
            </w:pPr>
          </w:p>
        </w:tc>
        <w:tc>
          <w:tcPr>
            <w:tcW w:w="160" w:type="dxa"/>
            <w:vAlign w:val="bottom"/>
          </w:tcPr>
          <w:p>
            <w:pPr>
              <w:spacing w:after="0"/>
              <w:rPr>
                <w:sz w:val="23"/>
                <w:szCs w:val="23"/>
                <w:color w:val="auto"/>
              </w:rPr>
            </w:pPr>
          </w:p>
        </w:tc>
      </w:tr>
      <w:tr>
        <w:trPr>
          <w:trHeight w:val="265"/>
        </w:trPr>
        <w:tc>
          <w:tcPr>
            <w:tcW w:w="40" w:type="dxa"/>
            <w:vAlign w:val="bottom"/>
          </w:tcPr>
          <w:p>
            <w:pPr>
              <w:spacing w:after="0"/>
              <w:rPr>
                <w:sz w:val="23"/>
                <w:szCs w:val="23"/>
                <w:color w:val="auto"/>
              </w:rPr>
            </w:pPr>
          </w:p>
        </w:tc>
        <w:tc>
          <w:tcPr>
            <w:tcW w:w="5860" w:type="dxa"/>
            <w:vAlign w:val="bottom"/>
            <w:gridSpan w:val="2"/>
          </w:tcPr>
          <w:p>
            <w:pPr>
              <w:ind w:left="34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0.20</w:t>
            </w:r>
          </w:p>
        </w:tc>
        <w:tc>
          <w:tcPr>
            <w:tcW w:w="34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0.45</w:t>
            </w:r>
          </w:p>
        </w:tc>
        <w:tc>
          <w:tcPr>
            <w:tcW w:w="34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0.55</w:t>
            </w:r>
          </w:p>
        </w:tc>
        <w:tc>
          <w:tcPr>
            <w:tcW w:w="3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0.71</w:t>
            </w:r>
          </w:p>
        </w:tc>
        <w:tc>
          <w:tcPr>
            <w:tcW w:w="160" w:type="dxa"/>
            <w:vAlign w:val="bottom"/>
          </w:tcPr>
          <w:p>
            <w:pPr>
              <w:spacing w:after="0"/>
              <w:rPr>
                <w:sz w:val="23"/>
                <w:szCs w:val="23"/>
                <w:color w:val="auto"/>
              </w:rPr>
            </w:pPr>
          </w:p>
        </w:tc>
      </w:tr>
      <w:tr>
        <w:trPr>
          <w:trHeight w:val="270"/>
        </w:trPr>
        <w:tc>
          <w:tcPr>
            <w:tcW w:w="40" w:type="dxa"/>
            <w:vAlign w:val="bottom"/>
            <w:shd w:val="clear" w:color="auto" w:fill="DCE2EF"/>
          </w:tcPr>
          <w:p>
            <w:pPr>
              <w:spacing w:after="0"/>
              <w:rPr>
                <w:sz w:val="23"/>
                <w:szCs w:val="23"/>
                <w:color w:val="auto"/>
              </w:rPr>
            </w:pPr>
          </w:p>
        </w:tc>
        <w:tc>
          <w:tcPr>
            <w:tcW w:w="586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Income from discontinued operations</w:t>
            </w:r>
          </w:p>
        </w:tc>
        <w:tc>
          <w:tcPr>
            <w:tcW w:w="240" w:type="dxa"/>
            <w:vAlign w:val="bottom"/>
            <w:shd w:val="clear" w:color="auto" w:fill="DCE2EF"/>
          </w:tcPr>
          <w:p>
            <w:pPr>
              <w:spacing w:after="0"/>
              <w:rPr>
                <w:sz w:val="23"/>
                <w:szCs w:val="23"/>
                <w:color w:val="auto"/>
              </w:rPr>
            </w:pPr>
          </w:p>
        </w:tc>
        <w:tc>
          <w:tcPr>
            <w:tcW w:w="8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DCE2EF"/>
          </w:tcPr>
          <w:p>
            <w:pPr>
              <w:spacing w:after="0"/>
              <w:rPr>
                <w:sz w:val="23"/>
                <w:szCs w:val="23"/>
                <w:color w:val="auto"/>
              </w:rPr>
            </w:pPr>
          </w:p>
        </w:tc>
        <w:tc>
          <w:tcPr>
            <w:tcW w:w="160" w:type="dxa"/>
            <w:vAlign w:val="bottom"/>
            <w:shd w:val="clear" w:color="auto" w:fill="DCE2EF"/>
          </w:tcPr>
          <w:p>
            <w:pPr>
              <w:spacing w:after="0"/>
              <w:rPr>
                <w:sz w:val="23"/>
                <w:szCs w:val="23"/>
                <w:color w:val="auto"/>
              </w:rPr>
            </w:pPr>
          </w:p>
        </w:tc>
        <w:tc>
          <w:tcPr>
            <w:tcW w:w="1220" w:type="dxa"/>
            <w:vAlign w:val="bottom"/>
            <w:gridSpan w:val="2"/>
            <w:shd w:val="clear" w:color="auto" w:fill="DCE2E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DCE2EF"/>
          </w:tcPr>
          <w:p>
            <w:pPr>
              <w:spacing w:after="0"/>
              <w:rPr>
                <w:sz w:val="23"/>
                <w:szCs w:val="23"/>
                <w:color w:val="auto"/>
              </w:rPr>
            </w:pPr>
          </w:p>
        </w:tc>
        <w:tc>
          <w:tcPr>
            <w:tcW w:w="1160" w:type="dxa"/>
            <w:vAlign w:val="bottom"/>
            <w:gridSpan w:val="2"/>
            <w:shd w:val="clear" w:color="auto" w:fill="DCE2E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DCE2EF"/>
          </w:tcPr>
          <w:p>
            <w:pPr>
              <w:spacing w:after="0"/>
              <w:rPr>
                <w:sz w:val="23"/>
                <w:szCs w:val="23"/>
                <w:color w:val="auto"/>
              </w:rPr>
            </w:pPr>
          </w:p>
        </w:tc>
        <w:tc>
          <w:tcPr>
            <w:tcW w:w="8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r>
      <w:tr>
        <w:trPr>
          <w:trHeight w:val="295"/>
        </w:trPr>
        <w:tc>
          <w:tcPr>
            <w:tcW w:w="40" w:type="dxa"/>
            <w:vAlign w:val="bottom"/>
            <w:tcBorders>
              <w:bottom w:val="single" w:sz="8" w:color="DCE2EF"/>
            </w:tcBorders>
          </w:tcPr>
          <w:p>
            <w:pPr>
              <w:spacing w:after="0"/>
              <w:rPr>
                <w:sz w:val="24"/>
                <w:szCs w:val="24"/>
                <w:color w:val="auto"/>
              </w:rPr>
            </w:pPr>
          </w:p>
        </w:tc>
        <w:tc>
          <w:tcPr>
            <w:tcW w:w="5860" w:type="dxa"/>
            <w:vAlign w:val="bottom"/>
            <w:tcBorders>
              <w:bottom w:val="single" w:sz="8" w:color="DCE2EF"/>
            </w:tcBorders>
            <w:gridSpan w:val="2"/>
          </w:tcPr>
          <w:p>
            <w:pPr>
              <w:ind w:left="3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0.19</w:t>
            </w:r>
          </w:p>
        </w:tc>
        <w:tc>
          <w:tcPr>
            <w:tcW w:w="340" w:type="dxa"/>
            <w:vAlign w:val="bottom"/>
            <w:tcBorders>
              <w:bottom w:val="single" w:sz="8" w:color="DCE2E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0.45</w:t>
            </w:r>
          </w:p>
        </w:tc>
        <w:tc>
          <w:tcPr>
            <w:tcW w:w="340" w:type="dxa"/>
            <w:vAlign w:val="bottom"/>
            <w:tcBorders>
              <w:bottom w:val="single" w:sz="8" w:color="DCE2EF"/>
            </w:tcBorders>
          </w:tcPr>
          <w:p>
            <w:pPr>
              <w:spacing w:after="0"/>
              <w:rPr>
                <w:sz w:val="24"/>
                <w:szCs w:val="24"/>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0.55</w:t>
            </w:r>
          </w:p>
        </w:tc>
        <w:tc>
          <w:tcPr>
            <w:tcW w:w="340" w:type="dxa"/>
            <w:vAlign w:val="bottom"/>
            <w:tcBorders>
              <w:bottom w:val="single" w:sz="8" w:color="DCE2E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0.71</w:t>
            </w:r>
          </w:p>
        </w:tc>
        <w:tc>
          <w:tcPr>
            <w:tcW w:w="160" w:type="dxa"/>
            <w:vAlign w:val="bottom"/>
          </w:tcPr>
          <w:p>
            <w:pPr>
              <w:spacing w:after="0"/>
              <w:rPr>
                <w:sz w:val="24"/>
                <w:szCs w:val="24"/>
                <w:color w:val="auto"/>
              </w:rPr>
            </w:pPr>
          </w:p>
        </w:tc>
      </w:tr>
      <w:tr>
        <w:trPr>
          <w:trHeight w:val="278"/>
        </w:trPr>
        <w:tc>
          <w:tcPr>
            <w:tcW w:w="40" w:type="dxa"/>
            <w:vAlign w:val="bottom"/>
            <w:shd w:val="clear" w:color="auto" w:fill="DCE2EF"/>
          </w:tcPr>
          <w:p>
            <w:pPr>
              <w:spacing w:after="0"/>
              <w:rPr>
                <w:sz w:val="24"/>
                <w:szCs w:val="24"/>
                <w:color w:val="auto"/>
              </w:rPr>
            </w:pPr>
          </w:p>
        </w:tc>
        <w:tc>
          <w:tcPr>
            <w:tcW w:w="2240" w:type="dxa"/>
            <w:vAlign w:val="bottom"/>
            <w:shd w:val="clear" w:color="auto" w:fill="DCE2EF"/>
          </w:tcPr>
          <w:p>
            <w:pPr>
              <w:spacing w:after="0"/>
              <w:rPr>
                <w:sz w:val="24"/>
                <w:szCs w:val="24"/>
                <w:color w:val="auto"/>
              </w:rPr>
            </w:pPr>
          </w:p>
        </w:tc>
        <w:tc>
          <w:tcPr>
            <w:tcW w:w="3620" w:type="dxa"/>
            <w:vAlign w:val="bottom"/>
            <w:shd w:val="clear" w:color="auto" w:fill="DCE2EF"/>
          </w:tcPr>
          <w:p>
            <w:pPr>
              <w:spacing w:after="0"/>
              <w:rPr>
                <w:sz w:val="24"/>
                <w:szCs w:val="24"/>
                <w:color w:val="auto"/>
              </w:rPr>
            </w:pPr>
          </w:p>
        </w:tc>
        <w:tc>
          <w:tcPr>
            <w:tcW w:w="240" w:type="dxa"/>
            <w:vAlign w:val="bottom"/>
            <w:shd w:val="clear" w:color="auto" w:fill="DCE2EF"/>
          </w:tcPr>
          <w:p>
            <w:pPr>
              <w:spacing w:after="0"/>
              <w:rPr>
                <w:sz w:val="24"/>
                <w:szCs w:val="24"/>
                <w:color w:val="auto"/>
              </w:rPr>
            </w:pPr>
          </w:p>
        </w:tc>
        <w:tc>
          <w:tcPr>
            <w:tcW w:w="80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88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8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860" w:type="dxa"/>
            <w:vAlign w:val="bottom"/>
            <w:shd w:val="clear" w:color="auto" w:fill="DCE2EF"/>
          </w:tcPr>
          <w:p>
            <w:pPr>
              <w:spacing w:after="0"/>
              <w:rPr>
                <w:sz w:val="24"/>
                <w:szCs w:val="24"/>
                <w:color w:val="auto"/>
              </w:rPr>
            </w:pPr>
          </w:p>
        </w:tc>
        <w:tc>
          <w:tcPr>
            <w:tcW w:w="160" w:type="dxa"/>
            <w:vAlign w:val="bottom"/>
          </w:tcPr>
          <w:p>
            <w:pPr>
              <w:spacing w:after="0"/>
              <w:rPr>
                <w:sz w:val="24"/>
                <w:szCs w:val="24"/>
                <w:color w:val="auto"/>
              </w:rPr>
            </w:pPr>
          </w:p>
        </w:tc>
      </w:tr>
      <w:tr>
        <w:trPr>
          <w:trHeight w:val="269"/>
        </w:trPr>
        <w:tc>
          <w:tcPr>
            <w:tcW w:w="5900" w:type="dxa"/>
            <w:vAlign w:val="bottom"/>
            <w:gridSpan w:val="3"/>
          </w:tcPr>
          <w:p>
            <w:pPr>
              <w:ind w:left="40"/>
              <w:spacing w:after="0"/>
              <w:rPr>
                <w:sz w:val="20"/>
                <w:szCs w:val="20"/>
                <w:color w:val="auto"/>
              </w:rPr>
            </w:pPr>
            <w:r>
              <w:rPr>
                <w:rFonts w:ascii="Arial" w:cs="Arial" w:eastAsia="Arial" w:hAnsi="Arial"/>
                <w:sz w:val="18"/>
                <w:szCs w:val="18"/>
                <w:b w:val="1"/>
                <w:bCs w:val="1"/>
                <w:color w:val="auto"/>
              </w:rPr>
              <w:t>Year ended October 31, 2018</w:t>
            </w: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71"/>
        </w:trPr>
        <w:tc>
          <w:tcPr>
            <w:tcW w:w="59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1,588.3</w:t>
            </w:r>
          </w:p>
        </w:tc>
        <w:tc>
          <w:tcPr>
            <w:tcW w:w="340" w:type="dxa"/>
            <w:vAlign w:val="bottom"/>
            <w:shd w:val="clear" w:color="auto" w:fill="DCE2EF"/>
          </w:tcPr>
          <w:p>
            <w:pPr>
              <w:spacing w:after="0"/>
              <w:rPr>
                <w:sz w:val="23"/>
                <w:szCs w:val="23"/>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1,580.8</w:t>
            </w:r>
          </w:p>
        </w:tc>
        <w:tc>
          <w:tcPr>
            <w:tcW w:w="340" w:type="dxa"/>
            <w:vAlign w:val="bottom"/>
            <w:shd w:val="clear" w:color="auto" w:fill="DCE2EF"/>
          </w:tcPr>
          <w:p>
            <w:pPr>
              <w:spacing w:after="0"/>
              <w:rPr>
                <w:sz w:val="23"/>
                <w:szCs w:val="23"/>
                <w:color w:val="auto"/>
              </w:rPr>
            </w:pPr>
          </w:p>
        </w:tc>
        <w:tc>
          <w:tcPr>
            <w:tcW w:w="2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1,624.3</w:t>
            </w:r>
          </w:p>
        </w:tc>
        <w:tc>
          <w:tcPr>
            <w:tcW w:w="340" w:type="dxa"/>
            <w:vAlign w:val="bottom"/>
            <w:shd w:val="clear" w:color="auto" w:fill="DCE2EF"/>
          </w:tcPr>
          <w:p>
            <w:pPr>
              <w:spacing w:after="0"/>
              <w:rPr>
                <w:sz w:val="23"/>
                <w:szCs w:val="23"/>
                <w:color w:val="auto"/>
              </w:rPr>
            </w:pPr>
          </w:p>
        </w:tc>
        <w:tc>
          <w:tcPr>
            <w:tcW w:w="18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1,648.8</w:t>
            </w:r>
          </w:p>
        </w:tc>
        <w:tc>
          <w:tcPr>
            <w:tcW w:w="160" w:type="dxa"/>
            <w:vAlign w:val="bottom"/>
          </w:tcPr>
          <w:p>
            <w:pPr>
              <w:spacing w:after="0"/>
              <w:rPr>
                <w:sz w:val="23"/>
                <w:szCs w:val="23"/>
                <w:color w:val="auto"/>
              </w:rPr>
            </w:pPr>
          </w:p>
        </w:tc>
      </w:tr>
      <w:tr>
        <w:trPr>
          <w:trHeight w:val="265"/>
        </w:trPr>
        <w:tc>
          <w:tcPr>
            <w:tcW w:w="5900" w:type="dxa"/>
            <w:vAlign w:val="bottom"/>
            <w:gridSpan w:val="3"/>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159.0</w:t>
            </w: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175.0</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177.6</w:t>
            </w: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183.1</w:t>
            </w:r>
          </w:p>
        </w:tc>
        <w:tc>
          <w:tcPr>
            <w:tcW w:w="160" w:type="dxa"/>
            <w:vAlign w:val="bottom"/>
          </w:tcPr>
          <w:p>
            <w:pPr>
              <w:spacing w:after="0"/>
              <w:rPr>
                <w:sz w:val="23"/>
                <w:szCs w:val="23"/>
                <w:color w:val="auto"/>
              </w:rPr>
            </w:pPr>
          </w:p>
        </w:tc>
      </w:tr>
      <w:tr>
        <w:trPr>
          <w:trHeight w:val="275"/>
        </w:trPr>
        <w:tc>
          <w:tcPr>
            <w:tcW w:w="59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shd w:val="clear" w:color="auto" w:fill="DCE2EF"/>
          </w:tcPr>
          <w:p>
            <w:pPr>
              <w:spacing w:after="0"/>
              <w:rPr>
                <w:sz w:val="23"/>
                <w:szCs w:val="23"/>
                <w:color w:val="auto"/>
              </w:rPr>
            </w:pPr>
          </w:p>
        </w:tc>
        <w:tc>
          <w:tcPr>
            <w:tcW w:w="8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28.0</w:t>
            </w:r>
          </w:p>
        </w:tc>
        <w:tc>
          <w:tcPr>
            <w:tcW w:w="340" w:type="dxa"/>
            <w:vAlign w:val="bottom"/>
            <w:shd w:val="clear" w:color="auto" w:fill="DCE2EF"/>
          </w:tcPr>
          <w:p>
            <w:pPr>
              <w:spacing w:after="0"/>
              <w:rPr>
                <w:sz w:val="23"/>
                <w:szCs w:val="23"/>
                <w:color w:val="auto"/>
              </w:rPr>
            </w:pPr>
          </w:p>
        </w:tc>
        <w:tc>
          <w:tcPr>
            <w:tcW w:w="160" w:type="dxa"/>
            <w:vAlign w:val="bottom"/>
            <w:shd w:val="clear" w:color="auto" w:fill="DCE2EF"/>
          </w:tcPr>
          <w:p>
            <w:pPr>
              <w:spacing w:after="0"/>
              <w:rPr>
                <w:sz w:val="23"/>
                <w:szCs w:val="23"/>
                <w:color w:val="auto"/>
              </w:rPr>
            </w:pPr>
          </w:p>
        </w:tc>
        <w:tc>
          <w:tcPr>
            <w:tcW w:w="8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25.4</w:t>
            </w:r>
          </w:p>
        </w:tc>
        <w:tc>
          <w:tcPr>
            <w:tcW w:w="340" w:type="dxa"/>
            <w:vAlign w:val="bottom"/>
            <w:shd w:val="clear" w:color="auto" w:fill="DCE2EF"/>
          </w:tcPr>
          <w:p>
            <w:pPr>
              <w:spacing w:after="0"/>
              <w:rPr>
                <w:sz w:val="23"/>
                <w:szCs w:val="23"/>
                <w:color w:val="auto"/>
              </w:rPr>
            </w:pPr>
          </w:p>
        </w:tc>
        <w:tc>
          <w:tcPr>
            <w:tcW w:w="220" w:type="dxa"/>
            <w:vAlign w:val="bottom"/>
            <w:shd w:val="clear" w:color="auto" w:fill="DCE2EF"/>
          </w:tcPr>
          <w:p>
            <w:pPr>
              <w:spacing w:after="0"/>
              <w:rPr>
                <w:sz w:val="23"/>
                <w:szCs w:val="23"/>
                <w:color w:val="auto"/>
              </w:rPr>
            </w:pPr>
          </w:p>
        </w:tc>
        <w:tc>
          <w:tcPr>
            <w:tcW w:w="8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33.7</w:t>
            </w:r>
          </w:p>
        </w:tc>
        <w:tc>
          <w:tcPr>
            <w:tcW w:w="340" w:type="dxa"/>
            <w:vAlign w:val="bottom"/>
            <w:shd w:val="clear" w:color="auto" w:fill="DCE2EF"/>
          </w:tcPr>
          <w:p>
            <w:pPr>
              <w:spacing w:after="0"/>
              <w:rPr>
                <w:sz w:val="23"/>
                <w:szCs w:val="23"/>
                <w:color w:val="auto"/>
              </w:rPr>
            </w:pPr>
          </w:p>
        </w:tc>
        <w:tc>
          <w:tcPr>
            <w:tcW w:w="180" w:type="dxa"/>
            <w:vAlign w:val="bottom"/>
            <w:shd w:val="clear" w:color="auto" w:fill="DCE2EF"/>
          </w:tcPr>
          <w:p>
            <w:pPr>
              <w:spacing w:after="0"/>
              <w:rPr>
                <w:sz w:val="23"/>
                <w:szCs w:val="23"/>
                <w:color w:val="auto"/>
              </w:rPr>
            </w:pPr>
          </w:p>
        </w:tc>
        <w:tc>
          <w:tcPr>
            <w:tcW w:w="8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23"/>
                <w:szCs w:val="23"/>
                <w:color w:val="auto"/>
              </w:rPr>
            </w:pPr>
          </w:p>
        </w:tc>
      </w:tr>
      <w:tr>
        <w:trPr>
          <w:trHeight w:val="265"/>
        </w:trPr>
        <w:tc>
          <w:tcPr>
            <w:tcW w:w="5900" w:type="dxa"/>
            <w:vAlign w:val="bottom"/>
            <w:tcBorders>
              <w:bottom w:val="single" w:sz="8" w:color="DCE2EF"/>
            </w:tcBorders>
            <w:gridSpan w:val="3"/>
          </w:tcPr>
          <w:p>
            <w:pPr>
              <w:ind w:left="40"/>
              <w:spacing w:after="0"/>
              <w:rPr>
                <w:sz w:val="20"/>
                <w:szCs w:val="20"/>
                <w:color w:val="auto"/>
              </w:rPr>
            </w:pPr>
            <w:r>
              <w:rPr>
                <w:rFonts w:ascii="Arial" w:cs="Arial" w:eastAsia="Arial" w:hAnsi="Arial"/>
                <w:sz w:val="18"/>
                <w:szCs w:val="18"/>
                <w:color w:val="auto"/>
              </w:rPr>
              <w:t>(Loss) income from discontinued operations, net of taxes</w:t>
            </w: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340" w:type="dxa"/>
            <w:vAlign w:val="bottom"/>
            <w:tcBorders>
              <w:bottom w:val="single" w:sz="8" w:color="DCE2E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340" w:type="dxa"/>
            <w:vAlign w:val="bottom"/>
            <w:tcBorders>
              <w:bottom w:val="single" w:sz="8" w:color="DCE2E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340" w:type="dxa"/>
            <w:vAlign w:val="bottom"/>
            <w:tcBorders>
              <w:bottom w:val="single" w:sz="8" w:color="DCE2E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23"/>
                <w:szCs w:val="23"/>
                <w:color w:val="auto"/>
              </w:rPr>
            </w:pPr>
          </w:p>
        </w:tc>
      </w:tr>
      <w:tr>
        <w:trPr>
          <w:trHeight w:val="255"/>
        </w:trPr>
        <w:tc>
          <w:tcPr>
            <w:tcW w:w="5900" w:type="dxa"/>
            <w:vAlign w:val="bottom"/>
            <w:tcBorders>
              <w:bottom w:val="single" w:sz="8" w:color="DCE2EF"/>
            </w:tcBorders>
            <w:gridSpan w:val="3"/>
            <w:shd w:val="clear" w:color="auto" w:fill="DCE2E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27.8</w:t>
            </w:r>
          </w:p>
        </w:tc>
        <w:tc>
          <w:tcPr>
            <w:tcW w:w="340" w:type="dxa"/>
            <w:vAlign w:val="bottom"/>
            <w:tcBorders>
              <w:bottom w:val="single" w:sz="8" w:color="DCE2EF"/>
            </w:tcBorders>
            <w:shd w:val="clear" w:color="auto" w:fill="DCE2EF"/>
          </w:tcPr>
          <w:p>
            <w:pPr>
              <w:jc w:val="right"/>
              <w:ind w:right="6"/>
              <w:spacing w:after="0"/>
              <w:rPr>
                <w:sz w:val="20"/>
                <w:szCs w:val="20"/>
                <w:color w:val="auto"/>
              </w:rPr>
            </w:pPr>
            <w:r>
              <w:rPr>
                <w:rFonts w:ascii="Arial" w:cs="Arial" w:eastAsia="Arial" w:hAnsi="Arial"/>
                <w:sz w:val="11"/>
                <w:szCs w:val="11"/>
                <w:color w:val="auto"/>
              </w:rPr>
              <w:t>(1)</w:t>
            </w:r>
          </w:p>
        </w:tc>
        <w:tc>
          <w:tcPr>
            <w:tcW w:w="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26.6</w:t>
            </w:r>
          </w:p>
        </w:tc>
        <w:tc>
          <w:tcPr>
            <w:tcW w:w="340" w:type="dxa"/>
            <w:vAlign w:val="bottom"/>
            <w:tcBorders>
              <w:bottom w:val="single" w:sz="8" w:color="DCE2EF"/>
            </w:tcBorders>
            <w:shd w:val="clear" w:color="auto" w:fill="DCE2EF"/>
          </w:tcPr>
          <w:p>
            <w:pPr>
              <w:spacing w:after="0"/>
              <w:rPr>
                <w:sz w:val="22"/>
                <w:szCs w:val="22"/>
                <w:color w:val="auto"/>
              </w:rPr>
            </w:pPr>
          </w:p>
        </w:tc>
        <w:tc>
          <w:tcPr>
            <w:tcW w:w="2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33.6</w:t>
            </w:r>
          </w:p>
        </w:tc>
        <w:tc>
          <w:tcPr>
            <w:tcW w:w="340" w:type="dxa"/>
            <w:vAlign w:val="bottom"/>
            <w:tcBorders>
              <w:bottom w:val="single" w:sz="8" w:color="DCE2EF"/>
            </w:tcBorders>
            <w:shd w:val="clear" w:color="auto" w:fill="DCE2EF"/>
          </w:tcPr>
          <w:p>
            <w:pPr>
              <w:spacing w:after="0"/>
              <w:rPr>
                <w:sz w:val="22"/>
                <w:szCs w:val="22"/>
                <w:color w:val="auto"/>
              </w:rPr>
            </w:pPr>
          </w:p>
        </w:tc>
        <w:tc>
          <w:tcPr>
            <w:tcW w:w="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9.7</w:t>
            </w:r>
          </w:p>
        </w:tc>
        <w:tc>
          <w:tcPr>
            <w:tcW w:w="160" w:type="dxa"/>
            <w:vAlign w:val="bottom"/>
          </w:tcPr>
          <w:p>
            <w:pPr>
              <w:jc w:val="right"/>
              <w:spacing w:after="0"/>
              <w:rPr>
                <w:sz w:val="20"/>
                <w:szCs w:val="20"/>
                <w:color w:val="auto"/>
              </w:rPr>
            </w:pPr>
            <w:r>
              <w:rPr>
                <w:rFonts w:ascii="Arial" w:cs="Arial" w:eastAsia="Arial" w:hAnsi="Arial"/>
                <w:sz w:val="11"/>
                <w:szCs w:val="11"/>
                <w:color w:val="auto"/>
              </w:rPr>
              <w:t>(2)</w:t>
            </w:r>
          </w:p>
        </w:tc>
      </w:tr>
      <w:tr>
        <w:trPr>
          <w:trHeight w:val="20"/>
        </w:trPr>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78"/>
        </w:trPr>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70"/>
        </w:trPr>
        <w:tc>
          <w:tcPr>
            <w:tcW w:w="59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Net income per common share — Basic</w:t>
            </w:r>
          </w:p>
        </w:tc>
        <w:tc>
          <w:tcPr>
            <w:tcW w:w="240" w:type="dxa"/>
            <w:vAlign w:val="bottom"/>
            <w:shd w:val="clear" w:color="auto" w:fill="DCE2EF"/>
          </w:tcPr>
          <w:p>
            <w:pPr>
              <w:spacing w:after="0"/>
              <w:rPr>
                <w:sz w:val="23"/>
                <w:szCs w:val="23"/>
                <w:color w:val="auto"/>
              </w:rPr>
            </w:pPr>
          </w:p>
        </w:tc>
        <w:tc>
          <w:tcPr>
            <w:tcW w:w="80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60" w:type="dxa"/>
            <w:vAlign w:val="bottom"/>
            <w:shd w:val="clear" w:color="auto" w:fill="DCE2EF"/>
          </w:tcPr>
          <w:p>
            <w:pPr>
              <w:spacing w:after="0"/>
              <w:rPr>
                <w:sz w:val="23"/>
                <w:szCs w:val="23"/>
                <w:color w:val="auto"/>
              </w:rPr>
            </w:pPr>
          </w:p>
        </w:tc>
        <w:tc>
          <w:tcPr>
            <w:tcW w:w="88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220" w:type="dxa"/>
            <w:vAlign w:val="bottom"/>
            <w:shd w:val="clear" w:color="auto" w:fill="DCE2EF"/>
          </w:tcPr>
          <w:p>
            <w:pPr>
              <w:spacing w:after="0"/>
              <w:rPr>
                <w:sz w:val="23"/>
                <w:szCs w:val="23"/>
                <w:color w:val="auto"/>
              </w:rPr>
            </w:pPr>
          </w:p>
        </w:tc>
        <w:tc>
          <w:tcPr>
            <w:tcW w:w="82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80" w:type="dxa"/>
            <w:vAlign w:val="bottom"/>
            <w:shd w:val="clear" w:color="auto" w:fill="DCE2EF"/>
          </w:tcPr>
          <w:p>
            <w:pPr>
              <w:spacing w:after="0"/>
              <w:rPr>
                <w:sz w:val="23"/>
                <w:szCs w:val="23"/>
                <w:color w:val="auto"/>
              </w:rPr>
            </w:pPr>
          </w:p>
        </w:tc>
        <w:tc>
          <w:tcPr>
            <w:tcW w:w="860" w:type="dxa"/>
            <w:vAlign w:val="bottom"/>
            <w:shd w:val="clear" w:color="auto" w:fill="DCE2EF"/>
          </w:tcPr>
          <w:p>
            <w:pPr>
              <w:spacing w:after="0"/>
              <w:rPr>
                <w:sz w:val="23"/>
                <w:szCs w:val="23"/>
                <w:color w:val="auto"/>
              </w:rPr>
            </w:pPr>
          </w:p>
        </w:tc>
        <w:tc>
          <w:tcPr>
            <w:tcW w:w="160" w:type="dxa"/>
            <w:vAlign w:val="bottom"/>
          </w:tcPr>
          <w:p>
            <w:pPr>
              <w:spacing w:after="0"/>
              <w:rPr>
                <w:sz w:val="23"/>
                <w:szCs w:val="23"/>
                <w:color w:val="auto"/>
              </w:rPr>
            </w:pPr>
          </w:p>
        </w:tc>
      </w:tr>
      <w:tr>
        <w:trPr>
          <w:trHeight w:val="265"/>
        </w:trPr>
        <w:tc>
          <w:tcPr>
            <w:tcW w:w="40" w:type="dxa"/>
            <w:vAlign w:val="bottom"/>
          </w:tcPr>
          <w:p>
            <w:pPr>
              <w:spacing w:after="0"/>
              <w:rPr>
                <w:sz w:val="23"/>
                <w:szCs w:val="23"/>
                <w:color w:val="auto"/>
              </w:rPr>
            </w:pPr>
          </w:p>
        </w:tc>
        <w:tc>
          <w:tcPr>
            <w:tcW w:w="5860" w:type="dxa"/>
            <w:vAlign w:val="bottom"/>
            <w:gridSpan w:val="2"/>
          </w:tcPr>
          <w:p>
            <w:pPr>
              <w:ind w:left="34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0.42</w:t>
            </w:r>
          </w:p>
        </w:tc>
        <w:tc>
          <w:tcPr>
            <w:tcW w:w="34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0.38</w:t>
            </w:r>
          </w:p>
        </w:tc>
        <w:tc>
          <w:tcPr>
            <w:tcW w:w="34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0.51</w:t>
            </w:r>
          </w:p>
        </w:tc>
        <w:tc>
          <w:tcPr>
            <w:tcW w:w="3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0.13</w:t>
            </w:r>
          </w:p>
        </w:tc>
        <w:tc>
          <w:tcPr>
            <w:tcW w:w="160" w:type="dxa"/>
            <w:vAlign w:val="bottom"/>
          </w:tcPr>
          <w:p>
            <w:pPr>
              <w:spacing w:after="0"/>
              <w:rPr>
                <w:sz w:val="23"/>
                <w:szCs w:val="23"/>
                <w:color w:val="auto"/>
              </w:rPr>
            </w:pPr>
          </w:p>
        </w:tc>
      </w:tr>
      <w:tr>
        <w:trPr>
          <w:trHeight w:val="270"/>
        </w:trPr>
        <w:tc>
          <w:tcPr>
            <w:tcW w:w="40" w:type="dxa"/>
            <w:vAlign w:val="bottom"/>
            <w:shd w:val="clear" w:color="auto" w:fill="DCE2EF"/>
          </w:tcPr>
          <w:p>
            <w:pPr>
              <w:spacing w:after="0"/>
              <w:rPr>
                <w:sz w:val="23"/>
                <w:szCs w:val="23"/>
                <w:color w:val="auto"/>
              </w:rPr>
            </w:pPr>
          </w:p>
        </w:tc>
        <w:tc>
          <w:tcPr>
            <w:tcW w:w="586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Income from discontinued operations</w:t>
            </w:r>
          </w:p>
        </w:tc>
        <w:tc>
          <w:tcPr>
            <w:tcW w:w="240" w:type="dxa"/>
            <w:vAlign w:val="bottom"/>
            <w:shd w:val="clear" w:color="auto" w:fill="DCE2EF"/>
          </w:tcPr>
          <w:p>
            <w:pPr>
              <w:spacing w:after="0"/>
              <w:rPr>
                <w:sz w:val="23"/>
                <w:szCs w:val="23"/>
                <w:color w:val="auto"/>
              </w:rPr>
            </w:pPr>
          </w:p>
        </w:tc>
        <w:tc>
          <w:tcPr>
            <w:tcW w:w="8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DCE2EF"/>
          </w:tcPr>
          <w:p>
            <w:pPr>
              <w:spacing w:after="0"/>
              <w:rPr>
                <w:sz w:val="23"/>
                <w:szCs w:val="23"/>
                <w:color w:val="auto"/>
              </w:rPr>
            </w:pPr>
          </w:p>
        </w:tc>
        <w:tc>
          <w:tcPr>
            <w:tcW w:w="160" w:type="dxa"/>
            <w:vAlign w:val="bottom"/>
            <w:shd w:val="clear" w:color="auto" w:fill="DCE2EF"/>
          </w:tcPr>
          <w:p>
            <w:pPr>
              <w:spacing w:after="0"/>
              <w:rPr>
                <w:sz w:val="23"/>
                <w:szCs w:val="23"/>
                <w:color w:val="auto"/>
              </w:rPr>
            </w:pPr>
          </w:p>
        </w:tc>
        <w:tc>
          <w:tcPr>
            <w:tcW w:w="8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0.02</w:t>
            </w:r>
          </w:p>
        </w:tc>
        <w:tc>
          <w:tcPr>
            <w:tcW w:w="340" w:type="dxa"/>
            <w:vAlign w:val="bottom"/>
            <w:shd w:val="clear" w:color="auto" w:fill="DCE2EF"/>
          </w:tcPr>
          <w:p>
            <w:pPr>
              <w:spacing w:after="0"/>
              <w:rPr>
                <w:sz w:val="23"/>
                <w:szCs w:val="23"/>
                <w:color w:val="auto"/>
              </w:rPr>
            </w:pPr>
          </w:p>
        </w:tc>
        <w:tc>
          <w:tcPr>
            <w:tcW w:w="220" w:type="dxa"/>
            <w:vAlign w:val="bottom"/>
            <w:shd w:val="clear" w:color="auto" w:fill="DCE2EF"/>
          </w:tcPr>
          <w:p>
            <w:pPr>
              <w:spacing w:after="0"/>
              <w:rPr>
                <w:sz w:val="23"/>
                <w:szCs w:val="23"/>
                <w:color w:val="auto"/>
              </w:rPr>
            </w:pPr>
          </w:p>
        </w:tc>
        <w:tc>
          <w:tcPr>
            <w:tcW w:w="1160" w:type="dxa"/>
            <w:vAlign w:val="bottom"/>
            <w:gridSpan w:val="2"/>
            <w:shd w:val="clear" w:color="auto" w:fill="DCE2E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DCE2EF"/>
          </w:tcPr>
          <w:p>
            <w:pPr>
              <w:spacing w:after="0"/>
              <w:rPr>
                <w:sz w:val="23"/>
                <w:szCs w:val="23"/>
                <w:color w:val="auto"/>
              </w:rPr>
            </w:pPr>
          </w:p>
        </w:tc>
        <w:tc>
          <w:tcPr>
            <w:tcW w:w="8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23"/>
                <w:szCs w:val="23"/>
                <w:color w:val="auto"/>
              </w:rPr>
            </w:pPr>
          </w:p>
        </w:tc>
      </w:tr>
      <w:tr>
        <w:trPr>
          <w:trHeight w:val="295"/>
        </w:trPr>
        <w:tc>
          <w:tcPr>
            <w:tcW w:w="40" w:type="dxa"/>
            <w:vAlign w:val="bottom"/>
            <w:tcBorders>
              <w:bottom w:val="single" w:sz="8" w:color="DCE2EF"/>
            </w:tcBorders>
          </w:tcPr>
          <w:p>
            <w:pPr>
              <w:spacing w:after="0"/>
              <w:rPr>
                <w:sz w:val="24"/>
                <w:szCs w:val="24"/>
                <w:color w:val="auto"/>
              </w:rPr>
            </w:pPr>
          </w:p>
        </w:tc>
        <w:tc>
          <w:tcPr>
            <w:tcW w:w="5860" w:type="dxa"/>
            <w:vAlign w:val="bottom"/>
            <w:tcBorders>
              <w:bottom w:val="single" w:sz="8" w:color="DCE2EF"/>
            </w:tcBorders>
            <w:gridSpan w:val="2"/>
          </w:tcPr>
          <w:p>
            <w:pPr>
              <w:ind w:left="3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0.42</w:t>
            </w:r>
          </w:p>
        </w:tc>
        <w:tc>
          <w:tcPr>
            <w:tcW w:w="340" w:type="dxa"/>
            <w:vAlign w:val="bottom"/>
            <w:tcBorders>
              <w:bottom w:val="single" w:sz="8" w:color="DCE2E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0.40</w:t>
            </w:r>
          </w:p>
        </w:tc>
        <w:tc>
          <w:tcPr>
            <w:tcW w:w="340" w:type="dxa"/>
            <w:vAlign w:val="bottom"/>
            <w:tcBorders>
              <w:bottom w:val="single" w:sz="8" w:color="DCE2EF"/>
            </w:tcBorders>
          </w:tcPr>
          <w:p>
            <w:pPr>
              <w:spacing w:after="0"/>
              <w:rPr>
                <w:sz w:val="24"/>
                <w:szCs w:val="24"/>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0.51</w:t>
            </w:r>
          </w:p>
        </w:tc>
        <w:tc>
          <w:tcPr>
            <w:tcW w:w="340" w:type="dxa"/>
            <w:vAlign w:val="bottom"/>
            <w:tcBorders>
              <w:bottom w:val="single" w:sz="8" w:color="DCE2E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0.15</w:t>
            </w:r>
          </w:p>
        </w:tc>
        <w:tc>
          <w:tcPr>
            <w:tcW w:w="160" w:type="dxa"/>
            <w:vAlign w:val="bottom"/>
          </w:tcPr>
          <w:p>
            <w:pPr>
              <w:spacing w:after="0"/>
              <w:rPr>
                <w:sz w:val="24"/>
                <w:szCs w:val="24"/>
                <w:color w:val="auto"/>
              </w:rPr>
            </w:pPr>
          </w:p>
        </w:tc>
      </w:tr>
      <w:tr>
        <w:trPr>
          <w:trHeight w:val="278"/>
        </w:trPr>
        <w:tc>
          <w:tcPr>
            <w:tcW w:w="40" w:type="dxa"/>
            <w:vAlign w:val="bottom"/>
            <w:shd w:val="clear" w:color="auto" w:fill="DCE2EF"/>
          </w:tcPr>
          <w:p>
            <w:pPr>
              <w:spacing w:after="0"/>
              <w:rPr>
                <w:sz w:val="24"/>
                <w:szCs w:val="24"/>
                <w:color w:val="auto"/>
              </w:rPr>
            </w:pPr>
          </w:p>
        </w:tc>
        <w:tc>
          <w:tcPr>
            <w:tcW w:w="2240" w:type="dxa"/>
            <w:vAlign w:val="bottom"/>
            <w:shd w:val="clear" w:color="auto" w:fill="DCE2EF"/>
          </w:tcPr>
          <w:p>
            <w:pPr>
              <w:spacing w:after="0"/>
              <w:rPr>
                <w:sz w:val="24"/>
                <w:szCs w:val="24"/>
                <w:color w:val="auto"/>
              </w:rPr>
            </w:pPr>
          </w:p>
        </w:tc>
        <w:tc>
          <w:tcPr>
            <w:tcW w:w="3620" w:type="dxa"/>
            <w:vAlign w:val="bottom"/>
            <w:shd w:val="clear" w:color="auto" w:fill="DCE2EF"/>
          </w:tcPr>
          <w:p>
            <w:pPr>
              <w:spacing w:after="0"/>
              <w:rPr>
                <w:sz w:val="24"/>
                <w:szCs w:val="24"/>
                <w:color w:val="auto"/>
              </w:rPr>
            </w:pPr>
          </w:p>
        </w:tc>
        <w:tc>
          <w:tcPr>
            <w:tcW w:w="240" w:type="dxa"/>
            <w:vAlign w:val="bottom"/>
            <w:shd w:val="clear" w:color="auto" w:fill="DCE2EF"/>
          </w:tcPr>
          <w:p>
            <w:pPr>
              <w:spacing w:after="0"/>
              <w:rPr>
                <w:sz w:val="24"/>
                <w:szCs w:val="24"/>
                <w:color w:val="auto"/>
              </w:rPr>
            </w:pPr>
          </w:p>
        </w:tc>
        <w:tc>
          <w:tcPr>
            <w:tcW w:w="80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88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8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860" w:type="dxa"/>
            <w:vAlign w:val="bottom"/>
            <w:shd w:val="clear" w:color="auto" w:fill="DCE2EF"/>
          </w:tcPr>
          <w:p>
            <w:pPr>
              <w:spacing w:after="0"/>
              <w:rPr>
                <w:sz w:val="24"/>
                <w:szCs w:val="24"/>
                <w:color w:val="auto"/>
              </w:rPr>
            </w:pPr>
          </w:p>
        </w:tc>
        <w:tc>
          <w:tcPr>
            <w:tcW w:w="160" w:type="dxa"/>
            <w:vAlign w:val="bottom"/>
          </w:tcPr>
          <w:p>
            <w:pPr>
              <w:spacing w:after="0"/>
              <w:rPr>
                <w:sz w:val="24"/>
                <w:szCs w:val="24"/>
                <w:color w:val="auto"/>
              </w:rPr>
            </w:pPr>
          </w:p>
        </w:tc>
      </w:tr>
      <w:tr>
        <w:trPr>
          <w:trHeight w:val="265"/>
        </w:trPr>
        <w:tc>
          <w:tcPr>
            <w:tcW w:w="5900" w:type="dxa"/>
            <w:vAlign w:val="bottom"/>
            <w:gridSpan w:val="3"/>
          </w:tcPr>
          <w:p>
            <w:pPr>
              <w:ind w:left="40"/>
              <w:spacing w:after="0"/>
              <w:rPr>
                <w:sz w:val="20"/>
                <w:szCs w:val="20"/>
                <w:color w:val="auto"/>
              </w:rPr>
            </w:pPr>
            <w:r>
              <w:rPr>
                <w:rFonts w:ascii="Arial" w:cs="Arial" w:eastAsia="Arial" w:hAnsi="Arial"/>
                <w:sz w:val="18"/>
                <w:szCs w:val="18"/>
                <w:color w:val="auto"/>
              </w:rPr>
              <w:t>Net income per common share — Diluted</w:t>
            </w: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75"/>
        </w:trPr>
        <w:tc>
          <w:tcPr>
            <w:tcW w:w="40" w:type="dxa"/>
            <w:vAlign w:val="bottom"/>
            <w:shd w:val="clear" w:color="auto" w:fill="DCE2EF"/>
          </w:tcPr>
          <w:p>
            <w:pPr>
              <w:spacing w:after="0"/>
              <w:rPr>
                <w:sz w:val="23"/>
                <w:szCs w:val="23"/>
                <w:color w:val="auto"/>
              </w:rPr>
            </w:pPr>
          </w:p>
        </w:tc>
        <w:tc>
          <w:tcPr>
            <w:tcW w:w="586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0.42</w:t>
            </w:r>
          </w:p>
        </w:tc>
        <w:tc>
          <w:tcPr>
            <w:tcW w:w="340" w:type="dxa"/>
            <w:vAlign w:val="bottom"/>
            <w:shd w:val="clear" w:color="auto" w:fill="DCE2EF"/>
          </w:tcPr>
          <w:p>
            <w:pPr>
              <w:spacing w:after="0"/>
              <w:rPr>
                <w:sz w:val="23"/>
                <w:szCs w:val="23"/>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0.38</w:t>
            </w:r>
          </w:p>
        </w:tc>
        <w:tc>
          <w:tcPr>
            <w:tcW w:w="340" w:type="dxa"/>
            <w:vAlign w:val="bottom"/>
            <w:shd w:val="clear" w:color="auto" w:fill="DCE2EF"/>
          </w:tcPr>
          <w:p>
            <w:pPr>
              <w:spacing w:after="0"/>
              <w:rPr>
                <w:sz w:val="23"/>
                <w:szCs w:val="23"/>
                <w:color w:val="auto"/>
              </w:rPr>
            </w:pPr>
          </w:p>
        </w:tc>
        <w:tc>
          <w:tcPr>
            <w:tcW w:w="2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0.51</w:t>
            </w:r>
          </w:p>
        </w:tc>
        <w:tc>
          <w:tcPr>
            <w:tcW w:w="340" w:type="dxa"/>
            <w:vAlign w:val="bottom"/>
            <w:shd w:val="clear" w:color="auto" w:fill="DCE2EF"/>
          </w:tcPr>
          <w:p>
            <w:pPr>
              <w:spacing w:after="0"/>
              <w:rPr>
                <w:sz w:val="23"/>
                <w:szCs w:val="23"/>
                <w:color w:val="auto"/>
              </w:rPr>
            </w:pPr>
          </w:p>
        </w:tc>
        <w:tc>
          <w:tcPr>
            <w:tcW w:w="18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0.13</w:t>
            </w:r>
          </w:p>
        </w:tc>
        <w:tc>
          <w:tcPr>
            <w:tcW w:w="160" w:type="dxa"/>
            <w:vAlign w:val="bottom"/>
          </w:tcPr>
          <w:p>
            <w:pPr>
              <w:spacing w:after="0"/>
              <w:rPr>
                <w:sz w:val="23"/>
                <w:szCs w:val="23"/>
                <w:color w:val="auto"/>
              </w:rPr>
            </w:pPr>
          </w:p>
        </w:tc>
      </w:tr>
      <w:tr>
        <w:trPr>
          <w:trHeight w:val="265"/>
        </w:trPr>
        <w:tc>
          <w:tcPr>
            <w:tcW w:w="40" w:type="dxa"/>
            <w:vAlign w:val="bottom"/>
          </w:tcPr>
          <w:p>
            <w:pPr>
              <w:spacing w:after="0"/>
              <w:rPr>
                <w:sz w:val="23"/>
                <w:szCs w:val="23"/>
                <w:color w:val="auto"/>
              </w:rPr>
            </w:pPr>
          </w:p>
        </w:tc>
        <w:tc>
          <w:tcPr>
            <w:tcW w:w="5860" w:type="dxa"/>
            <w:vAlign w:val="bottom"/>
            <w:gridSpan w:val="2"/>
          </w:tcPr>
          <w:p>
            <w:pPr>
              <w:ind w:left="340"/>
              <w:spacing w:after="0"/>
              <w:rPr>
                <w:sz w:val="20"/>
                <w:szCs w:val="20"/>
                <w:color w:val="auto"/>
              </w:rPr>
            </w:pPr>
            <w:r>
              <w:rPr>
                <w:rFonts w:ascii="Arial" w:cs="Arial" w:eastAsia="Arial" w:hAnsi="Arial"/>
                <w:sz w:val="18"/>
                <w:szCs w:val="18"/>
                <w:color w:val="auto"/>
              </w:rPr>
              <w:t>Income from discontinued operations</w:t>
            </w:r>
          </w:p>
        </w:tc>
        <w:tc>
          <w:tcPr>
            <w:tcW w:w="24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23"/>
                <w:szCs w:val="23"/>
                <w:color w:val="auto"/>
              </w:rPr>
            </w:pPr>
          </w:p>
        </w:tc>
      </w:tr>
      <w:tr>
        <w:trPr>
          <w:trHeight w:val="255"/>
        </w:trPr>
        <w:tc>
          <w:tcPr>
            <w:tcW w:w="40" w:type="dxa"/>
            <w:vAlign w:val="bottom"/>
            <w:tcBorders>
              <w:top w:val="single" w:sz="8" w:color="DCE2EF"/>
              <w:bottom w:val="single" w:sz="8" w:color="DCE2EF"/>
            </w:tcBorders>
            <w:shd w:val="clear" w:color="auto" w:fill="DCE2EF"/>
          </w:tcPr>
          <w:p>
            <w:pPr>
              <w:spacing w:after="0"/>
              <w:rPr>
                <w:sz w:val="22"/>
                <w:szCs w:val="22"/>
                <w:color w:val="auto"/>
              </w:rPr>
            </w:pPr>
          </w:p>
        </w:tc>
        <w:tc>
          <w:tcPr>
            <w:tcW w:w="5860" w:type="dxa"/>
            <w:vAlign w:val="bottom"/>
            <w:tcBorders>
              <w:top w:val="single" w:sz="8" w:color="DCE2EF"/>
              <w:bottom w:val="single" w:sz="8" w:color="DCE2EF"/>
            </w:tcBorders>
            <w:gridSpan w:val="2"/>
            <w:shd w:val="clear" w:color="auto" w:fill="DCE2EF"/>
          </w:tcPr>
          <w:p>
            <w:pPr>
              <w:ind w:left="3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0.42</w:t>
            </w:r>
          </w:p>
        </w:tc>
        <w:tc>
          <w:tcPr>
            <w:tcW w:w="340" w:type="dxa"/>
            <w:vAlign w:val="bottom"/>
            <w:tcBorders>
              <w:top w:val="single" w:sz="8" w:color="DCE2EF"/>
              <w:bottom w:val="single" w:sz="8" w:color="DCE2EF"/>
            </w:tcBorders>
            <w:shd w:val="clear" w:color="auto" w:fill="DCE2EF"/>
          </w:tcPr>
          <w:p>
            <w:pPr>
              <w:jc w:val="right"/>
              <w:ind w:right="6"/>
              <w:spacing w:after="0"/>
              <w:rPr>
                <w:sz w:val="20"/>
                <w:szCs w:val="20"/>
                <w:color w:val="auto"/>
              </w:rPr>
            </w:pPr>
            <w:r>
              <w:rPr>
                <w:rFonts w:ascii="Arial" w:cs="Arial" w:eastAsia="Arial" w:hAnsi="Arial"/>
                <w:sz w:val="11"/>
                <w:szCs w:val="11"/>
                <w:color w:val="auto"/>
              </w:rPr>
              <w:t>(1)</w:t>
            </w:r>
          </w:p>
        </w:tc>
        <w:tc>
          <w:tcPr>
            <w:tcW w:w="16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0.40</w:t>
            </w:r>
          </w:p>
        </w:tc>
        <w:tc>
          <w:tcPr>
            <w:tcW w:w="340" w:type="dxa"/>
            <w:vAlign w:val="bottom"/>
            <w:tcBorders>
              <w:top w:val="single" w:sz="8" w:color="DCE2EF"/>
              <w:bottom w:val="single" w:sz="8" w:color="DCE2EF"/>
            </w:tcBorders>
            <w:shd w:val="clear" w:color="auto" w:fill="DCE2EF"/>
          </w:tcPr>
          <w:p>
            <w:pPr>
              <w:spacing w:after="0"/>
              <w:rPr>
                <w:sz w:val="22"/>
                <w:szCs w:val="22"/>
                <w:color w:val="auto"/>
              </w:rPr>
            </w:pPr>
          </w:p>
        </w:tc>
        <w:tc>
          <w:tcPr>
            <w:tcW w:w="22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0.51</w:t>
            </w:r>
          </w:p>
        </w:tc>
        <w:tc>
          <w:tcPr>
            <w:tcW w:w="340" w:type="dxa"/>
            <w:vAlign w:val="bottom"/>
            <w:tcBorders>
              <w:top w:val="single" w:sz="8" w:color="DCE2EF"/>
              <w:bottom w:val="single" w:sz="8" w:color="DCE2EF"/>
            </w:tcBorders>
            <w:shd w:val="clear" w:color="auto" w:fill="DCE2EF"/>
          </w:tcPr>
          <w:p>
            <w:pPr>
              <w:spacing w:after="0"/>
              <w:rPr>
                <w:sz w:val="22"/>
                <w:szCs w:val="22"/>
                <w:color w:val="auto"/>
              </w:rPr>
            </w:pPr>
          </w:p>
        </w:tc>
        <w:tc>
          <w:tcPr>
            <w:tcW w:w="18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0.15</w:t>
            </w:r>
          </w:p>
        </w:tc>
        <w:tc>
          <w:tcPr>
            <w:tcW w:w="160" w:type="dxa"/>
            <w:vAlign w:val="bottom"/>
          </w:tcPr>
          <w:p>
            <w:pPr>
              <w:jc w:val="right"/>
              <w:spacing w:after="0"/>
              <w:rPr>
                <w:sz w:val="20"/>
                <w:szCs w:val="20"/>
                <w:color w:val="auto"/>
              </w:rPr>
            </w:pPr>
            <w:r>
              <w:rPr>
                <w:rFonts w:ascii="Arial" w:cs="Arial" w:eastAsia="Arial" w:hAnsi="Arial"/>
                <w:sz w:val="11"/>
                <w:szCs w:val="11"/>
                <w:color w:val="auto"/>
              </w:rPr>
              <w:t>(2)</w:t>
            </w:r>
          </w:p>
        </w:tc>
      </w:tr>
      <w:tr>
        <w:trPr>
          <w:trHeight w:val="20"/>
        </w:trPr>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326" w:lineRule="exact"/>
        <w:rPr>
          <w:sz w:val="20"/>
          <w:szCs w:val="20"/>
          <w:color w:val="auto"/>
        </w:rPr>
      </w:pPr>
    </w:p>
    <w:p>
      <w:pPr>
        <w:ind w:left="280" w:hanging="218"/>
        <w:spacing w:after="0"/>
        <w:tabs>
          <w:tab w:leader="none" w:pos="280" w:val="left"/>
        </w:tabs>
        <w:numPr>
          <w:ilvl w:val="0"/>
          <w:numId w:val="48"/>
        </w:numPr>
        <w:rPr>
          <w:rFonts w:ascii="Arial" w:cs="Arial" w:eastAsia="Arial" w:hAnsi="Arial"/>
          <w:sz w:val="22"/>
          <w:szCs w:val="22"/>
          <w:color w:val="auto"/>
          <w:vertAlign w:val="superscript"/>
        </w:rPr>
      </w:pPr>
      <w:r>
        <w:rPr>
          <w:rFonts w:ascii="Arial" w:cs="Arial" w:eastAsia="Arial" w:hAnsi="Arial"/>
          <w:sz w:val="16"/>
          <w:szCs w:val="16"/>
          <w:color w:val="auto"/>
        </w:rPr>
        <w:t>Includes a one-time net tax benefit of $22.6 million, or $0.34 per diluted share, related to the Tax Act.</w:t>
      </w:r>
    </w:p>
    <w:p>
      <w:pPr>
        <w:spacing w:after="0" w:line="98" w:lineRule="exact"/>
        <w:rPr>
          <w:rFonts w:ascii="Arial" w:cs="Arial" w:eastAsia="Arial" w:hAnsi="Arial"/>
          <w:sz w:val="22"/>
          <w:szCs w:val="22"/>
          <w:color w:val="auto"/>
          <w:vertAlign w:val="superscript"/>
        </w:rPr>
      </w:pPr>
    </w:p>
    <w:p>
      <w:pPr>
        <w:ind w:left="280" w:hanging="218"/>
        <w:spacing w:after="0"/>
        <w:tabs>
          <w:tab w:leader="none" w:pos="280" w:val="left"/>
        </w:tabs>
        <w:numPr>
          <w:ilvl w:val="0"/>
          <w:numId w:val="48"/>
        </w:numPr>
        <w:rPr>
          <w:rFonts w:ascii="Arial" w:cs="Arial" w:eastAsia="Arial" w:hAnsi="Arial"/>
          <w:sz w:val="22"/>
          <w:szCs w:val="22"/>
          <w:color w:val="auto"/>
          <w:vertAlign w:val="superscript"/>
        </w:rPr>
      </w:pPr>
      <w:r>
        <w:rPr>
          <w:rFonts w:ascii="Arial" w:cs="Arial" w:eastAsia="Arial" w:hAnsi="Arial"/>
          <w:sz w:val="16"/>
          <w:szCs w:val="16"/>
          <w:color w:val="auto"/>
        </w:rPr>
        <w:t>Includes goodwill and asset impairment charges of $26.5 million, or $0.40 per diluted share.</w:t>
      </w:r>
    </w:p>
    <w:p>
      <w:pPr>
        <w:spacing w:after="0" w:line="3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240" w:top="493" w:right="419"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18"/>
          <w:szCs w:val="18"/>
          <w:b w:val="1"/>
          <w:bCs w:val="1"/>
          <w:color w:val="0046AD"/>
        </w:rPr>
        <w:t>ITEM 9. CHANGES IN AND DISAGREEMENTS WITH ACCOUNTANTS ON ACCOUNTING AND FINANCIAL DISCLOSURE.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9A.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a. Disclosure Controls and Procedures.</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the end of the period covered by this report, our Principal Executive Officer and Principal Financial Officer evaluated our disclosure controls and procedures, as such term is defined in Rules 13a-15(e) and 15d-15(e) of the Exchange Act. Based upon that evaluation, our Principal Executive Officer and Principal Financial Officer concluded that as of the end of the period covered by this report, our disclosure controls and procedures were effective to ensure that information required to be disclosed by us in reports we file or submit under the Exchange Act is (1) recorded, processed, summarized, and reported within the time periods specified in the rules and forms of the Securities and Exchange Commission, and (2) accumulated and communicated to our management, including our Principal Executive Officer and Principal Financial Officer, to allow timely decisions regarding required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b. Management’s Report on Internal Control Over Financial Reporting.</w:t>
      </w:r>
    </w:p>
    <w:p>
      <w:pPr>
        <w:spacing w:after="0" w:line="17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such term is defined in Rules 13a-15(f) and 15d-15(f) of the Exchange Act. Under the supervision and with the participation of our management, including our Principal Executive Officer and Principal Financial Officer, we conducted an evaluation of the effectiveness of our internal control over financial reporting based upon the framework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issued by the Committee of Sponsoring Organizations of the Treadway Commission. Based on that evaluation, our management concluded that our internal control over financial reporting was effective as of October 31, 2019.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Audit Report on Internal Controls over Financial Reporting of the Registered Public Accounting Firm</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KPMG LLP, an independent registered public accounting firm, has audited the consolidated financial statements included in this Annual Report on Form 10-K and, as part of their audit, has issued their report, included herein, on the effectiveness of our internal control over financial reporting.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 Changes in Internal Control Over Financial Reporting.</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continue to migrate many of our financial reporting and other processes to the ABM enterprise service center along with integrating GCA. These are enhancements of ongoing activities to support the growth of our financial shared service capabilities and standardize our financial systems. We also continue to update several key platforms, including our human resources information systems, enterprise resource planning system, and labor management system</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Both the migration of GCA’s back-office functions to the ABM enterprise service center and the implementation of several key platforms involve changes in the systems that include internal controls. Although the transitions have proceeded to date without material adverse effects, the possibility exists that such transitions could adversely affect our internal controls over financial reporting and procedures.</w:t>
      </w:r>
    </w:p>
    <w:p>
      <w:pPr>
        <w:spacing w:after="0" w:line="12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There were no changes in our internal control over financial reporting during the fourth fiscal quarter of 2019 identified in connection with the evaluation required by Rules 13a-15(d) and 15d-15(d) of the Exchange Act that has materially affected, or is reasonably likely to materially affect, our internal control over financial reporting.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9B. OTHER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93" w:right="239" w:bottom="1440" w:gutter="0" w:footer="0" w:header="0"/>
        </w:sectPr>
      </w:pPr>
    </w:p>
    <w:bookmarkStart w:id="100" w:name="page101"/>
    <w:bookmarkEnd w:id="100"/>
    <w:p>
      <w:pPr>
        <w:ind w:left="5380"/>
        <w:spacing w:after="0"/>
        <w:rPr>
          <w:sz w:val="20"/>
          <w:szCs w:val="20"/>
          <w:color w:val="auto"/>
        </w:rPr>
      </w:pPr>
      <w:r>
        <w:rPr>
          <w:rFonts w:ascii="Arial" w:cs="Arial" w:eastAsia="Arial" w:hAnsi="Arial"/>
          <w:sz w:val="18"/>
          <w:szCs w:val="18"/>
          <w:b w:val="1"/>
          <w:bCs w:val="1"/>
          <w:color w:val="0046AD"/>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10. DIRECTORS, EXECUTIVE OFFICERS AND CORPORATE GOVERNANCE.</w:t>
      </w:r>
    </w:p>
    <w:p>
      <w:pPr>
        <w:spacing w:after="0" w:line="17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Information about our executive officers is found in Part I, Item 1 of this Annual Report on Form 10-K under “Executive Officers of Registrant.” Additional information required by this Item will be set forth under the captions “Proposal No. 1—Election of Directors,” “Corporate Governance and Board Matters,” “Audit-Related Matters,” and “Delinquent Section 16(a) Reports” in our Definitive Proxy Statement for our 2020 Annual Meeting of Stockholders (the “2020 Proxy Statement”). Such information is incorporated herein by reference. Our 2020 Proxy Statement will be filed with the Securities and Exchange Commission within 120 days after the conclusion of our fiscal year ended October 31, 2019.</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April 22, 2019, we filed our Annual CEO Certification as required by Section 303A.12 of the NYSE Listed Company Manual.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Code of Business Conduct</w:t>
      </w:r>
    </w:p>
    <w:p>
      <w:pPr>
        <w:spacing w:after="0" w:line="17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We have adopted and posted on our website (</w:t>
      </w:r>
      <w:r>
        <w:rPr>
          <w:rFonts w:ascii="Arial" w:cs="Arial" w:eastAsia="Arial" w:hAnsi="Arial"/>
          <w:sz w:val="18"/>
          <w:szCs w:val="18"/>
          <w:u w:val="single" w:color="auto"/>
          <w:color w:val="auto"/>
        </w:rPr>
        <w:t>www.abm.com</w:t>
      </w:r>
      <w:r>
        <w:rPr>
          <w:rFonts w:ascii="Arial" w:cs="Arial" w:eastAsia="Arial" w:hAnsi="Arial"/>
          <w:sz w:val="18"/>
          <w:szCs w:val="18"/>
          <w:color w:val="auto"/>
        </w:rPr>
        <w:t>) the ABM Code of Business Conduct. Our Code of Business Conduct qualifies as a “code of ethics” within the meaning of Item 406 of Regulation S-K. Our Code of Business Conduct applies to all of our directors, officers, and employees, including our Principal Executive Officer, Principal Financial Officer, and Principal Accounting Officer. If any amendments are made to the Code of Business Conduct or if any waiver, including any implicit waiver, from a provision of the Code of Business Conduct is granted to our Principal Executive Officer, Principal Financial Officer, or Principal Accounting Officer, we will disclose the nature of such amendment or waiver on our website at the address specified above.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11. EXECUTIVE COMPENSATION.</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Information with respect to executive compensation required by this Item will be set forth under the captions “Director Compensation for Fiscal Year 2019,” “Executive Compensation,” and “Corporate Governance and Board Matters—Compensation Committee Interlocks and Insider Participation” in our 2020 Proxy Statement and is incorporated herein by reference.</w:t>
      </w:r>
    </w:p>
    <w:p>
      <w:pPr>
        <w:spacing w:after="0" w:line="107" w:lineRule="exact"/>
        <w:rPr>
          <w:sz w:val="20"/>
          <w:szCs w:val="20"/>
          <w:color w:val="auto"/>
        </w:rPr>
      </w:pPr>
    </w:p>
    <w:p>
      <w:pPr>
        <w:ind w:right="880"/>
        <w:spacing w:after="0" w:line="303" w:lineRule="auto"/>
        <w:rPr>
          <w:sz w:val="20"/>
          <w:szCs w:val="20"/>
          <w:color w:val="auto"/>
        </w:rPr>
      </w:pPr>
      <w:r>
        <w:rPr>
          <w:rFonts w:ascii="Arial" w:cs="Arial" w:eastAsia="Arial" w:hAnsi="Arial"/>
          <w:sz w:val="18"/>
          <w:szCs w:val="18"/>
          <w:b w:val="1"/>
          <w:bCs w:val="1"/>
          <w:color w:val="0046AD"/>
        </w:rPr>
        <w:t>ITEM 12. SECURITY OWNERSHIP OF CERTAIN BENEFICIAL OWNERS AND MANAGEMENT AND RELATED STOCKHOLDER MATTERS.</w:t>
      </w:r>
    </w:p>
    <w:p>
      <w:pPr>
        <w:spacing w:after="0" w:line="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Information with respect to security ownership of certain beneficial owners and management and equity compensation plan information and related stockholder matters required by this Item will be set forth under the captions “General Information—Security Ownership of Certain Beneficial Owners,” “General Information—Security Ownership of Directors and Executive Officers,” and “General Information—Equity Compensation Plan Information” in our 2020 Proxy Statement and is incorporated herein by reference.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13. CERTAIN RELATIONSHIPS AND RELATED TRANSACTIONS, AND DIRECTOR INDEPENDENCE.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Information with respect to certain relationships and related transactions and with respect to director independence required by this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Item will be set forth under the captions “General Information—Certain Relationships and Transactions with Related Persons” and “Corporate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Governance and Board Matters” in our 2020 Proxy Statement and is incorporated herein by reference.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14. PRINCIPAL ACCOUNTING FEES AND SERVICES.</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Information with respect to our Audit Committee’s pre-approval policy for audit services and our principal accounting fees and services required by this Item will be set forth under the caption “Audit-Related Matters” in our 2020 Proxy Statement and is incorporated herein by reference.</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93" w:right="2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53"/>
        </w:trPr>
        <w:tc>
          <w:tcPr>
            <w:tcW w:w="700" w:type="dxa"/>
            <w:vAlign w:val="bottom"/>
          </w:tcPr>
          <w:p>
            <w:pPr>
              <w:spacing w:after="0"/>
              <w:rPr>
                <w:sz w:val="21"/>
                <w:szCs w:val="21"/>
                <w:color w:val="auto"/>
              </w:rPr>
            </w:pPr>
          </w:p>
        </w:tc>
        <w:tc>
          <w:tcPr>
            <w:tcW w:w="10420" w:type="dxa"/>
            <w:vAlign w:val="bottom"/>
          </w:tcPr>
          <w:p>
            <w:pPr>
              <w:ind w:left="4640"/>
              <w:spacing w:after="0"/>
              <w:rPr>
                <w:sz w:val="20"/>
                <w:szCs w:val="20"/>
                <w:color w:val="auto"/>
              </w:rPr>
            </w:pPr>
            <w:r>
              <w:rPr>
                <w:rFonts w:ascii="Arial" w:cs="Arial" w:eastAsia="Arial" w:hAnsi="Arial"/>
                <w:sz w:val="18"/>
                <w:szCs w:val="18"/>
                <w:b w:val="1"/>
                <w:bCs w:val="1"/>
                <w:color w:val="0046AD"/>
              </w:rPr>
              <w:t>PART IV</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378"/>
        </w:trPr>
        <w:tc>
          <w:tcPr>
            <w:tcW w:w="11120" w:type="dxa"/>
            <w:vAlign w:val="bottom"/>
            <w:gridSpan w:val="2"/>
          </w:tcPr>
          <w:p>
            <w:pPr>
              <w:spacing w:after="0"/>
              <w:rPr>
                <w:sz w:val="20"/>
                <w:szCs w:val="20"/>
                <w:color w:val="auto"/>
              </w:rPr>
            </w:pPr>
            <w:r>
              <w:rPr>
                <w:rFonts w:ascii="Arial" w:cs="Arial" w:eastAsia="Arial" w:hAnsi="Arial"/>
                <w:sz w:val="18"/>
                <w:szCs w:val="18"/>
                <w:b w:val="1"/>
                <w:bCs w:val="1"/>
                <w:color w:val="0046AD"/>
              </w:rPr>
              <w:t>ITEM 15. EXHIBITS, FINANCIAL STATEMENT SCHEDULES.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8"/>
        </w:trPr>
        <w:tc>
          <w:tcPr>
            <w:tcW w:w="700" w:type="dxa"/>
            <w:vAlign w:val="bottom"/>
          </w:tcPr>
          <w:p>
            <w:pPr>
              <w:ind w:left="340"/>
              <w:spacing w:after="0"/>
              <w:rPr>
                <w:sz w:val="20"/>
                <w:szCs w:val="20"/>
                <w:color w:val="auto"/>
              </w:rPr>
            </w:pPr>
            <w:r>
              <w:rPr>
                <w:rFonts w:ascii="Arial" w:cs="Arial" w:eastAsia="Arial" w:hAnsi="Arial"/>
                <w:sz w:val="17"/>
                <w:szCs w:val="17"/>
                <w:color w:val="auto"/>
              </w:rPr>
              <w:t>(a)</w:t>
            </w:r>
          </w:p>
        </w:tc>
        <w:tc>
          <w:tcPr>
            <w:tcW w:w="10420" w:type="dxa"/>
            <w:vAlign w:val="bottom"/>
          </w:tcPr>
          <w:p>
            <w:pPr>
              <w:ind w:left="160"/>
              <w:spacing w:after="0"/>
              <w:rPr>
                <w:sz w:val="20"/>
                <w:szCs w:val="20"/>
                <w:color w:val="auto"/>
              </w:rPr>
            </w:pPr>
            <w:r>
              <w:rPr>
                <w:rFonts w:ascii="Arial" w:cs="Arial" w:eastAsia="Arial" w:hAnsi="Arial"/>
                <w:sz w:val="17"/>
                <w:szCs w:val="17"/>
                <w:color w:val="auto"/>
              </w:rPr>
              <w:t>The following documents are filed as part of this report: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5"/>
        </w:trPr>
        <w:tc>
          <w:tcPr>
            <w:tcW w:w="111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11120" w:type="dxa"/>
            <w:vAlign w:val="bottom"/>
            <w:gridSpan w:val="2"/>
            <w:shd w:val="clear" w:color="auto" w:fill="DCE2EF"/>
          </w:tcPr>
          <w:p>
            <w:pPr>
              <w:ind w:left="40"/>
              <w:spacing w:after="0"/>
              <w:rPr>
                <w:sz w:val="20"/>
                <w:szCs w:val="20"/>
                <w:color w:val="auto"/>
              </w:rPr>
            </w:pPr>
            <w:r>
              <w:rPr>
                <w:rFonts w:ascii="Arial" w:cs="Arial" w:eastAsia="Arial" w:hAnsi="Arial"/>
                <w:sz w:val="17"/>
                <w:szCs w:val="17"/>
                <w:color w:val="auto"/>
              </w:rPr>
              <w:t>1</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Financial Statements</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Index to Consolidated Financial Statements</w:t>
            </w:r>
          </w:p>
        </w:tc>
        <w:tc>
          <w:tcPr>
            <w:tcW w:w="80" w:type="dxa"/>
            <w:vAlign w:val="bottom"/>
            <w:shd w:val="clear" w:color="auto" w:fill="DCE2EF"/>
          </w:tcPr>
          <w:p>
            <w:pPr>
              <w:spacing w:after="0"/>
              <w:rPr>
                <w:sz w:val="23"/>
                <w:szCs w:val="23"/>
                <w:color w:val="auto"/>
              </w:rPr>
            </w:pPr>
          </w:p>
        </w:tc>
        <w:tc>
          <w:tcPr>
            <w:tcW w:w="200" w:type="dxa"/>
            <w:vAlign w:val="bottom"/>
            <w:shd w:val="clear" w:color="auto" w:fill="DCE2EF"/>
          </w:tcPr>
          <w:p>
            <w:pPr>
              <w:spacing w:after="0"/>
              <w:rPr>
                <w:sz w:val="23"/>
                <w:szCs w:val="23"/>
                <w:color w:val="auto"/>
              </w:rPr>
            </w:pPr>
          </w:p>
        </w:tc>
        <w:tc>
          <w:tcPr>
            <w:tcW w:w="20" w:type="dxa"/>
            <w:vAlign w:val="bottom"/>
            <w:shd w:val="clear" w:color="auto" w:fill="DCE2EF"/>
          </w:tcPr>
          <w:p>
            <w:pPr>
              <w:spacing w:after="0"/>
              <w:rPr>
                <w:sz w:val="23"/>
                <w:szCs w:val="23"/>
                <w:color w:val="auto"/>
              </w:rPr>
            </w:pPr>
          </w:p>
        </w:tc>
      </w:tr>
      <w:tr>
        <w:trPr>
          <w:trHeight w:val="203"/>
        </w:trPr>
        <w:tc>
          <w:tcPr>
            <w:tcW w:w="11120" w:type="dxa"/>
            <w:vAlign w:val="bottom"/>
            <w:gridSpan w:val="2"/>
          </w:tcPr>
          <w:p>
            <w:pPr>
              <w:ind w:left="360"/>
              <w:spacing w:after="0"/>
              <w:rPr>
                <w:rFonts w:ascii="Arial" w:cs="Arial" w:eastAsia="Arial" w:hAnsi="Arial"/>
                <w:sz w:val="17"/>
                <w:szCs w:val="17"/>
                <w:color w:val="auto"/>
              </w:rPr>
            </w:pPr>
            <w:hyperlink w:anchor="page49">
              <w:r>
                <w:rPr>
                  <w:rFonts w:ascii="Arial" w:cs="Arial" w:eastAsia="Arial" w:hAnsi="Arial"/>
                  <w:sz w:val="17"/>
                  <w:szCs w:val="17"/>
                  <w:color w:val="auto"/>
                </w:rPr>
                <w:t>Report of Independent Registered Public Accounting Firm</w:t>
              </w:r>
            </w:hyperlink>
          </w:p>
        </w:tc>
        <w:tc>
          <w:tcPr>
            <w:tcW w:w="280" w:type="dxa"/>
            <w:vAlign w:val="bottom"/>
            <w:gridSpan w:val="2"/>
          </w:tcPr>
          <w:p>
            <w:pPr>
              <w:jc w:val="right"/>
              <w:spacing w:after="0"/>
              <w:rPr>
                <w:rFonts w:ascii="Arial" w:cs="Arial" w:eastAsia="Arial" w:hAnsi="Arial"/>
                <w:sz w:val="17"/>
                <w:szCs w:val="17"/>
                <w:color w:val="0000EE"/>
              </w:rPr>
            </w:pPr>
            <w:hyperlink w:anchor="page49">
              <w:r>
                <w:rPr>
                  <w:rFonts w:ascii="Arial" w:cs="Arial" w:eastAsia="Arial" w:hAnsi="Arial"/>
                  <w:sz w:val="17"/>
                  <w:szCs w:val="17"/>
                  <w:color w:val="0000EE"/>
                </w:rPr>
                <w:t>46</w:t>
              </w:r>
            </w:hyperlink>
          </w:p>
        </w:tc>
        <w:tc>
          <w:tcPr>
            <w:tcW w:w="20" w:type="dxa"/>
            <w:vAlign w:val="bottom"/>
          </w:tcPr>
          <w:p>
            <w:pPr>
              <w:spacing w:after="0"/>
              <w:rPr>
                <w:sz w:val="17"/>
                <w:szCs w:val="17"/>
                <w:color w:val="auto"/>
              </w:rPr>
            </w:pPr>
          </w:p>
        </w:tc>
      </w:tr>
      <w:tr>
        <w:trPr>
          <w:trHeight w:val="34"/>
        </w:trPr>
        <w:tc>
          <w:tcPr>
            <w:tcW w:w="700" w:type="dxa"/>
            <w:vAlign w:val="bottom"/>
          </w:tcPr>
          <w:p>
            <w:pPr>
              <w:spacing w:after="0"/>
              <w:rPr>
                <w:sz w:val="2"/>
                <w:szCs w:val="2"/>
                <w:color w:val="auto"/>
              </w:rPr>
            </w:pPr>
          </w:p>
        </w:tc>
        <w:tc>
          <w:tcPr>
            <w:tcW w:w="10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11120" w:type="dxa"/>
            <w:vAlign w:val="bottom"/>
            <w:tcBorders>
              <w:bottom w:val="single" w:sz="8" w:color="DCE2EF"/>
            </w:tcBorders>
            <w:gridSpan w:val="2"/>
            <w:shd w:val="clear" w:color="auto" w:fill="DCE2EF"/>
          </w:tcPr>
          <w:p>
            <w:pPr>
              <w:ind w:left="360"/>
              <w:spacing w:after="0"/>
              <w:rPr>
                <w:rFonts w:ascii="Arial" w:cs="Arial" w:eastAsia="Arial" w:hAnsi="Arial"/>
                <w:sz w:val="17"/>
                <w:szCs w:val="17"/>
                <w:color w:val="auto"/>
              </w:rPr>
            </w:pPr>
            <w:hyperlink w:anchor="page52">
              <w:r>
                <w:rPr>
                  <w:rFonts w:ascii="Arial" w:cs="Arial" w:eastAsia="Arial" w:hAnsi="Arial"/>
                  <w:sz w:val="17"/>
                  <w:szCs w:val="17"/>
                  <w:color w:val="auto"/>
                </w:rPr>
                <w:t>Consolidated Balance Sheets at October 31, 2019 and 2018</w:t>
              </w:r>
            </w:hyperlink>
          </w:p>
        </w:tc>
        <w:tc>
          <w:tcPr>
            <w:tcW w:w="80" w:type="dxa"/>
            <w:vAlign w:val="bottom"/>
            <w:tcBorders>
              <w:bottom w:val="single" w:sz="8" w:color="DCE2EF"/>
            </w:tcBorders>
            <w:shd w:val="clear" w:color="auto" w:fill="DCE2EF"/>
          </w:tcPr>
          <w:p>
            <w:pPr>
              <w:spacing w:after="0"/>
              <w:rPr>
                <w:sz w:val="20"/>
                <w:szCs w:val="20"/>
                <w:color w:val="auto"/>
              </w:rPr>
            </w:pPr>
          </w:p>
        </w:tc>
        <w:tc>
          <w:tcPr>
            <w:tcW w:w="200" w:type="dxa"/>
            <w:vAlign w:val="bottom"/>
            <w:tcBorders>
              <w:bottom w:val="single" w:sz="8" w:color="0000EE"/>
            </w:tcBorders>
            <w:shd w:val="clear" w:color="auto" w:fill="DCE2EF"/>
          </w:tcPr>
          <w:p>
            <w:pPr>
              <w:jc w:val="right"/>
              <w:spacing w:after="0"/>
              <w:rPr>
                <w:rFonts w:ascii="Arial" w:cs="Arial" w:eastAsia="Arial" w:hAnsi="Arial"/>
                <w:sz w:val="17"/>
                <w:szCs w:val="17"/>
                <w:color w:val="0000EE"/>
                <w:w w:val="94"/>
              </w:rPr>
            </w:pPr>
            <w:hyperlink w:anchor="page52">
              <w:r>
                <w:rPr>
                  <w:rFonts w:ascii="Arial" w:cs="Arial" w:eastAsia="Arial" w:hAnsi="Arial"/>
                  <w:sz w:val="17"/>
                  <w:szCs w:val="17"/>
                  <w:color w:val="0000EE"/>
                  <w:w w:val="94"/>
                </w:rPr>
                <w:t>49</w:t>
              </w:r>
            </w:hyperlink>
          </w:p>
        </w:tc>
        <w:tc>
          <w:tcPr>
            <w:tcW w:w="20" w:type="dxa"/>
            <w:vAlign w:val="bottom"/>
            <w:tcBorders>
              <w:bottom w:val="single" w:sz="8" w:color="DCE2EF"/>
            </w:tcBorders>
            <w:shd w:val="clear" w:color="auto" w:fill="DCE2EF"/>
          </w:tcPr>
          <w:p>
            <w:pPr>
              <w:spacing w:after="0"/>
              <w:rPr>
                <w:sz w:val="20"/>
                <w:szCs w:val="20"/>
                <w:color w:val="auto"/>
              </w:rPr>
            </w:pPr>
          </w:p>
        </w:tc>
      </w:tr>
      <w:tr>
        <w:trPr>
          <w:trHeight w:val="203"/>
        </w:trPr>
        <w:tc>
          <w:tcPr>
            <w:tcW w:w="11120" w:type="dxa"/>
            <w:vAlign w:val="bottom"/>
            <w:gridSpan w:val="2"/>
          </w:tcPr>
          <w:p>
            <w:pPr>
              <w:ind w:left="360"/>
              <w:spacing w:after="0"/>
              <w:rPr>
                <w:sz w:val="20"/>
                <w:szCs w:val="20"/>
                <w:color w:val="auto"/>
              </w:rPr>
            </w:pPr>
            <w:r>
              <w:rPr>
                <w:rFonts w:ascii="Arial" w:cs="Arial" w:eastAsia="Arial" w:hAnsi="Arial"/>
                <w:sz w:val="17"/>
                <w:szCs w:val="17"/>
                <w:color w:val="auto"/>
              </w:rPr>
              <w:t>Consolidated Statements of Comprehensive Income for the Years Ended October 31, 2019, 2018, and 2017</w:t>
            </w:r>
          </w:p>
        </w:tc>
        <w:tc>
          <w:tcPr>
            <w:tcW w:w="280" w:type="dxa"/>
            <w:vAlign w:val="bottom"/>
            <w:gridSpan w:val="2"/>
          </w:tcPr>
          <w:p>
            <w:pPr>
              <w:jc w:val="right"/>
              <w:spacing w:after="0"/>
              <w:rPr>
                <w:rFonts w:ascii="Arial" w:cs="Arial" w:eastAsia="Arial" w:hAnsi="Arial"/>
                <w:sz w:val="17"/>
                <w:szCs w:val="17"/>
                <w:color w:val="0000EE"/>
              </w:rPr>
            </w:pPr>
            <w:hyperlink w:anchor="page53">
              <w:r>
                <w:rPr>
                  <w:rFonts w:ascii="Arial" w:cs="Arial" w:eastAsia="Arial" w:hAnsi="Arial"/>
                  <w:sz w:val="17"/>
                  <w:szCs w:val="17"/>
                  <w:color w:val="0000EE"/>
                </w:rPr>
                <w:t>50</w:t>
              </w:r>
            </w:hyperlink>
          </w:p>
        </w:tc>
        <w:tc>
          <w:tcPr>
            <w:tcW w:w="20" w:type="dxa"/>
            <w:vAlign w:val="bottom"/>
          </w:tcPr>
          <w:p>
            <w:pPr>
              <w:spacing w:after="0"/>
              <w:rPr>
                <w:sz w:val="17"/>
                <w:szCs w:val="17"/>
                <w:color w:val="auto"/>
              </w:rPr>
            </w:pPr>
          </w:p>
        </w:tc>
      </w:tr>
      <w:tr>
        <w:trPr>
          <w:trHeight w:val="34"/>
        </w:trPr>
        <w:tc>
          <w:tcPr>
            <w:tcW w:w="700" w:type="dxa"/>
            <w:vAlign w:val="bottom"/>
          </w:tcPr>
          <w:p>
            <w:pPr>
              <w:spacing w:after="0"/>
              <w:rPr>
                <w:sz w:val="2"/>
                <w:szCs w:val="2"/>
                <w:color w:val="auto"/>
              </w:rPr>
            </w:pPr>
          </w:p>
        </w:tc>
        <w:tc>
          <w:tcPr>
            <w:tcW w:w="10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11120" w:type="dxa"/>
            <w:vAlign w:val="bottom"/>
            <w:tcBorders>
              <w:bottom w:val="single" w:sz="8" w:color="DCE2EF"/>
            </w:tcBorders>
            <w:gridSpan w:val="2"/>
            <w:shd w:val="clear" w:color="auto" w:fill="DCE2EF"/>
          </w:tcPr>
          <w:p>
            <w:pPr>
              <w:ind w:left="360"/>
              <w:spacing w:after="0"/>
              <w:rPr>
                <w:rFonts w:ascii="Arial" w:cs="Arial" w:eastAsia="Arial" w:hAnsi="Arial"/>
                <w:sz w:val="17"/>
                <w:szCs w:val="17"/>
                <w:color w:val="auto"/>
              </w:rPr>
            </w:pPr>
            <w:hyperlink w:anchor="page54">
              <w:r>
                <w:rPr>
                  <w:rFonts w:ascii="Arial" w:cs="Arial" w:eastAsia="Arial" w:hAnsi="Arial"/>
                  <w:sz w:val="17"/>
                  <w:szCs w:val="17"/>
                  <w:color w:val="auto"/>
                </w:rPr>
                <w:t>Consolidated Statements of Stockholders’ Equity for the Years Ended October 31, 2019, 2018, and 2017</w:t>
              </w:r>
            </w:hyperlink>
          </w:p>
        </w:tc>
        <w:tc>
          <w:tcPr>
            <w:tcW w:w="80" w:type="dxa"/>
            <w:vAlign w:val="bottom"/>
            <w:tcBorders>
              <w:bottom w:val="single" w:sz="8" w:color="DCE2EF"/>
            </w:tcBorders>
            <w:shd w:val="clear" w:color="auto" w:fill="DCE2EF"/>
          </w:tcPr>
          <w:p>
            <w:pPr>
              <w:spacing w:after="0"/>
              <w:rPr>
                <w:sz w:val="20"/>
                <w:szCs w:val="20"/>
                <w:color w:val="auto"/>
              </w:rPr>
            </w:pPr>
          </w:p>
        </w:tc>
        <w:tc>
          <w:tcPr>
            <w:tcW w:w="200" w:type="dxa"/>
            <w:vAlign w:val="bottom"/>
            <w:tcBorders>
              <w:bottom w:val="single" w:sz="8" w:color="0000EE"/>
            </w:tcBorders>
            <w:shd w:val="clear" w:color="auto" w:fill="DCE2EF"/>
          </w:tcPr>
          <w:p>
            <w:pPr>
              <w:jc w:val="right"/>
              <w:spacing w:after="0"/>
              <w:rPr>
                <w:rFonts w:ascii="Arial" w:cs="Arial" w:eastAsia="Arial" w:hAnsi="Arial"/>
                <w:sz w:val="17"/>
                <w:szCs w:val="17"/>
                <w:color w:val="0000EE"/>
                <w:w w:val="94"/>
              </w:rPr>
            </w:pPr>
            <w:hyperlink w:anchor="page54">
              <w:r>
                <w:rPr>
                  <w:rFonts w:ascii="Arial" w:cs="Arial" w:eastAsia="Arial" w:hAnsi="Arial"/>
                  <w:sz w:val="17"/>
                  <w:szCs w:val="17"/>
                  <w:color w:val="0000EE"/>
                  <w:w w:val="94"/>
                </w:rPr>
                <w:t>51</w:t>
              </w:r>
            </w:hyperlink>
          </w:p>
        </w:tc>
        <w:tc>
          <w:tcPr>
            <w:tcW w:w="20" w:type="dxa"/>
            <w:vAlign w:val="bottom"/>
            <w:tcBorders>
              <w:bottom w:val="single" w:sz="8" w:color="DCE2EF"/>
            </w:tcBorders>
            <w:shd w:val="clear" w:color="auto" w:fill="DCE2EF"/>
          </w:tcPr>
          <w:p>
            <w:pPr>
              <w:spacing w:after="0"/>
              <w:rPr>
                <w:sz w:val="20"/>
                <w:szCs w:val="20"/>
                <w:color w:val="auto"/>
              </w:rPr>
            </w:pPr>
          </w:p>
        </w:tc>
      </w:tr>
      <w:tr>
        <w:trPr>
          <w:trHeight w:val="203"/>
        </w:trPr>
        <w:tc>
          <w:tcPr>
            <w:tcW w:w="11120" w:type="dxa"/>
            <w:vAlign w:val="bottom"/>
            <w:gridSpan w:val="2"/>
          </w:tcPr>
          <w:p>
            <w:pPr>
              <w:ind w:left="360"/>
              <w:spacing w:after="0"/>
              <w:rPr>
                <w:rFonts w:ascii="Arial" w:cs="Arial" w:eastAsia="Arial" w:hAnsi="Arial"/>
                <w:sz w:val="17"/>
                <w:szCs w:val="17"/>
                <w:color w:val="auto"/>
              </w:rPr>
            </w:pPr>
            <w:hyperlink w:anchor="page55">
              <w:r>
                <w:rPr>
                  <w:rFonts w:ascii="Arial" w:cs="Arial" w:eastAsia="Arial" w:hAnsi="Arial"/>
                  <w:sz w:val="17"/>
                  <w:szCs w:val="17"/>
                  <w:color w:val="auto"/>
                </w:rPr>
                <w:t>Consolidated Statements of Cash Flows for the Years Ended October 31, 2019, 2018, and 2017</w:t>
              </w:r>
            </w:hyperlink>
          </w:p>
        </w:tc>
        <w:tc>
          <w:tcPr>
            <w:tcW w:w="280" w:type="dxa"/>
            <w:vAlign w:val="bottom"/>
            <w:gridSpan w:val="2"/>
          </w:tcPr>
          <w:p>
            <w:pPr>
              <w:jc w:val="right"/>
              <w:spacing w:after="0"/>
              <w:rPr>
                <w:rFonts w:ascii="Arial" w:cs="Arial" w:eastAsia="Arial" w:hAnsi="Arial"/>
                <w:sz w:val="17"/>
                <w:szCs w:val="17"/>
                <w:color w:val="0000EE"/>
              </w:rPr>
            </w:pPr>
            <w:hyperlink w:anchor="page55">
              <w:r>
                <w:rPr>
                  <w:rFonts w:ascii="Arial" w:cs="Arial" w:eastAsia="Arial" w:hAnsi="Arial"/>
                  <w:sz w:val="17"/>
                  <w:szCs w:val="17"/>
                  <w:color w:val="0000EE"/>
                </w:rPr>
                <w:t>52</w:t>
              </w:r>
            </w:hyperlink>
          </w:p>
        </w:tc>
        <w:tc>
          <w:tcPr>
            <w:tcW w:w="20" w:type="dxa"/>
            <w:vAlign w:val="bottom"/>
          </w:tcPr>
          <w:p>
            <w:pPr>
              <w:spacing w:after="0"/>
              <w:rPr>
                <w:sz w:val="17"/>
                <w:szCs w:val="17"/>
                <w:color w:val="auto"/>
              </w:rPr>
            </w:pPr>
          </w:p>
        </w:tc>
      </w:tr>
      <w:tr>
        <w:trPr>
          <w:trHeight w:val="34"/>
        </w:trPr>
        <w:tc>
          <w:tcPr>
            <w:tcW w:w="700" w:type="dxa"/>
            <w:vAlign w:val="bottom"/>
          </w:tcPr>
          <w:p>
            <w:pPr>
              <w:spacing w:after="0"/>
              <w:rPr>
                <w:sz w:val="2"/>
                <w:szCs w:val="2"/>
                <w:color w:val="auto"/>
              </w:rPr>
            </w:pPr>
          </w:p>
        </w:tc>
        <w:tc>
          <w:tcPr>
            <w:tcW w:w="10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84"/>
        </w:trPr>
        <w:tc>
          <w:tcPr>
            <w:tcW w:w="11120" w:type="dxa"/>
            <w:vAlign w:val="bottom"/>
            <w:gridSpan w:val="2"/>
            <w:shd w:val="clear" w:color="auto" w:fill="DCE2EF"/>
          </w:tcPr>
          <w:p>
            <w:pPr>
              <w:spacing w:after="0"/>
              <w:rPr>
                <w:sz w:val="24"/>
                <w:szCs w:val="24"/>
                <w:color w:val="auto"/>
              </w:rPr>
            </w:pPr>
          </w:p>
        </w:tc>
        <w:tc>
          <w:tcPr>
            <w:tcW w:w="80" w:type="dxa"/>
            <w:vAlign w:val="bottom"/>
            <w:shd w:val="clear" w:color="auto" w:fill="DCE2EF"/>
          </w:tcPr>
          <w:p>
            <w:pPr>
              <w:spacing w:after="0"/>
              <w:rPr>
                <w:sz w:val="24"/>
                <w:szCs w:val="24"/>
                <w:color w:val="auto"/>
              </w:rPr>
            </w:pPr>
          </w:p>
        </w:tc>
        <w:tc>
          <w:tcPr>
            <w:tcW w:w="200" w:type="dxa"/>
            <w:vAlign w:val="bottom"/>
            <w:shd w:val="clear" w:color="auto" w:fill="DCE2EF"/>
          </w:tcPr>
          <w:p>
            <w:pPr>
              <w:spacing w:after="0"/>
              <w:rPr>
                <w:sz w:val="24"/>
                <w:szCs w:val="24"/>
                <w:color w:val="auto"/>
              </w:rPr>
            </w:pPr>
          </w:p>
        </w:tc>
        <w:tc>
          <w:tcPr>
            <w:tcW w:w="20" w:type="dxa"/>
            <w:vAlign w:val="bottom"/>
            <w:shd w:val="clear" w:color="auto" w:fill="DCE2EF"/>
          </w:tcPr>
          <w:p>
            <w:pPr>
              <w:spacing w:after="0"/>
              <w:rPr>
                <w:sz w:val="24"/>
                <w:szCs w:val="24"/>
                <w:color w:val="auto"/>
              </w:rPr>
            </w:pPr>
          </w:p>
        </w:tc>
      </w:tr>
      <w:tr>
        <w:trPr>
          <w:trHeight w:val="268"/>
        </w:trPr>
        <w:tc>
          <w:tcPr>
            <w:tcW w:w="11120" w:type="dxa"/>
            <w:vAlign w:val="bottom"/>
            <w:gridSpan w:val="2"/>
          </w:tcPr>
          <w:p>
            <w:pPr>
              <w:ind w:left="40"/>
              <w:spacing w:after="0"/>
              <w:rPr>
                <w:sz w:val="20"/>
                <w:szCs w:val="20"/>
                <w:color w:val="auto"/>
              </w:rPr>
            </w:pPr>
            <w:r>
              <w:rPr>
                <w:rFonts w:ascii="Arial" w:cs="Arial" w:eastAsia="Arial" w:hAnsi="Arial"/>
                <w:sz w:val="17"/>
                <w:szCs w:val="17"/>
                <w:color w:val="auto"/>
              </w:rPr>
              <w:t xml:space="preserve">2. </w:t>
            </w:r>
            <w:r>
              <w:rPr>
                <w:rFonts w:ascii="Arial" w:cs="Arial" w:eastAsia="Arial" w:hAnsi="Arial"/>
                <w:sz w:val="17"/>
                <w:szCs w:val="17"/>
                <w:b w:val="1"/>
                <w:bCs w:val="1"/>
                <w:i w:val="1"/>
                <w:iCs w:val="1"/>
                <w:color w:val="auto"/>
              </w:rPr>
              <w:t>Financial Statement Schedule</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43"/>
        </w:trPr>
        <w:tc>
          <w:tcPr>
            <w:tcW w:w="11120" w:type="dxa"/>
            <w:vAlign w:val="bottom"/>
            <w:tcBorders>
              <w:bottom w:val="single" w:sz="8" w:color="DCE2EF"/>
            </w:tcBorders>
            <w:gridSpan w:val="2"/>
            <w:shd w:val="clear" w:color="auto" w:fill="DCE2EF"/>
          </w:tcPr>
          <w:p>
            <w:pPr>
              <w:ind w:left="360"/>
              <w:spacing w:after="0"/>
              <w:rPr>
                <w:sz w:val="20"/>
                <w:szCs w:val="20"/>
                <w:color w:val="auto"/>
              </w:rPr>
            </w:pPr>
            <w:r>
              <w:rPr>
                <w:rFonts w:ascii="Arial" w:cs="Arial" w:eastAsia="Arial" w:hAnsi="Arial"/>
                <w:sz w:val="17"/>
                <w:szCs w:val="17"/>
                <w:color w:val="auto"/>
              </w:rPr>
              <w:t>Valuation and Qualifying Accounts for the Years Ended October 31, 2019, 2018, and 2017</w:t>
            </w:r>
          </w:p>
        </w:tc>
        <w:tc>
          <w:tcPr>
            <w:tcW w:w="280" w:type="dxa"/>
            <w:vAlign w:val="bottom"/>
            <w:tcBorders>
              <w:bottom w:val="single" w:sz="8" w:color="0000EE"/>
            </w:tcBorders>
            <w:gridSpan w:val="2"/>
            <w:shd w:val="clear" w:color="auto" w:fill="DCE2EF"/>
          </w:tcPr>
          <w:p>
            <w:pPr>
              <w:jc w:val="right"/>
              <w:spacing w:after="0"/>
              <w:rPr>
                <w:rFonts w:ascii="Arial" w:cs="Arial" w:eastAsia="Arial" w:hAnsi="Arial"/>
                <w:sz w:val="17"/>
                <w:szCs w:val="17"/>
                <w:color w:val="0000EE"/>
                <w:w w:val="91"/>
              </w:rPr>
            </w:pPr>
            <w:hyperlink w:anchor="page103">
              <w:r>
                <w:rPr>
                  <w:rFonts w:ascii="Arial" w:cs="Arial" w:eastAsia="Arial" w:hAnsi="Arial"/>
                  <w:sz w:val="17"/>
                  <w:szCs w:val="17"/>
                  <w:color w:val="0000EE"/>
                  <w:w w:val="91"/>
                </w:rPr>
                <w:t>100</w:t>
              </w:r>
            </w:hyperlink>
          </w:p>
        </w:tc>
        <w:tc>
          <w:tcPr>
            <w:tcW w:w="20" w:type="dxa"/>
            <w:vAlign w:val="bottom"/>
            <w:tcBorders>
              <w:bottom w:val="single" w:sz="8" w:color="DCE2EF"/>
            </w:tcBorders>
            <w:shd w:val="clear" w:color="auto" w:fill="DCE2EF"/>
          </w:tcPr>
          <w:p>
            <w:pPr>
              <w:spacing w:after="0"/>
              <w:rPr>
                <w:sz w:val="20"/>
                <w:szCs w:val="20"/>
                <w:color w:val="auto"/>
              </w:rPr>
            </w:pPr>
          </w:p>
        </w:tc>
      </w:tr>
      <w:tr>
        <w:trPr>
          <w:trHeight w:val="284"/>
        </w:trPr>
        <w:tc>
          <w:tcPr>
            <w:tcW w:w="11120" w:type="dxa"/>
            <w:vAlign w:val="bottom"/>
            <w:tcBorders>
              <w:top w:val="single" w:sz="8" w:color="DCE2EF"/>
            </w:tcBorders>
            <w:gridSpan w:val="2"/>
          </w:tcPr>
          <w:p>
            <w:pPr>
              <w:spacing w:after="0"/>
              <w:rPr>
                <w:sz w:val="24"/>
                <w:szCs w:val="24"/>
                <w:color w:val="auto"/>
              </w:rPr>
            </w:pPr>
          </w:p>
        </w:tc>
        <w:tc>
          <w:tcPr>
            <w:tcW w:w="80" w:type="dxa"/>
            <w:vAlign w:val="bottom"/>
            <w:tcBorders>
              <w:top w:val="single" w:sz="8" w:color="DCE2EF"/>
            </w:tcBorders>
          </w:tcPr>
          <w:p>
            <w:pPr>
              <w:spacing w:after="0"/>
              <w:rPr>
                <w:sz w:val="24"/>
                <w:szCs w:val="24"/>
                <w:color w:val="auto"/>
              </w:rPr>
            </w:pPr>
          </w:p>
        </w:tc>
        <w:tc>
          <w:tcPr>
            <w:tcW w:w="200" w:type="dxa"/>
            <w:vAlign w:val="bottom"/>
            <w:tcBorders>
              <w:top w:val="single" w:sz="8" w:color="DCE2EF"/>
            </w:tcBorders>
          </w:tcPr>
          <w:p>
            <w:pPr>
              <w:spacing w:after="0"/>
              <w:rPr>
                <w:sz w:val="24"/>
                <w:szCs w:val="24"/>
                <w:color w:val="auto"/>
              </w:rPr>
            </w:pPr>
          </w:p>
        </w:tc>
        <w:tc>
          <w:tcPr>
            <w:tcW w:w="20" w:type="dxa"/>
            <w:vAlign w:val="bottom"/>
            <w:tcBorders>
              <w:top w:val="single" w:sz="8" w:color="DCE2EF"/>
            </w:tcBorders>
          </w:tcPr>
          <w:p>
            <w:pPr>
              <w:spacing w:after="0"/>
              <w:rPr>
                <w:sz w:val="24"/>
                <w:szCs w:val="24"/>
                <w:color w:val="auto"/>
              </w:rPr>
            </w:pPr>
          </w:p>
        </w:tc>
      </w:tr>
      <w:tr>
        <w:trPr>
          <w:trHeight w:val="270"/>
        </w:trPr>
        <w:tc>
          <w:tcPr>
            <w:tcW w:w="11120" w:type="dxa"/>
            <w:vAlign w:val="bottom"/>
            <w:gridSpan w:val="2"/>
            <w:shd w:val="clear" w:color="auto" w:fill="DCE2EF"/>
          </w:tcPr>
          <w:p>
            <w:pPr>
              <w:ind w:left="40"/>
              <w:spacing w:after="0"/>
              <w:rPr>
                <w:sz w:val="20"/>
                <w:szCs w:val="20"/>
                <w:color w:val="auto"/>
              </w:rPr>
            </w:pPr>
            <w:r>
              <w:rPr>
                <w:rFonts w:ascii="Arial" w:cs="Arial" w:eastAsia="Arial" w:hAnsi="Arial"/>
                <w:sz w:val="17"/>
                <w:szCs w:val="17"/>
                <w:color w:val="auto"/>
              </w:rPr>
              <w:t xml:space="preserve">3. </w:t>
            </w:r>
            <w:r>
              <w:rPr>
                <w:rFonts w:ascii="Arial" w:cs="Arial" w:eastAsia="Arial" w:hAnsi="Arial"/>
                <w:sz w:val="17"/>
                <w:szCs w:val="17"/>
                <w:b w:val="1"/>
                <w:bCs w:val="1"/>
                <w:i w:val="1"/>
                <w:iCs w:val="1"/>
                <w:color w:val="auto"/>
              </w:rPr>
              <w:t>Exhibits</w:t>
            </w:r>
          </w:p>
        </w:tc>
        <w:tc>
          <w:tcPr>
            <w:tcW w:w="80" w:type="dxa"/>
            <w:vAlign w:val="bottom"/>
            <w:shd w:val="clear" w:color="auto" w:fill="DCE2EF"/>
          </w:tcPr>
          <w:p>
            <w:pPr>
              <w:spacing w:after="0"/>
              <w:rPr>
                <w:sz w:val="23"/>
                <w:szCs w:val="23"/>
                <w:color w:val="auto"/>
              </w:rPr>
            </w:pPr>
          </w:p>
        </w:tc>
        <w:tc>
          <w:tcPr>
            <w:tcW w:w="200" w:type="dxa"/>
            <w:vAlign w:val="bottom"/>
            <w:shd w:val="clear" w:color="auto" w:fill="DCE2EF"/>
          </w:tcPr>
          <w:p>
            <w:pPr>
              <w:spacing w:after="0"/>
              <w:rPr>
                <w:sz w:val="23"/>
                <w:szCs w:val="23"/>
                <w:color w:val="auto"/>
              </w:rPr>
            </w:pPr>
          </w:p>
        </w:tc>
        <w:tc>
          <w:tcPr>
            <w:tcW w:w="20" w:type="dxa"/>
            <w:vAlign w:val="bottom"/>
            <w:shd w:val="clear" w:color="auto" w:fill="DCE2EF"/>
          </w:tcPr>
          <w:p>
            <w:pPr>
              <w:spacing w:after="0"/>
              <w:rPr>
                <w:sz w:val="23"/>
                <w:szCs w:val="23"/>
                <w:color w:val="auto"/>
              </w:rPr>
            </w:pPr>
          </w:p>
        </w:tc>
      </w:tr>
      <w:tr>
        <w:trPr>
          <w:trHeight w:val="203"/>
        </w:trPr>
        <w:tc>
          <w:tcPr>
            <w:tcW w:w="11120" w:type="dxa"/>
            <w:vAlign w:val="bottom"/>
            <w:gridSpan w:val="2"/>
          </w:tcPr>
          <w:p>
            <w:pPr>
              <w:ind w:left="360"/>
              <w:spacing w:after="0"/>
              <w:rPr>
                <w:rFonts w:ascii="Arial" w:cs="Arial" w:eastAsia="Arial" w:hAnsi="Arial"/>
                <w:sz w:val="17"/>
                <w:szCs w:val="17"/>
                <w:color w:val="auto"/>
              </w:rPr>
            </w:pPr>
            <w:hyperlink w:anchor="page104">
              <w:r>
                <w:rPr>
                  <w:rFonts w:ascii="Arial" w:cs="Arial" w:eastAsia="Arial" w:hAnsi="Arial"/>
                  <w:sz w:val="17"/>
                  <w:szCs w:val="17"/>
                  <w:color w:val="auto"/>
                </w:rPr>
                <w:t>Exhibit Index</w:t>
              </w:r>
            </w:hyperlink>
          </w:p>
        </w:tc>
        <w:tc>
          <w:tcPr>
            <w:tcW w:w="280" w:type="dxa"/>
            <w:vAlign w:val="bottom"/>
            <w:tcBorders>
              <w:bottom w:val="single" w:sz="8" w:color="0000EE"/>
            </w:tcBorders>
            <w:gridSpan w:val="2"/>
          </w:tcPr>
          <w:p>
            <w:pPr>
              <w:jc w:val="right"/>
              <w:spacing w:after="0"/>
              <w:rPr>
                <w:rFonts w:ascii="Arial" w:cs="Arial" w:eastAsia="Arial" w:hAnsi="Arial"/>
                <w:sz w:val="17"/>
                <w:szCs w:val="17"/>
                <w:color w:val="0000EE"/>
                <w:w w:val="91"/>
              </w:rPr>
            </w:pPr>
            <w:hyperlink w:anchor="page104">
              <w:r>
                <w:rPr>
                  <w:rFonts w:ascii="Arial" w:cs="Arial" w:eastAsia="Arial" w:hAnsi="Arial"/>
                  <w:sz w:val="17"/>
                  <w:szCs w:val="17"/>
                  <w:color w:val="0000EE"/>
                  <w:w w:val="91"/>
                </w:rPr>
                <w:t>101</w:t>
              </w:r>
            </w:hyperlink>
          </w:p>
        </w:tc>
        <w:tc>
          <w:tcPr>
            <w:tcW w:w="20" w:type="dxa"/>
            <w:vAlign w:val="bottom"/>
          </w:tcPr>
          <w:p>
            <w:pPr>
              <w:spacing w:after="0"/>
              <w:rPr>
                <w:sz w:val="17"/>
                <w:szCs w:val="17"/>
                <w:color w:val="auto"/>
              </w:rPr>
            </w:pP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871"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SCHEDULE II—VALUATION AND QUALIFYING ACCOUNTS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Balance</w:t>
            </w:r>
          </w:p>
        </w:tc>
        <w:tc>
          <w:tcPr>
            <w:tcW w:w="340" w:type="dxa"/>
            <w:vAlign w:val="bottom"/>
          </w:tcPr>
          <w:p>
            <w:pPr>
              <w:spacing w:after="0"/>
              <w:rPr>
                <w:sz w:val="21"/>
                <w:szCs w:val="21"/>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Charges to</w:t>
            </w:r>
          </w:p>
        </w:tc>
        <w:tc>
          <w:tcPr>
            <w:tcW w:w="18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Write-offs</w:t>
            </w:r>
            <w:r>
              <w:rPr>
                <w:rFonts w:ascii="Arial" w:cs="Arial" w:eastAsia="Arial" w:hAnsi="Arial"/>
                <w:sz w:val="21"/>
                <w:szCs w:val="21"/>
                <w:b w:val="1"/>
                <w:bCs w:val="1"/>
                <w:color w:val="auto"/>
                <w:w w:val="96"/>
                <w:vertAlign w:val="superscript"/>
              </w:rPr>
              <w:t>(1)</w:t>
            </w:r>
            <w:r>
              <w:rPr>
                <w:rFonts w:ascii="Arial" w:cs="Arial" w:eastAsia="Arial" w:hAnsi="Arial"/>
                <w:sz w:val="18"/>
                <w:szCs w:val="18"/>
                <w:b w:val="1"/>
                <w:bCs w:val="1"/>
                <w:color w:val="auto"/>
                <w:w w:val="96"/>
              </w:rPr>
              <w:t>/</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9"/>
              </w:rPr>
              <w:t>Beginning of</w:t>
            </w:r>
          </w:p>
        </w:tc>
        <w:tc>
          <w:tcPr>
            <w:tcW w:w="340" w:type="dxa"/>
            <w:vAlign w:val="bottom"/>
          </w:tcPr>
          <w:p>
            <w:pPr>
              <w:spacing w:after="0"/>
              <w:rPr>
                <w:sz w:val="17"/>
                <w:szCs w:val="17"/>
                <w:color w:val="auto"/>
              </w:rPr>
            </w:pPr>
          </w:p>
        </w:tc>
        <w:tc>
          <w:tcPr>
            <w:tcW w:w="180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8"/>
              </w:rPr>
              <w:t>Costs and</w:t>
            </w:r>
          </w:p>
        </w:tc>
        <w:tc>
          <w:tcPr>
            <w:tcW w:w="182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8"/>
              </w:rPr>
              <w:t>Allowance</w:t>
            </w:r>
          </w:p>
        </w:tc>
        <w:tc>
          <w:tcPr>
            <w:tcW w:w="180" w:type="dxa"/>
            <w:vAlign w:val="bottom"/>
          </w:tcPr>
          <w:p>
            <w:pPr>
              <w:spacing w:after="0"/>
              <w:rPr>
                <w:sz w:val="17"/>
                <w:szCs w:val="17"/>
                <w:color w:val="auto"/>
              </w:rPr>
            </w:pPr>
          </w:p>
        </w:tc>
        <w:tc>
          <w:tcPr>
            <w:tcW w:w="130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Balance</w:t>
            </w:r>
          </w:p>
        </w:tc>
        <w:tc>
          <w:tcPr>
            <w:tcW w:w="0" w:type="dxa"/>
            <w:vAlign w:val="bottom"/>
          </w:tcPr>
          <w:p>
            <w:pPr>
              <w:spacing w:after="0"/>
              <w:rPr>
                <w:sz w:val="1"/>
                <w:szCs w:val="1"/>
                <w:color w:val="auto"/>
              </w:rPr>
            </w:pPr>
          </w:p>
        </w:tc>
      </w:tr>
      <w:tr>
        <w:trPr>
          <w:trHeight w:val="214"/>
        </w:trPr>
        <w:tc>
          <w:tcPr>
            <w:tcW w:w="446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97"/>
              </w:rPr>
              <w:t>Year</w:t>
            </w:r>
          </w:p>
        </w:tc>
        <w:tc>
          <w:tcPr>
            <w:tcW w:w="34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Expenses</w:t>
            </w:r>
          </w:p>
        </w:tc>
        <w:tc>
          <w:tcPr>
            <w:tcW w:w="18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Taken</w:t>
            </w:r>
          </w:p>
        </w:tc>
        <w:tc>
          <w:tcPr>
            <w:tcW w:w="18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rPr>
              <w:t>End of Year</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44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Accounts receivable and sales allowances</w:t>
            </w: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4460" w:type="dxa"/>
            <w:vAlign w:val="bottom"/>
            <w:gridSpan w:val="3"/>
            <w:vMerge w:val="continue"/>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740" w:type="dxa"/>
            <w:vAlign w:val="bottom"/>
            <w:gridSpan w:val="2"/>
            <w:shd w:val="clear" w:color="auto" w:fill="DCE2EF"/>
          </w:tcPr>
          <w:p>
            <w:pPr>
              <w:ind w:left="40"/>
              <w:spacing w:after="0"/>
              <w:rPr>
                <w:sz w:val="20"/>
                <w:szCs w:val="20"/>
                <w:color w:val="auto"/>
              </w:rPr>
            </w:pPr>
            <w:r>
              <w:rPr>
                <w:rFonts w:ascii="Arial" w:cs="Arial" w:eastAsia="Arial" w:hAnsi="Arial"/>
                <w:sz w:val="18"/>
                <w:szCs w:val="18"/>
                <w:color w:val="auto"/>
              </w:rPr>
              <w:t>2019</w:t>
            </w:r>
          </w:p>
        </w:tc>
        <w:tc>
          <w:tcPr>
            <w:tcW w:w="3720" w:type="dxa"/>
            <w:vAlign w:val="bottom"/>
            <w:shd w:val="clear" w:color="auto" w:fill="DCE2EF"/>
          </w:tcPr>
          <w:p>
            <w:pPr>
              <w:spacing w:after="0"/>
              <w:rPr>
                <w:sz w:val="23"/>
                <w:szCs w:val="23"/>
                <w:color w:val="auto"/>
              </w:rPr>
            </w:pPr>
          </w:p>
        </w:tc>
        <w:tc>
          <w:tcPr>
            <w:tcW w:w="1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19.2</w:t>
            </w:r>
          </w:p>
        </w:tc>
        <w:tc>
          <w:tcPr>
            <w:tcW w:w="340" w:type="dxa"/>
            <w:vAlign w:val="bottom"/>
            <w:shd w:val="clear" w:color="auto" w:fill="DCE2EF"/>
          </w:tcPr>
          <w:p>
            <w:pPr>
              <w:spacing w:after="0"/>
              <w:rPr>
                <w:sz w:val="23"/>
                <w:szCs w:val="23"/>
                <w:color w:val="auto"/>
              </w:rPr>
            </w:pPr>
          </w:p>
        </w:tc>
        <w:tc>
          <w:tcPr>
            <w:tcW w:w="14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87.7</w:t>
            </w:r>
          </w:p>
        </w:tc>
        <w:tc>
          <w:tcPr>
            <w:tcW w:w="340" w:type="dxa"/>
            <w:vAlign w:val="bottom"/>
            <w:shd w:val="clear" w:color="auto" w:fill="DCE2EF"/>
          </w:tcPr>
          <w:p>
            <w:pPr>
              <w:spacing w:after="0"/>
              <w:rPr>
                <w:sz w:val="23"/>
                <w:szCs w:val="23"/>
                <w:color w:val="auto"/>
              </w:rPr>
            </w:pPr>
          </w:p>
        </w:tc>
        <w:tc>
          <w:tcPr>
            <w:tcW w:w="14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(84.6)</w:t>
            </w:r>
          </w:p>
        </w:tc>
        <w:tc>
          <w:tcPr>
            <w:tcW w:w="340" w:type="dxa"/>
            <w:vAlign w:val="bottom"/>
            <w:shd w:val="clear" w:color="auto" w:fill="DCE2EF"/>
          </w:tcPr>
          <w:p>
            <w:pPr>
              <w:spacing w:after="0"/>
              <w:rPr>
                <w:sz w:val="23"/>
                <w:szCs w:val="23"/>
                <w:color w:val="auto"/>
              </w:rPr>
            </w:pPr>
          </w:p>
        </w:tc>
        <w:tc>
          <w:tcPr>
            <w:tcW w:w="18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65"/>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2018</w:t>
            </w:r>
          </w:p>
        </w:tc>
        <w:tc>
          <w:tcPr>
            <w:tcW w:w="3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25.5</w:t>
            </w:r>
          </w:p>
        </w:tc>
        <w:tc>
          <w:tcPr>
            <w:tcW w:w="34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57.4</w:t>
            </w:r>
          </w:p>
        </w:tc>
        <w:tc>
          <w:tcPr>
            <w:tcW w:w="3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(63.6)</w:t>
            </w: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5"/>
        </w:trPr>
        <w:tc>
          <w:tcPr>
            <w:tcW w:w="740" w:type="dxa"/>
            <w:vAlign w:val="bottom"/>
            <w:gridSpan w:val="2"/>
            <w:shd w:val="clear" w:color="auto" w:fill="DCE2EF"/>
          </w:tcPr>
          <w:p>
            <w:pPr>
              <w:ind w:left="40"/>
              <w:spacing w:after="0"/>
              <w:rPr>
                <w:sz w:val="20"/>
                <w:szCs w:val="20"/>
                <w:color w:val="auto"/>
              </w:rPr>
            </w:pPr>
            <w:r>
              <w:rPr>
                <w:rFonts w:ascii="Arial" w:cs="Arial" w:eastAsia="Arial" w:hAnsi="Arial"/>
                <w:sz w:val="18"/>
                <w:szCs w:val="18"/>
                <w:color w:val="auto"/>
              </w:rPr>
              <w:t>2017</w:t>
            </w:r>
          </w:p>
        </w:tc>
        <w:tc>
          <w:tcPr>
            <w:tcW w:w="3720" w:type="dxa"/>
            <w:vAlign w:val="bottom"/>
            <w:shd w:val="clear" w:color="auto" w:fill="DCE2EF"/>
          </w:tcPr>
          <w:p>
            <w:pPr>
              <w:spacing w:after="0"/>
              <w:rPr>
                <w:sz w:val="23"/>
                <w:szCs w:val="23"/>
                <w:color w:val="auto"/>
              </w:rPr>
            </w:pPr>
          </w:p>
        </w:tc>
        <w:tc>
          <w:tcPr>
            <w:tcW w:w="180" w:type="dxa"/>
            <w:vAlign w:val="bottom"/>
            <w:shd w:val="clear" w:color="auto" w:fill="DCE2EF"/>
          </w:tcPr>
          <w:p>
            <w:pPr>
              <w:spacing w:after="0"/>
              <w:rPr>
                <w:sz w:val="23"/>
                <w:szCs w:val="23"/>
                <w:color w:val="auto"/>
              </w:rPr>
            </w:pPr>
          </w:p>
        </w:tc>
        <w:tc>
          <w:tcPr>
            <w:tcW w:w="134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18.1</w:t>
            </w:r>
          </w:p>
        </w:tc>
        <w:tc>
          <w:tcPr>
            <w:tcW w:w="340" w:type="dxa"/>
            <w:vAlign w:val="bottom"/>
            <w:shd w:val="clear" w:color="auto" w:fill="DCE2EF"/>
          </w:tcPr>
          <w:p>
            <w:pPr>
              <w:jc w:val="right"/>
              <w:ind w:right="126"/>
              <w:spacing w:after="0"/>
              <w:rPr>
                <w:sz w:val="20"/>
                <w:szCs w:val="20"/>
                <w:color w:val="auto"/>
              </w:rPr>
            </w:pPr>
            <w:r>
              <w:rPr>
                <w:rFonts w:ascii="Arial" w:cs="Arial" w:eastAsia="Arial" w:hAnsi="Arial"/>
                <w:sz w:val="11"/>
                <w:szCs w:val="11"/>
                <w:color w:val="auto"/>
              </w:rPr>
              <w:t>(2)</w:t>
            </w:r>
          </w:p>
        </w:tc>
        <w:tc>
          <w:tcPr>
            <w:tcW w:w="14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47.4</w:t>
            </w:r>
          </w:p>
        </w:tc>
        <w:tc>
          <w:tcPr>
            <w:tcW w:w="340" w:type="dxa"/>
            <w:vAlign w:val="bottom"/>
            <w:shd w:val="clear" w:color="auto" w:fill="DCE2EF"/>
          </w:tcPr>
          <w:p>
            <w:pPr>
              <w:spacing w:after="0"/>
              <w:rPr>
                <w:sz w:val="23"/>
                <w:szCs w:val="23"/>
                <w:color w:val="auto"/>
              </w:rPr>
            </w:pPr>
          </w:p>
        </w:tc>
        <w:tc>
          <w:tcPr>
            <w:tcW w:w="14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(40.0)</w:t>
            </w:r>
          </w:p>
        </w:tc>
        <w:tc>
          <w:tcPr>
            <w:tcW w:w="340" w:type="dxa"/>
            <w:vAlign w:val="bottom"/>
            <w:shd w:val="clear" w:color="auto" w:fill="DCE2EF"/>
          </w:tcPr>
          <w:p>
            <w:pPr>
              <w:spacing w:after="0"/>
              <w:rPr>
                <w:sz w:val="23"/>
                <w:szCs w:val="23"/>
                <w:color w:val="auto"/>
              </w:rPr>
            </w:pPr>
          </w:p>
        </w:tc>
        <w:tc>
          <w:tcPr>
            <w:tcW w:w="180" w:type="dxa"/>
            <w:vAlign w:val="bottom"/>
            <w:shd w:val="clear" w:color="auto" w:fill="DCE2EF"/>
          </w:tcPr>
          <w:p>
            <w:pPr>
              <w:spacing w:after="0"/>
              <w:rPr>
                <w:sz w:val="23"/>
                <w:szCs w:val="23"/>
                <w:color w:val="auto"/>
              </w:rPr>
            </w:pPr>
          </w:p>
        </w:tc>
        <w:tc>
          <w:tcPr>
            <w:tcW w:w="13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80" w:hanging="172"/>
        <w:spacing w:after="0"/>
        <w:tabs>
          <w:tab w:leader="none" w:pos="180" w:val="left"/>
        </w:tabs>
        <w:numPr>
          <w:ilvl w:val="0"/>
          <w:numId w:val="49"/>
        </w:numPr>
        <w:rPr>
          <w:rFonts w:ascii="Arial" w:cs="Arial" w:eastAsia="Arial" w:hAnsi="Arial"/>
          <w:sz w:val="21"/>
          <w:szCs w:val="21"/>
          <w:color w:val="auto"/>
          <w:vertAlign w:val="superscript"/>
        </w:rPr>
      </w:pPr>
      <w:r>
        <w:rPr>
          <w:rFonts w:ascii="Arial" w:cs="Arial" w:eastAsia="Arial" w:hAnsi="Arial"/>
          <w:sz w:val="15"/>
          <w:szCs w:val="15"/>
          <w:color w:val="auto"/>
        </w:rPr>
        <w:t>Write-offs are net of recoveries.</w:t>
      </w:r>
    </w:p>
    <w:p>
      <w:pPr>
        <w:spacing w:after="0" w:line="109"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49"/>
        </w:numPr>
        <w:rPr>
          <w:rFonts w:ascii="Arial" w:cs="Arial" w:eastAsia="Arial" w:hAnsi="Arial"/>
          <w:sz w:val="21"/>
          <w:szCs w:val="21"/>
          <w:color w:val="auto"/>
          <w:vertAlign w:val="superscript"/>
        </w:rPr>
      </w:pPr>
      <w:r>
        <w:rPr>
          <w:rFonts w:ascii="Arial" w:cs="Arial" w:eastAsia="Arial" w:hAnsi="Arial"/>
          <w:sz w:val="15"/>
          <w:szCs w:val="15"/>
          <w:color w:val="auto"/>
        </w:rPr>
        <w:t>Includes amounts that were classified as held for sale.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12" w:right="2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53"/>
        </w:trPr>
        <w:tc>
          <w:tcPr>
            <w:tcW w:w="6080" w:type="dxa"/>
            <w:vAlign w:val="bottom"/>
            <w:gridSpan w:val="32"/>
          </w:tcPr>
          <w:p>
            <w:pPr>
              <w:spacing w:after="0"/>
              <w:rPr>
                <w:sz w:val="20"/>
                <w:szCs w:val="20"/>
                <w:color w:val="auto"/>
              </w:rPr>
            </w:pPr>
            <w:r>
              <w:rPr>
                <w:rFonts w:ascii="Arial" w:cs="Arial" w:eastAsia="Arial" w:hAnsi="Arial"/>
                <w:sz w:val="18"/>
                <w:szCs w:val="18"/>
                <w:b w:val="1"/>
                <w:bCs w:val="1"/>
                <w:color w:val="0046AD"/>
              </w:rPr>
              <w:t>EXHIBIT INDEX</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711"/>
        </w:trPr>
        <w:tc>
          <w:tcPr>
            <w:tcW w:w="1160" w:type="dxa"/>
            <w:vAlign w:val="bottom"/>
          </w:tcPr>
          <w:p>
            <w:pPr>
              <w:ind w:left="280"/>
              <w:spacing w:after="0"/>
              <w:rPr>
                <w:sz w:val="20"/>
                <w:szCs w:val="20"/>
                <w:color w:val="auto"/>
              </w:rPr>
            </w:pPr>
            <w:r>
              <w:rPr>
                <w:rFonts w:ascii="Arial" w:cs="Arial" w:eastAsia="Arial" w:hAnsi="Arial"/>
                <w:sz w:val="18"/>
                <w:szCs w:val="18"/>
                <w:b w:val="1"/>
                <w:bCs w:val="1"/>
                <w:color w:val="auto"/>
              </w:rPr>
              <w:t>Exhibit</w:t>
            </w:r>
          </w:p>
        </w:tc>
        <w:tc>
          <w:tcPr>
            <w:tcW w:w="140" w:type="dxa"/>
            <w:vAlign w:val="bottom"/>
          </w:tcPr>
          <w:p>
            <w:pPr>
              <w:spacing w:after="0"/>
              <w:rPr>
                <w:sz w:val="24"/>
                <w:szCs w:val="24"/>
                <w:color w:val="auto"/>
              </w:rPr>
            </w:pPr>
          </w:p>
        </w:tc>
        <w:tc>
          <w:tcPr>
            <w:tcW w:w="4780" w:type="dxa"/>
            <w:vAlign w:val="bottom"/>
            <w:gridSpan w:val="30"/>
          </w:tcPr>
          <w:p>
            <w:pPr>
              <w:ind w:left="1500"/>
              <w:spacing w:after="0"/>
              <w:rPr>
                <w:sz w:val="20"/>
                <w:szCs w:val="20"/>
                <w:color w:val="auto"/>
              </w:rPr>
            </w:pPr>
            <w:r>
              <w:rPr>
                <w:rFonts w:ascii="Arial" w:cs="Arial" w:eastAsia="Arial" w:hAnsi="Arial"/>
                <w:sz w:val="18"/>
                <w:szCs w:val="18"/>
                <w:b w:val="1"/>
                <w:bCs w:val="1"/>
                <w:color w:val="auto"/>
              </w:rPr>
              <w:t>Exhibit Description</w:t>
            </w: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gridSpan w:val="5"/>
          </w:tcPr>
          <w:p>
            <w:pPr>
              <w:ind w:left="720"/>
              <w:spacing w:after="0"/>
              <w:rPr>
                <w:sz w:val="20"/>
                <w:szCs w:val="20"/>
                <w:color w:val="auto"/>
              </w:rPr>
            </w:pPr>
            <w:r>
              <w:rPr>
                <w:rFonts w:ascii="Arial" w:cs="Arial" w:eastAsia="Arial" w:hAnsi="Arial"/>
                <w:sz w:val="18"/>
                <w:szCs w:val="18"/>
                <w:b w:val="1"/>
                <w:bCs w:val="1"/>
                <w:color w:val="auto"/>
              </w:rPr>
              <w:t>Incorporated by Reference</w:t>
            </w:r>
          </w:p>
        </w:tc>
      </w:tr>
      <w:tr>
        <w:trPr>
          <w:trHeight w:val="264"/>
        </w:trPr>
        <w:tc>
          <w:tcPr>
            <w:tcW w:w="116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No.</w:t>
            </w:r>
          </w:p>
        </w:tc>
        <w:tc>
          <w:tcPr>
            <w:tcW w:w="140" w:type="dxa"/>
            <w:vAlign w:val="bottom"/>
            <w:tcBorders>
              <w:bottom w:val="single" w:sz="8" w:color="DCE2EF"/>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DCE2EF"/>
            </w:tcBorders>
          </w:tcPr>
          <w:p>
            <w:pPr>
              <w:spacing w:after="0"/>
              <w:rPr>
                <w:sz w:val="22"/>
                <w:szCs w:val="22"/>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Form</w:t>
            </w:r>
          </w:p>
        </w:tc>
        <w:tc>
          <w:tcPr>
            <w:tcW w:w="120" w:type="dxa"/>
            <w:vAlign w:val="bottom"/>
            <w:tcBorders>
              <w:bottom w:val="single" w:sz="8" w:color="DCE2EF"/>
            </w:tcBorders>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File No.</w:t>
            </w:r>
          </w:p>
        </w:tc>
        <w:tc>
          <w:tcPr>
            <w:tcW w:w="100" w:type="dxa"/>
            <w:vAlign w:val="bottom"/>
            <w:tcBorders>
              <w:bottom w:val="single" w:sz="8" w:color="DCE2EF"/>
            </w:tcBorders>
          </w:tcPr>
          <w:p>
            <w:pPr>
              <w:spacing w:after="0"/>
              <w:rPr>
                <w:sz w:val="22"/>
                <w:szCs w:val="22"/>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Exhibit</w:t>
            </w:r>
          </w:p>
        </w:tc>
        <w:tc>
          <w:tcPr>
            <w:tcW w:w="100" w:type="dxa"/>
            <w:vAlign w:val="bottom"/>
            <w:tcBorders>
              <w:bottom w:val="single" w:sz="8" w:color="DCE2EF"/>
            </w:tcBorders>
          </w:tcPr>
          <w:p>
            <w:pPr>
              <w:spacing w:after="0"/>
              <w:rPr>
                <w:sz w:val="22"/>
                <w:szCs w:val="22"/>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Filing Date</w:t>
            </w:r>
          </w:p>
        </w:tc>
      </w:tr>
      <w:tr>
        <w:trPr>
          <w:trHeight w:val="203"/>
        </w:trPr>
        <w:tc>
          <w:tcPr>
            <w:tcW w:w="1160" w:type="dxa"/>
            <w:vAlign w:val="bottom"/>
            <w:shd w:val="clear" w:color="auto" w:fill="DCE2EF"/>
          </w:tcPr>
          <w:p>
            <w:pPr>
              <w:ind w:left="40"/>
              <w:spacing w:after="0" w:line="202" w:lineRule="exact"/>
              <w:rPr>
                <w:sz w:val="20"/>
                <w:szCs w:val="20"/>
                <w:color w:val="auto"/>
              </w:rPr>
            </w:pPr>
            <w:r>
              <w:rPr>
                <w:rFonts w:ascii="Arial" w:cs="Arial" w:eastAsia="Arial" w:hAnsi="Arial"/>
                <w:sz w:val="18"/>
                <w:szCs w:val="18"/>
                <w:color w:val="auto"/>
              </w:rPr>
              <w:t>1.1</w:t>
            </w:r>
          </w:p>
        </w:tc>
        <w:tc>
          <w:tcPr>
            <w:tcW w:w="140" w:type="dxa"/>
            <w:vAlign w:val="bottom"/>
            <w:tcBorders>
              <w:right w:val="single" w:sz="8" w:color="DCE2EF"/>
            </w:tcBorders>
            <w:shd w:val="clear" w:color="auto" w:fill="DCE2EF"/>
          </w:tcPr>
          <w:p>
            <w:pPr>
              <w:spacing w:after="0"/>
              <w:rPr>
                <w:sz w:val="17"/>
                <w:szCs w:val="17"/>
                <w:color w:val="auto"/>
              </w:rPr>
            </w:pPr>
          </w:p>
        </w:tc>
        <w:tc>
          <w:tcPr>
            <w:tcW w:w="4780" w:type="dxa"/>
            <w:vAlign w:val="bottom"/>
            <w:gridSpan w:val="30"/>
            <w:shd w:val="clear" w:color="auto" w:fill="DCE2EF"/>
          </w:tcPr>
          <w:p>
            <w:pPr>
              <w:spacing w:after="0" w:line="202" w:lineRule="exact"/>
              <w:rPr>
                <w:rFonts w:ascii="Arial" w:cs="Arial" w:eastAsia="Arial" w:hAnsi="Arial"/>
                <w:sz w:val="18"/>
                <w:szCs w:val="18"/>
                <w:color w:val="0000FF"/>
              </w:rPr>
            </w:pPr>
            <w:hyperlink r:id="rId94">
              <w:r>
                <w:rPr>
                  <w:rFonts w:ascii="Arial" w:cs="Arial" w:eastAsia="Arial" w:hAnsi="Arial"/>
                  <w:sz w:val="18"/>
                  <w:szCs w:val="18"/>
                  <w:color w:val="0000FF"/>
                </w:rPr>
                <w:t>Underwriting Agreement, dated March 14, 2018, among</w:t>
              </w:r>
            </w:hyperlink>
          </w:p>
        </w:tc>
        <w:tc>
          <w:tcPr>
            <w:tcW w:w="820" w:type="dxa"/>
            <w:vAlign w:val="bottom"/>
            <w:gridSpan w:val="2"/>
            <w:shd w:val="clear" w:color="auto" w:fill="DCE2EF"/>
          </w:tcPr>
          <w:p>
            <w:pPr>
              <w:jc w:val="center"/>
              <w:ind w:right="140"/>
              <w:spacing w:after="0" w:line="202" w:lineRule="exact"/>
              <w:rPr>
                <w:sz w:val="20"/>
                <w:szCs w:val="20"/>
                <w:color w:val="auto"/>
              </w:rPr>
            </w:pPr>
            <w:r>
              <w:rPr>
                <w:rFonts w:ascii="Arial" w:cs="Arial" w:eastAsia="Arial" w:hAnsi="Arial"/>
                <w:sz w:val="18"/>
                <w:szCs w:val="18"/>
                <w:color w:val="auto"/>
                <w:w w:val="99"/>
              </w:rPr>
              <w:t>8-K</w:t>
            </w:r>
          </w:p>
        </w:tc>
        <w:tc>
          <w:tcPr>
            <w:tcW w:w="1240" w:type="dxa"/>
            <w:vAlign w:val="bottom"/>
            <w:shd w:val="clear" w:color="auto" w:fill="DCE2EF"/>
          </w:tcPr>
          <w:p>
            <w:pPr>
              <w:jc w:val="center"/>
              <w:spacing w:after="0" w:line="202" w:lineRule="exact"/>
              <w:rPr>
                <w:sz w:val="20"/>
                <w:szCs w:val="20"/>
                <w:color w:val="auto"/>
              </w:rPr>
            </w:pPr>
            <w:r>
              <w:rPr>
                <w:rFonts w:ascii="Arial" w:cs="Arial" w:eastAsia="Arial" w:hAnsi="Arial"/>
                <w:sz w:val="18"/>
                <w:szCs w:val="18"/>
                <w:color w:val="auto"/>
                <w:w w:val="99"/>
              </w:rPr>
              <w:t>001-08929</w:t>
            </w:r>
          </w:p>
        </w:tc>
        <w:tc>
          <w:tcPr>
            <w:tcW w:w="100" w:type="dxa"/>
            <w:vAlign w:val="bottom"/>
            <w:shd w:val="clear" w:color="auto" w:fill="DCE2EF"/>
          </w:tcPr>
          <w:p>
            <w:pPr>
              <w:spacing w:after="0"/>
              <w:rPr>
                <w:sz w:val="17"/>
                <w:szCs w:val="17"/>
                <w:color w:val="auto"/>
              </w:rPr>
            </w:pPr>
          </w:p>
        </w:tc>
        <w:tc>
          <w:tcPr>
            <w:tcW w:w="920" w:type="dxa"/>
            <w:vAlign w:val="bottom"/>
            <w:shd w:val="clear" w:color="auto" w:fill="DCE2EF"/>
          </w:tcPr>
          <w:p>
            <w:pPr>
              <w:jc w:val="center"/>
              <w:spacing w:after="0" w:line="202" w:lineRule="exact"/>
              <w:rPr>
                <w:sz w:val="20"/>
                <w:szCs w:val="20"/>
                <w:color w:val="auto"/>
              </w:rPr>
            </w:pPr>
            <w:r>
              <w:rPr>
                <w:rFonts w:ascii="Arial" w:cs="Arial" w:eastAsia="Arial" w:hAnsi="Arial"/>
                <w:sz w:val="18"/>
                <w:szCs w:val="18"/>
                <w:color w:val="auto"/>
                <w:w w:val="95"/>
              </w:rPr>
              <w:t>1.1</w:t>
            </w:r>
          </w:p>
        </w:tc>
        <w:tc>
          <w:tcPr>
            <w:tcW w:w="100" w:type="dxa"/>
            <w:vAlign w:val="bottom"/>
            <w:shd w:val="clear" w:color="auto" w:fill="DCE2EF"/>
          </w:tcPr>
          <w:p>
            <w:pPr>
              <w:spacing w:after="0"/>
              <w:rPr>
                <w:sz w:val="17"/>
                <w:szCs w:val="17"/>
                <w:color w:val="auto"/>
              </w:rPr>
            </w:pPr>
          </w:p>
        </w:tc>
        <w:tc>
          <w:tcPr>
            <w:tcW w:w="2160" w:type="dxa"/>
            <w:vAlign w:val="bottom"/>
            <w:shd w:val="clear" w:color="auto" w:fill="DCE2EF"/>
          </w:tcPr>
          <w:p>
            <w:pPr>
              <w:jc w:val="center"/>
              <w:spacing w:after="0" w:line="202" w:lineRule="exact"/>
              <w:rPr>
                <w:sz w:val="20"/>
                <w:szCs w:val="20"/>
                <w:color w:val="auto"/>
              </w:rPr>
            </w:pPr>
            <w:r>
              <w:rPr>
                <w:rFonts w:ascii="Arial" w:cs="Arial" w:eastAsia="Arial" w:hAnsi="Arial"/>
                <w:sz w:val="18"/>
                <w:szCs w:val="18"/>
                <w:color w:val="auto"/>
                <w:w w:val="99"/>
              </w:rPr>
              <w:t>March 19, 2018</w:t>
            </w:r>
          </w:p>
        </w:tc>
      </w:tr>
      <w:tr>
        <w:trPr>
          <w:trHeight w:val="20"/>
        </w:trPr>
        <w:tc>
          <w:tcPr>
            <w:tcW w:w="1160" w:type="dxa"/>
            <w:vAlign w:val="bottom"/>
            <w:shd w:val="clear" w:color="auto" w:fill="DCE2EF"/>
          </w:tcPr>
          <w:p>
            <w:pPr>
              <w:spacing w:after="0" w:line="20" w:lineRule="exact"/>
              <w:rPr>
                <w:sz w:val="1"/>
                <w:szCs w:val="1"/>
                <w:color w:val="auto"/>
              </w:rPr>
            </w:pPr>
          </w:p>
        </w:tc>
        <w:tc>
          <w:tcPr>
            <w:tcW w:w="140" w:type="dxa"/>
            <w:vAlign w:val="bottom"/>
            <w:tcBorders>
              <w:right w:val="single" w:sz="8" w:color="DCE2EF"/>
            </w:tcBorders>
            <w:shd w:val="clear" w:color="auto" w:fill="DCE2E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DCE2EF"/>
            </w:tcBorders>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100" w:type="dxa"/>
            <w:vAlign w:val="bottom"/>
            <w:gridSpan w:val="2"/>
            <w:shd w:val="clear" w:color="auto" w:fill="DCE2EF"/>
          </w:tcPr>
          <w:p>
            <w:pPr>
              <w:spacing w:after="0" w:line="20" w:lineRule="exact"/>
              <w:rPr>
                <w:sz w:val="1"/>
                <w:szCs w:val="1"/>
                <w:color w:val="auto"/>
              </w:rPr>
            </w:pPr>
          </w:p>
        </w:tc>
        <w:tc>
          <w:tcPr>
            <w:tcW w:w="700" w:type="dxa"/>
            <w:vAlign w:val="bottom"/>
            <w:shd w:val="clear" w:color="auto" w:fill="DCE2EF"/>
          </w:tcPr>
          <w:p>
            <w:pPr>
              <w:spacing w:after="0" w:line="20" w:lineRule="exact"/>
              <w:rPr>
                <w:sz w:val="1"/>
                <w:szCs w:val="1"/>
                <w:color w:val="auto"/>
              </w:rPr>
            </w:pPr>
          </w:p>
        </w:tc>
        <w:tc>
          <w:tcPr>
            <w:tcW w:w="120" w:type="dxa"/>
            <w:vAlign w:val="bottom"/>
            <w:shd w:val="clear" w:color="auto" w:fill="DCE2EF"/>
          </w:tcPr>
          <w:p>
            <w:pPr>
              <w:spacing w:after="0" w:line="20" w:lineRule="exact"/>
              <w:rPr>
                <w:sz w:val="1"/>
                <w:szCs w:val="1"/>
                <w:color w:val="auto"/>
              </w:rPr>
            </w:pPr>
          </w:p>
        </w:tc>
        <w:tc>
          <w:tcPr>
            <w:tcW w:w="1240" w:type="dxa"/>
            <w:vAlign w:val="bottom"/>
            <w:shd w:val="clear" w:color="auto" w:fill="DCE2EF"/>
          </w:tcPr>
          <w:p>
            <w:pPr>
              <w:spacing w:after="0" w:line="20" w:lineRule="exact"/>
              <w:rPr>
                <w:sz w:val="1"/>
                <w:szCs w:val="1"/>
                <w:color w:val="auto"/>
              </w:rPr>
            </w:pPr>
          </w:p>
        </w:tc>
        <w:tc>
          <w:tcPr>
            <w:tcW w:w="100" w:type="dxa"/>
            <w:vAlign w:val="bottom"/>
            <w:shd w:val="clear" w:color="auto" w:fill="DCE2EF"/>
          </w:tcPr>
          <w:p>
            <w:pPr>
              <w:spacing w:after="0" w:line="20" w:lineRule="exact"/>
              <w:rPr>
                <w:sz w:val="1"/>
                <w:szCs w:val="1"/>
                <w:color w:val="auto"/>
              </w:rPr>
            </w:pPr>
          </w:p>
        </w:tc>
        <w:tc>
          <w:tcPr>
            <w:tcW w:w="920" w:type="dxa"/>
            <w:vAlign w:val="bottom"/>
            <w:shd w:val="clear" w:color="auto" w:fill="DCE2EF"/>
          </w:tcPr>
          <w:p>
            <w:pPr>
              <w:spacing w:after="0" w:line="20" w:lineRule="exact"/>
              <w:rPr>
                <w:sz w:val="1"/>
                <w:szCs w:val="1"/>
                <w:color w:val="auto"/>
              </w:rPr>
            </w:pPr>
          </w:p>
        </w:tc>
        <w:tc>
          <w:tcPr>
            <w:tcW w:w="100" w:type="dxa"/>
            <w:vAlign w:val="bottom"/>
            <w:shd w:val="clear" w:color="auto" w:fill="DCE2EF"/>
          </w:tcPr>
          <w:p>
            <w:pPr>
              <w:spacing w:after="0" w:line="20" w:lineRule="exact"/>
              <w:rPr>
                <w:sz w:val="1"/>
                <w:szCs w:val="1"/>
                <w:color w:val="auto"/>
              </w:rPr>
            </w:pPr>
          </w:p>
        </w:tc>
        <w:tc>
          <w:tcPr>
            <w:tcW w:w="2160" w:type="dxa"/>
            <w:vAlign w:val="bottom"/>
            <w:shd w:val="clear" w:color="auto" w:fill="DCE2EF"/>
          </w:tcPr>
          <w:p>
            <w:pPr>
              <w:spacing w:after="0" w:line="20" w:lineRule="exact"/>
              <w:rPr>
                <w:sz w:val="1"/>
                <w:szCs w:val="1"/>
                <w:color w:val="auto"/>
              </w:rPr>
            </w:pPr>
          </w:p>
        </w:tc>
      </w:tr>
      <w:tr>
        <w:trPr>
          <w:trHeight w:val="183"/>
        </w:trPr>
        <w:tc>
          <w:tcPr>
            <w:tcW w:w="1160" w:type="dxa"/>
            <w:vAlign w:val="bottom"/>
            <w:shd w:val="clear" w:color="auto" w:fill="DCE2EF"/>
          </w:tcPr>
          <w:p>
            <w:pPr>
              <w:spacing w:after="0"/>
              <w:rPr>
                <w:sz w:val="15"/>
                <w:szCs w:val="15"/>
                <w:color w:val="auto"/>
              </w:rPr>
            </w:pPr>
          </w:p>
        </w:tc>
        <w:tc>
          <w:tcPr>
            <w:tcW w:w="140" w:type="dxa"/>
            <w:vAlign w:val="bottom"/>
            <w:tcBorders>
              <w:right w:val="single" w:sz="8" w:color="DCE2EF"/>
            </w:tcBorders>
            <w:shd w:val="clear" w:color="auto" w:fill="DCE2EF"/>
          </w:tcPr>
          <w:p>
            <w:pPr>
              <w:spacing w:after="0"/>
              <w:rPr>
                <w:sz w:val="15"/>
                <w:szCs w:val="15"/>
                <w:color w:val="auto"/>
              </w:rPr>
            </w:pPr>
          </w:p>
        </w:tc>
        <w:tc>
          <w:tcPr>
            <w:tcW w:w="4780" w:type="dxa"/>
            <w:vAlign w:val="bottom"/>
            <w:gridSpan w:val="30"/>
            <w:shd w:val="clear" w:color="auto" w:fill="DCE2EF"/>
          </w:tcPr>
          <w:p>
            <w:pPr>
              <w:spacing w:after="0" w:line="182" w:lineRule="exact"/>
              <w:rPr>
                <w:rFonts w:ascii="Arial" w:cs="Arial" w:eastAsia="Arial" w:hAnsi="Arial"/>
                <w:sz w:val="18"/>
                <w:szCs w:val="18"/>
                <w:color w:val="0000FF"/>
              </w:rPr>
            </w:pPr>
            <w:hyperlink r:id="rId94">
              <w:r>
                <w:rPr>
                  <w:rFonts w:ascii="Arial" w:cs="Arial" w:eastAsia="Arial" w:hAnsi="Arial"/>
                  <w:sz w:val="18"/>
                  <w:szCs w:val="18"/>
                  <w:color w:val="0000FF"/>
                </w:rPr>
                <w:t>ABM Industries Incorporated, Goldman Sachs &amp; Co LLC,</w:t>
              </w:r>
            </w:hyperlink>
          </w:p>
        </w:tc>
        <w:tc>
          <w:tcPr>
            <w:tcW w:w="70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124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92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2160" w:type="dxa"/>
            <w:vAlign w:val="bottom"/>
            <w:shd w:val="clear" w:color="auto" w:fill="DCE2EF"/>
          </w:tcPr>
          <w:p>
            <w:pPr>
              <w:spacing w:after="0"/>
              <w:rPr>
                <w:sz w:val="15"/>
                <w:szCs w:val="15"/>
                <w:color w:val="auto"/>
              </w:rPr>
            </w:pPr>
          </w:p>
        </w:tc>
      </w:tr>
      <w:tr>
        <w:trPr>
          <w:trHeight w:val="183"/>
        </w:trPr>
        <w:tc>
          <w:tcPr>
            <w:tcW w:w="1160" w:type="dxa"/>
            <w:vAlign w:val="bottom"/>
            <w:tcBorders>
              <w:top w:val="single" w:sz="8" w:color="DCE2EF"/>
            </w:tcBorders>
            <w:shd w:val="clear" w:color="auto" w:fill="DCE2EF"/>
          </w:tcPr>
          <w:p>
            <w:pPr>
              <w:spacing w:after="0"/>
              <w:rPr>
                <w:sz w:val="15"/>
                <w:szCs w:val="15"/>
                <w:color w:val="auto"/>
              </w:rPr>
            </w:pPr>
          </w:p>
        </w:tc>
        <w:tc>
          <w:tcPr>
            <w:tcW w:w="140" w:type="dxa"/>
            <w:vAlign w:val="bottom"/>
            <w:tcBorders>
              <w:top w:val="single" w:sz="8" w:color="DCE2EF"/>
              <w:right w:val="single" w:sz="8" w:color="DCE2EF"/>
            </w:tcBorders>
            <w:shd w:val="clear" w:color="auto" w:fill="DCE2EF"/>
          </w:tcPr>
          <w:p>
            <w:pPr>
              <w:spacing w:after="0"/>
              <w:rPr>
                <w:sz w:val="15"/>
                <w:szCs w:val="15"/>
                <w:color w:val="auto"/>
              </w:rPr>
            </w:pPr>
          </w:p>
        </w:tc>
        <w:tc>
          <w:tcPr>
            <w:tcW w:w="4500" w:type="dxa"/>
            <w:vAlign w:val="bottom"/>
            <w:tcBorders>
              <w:top w:val="single" w:sz="8" w:color="0000FF"/>
              <w:right w:val="single" w:sz="8" w:color="DCE2EF"/>
            </w:tcBorders>
            <w:gridSpan w:val="22"/>
            <w:shd w:val="clear" w:color="auto" w:fill="DCE2EF"/>
          </w:tcPr>
          <w:p>
            <w:pPr>
              <w:spacing w:after="0" w:line="182" w:lineRule="exact"/>
              <w:rPr>
                <w:rFonts w:ascii="Arial" w:cs="Arial" w:eastAsia="Arial" w:hAnsi="Arial"/>
                <w:sz w:val="18"/>
                <w:szCs w:val="18"/>
                <w:color w:val="0000FF"/>
              </w:rPr>
            </w:pPr>
            <w:hyperlink r:id="rId94">
              <w:r>
                <w:rPr>
                  <w:rFonts w:ascii="Arial" w:cs="Arial" w:eastAsia="Arial" w:hAnsi="Arial"/>
                  <w:sz w:val="18"/>
                  <w:szCs w:val="18"/>
                  <w:color w:val="0000FF"/>
                </w:rPr>
                <w:t>and UBS Securities LLC</w:t>
              </w:r>
            </w:hyperlink>
          </w:p>
        </w:tc>
        <w:tc>
          <w:tcPr>
            <w:tcW w:w="80" w:type="dxa"/>
            <w:vAlign w:val="bottom"/>
            <w:tcBorders>
              <w:top w:val="single" w:sz="8" w:color="DCE2EF"/>
              <w:left w:val="single" w:sz="8" w:color="DCE2EF"/>
            </w:tcBorders>
            <w:shd w:val="clear" w:color="auto" w:fill="DCE2EF"/>
          </w:tcPr>
          <w:p>
            <w:pPr>
              <w:spacing w:after="0"/>
              <w:rPr>
                <w:sz w:val="15"/>
                <w:szCs w:val="15"/>
                <w:color w:val="auto"/>
              </w:rPr>
            </w:pPr>
          </w:p>
        </w:tc>
        <w:tc>
          <w:tcPr>
            <w:tcW w:w="20" w:type="dxa"/>
            <w:vAlign w:val="bottom"/>
            <w:tcBorders>
              <w:top w:val="single" w:sz="8" w:color="DCE2EF"/>
            </w:tcBorders>
            <w:shd w:val="clear" w:color="auto" w:fill="DCE2EF"/>
          </w:tcPr>
          <w:p>
            <w:pPr>
              <w:spacing w:after="0"/>
              <w:rPr>
                <w:sz w:val="15"/>
                <w:szCs w:val="15"/>
                <w:color w:val="auto"/>
              </w:rPr>
            </w:pPr>
          </w:p>
        </w:tc>
        <w:tc>
          <w:tcPr>
            <w:tcW w:w="20" w:type="dxa"/>
            <w:vAlign w:val="bottom"/>
            <w:tcBorders>
              <w:top w:val="single" w:sz="8" w:color="DCE2EF"/>
            </w:tcBorders>
            <w:shd w:val="clear" w:color="auto" w:fill="DCE2EF"/>
          </w:tcPr>
          <w:p>
            <w:pPr>
              <w:spacing w:after="0"/>
              <w:rPr>
                <w:sz w:val="15"/>
                <w:szCs w:val="15"/>
                <w:color w:val="auto"/>
              </w:rPr>
            </w:pPr>
          </w:p>
        </w:tc>
        <w:tc>
          <w:tcPr>
            <w:tcW w:w="20" w:type="dxa"/>
            <w:vAlign w:val="bottom"/>
            <w:tcBorders>
              <w:top w:val="single" w:sz="8" w:color="DCE2EF"/>
            </w:tcBorders>
            <w:shd w:val="clear" w:color="auto" w:fill="DCE2EF"/>
          </w:tcPr>
          <w:p>
            <w:pPr>
              <w:spacing w:after="0"/>
              <w:rPr>
                <w:sz w:val="15"/>
                <w:szCs w:val="15"/>
                <w:color w:val="auto"/>
              </w:rPr>
            </w:pPr>
          </w:p>
        </w:tc>
        <w:tc>
          <w:tcPr>
            <w:tcW w:w="20" w:type="dxa"/>
            <w:vAlign w:val="bottom"/>
            <w:tcBorders>
              <w:top w:val="single" w:sz="8" w:color="DCE2EF"/>
            </w:tcBorders>
            <w:shd w:val="clear" w:color="auto" w:fill="DCE2EF"/>
          </w:tcPr>
          <w:p>
            <w:pPr>
              <w:spacing w:after="0"/>
              <w:rPr>
                <w:sz w:val="15"/>
                <w:szCs w:val="15"/>
                <w:color w:val="auto"/>
              </w:rPr>
            </w:pPr>
          </w:p>
        </w:tc>
        <w:tc>
          <w:tcPr>
            <w:tcW w:w="20" w:type="dxa"/>
            <w:vAlign w:val="bottom"/>
            <w:tcBorders>
              <w:top w:val="single" w:sz="8" w:color="DCE2EF"/>
            </w:tcBorders>
            <w:shd w:val="clear" w:color="auto" w:fill="DCE2EF"/>
          </w:tcPr>
          <w:p>
            <w:pPr>
              <w:spacing w:after="0"/>
              <w:rPr>
                <w:sz w:val="15"/>
                <w:szCs w:val="15"/>
                <w:color w:val="auto"/>
              </w:rPr>
            </w:pPr>
          </w:p>
        </w:tc>
        <w:tc>
          <w:tcPr>
            <w:tcW w:w="100" w:type="dxa"/>
            <w:vAlign w:val="bottom"/>
            <w:tcBorders>
              <w:top w:val="single" w:sz="8" w:color="DCE2EF"/>
            </w:tcBorders>
            <w:gridSpan w:val="2"/>
            <w:shd w:val="clear" w:color="auto" w:fill="DCE2EF"/>
          </w:tcPr>
          <w:p>
            <w:pPr>
              <w:spacing w:after="0"/>
              <w:rPr>
                <w:sz w:val="15"/>
                <w:szCs w:val="15"/>
                <w:color w:val="auto"/>
              </w:rPr>
            </w:pPr>
          </w:p>
        </w:tc>
        <w:tc>
          <w:tcPr>
            <w:tcW w:w="700" w:type="dxa"/>
            <w:vAlign w:val="bottom"/>
            <w:tcBorders>
              <w:top w:val="single" w:sz="8" w:color="DCE2EF"/>
            </w:tcBorders>
            <w:shd w:val="clear" w:color="auto" w:fill="DCE2EF"/>
          </w:tcPr>
          <w:p>
            <w:pPr>
              <w:spacing w:after="0"/>
              <w:rPr>
                <w:sz w:val="15"/>
                <w:szCs w:val="15"/>
                <w:color w:val="auto"/>
              </w:rPr>
            </w:pPr>
          </w:p>
        </w:tc>
        <w:tc>
          <w:tcPr>
            <w:tcW w:w="120" w:type="dxa"/>
            <w:vAlign w:val="bottom"/>
            <w:tcBorders>
              <w:top w:val="single" w:sz="8" w:color="DCE2EF"/>
            </w:tcBorders>
            <w:shd w:val="clear" w:color="auto" w:fill="DCE2EF"/>
          </w:tcPr>
          <w:p>
            <w:pPr>
              <w:spacing w:after="0"/>
              <w:rPr>
                <w:sz w:val="15"/>
                <w:szCs w:val="15"/>
                <w:color w:val="auto"/>
              </w:rPr>
            </w:pPr>
          </w:p>
        </w:tc>
        <w:tc>
          <w:tcPr>
            <w:tcW w:w="1240" w:type="dxa"/>
            <w:vAlign w:val="bottom"/>
            <w:tcBorders>
              <w:top w:val="single" w:sz="8" w:color="DCE2EF"/>
            </w:tcBorders>
            <w:shd w:val="clear" w:color="auto" w:fill="DCE2EF"/>
          </w:tcPr>
          <w:p>
            <w:pPr>
              <w:spacing w:after="0"/>
              <w:rPr>
                <w:sz w:val="15"/>
                <w:szCs w:val="15"/>
                <w:color w:val="auto"/>
              </w:rPr>
            </w:pPr>
          </w:p>
        </w:tc>
        <w:tc>
          <w:tcPr>
            <w:tcW w:w="100" w:type="dxa"/>
            <w:vAlign w:val="bottom"/>
            <w:tcBorders>
              <w:top w:val="single" w:sz="8" w:color="DCE2EF"/>
            </w:tcBorders>
            <w:shd w:val="clear" w:color="auto" w:fill="DCE2EF"/>
          </w:tcPr>
          <w:p>
            <w:pPr>
              <w:spacing w:after="0"/>
              <w:rPr>
                <w:sz w:val="15"/>
                <w:szCs w:val="15"/>
                <w:color w:val="auto"/>
              </w:rPr>
            </w:pPr>
          </w:p>
        </w:tc>
        <w:tc>
          <w:tcPr>
            <w:tcW w:w="920" w:type="dxa"/>
            <w:vAlign w:val="bottom"/>
            <w:tcBorders>
              <w:top w:val="single" w:sz="8" w:color="DCE2EF"/>
            </w:tcBorders>
            <w:shd w:val="clear" w:color="auto" w:fill="DCE2EF"/>
          </w:tcPr>
          <w:p>
            <w:pPr>
              <w:spacing w:after="0"/>
              <w:rPr>
                <w:sz w:val="15"/>
                <w:szCs w:val="15"/>
                <w:color w:val="auto"/>
              </w:rPr>
            </w:pPr>
          </w:p>
        </w:tc>
        <w:tc>
          <w:tcPr>
            <w:tcW w:w="100" w:type="dxa"/>
            <w:vAlign w:val="bottom"/>
            <w:tcBorders>
              <w:top w:val="single" w:sz="8" w:color="DCE2EF"/>
            </w:tcBorders>
            <w:shd w:val="clear" w:color="auto" w:fill="DCE2EF"/>
          </w:tcPr>
          <w:p>
            <w:pPr>
              <w:spacing w:after="0"/>
              <w:rPr>
                <w:sz w:val="15"/>
                <w:szCs w:val="15"/>
                <w:color w:val="auto"/>
              </w:rPr>
            </w:pPr>
          </w:p>
        </w:tc>
        <w:tc>
          <w:tcPr>
            <w:tcW w:w="2160" w:type="dxa"/>
            <w:vAlign w:val="bottom"/>
            <w:tcBorders>
              <w:top w:val="single" w:sz="8" w:color="DCE2EF"/>
            </w:tcBorders>
            <w:shd w:val="clear" w:color="auto" w:fill="DCE2EF"/>
          </w:tcPr>
          <w:p>
            <w:pPr>
              <w:spacing w:after="0"/>
              <w:rPr>
                <w:sz w:val="15"/>
                <w:szCs w:val="15"/>
                <w:color w:val="auto"/>
              </w:rPr>
            </w:pPr>
          </w:p>
        </w:tc>
      </w:tr>
      <w:tr>
        <w:trPr>
          <w:trHeight w:val="34"/>
        </w:trPr>
        <w:tc>
          <w:tcPr>
            <w:tcW w:w="1160" w:type="dxa"/>
            <w:vAlign w:val="bottom"/>
            <w:tcBorders>
              <w:top w:val="single" w:sz="8" w:color="DCE2EF"/>
            </w:tcBorders>
            <w:shd w:val="clear" w:color="auto" w:fill="DCE2EF"/>
          </w:tcPr>
          <w:p>
            <w:pPr>
              <w:spacing w:after="0"/>
              <w:rPr>
                <w:sz w:val="2"/>
                <w:szCs w:val="2"/>
                <w:color w:val="auto"/>
              </w:rPr>
            </w:pPr>
          </w:p>
        </w:tc>
        <w:tc>
          <w:tcPr>
            <w:tcW w:w="140" w:type="dxa"/>
            <w:vAlign w:val="bottom"/>
            <w:tcBorders>
              <w:top w:val="single" w:sz="8" w:color="DCE2EF"/>
              <w:right w:val="single" w:sz="8" w:color="DCE2EF"/>
            </w:tcBorders>
            <w:shd w:val="clear" w:color="auto" w:fill="DCE2EF"/>
          </w:tcPr>
          <w:p>
            <w:pPr>
              <w:spacing w:after="0"/>
              <w:rPr>
                <w:sz w:val="2"/>
                <w:szCs w:val="2"/>
                <w:color w:val="auto"/>
              </w:rPr>
            </w:pPr>
          </w:p>
        </w:tc>
        <w:tc>
          <w:tcPr>
            <w:tcW w:w="1620" w:type="dxa"/>
            <w:vAlign w:val="bottom"/>
            <w:tcBorders>
              <w:top w:val="single" w:sz="8" w:color="0000FF"/>
            </w:tcBorders>
            <w:shd w:val="clear" w:color="auto" w:fill="DCE2EF"/>
          </w:tcPr>
          <w:p>
            <w:pPr>
              <w:spacing w:after="0"/>
              <w:rPr>
                <w:sz w:val="2"/>
                <w:szCs w:val="2"/>
                <w:color w:val="auto"/>
              </w:rPr>
            </w:pPr>
          </w:p>
        </w:tc>
        <w:tc>
          <w:tcPr>
            <w:tcW w:w="240" w:type="dxa"/>
            <w:vAlign w:val="bottom"/>
            <w:tcBorders>
              <w:top w:val="single" w:sz="8" w:color="0000FF"/>
            </w:tcBorders>
            <w:shd w:val="clear" w:color="auto" w:fill="DCE2EF"/>
          </w:tcPr>
          <w:p>
            <w:pPr>
              <w:spacing w:after="0"/>
              <w:rPr>
                <w:sz w:val="2"/>
                <w:szCs w:val="2"/>
                <w:color w:val="auto"/>
              </w:rPr>
            </w:pPr>
          </w:p>
        </w:tc>
        <w:tc>
          <w:tcPr>
            <w:tcW w:w="80" w:type="dxa"/>
            <w:vAlign w:val="bottom"/>
            <w:tcBorders>
              <w:top w:val="single" w:sz="8" w:color="0000FF"/>
            </w:tcBorders>
            <w:shd w:val="clear" w:color="auto" w:fill="DCE2EF"/>
          </w:tcPr>
          <w:p>
            <w:pPr>
              <w:spacing w:after="0"/>
              <w:rPr>
                <w:sz w:val="2"/>
                <w:szCs w:val="2"/>
                <w:color w:val="auto"/>
              </w:rPr>
            </w:pPr>
          </w:p>
        </w:tc>
        <w:tc>
          <w:tcPr>
            <w:tcW w:w="480" w:type="dxa"/>
            <w:vAlign w:val="bottom"/>
            <w:tcBorders>
              <w:top w:val="single" w:sz="8" w:color="DCE2EF"/>
            </w:tcBorders>
            <w:shd w:val="clear" w:color="auto" w:fill="DCE2EF"/>
          </w:tcPr>
          <w:p>
            <w:pPr>
              <w:spacing w:after="0"/>
              <w:rPr>
                <w:sz w:val="2"/>
                <w:szCs w:val="2"/>
                <w:color w:val="auto"/>
              </w:rPr>
            </w:pPr>
          </w:p>
        </w:tc>
        <w:tc>
          <w:tcPr>
            <w:tcW w:w="680" w:type="dxa"/>
            <w:vAlign w:val="bottom"/>
            <w:tcBorders>
              <w:top w:val="single" w:sz="8" w:color="DCE2EF"/>
            </w:tcBorders>
            <w:shd w:val="clear" w:color="auto" w:fill="DCE2EF"/>
          </w:tcPr>
          <w:p>
            <w:pPr>
              <w:spacing w:after="0"/>
              <w:rPr>
                <w:sz w:val="2"/>
                <w:szCs w:val="2"/>
                <w:color w:val="auto"/>
              </w:rPr>
            </w:pPr>
          </w:p>
        </w:tc>
        <w:tc>
          <w:tcPr>
            <w:tcW w:w="100" w:type="dxa"/>
            <w:vAlign w:val="bottom"/>
            <w:tcBorders>
              <w:top w:val="single" w:sz="8" w:color="DCE2EF"/>
            </w:tcBorders>
            <w:shd w:val="clear" w:color="auto" w:fill="DCE2EF"/>
          </w:tcPr>
          <w:p>
            <w:pPr>
              <w:spacing w:after="0"/>
              <w:rPr>
                <w:sz w:val="2"/>
                <w:szCs w:val="2"/>
                <w:color w:val="auto"/>
              </w:rPr>
            </w:pPr>
          </w:p>
        </w:tc>
        <w:tc>
          <w:tcPr>
            <w:tcW w:w="560" w:type="dxa"/>
            <w:vAlign w:val="bottom"/>
            <w:tcBorders>
              <w:top w:val="single" w:sz="8" w:color="DCE2EF"/>
            </w:tcBorders>
            <w:shd w:val="clear" w:color="auto" w:fill="DCE2EF"/>
          </w:tcPr>
          <w:p>
            <w:pPr>
              <w:spacing w:after="0"/>
              <w:rPr>
                <w:sz w:val="2"/>
                <w:szCs w:val="2"/>
                <w:color w:val="auto"/>
              </w:rPr>
            </w:pPr>
          </w:p>
        </w:tc>
        <w:tc>
          <w:tcPr>
            <w:tcW w:w="14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14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right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6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100" w:type="dxa"/>
            <w:vAlign w:val="bottom"/>
            <w:tcBorders>
              <w:top w:val="single" w:sz="8" w:color="DCE2EF"/>
              <w:right w:val="single" w:sz="8" w:color="DCE2EF"/>
            </w:tcBorders>
            <w:shd w:val="clear" w:color="auto" w:fill="DCE2EF"/>
          </w:tcPr>
          <w:p>
            <w:pPr>
              <w:spacing w:after="0"/>
              <w:rPr>
                <w:sz w:val="2"/>
                <w:szCs w:val="2"/>
                <w:color w:val="auto"/>
              </w:rPr>
            </w:pPr>
          </w:p>
        </w:tc>
        <w:tc>
          <w:tcPr>
            <w:tcW w:w="80" w:type="dxa"/>
            <w:vAlign w:val="bottom"/>
            <w:tcBorders>
              <w:top w:val="single" w:sz="8" w:color="DCE2EF"/>
              <w:left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80" w:type="dxa"/>
            <w:vAlign w:val="bottom"/>
            <w:tcBorders>
              <w:top w:val="single" w:sz="8" w:color="DCE2EF"/>
            </w:tcBorders>
            <w:shd w:val="clear" w:color="auto" w:fill="DCE2EF"/>
          </w:tcPr>
          <w:p>
            <w:pPr>
              <w:spacing w:after="0"/>
              <w:rPr>
                <w:sz w:val="2"/>
                <w:szCs w:val="2"/>
                <w:color w:val="auto"/>
              </w:rPr>
            </w:pPr>
          </w:p>
        </w:tc>
        <w:tc>
          <w:tcPr>
            <w:tcW w:w="700" w:type="dxa"/>
            <w:vAlign w:val="bottom"/>
            <w:tcBorders>
              <w:top w:val="single" w:sz="8" w:color="DCE2EF"/>
            </w:tcBorders>
            <w:shd w:val="clear" w:color="auto" w:fill="DCE2EF"/>
          </w:tcPr>
          <w:p>
            <w:pPr>
              <w:spacing w:after="0"/>
              <w:rPr>
                <w:sz w:val="2"/>
                <w:szCs w:val="2"/>
                <w:color w:val="auto"/>
              </w:rPr>
            </w:pPr>
          </w:p>
        </w:tc>
        <w:tc>
          <w:tcPr>
            <w:tcW w:w="120" w:type="dxa"/>
            <w:vAlign w:val="bottom"/>
            <w:tcBorders>
              <w:top w:val="single" w:sz="8" w:color="DCE2EF"/>
            </w:tcBorders>
            <w:shd w:val="clear" w:color="auto" w:fill="DCE2EF"/>
          </w:tcPr>
          <w:p>
            <w:pPr>
              <w:spacing w:after="0"/>
              <w:rPr>
                <w:sz w:val="2"/>
                <w:szCs w:val="2"/>
                <w:color w:val="auto"/>
              </w:rPr>
            </w:pPr>
          </w:p>
        </w:tc>
        <w:tc>
          <w:tcPr>
            <w:tcW w:w="1240" w:type="dxa"/>
            <w:vAlign w:val="bottom"/>
            <w:tcBorders>
              <w:top w:val="single" w:sz="8" w:color="DCE2EF"/>
            </w:tcBorders>
            <w:shd w:val="clear" w:color="auto" w:fill="DCE2EF"/>
          </w:tcPr>
          <w:p>
            <w:pPr>
              <w:spacing w:after="0"/>
              <w:rPr>
                <w:sz w:val="2"/>
                <w:szCs w:val="2"/>
                <w:color w:val="auto"/>
              </w:rPr>
            </w:pPr>
          </w:p>
        </w:tc>
        <w:tc>
          <w:tcPr>
            <w:tcW w:w="100" w:type="dxa"/>
            <w:vAlign w:val="bottom"/>
            <w:tcBorders>
              <w:top w:val="single" w:sz="8" w:color="DCE2EF"/>
            </w:tcBorders>
            <w:shd w:val="clear" w:color="auto" w:fill="DCE2EF"/>
          </w:tcPr>
          <w:p>
            <w:pPr>
              <w:spacing w:after="0"/>
              <w:rPr>
                <w:sz w:val="2"/>
                <w:szCs w:val="2"/>
                <w:color w:val="auto"/>
              </w:rPr>
            </w:pPr>
          </w:p>
        </w:tc>
        <w:tc>
          <w:tcPr>
            <w:tcW w:w="920" w:type="dxa"/>
            <w:vAlign w:val="bottom"/>
            <w:tcBorders>
              <w:top w:val="single" w:sz="8" w:color="DCE2EF"/>
            </w:tcBorders>
            <w:shd w:val="clear" w:color="auto" w:fill="DCE2EF"/>
          </w:tcPr>
          <w:p>
            <w:pPr>
              <w:spacing w:after="0"/>
              <w:rPr>
                <w:sz w:val="2"/>
                <w:szCs w:val="2"/>
                <w:color w:val="auto"/>
              </w:rPr>
            </w:pPr>
          </w:p>
        </w:tc>
        <w:tc>
          <w:tcPr>
            <w:tcW w:w="100" w:type="dxa"/>
            <w:vAlign w:val="bottom"/>
            <w:tcBorders>
              <w:top w:val="single" w:sz="8" w:color="DCE2EF"/>
            </w:tcBorders>
            <w:shd w:val="clear" w:color="auto" w:fill="DCE2EF"/>
          </w:tcPr>
          <w:p>
            <w:pPr>
              <w:spacing w:after="0"/>
              <w:rPr>
                <w:sz w:val="2"/>
                <w:szCs w:val="2"/>
                <w:color w:val="auto"/>
              </w:rPr>
            </w:pPr>
          </w:p>
        </w:tc>
        <w:tc>
          <w:tcPr>
            <w:tcW w:w="2160" w:type="dxa"/>
            <w:vAlign w:val="bottom"/>
            <w:tcBorders>
              <w:top w:val="single" w:sz="8" w:color="DCE2EF"/>
            </w:tcBorders>
            <w:shd w:val="clear" w:color="auto" w:fill="DCE2EF"/>
          </w:tcPr>
          <w:p>
            <w:pPr>
              <w:spacing w:after="0"/>
              <w:rPr>
                <w:sz w:val="2"/>
                <w:szCs w:val="2"/>
                <w:color w:val="auto"/>
              </w:rPr>
            </w:pPr>
          </w:p>
        </w:tc>
      </w:tr>
      <w:tr>
        <w:trPr>
          <w:trHeight w:val="203"/>
        </w:trPr>
        <w:tc>
          <w:tcPr>
            <w:tcW w:w="1160" w:type="dxa"/>
            <w:vAlign w:val="bottom"/>
          </w:tcPr>
          <w:p>
            <w:pPr>
              <w:ind w:left="40"/>
              <w:spacing w:after="0" w:line="202" w:lineRule="exact"/>
              <w:rPr>
                <w:sz w:val="20"/>
                <w:szCs w:val="20"/>
                <w:color w:val="auto"/>
              </w:rPr>
            </w:pPr>
            <w:r>
              <w:rPr>
                <w:rFonts w:ascii="Arial" w:cs="Arial" w:eastAsia="Arial" w:hAnsi="Arial"/>
                <w:sz w:val="18"/>
                <w:szCs w:val="18"/>
                <w:color w:val="auto"/>
              </w:rPr>
              <w:t>2.1</w:t>
            </w:r>
          </w:p>
        </w:tc>
        <w:tc>
          <w:tcPr>
            <w:tcW w:w="140" w:type="dxa"/>
            <w:vAlign w:val="bottom"/>
          </w:tcPr>
          <w:p>
            <w:pPr>
              <w:spacing w:after="0"/>
              <w:rPr>
                <w:sz w:val="17"/>
                <w:szCs w:val="17"/>
                <w:color w:val="auto"/>
              </w:rPr>
            </w:pPr>
          </w:p>
        </w:tc>
        <w:tc>
          <w:tcPr>
            <w:tcW w:w="4780" w:type="dxa"/>
            <w:vAlign w:val="bottom"/>
            <w:gridSpan w:val="30"/>
          </w:tcPr>
          <w:p>
            <w:pPr>
              <w:spacing w:after="0" w:line="202" w:lineRule="exact"/>
              <w:rPr>
                <w:rFonts w:ascii="Arial" w:cs="Arial" w:eastAsia="Arial" w:hAnsi="Arial"/>
                <w:sz w:val="18"/>
                <w:szCs w:val="18"/>
                <w:color w:val="0000FF"/>
              </w:rPr>
            </w:pPr>
            <w:hyperlink r:id="rId95">
              <w:r>
                <w:rPr>
                  <w:rFonts w:ascii="Arial" w:cs="Arial" w:eastAsia="Arial" w:hAnsi="Arial"/>
                  <w:sz w:val="18"/>
                  <w:szCs w:val="18"/>
                  <w:color w:val="0000FF"/>
                </w:rPr>
                <w:t>Agreement and Plan of Merger, dated July 11, 2017,</w:t>
              </w:r>
            </w:hyperlink>
          </w:p>
        </w:tc>
        <w:tc>
          <w:tcPr>
            <w:tcW w:w="820" w:type="dxa"/>
            <w:vAlign w:val="bottom"/>
            <w:gridSpan w:val="2"/>
          </w:tcPr>
          <w:p>
            <w:pPr>
              <w:jc w:val="center"/>
              <w:ind w:right="140"/>
              <w:spacing w:after="0" w:line="202" w:lineRule="exact"/>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001-08929</w:t>
            </w:r>
          </w:p>
        </w:tc>
        <w:tc>
          <w:tcPr>
            <w:tcW w:w="100" w:type="dxa"/>
            <w:vAlign w:val="bottom"/>
          </w:tcPr>
          <w:p>
            <w:pPr>
              <w:spacing w:after="0"/>
              <w:rPr>
                <w:sz w:val="17"/>
                <w:szCs w:val="17"/>
                <w:color w:val="auto"/>
              </w:rPr>
            </w:pP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5"/>
              </w:rPr>
              <w:t>2.1</w:t>
            </w:r>
          </w:p>
        </w:tc>
        <w:tc>
          <w:tcPr>
            <w:tcW w:w="100" w:type="dxa"/>
            <w:vAlign w:val="bottom"/>
          </w:tcPr>
          <w:p>
            <w:pPr>
              <w:spacing w:after="0"/>
              <w:rPr>
                <w:sz w:val="17"/>
                <w:szCs w:val="17"/>
                <w:color w:val="auto"/>
              </w:rPr>
            </w:pPr>
          </w:p>
        </w:tc>
        <w:tc>
          <w:tcPr>
            <w:tcW w:w="2160" w:type="dxa"/>
            <w:vAlign w:val="bottom"/>
          </w:tcPr>
          <w:p>
            <w:pPr>
              <w:jc w:val="center"/>
              <w:spacing w:after="0" w:line="202" w:lineRule="exact"/>
              <w:rPr>
                <w:sz w:val="20"/>
                <w:szCs w:val="20"/>
                <w:color w:val="auto"/>
              </w:rPr>
            </w:pPr>
            <w:r>
              <w:rPr>
                <w:rFonts w:ascii="Arial" w:cs="Arial" w:eastAsia="Arial" w:hAnsi="Arial"/>
                <w:sz w:val="18"/>
                <w:szCs w:val="18"/>
                <w:color w:val="auto"/>
              </w:rPr>
              <w:t>July 14, 2017</w:t>
            </w: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780" w:type="dxa"/>
            <w:vAlign w:val="bottom"/>
            <w:gridSpan w:val="30"/>
          </w:tcPr>
          <w:p>
            <w:pPr>
              <w:spacing w:after="0" w:line="182" w:lineRule="exact"/>
              <w:rPr>
                <w:rFonts w:ascii="Arial" w:cs="Arial" w:eastAsia="Arial" w:hAnsi="Arial"/>
                <w:sz w:val="18"/>
                <w:szCs w:val="18"/>
                <w:color w:val="0000FF"/>
              </w:rPr>
            </w:pPr>
            <w:hyperlink r:id="rId95">
              <w:r>
                <w:rPr>
                  <w:rFonts w:ascii="Arial" w:cs="Arial" w:eastAsia="Arial" w:hAnsi="Arial"/>
                  <w:sz w:val="18"/>
                  <w:szCs w:val="18"/>
                  <w:color w:val="0000FF"/>
                </w:rPr>
                <w:t>among GCA Holding Corp., ABM Industries Incorporated,</w:t>
              </w:r>
            </w:hyperlink>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580" w:type="dxa"/>
            <w:vAlign w:val="bottom"/>
            <w:tcBorders>
              <w:top w:val="single" w:sz="8" w:color="0000FF"/>
            </w:tcBorders>
            <w:gridSpan w:val="23"/>
          </w:tcPr>
          <w:p>
            <w:pPr>
              <w:spacing w:after="0" w:line="182" w:lineRule="exact"/>
              <w:rPr>
                <w:rFonts w:ascii="Arial" w:cs="Arial" w:eastAsia="Arial" w:hAnsi="Arial"/>
                <w:sz w:val="18"/>
                <w:szCs w:val="18"/>
                <w:color w:val="0000FF"/>
              </w:rPr>
            </w:pPr>
            <w:hyperlink r:id="rId95">
              <w:r>
                <w:rPr>
                  <w:rFonts w:ascii="Arial" w:cs="Arial" w:eastAsia="Arial" w:hAnsi="Arial"/>
                  <w:sz w:val="18"/>
                  <w:szCs w:val="18"/>
                  <w:color w:val="0000FF"/>
                </w:rPr>
                <w:t>Grade Sub One, Inc., Grade Sub Two, LLC and Thomas</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500" w:type="dxa"/>
            <w:vAlign w:val="bottom"/>
            <w:tcBorders>
              <w:top w:val="single" w:sz="8" w:color="0000FF"/>
            </w:tcBorders>
            <w:gridSpan w:val="22"/>
          </w:tcPr>
          <w:p>
            <w:pPr>
              <w:spacing w:after="0" w:line="182" w:lineRule="exact"/>
              <w:rPr>
                <w:rFonts w:ascii="Arial" w:cs="Arial" w:eastAsia="Arial" w:hAnsi="Arial"/>
                <w:sz w:val="18"/>
                <w:szCs w:val="18"/>
                <w:color w:val="0000FF"/>
              </w:rPr>
            </w:pPr>
            <w:hyperlink r:id="rId95">
              <w:r>
                <w:rPr>
                  <w:rFonts w:ascii="Arial" w:cs="Arial" w:eastAsia="Arial" w:hAnsi="Arial"/>
                  <w:sz w:val="18"/>
                  <w:szCs w:val="18"/>
                  <w:color w:val="0000FF"/>
                </w:rPr>
                <w:t>H. Lee Equity Fund VII, L.P. and Broad Street Principal</w:t>
              </w:r>
            </w:hyperlink>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380" w:type="dxa"/>
            <w:vAlign w:val="bottom"/>
            <w:tcBorders>
              <w:top w:val="single" w:sz="8" w:color="0000FF"/>
            </w:tcBorders>
            <w:gridSpan w:val="20"/>
          </w:tcPr>
          <w:p>
            <w:pPr>
              <w:spacing w:after="0" w:line="182" w:lineRule="exact"/>
              <w:rPr>
                <w:rFonts w:ascii="Arial" w:cs="Arial" w:eastAsia="Arial" w:hAnsi="Arial"/>
                <w:sz w:val="18"/>
                <w:szCs w:val="18"/>
                <w:color w:val="0000FF"/>
              </w:rPr>
            </w:pPr>
            <w:hyperlink r:id="rId95">
              <w:r>
                <w:rPr>
                  <w:rFonts w:ascii="Arial" w:cs="Arial" w:eastAsia="Arial" w:hAnsi="Arial"/>
                  <w:sz w:val="18"/>
                  <w:szCs w:val="18"/>
                  <w:color w:val="0000FF"/>
                </w:rPr>
                <w:t>Investments Holdings, L.P., acting jointly as the</w:t>
              </w:r>
            </w:hyperlink>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60" w:type="dxa"/>
            <w:vAlign w:val="bottom"/>
            <w:tcBorders>
              <w:top w:val="single" w:sz="8" w:color="0000FF"/>
            </w:tcBorders>
            <w:gridSpan w:val="7"/>
          </w:tcPr>
          <w:p>
            <w:pPr>
              <w:spacing w:after="0" w:line="182" w:lineRule="exact"/>
              <w:rPr>
                <w:rFonts w:ascii="Arial" w:cs="Arial" w:eastAsia="Arial" w:hAnsi="Arial"/>
                <w:sz w:val="18"/>
                <w:szCs w:val="18"/>
                <w:color w:val="0000FF"/>
              </w:rPr>
            </w:pPr>
            <w:hyperlink r:id="rId95">
              <w:r>
                <w:rPr>
                  <w:rFonts w:ascii="Arial" w:cs="Arial" w:eastAsia="Arial" w:hAnsi="Arial"/>
                  <w:sz w:val="18"/>
                  <w:szCs w:val="18"/>
                  <w:color w:val="0000FF"/>
                </w:rPr>
                <w:t>Securityholder Representative</w:t>
              </w:r>
            </w:hyperlink>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34"/>
        </w:trPr>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03"/>
        </w:trPr>
        <w:tc>
          <w:tcPr>
            <w:tcW w:w="1160" w:type="dxa"/>
            <w:vAlign w:val="bottom"/>
            <w:shd w:val="clear" w:color="auto" w:fill="DCE2EF"/>
          </w:tcPr>
          <w:p>
            <w:pPr>
              <w:ind w:left="40"/>
              <w:spacing w:after="0" w:line="202" w:lineRule="exact"/>
              <w:rPr>
                <w:sz w:val="20"/>
                <w:szCs w:val="20"/>
                <w:color w:val="auto"/>
              </w:rPr>
            </w:pPr>
            <w:r>
              <w:rPr>
                <w:rFonts w:ascii="Arial" w:cs="Arial" w:eastAsia="Arial" w:hAnsi="Arial"/>
                <w:sz w:val="18"/>
                <w:szCs w:val="18"/>
                <w:color w:val="auto"/>
              </w:rPr>
              <w:t>3.1</w:t>
            </w:r>
          </w:p>
        </w:tc>
        <w:tc>
          <w:tcPr>
            <w:tcW w:w="140" w:type="dxa"/>
            <w:vAlign w:val="bottom"/>
            <w:tcBorders>
              <w:right w:val="single" w:sz="8" w:color="DCE2EF"/>
            </w:tcBorders>
            <w:shd w:val="clear" w:color="auto" w:fill="DCE2EF"/>
          </w:tcPr>
          <w:p>
            <w:pPr>
              <w:spacing w:after="0"/>
              <w:rPr>
                <w:sz w:val="17"/>
                <w:szCs w:val="17"/>
                <w:color w:val="auto"/>
              </w:rPr>
            </w:pPr>
          </w:p>
        </w:tc>
        <w:tc>
          <w:tcPr>
            <w:tcW w:w="4780" w:type="dxa"/>
            <w:vAlign w:val="bottom"/>
            <w:gridSpan w:val="30"/>
            <w:shd w:val="clear" w:color="auto" w:fill="DCE2EF"/>
          </w:tcPr>
          <w:p>
            <w:pPr>
              <w:spacing w:after="0" w:line="202" w:lineRule="exact"/>
              <w:rPr>
                <w:rFonts w:ascii="Arial" w:cs="Arial" w:eastAsia="Arial" w:hAnsi="Arial"/>
                <w:sz w:val="18"/>
                <w:szCs w:val="18"/>
                <w:color w:val="0000FF"/>
              </w:rPr>
            </w:pPr>
            <w:hyperlink r:id="rId96">
              <w:r>
                <w:rPr>
                  <w:rFonts w:ascii="Arial" w:cs="Arial" w:eastAsia="Arial" w:hAnsi="Arial"/>
                  <w:sz w:val="18"/>
                  <w:szCs w:val="18"/>
                  <w:color w:val="0000FF"/>
                </w:rPr>
                <w:t>Restated Certificate of Incorporation of ABM Industries</w:t>
              </w:r>
            </w:hyperlink>
          </w:p>
        </w:tc>
        <w:tc>
          <w:tcPr>
            <w:tcW w:w="820" w:type="dxa"/>
            <w:vAlign w:val="bottom"/>
            <w:gridSpan w:val="2"/>
            <w:shd w:val="clear" w:color="auto" w:fill="DCE2EF"/>
          </w:tcPr>
          <w:p>
            <w:pPr>
              <w:jc w:val="center"/>
              <w:ind w:right="120"/>
              <w:spacing w:after="0" w:line="202" w:lineRule="exact"/>
              <w:rPr>
                <w:sz w:val="20"/>
                <w:szCs w:val="20"/>
                <w:color w:val="auto"/>
              </w:rPr>
            </w:pPr>
            <w:r>
              <w:rPr>
                <w:rFonts w:ascii="Arial" w:cs="Arial" w:eastAsia="Arial" w:hAnsi="Arial"/>
                <w:sz w:val="18"/>
                <w:szCs w:val="18"/>
                <w:color w:val="auto"/>
                <w:w w:val="99"/>
              </w:rPr>
              <w:t>10-K</w:t>
            </w:r>
          </w:p>
        </w:tc>
        <w:tc>
          <w:tcPr>
            <w:tcW w:w="1240" w:type="dxa"/>
            <w:vAlign w:val="bottom"/>
            <w:shd w:val="clear" w:color="auto" w:fill="DCE2EF"/>
          </w:tcPr>
          <w:p>
            <w:pPr>
              <w:jc w:val="center"/>
              <w:spacing w:after="0" w:line="202" w:lineRule="exact"/>
              <w:rPr>
                <w:sz w:val="20"/>
                <w:szCs w:val="20"/>
                <w:color w:val="auto"/>
              </w:rPr>
            </w:pPr>
            <w:r>
              <w:rPr>
                <w:rFonts w:ascii="Arial" w:cs="Arial" w:eastAsia="Arial" w:hAnsi="Arial"/>
                <w:sz w:val="18"/>
                <w:szCs w:val="18"/>
                <w:color w:val="auto"/>
                <w:w w:val="99"/>
              </w:rPr>
              <w:t>001-08929</w:t>
            </w:r>
          </w:p>
        </w:tc>
        <w:tc>
          <w:tcPr>
            <w:tcW w:w="100" w:type="dxa"/>
            <w:vAlign w:val="bottom"/>
            <w:shd w:val="clear" w:color="auto" w:fill="DCE2EF"/>
          </w:tcPr>
          <w:p>
            <w:pPr>
              <w:spacing w:after="0"/>
              <w:rPr>
                <w:sz w:val="17"/>
                <w:szCs w:val="17"/>
                <w:color w:val="auto"/>
              </w:rPr>
            </w:pPr>
          </w:p>
        </w:tc>
        <w:tc>
          <w:tcPr>
            <w:tcW w:w="920" w:type="dxa"/>
            <w:vAlign w:val="bottom"/>
            <w:shd w:val="clear" w:color="auto" w:fill="DCE2EF"/>
          </w:tcPr>
          <w:p>
            <w:pPr>
              <w:jc w:val="center"/>
              <w:spacing w:after="0" w:line="202" w:lineRule="exact"/>
              <w:rPr>
                <w:sz w:val="20"/>
                <w:szCs w:val="20"/>
                <w:color w:val="auto"/>
              </w:rPr>
            </w:pPr>
            <w:r>
              <w:rPr>
                <w:rFonts w:ascii="Arial" w:cs="Arial" w:eastAsia="Arial" w:hAnsi="Arial"/>
                <w:sz w:val="18"/>
                <w:szCs w:val="18"/>
                <w:color w:val="auto"/>
                <w:w w:val="95"/>
              </w:rPr>
              <w:t>3.1</w:t>
            </w:r>
          </w:p>
        </w:tc>
        <w:tc>
          <w:tcPr>
            <w:tcW w:w="100" w:type="dxa"/>
            <w:vAlign w:val="bottom"/>
            <w:shd w:val="clear" w:color="auto" w:fill="DCE2EF"/>
          </w:tcPr>
          <w:p>
            <w:pPr>
              <w:spacing w:after="0"/>
              <w:rPr>
                <w:sz w:val="17"/>
                <w:szCs w:val="17"/>
                <w:color w:val="auto"/>
              </w:rPr>
            </w:pPr>
          </w:p>
        </w:tc>
        <w:tc>
          <w:tcPr>
            <w:tcW w:w="2160" w:type="dxa"/>
            <w:vAlign w:val="bottom"/>
            <w:shd w:val="clear" w:color="auto" w:fill="DCE2EF"/>
          </w:tcPr>
          <w:p>
            <w:pPr>
              <w:jc w:val="center"/>
              <w:spacing w:after="0" w:line="202" w:lineRule="exact"/>
              <w:rPr>
                <w:sz w:val="20"/>
                <w:szCs w:val="20"/>
                <w:color w:val="auto"/>
              </w:rPr>
            </w:pPr>
            <w:r>
              <w:rPr>
                <w:rFonts w:ascii="Arial" w:cs="Arial" w:eastAsia="Arial" w:hAnsi="Arial"/>
                <w:sz w:val="18"/>
                <w:szCs w:val="18"/>
                <w:color w:val="auto"/>
              </w:rPr>
              <w:t>January 14, 2004</w:t>
            </w:r>
          </w:p>
        </w:tc>
      </w:tr>
      <w:tr>
        <w:trPr>
          <w:trHeight w:val="217"/>
        </w:trPr>
        <w:tc>
          <w:tcPr>
            <w:tcW w:w="1160" w:type="dxa"/>
            <w:vAlign w:val="bottom"/>
            <w:tcBorders>
              <w:top w:val="single" w:sz="8" w:color="DCE2EF"/>
              <w:bottom w:val="single" w:sz="8" w:color="DCE2EF"/>
            </w:tcBorders>
            <w:shd w:val="clear" w:color="auto" w:fill="DCE2EF"/>
          </w:tcPr>
          <w:p>
            <w:pPr>
              <w:spacing w:after="0"/>
              <w:rPr>
                <w:sz w:val="18"/>
                <w:szCs w:val="18"/>
                <w:color w:val="auto"/>
              </w:rPr>
            </w:pPr>
          </w:p>
        </w:tc>
        <w:tc>
          <w:tcPr>
            <w:tcW w:w="140" w:type="dxa"/>
            <w:vAlign w:val="bottom"/>
            <w:tcBorders>
              <w:top w:val="single" w:sz="8" w:color="DCE2EF"/>
              <w:bottom w:val="single" w:sz="8" w:color="DCE2EF"/>
              <w:right w:val="single" w:sz="8" w:color="DCE2EF"/>
            </w:tcBorders>
            <w:shd w:val="clear" w:color="auto" w:fill="DCE2EF"/>
          </w:tcPr>
          <w:p>
            <w:pPr>
              <w:spacing w:after="0"/>
              <w:rPr>
                <w:sz w:val="18"/>
                <w:szCs w:val="18"/>
                <w:color w:val="auto"/>
              </w:rPr>
            </w:pPr>
          </w:p>
        </w:tc>
        <w:tc>
          <w:tcPr>
            <w:tcW w:w="3200" w:type="dxa"/>
            <w:vAlign w:val="bottom"/>
            <w:tcBorders>
              <w:top w:val="single" w:sz="8" w:color="0000FF"/>
              <w:bottom w:val="single" w:sz="8" w:color="0000FF"/>
            </w:tcBorders>
            <w:gridSpan w:val="6"/>
            <w:shd w:val="clear" w:color="auto" w:fill="DCE2EF"/>
          </w:tcPr>
          <w:p>
            <w:pPr>
              <w:spacing w:after="0" w:line="182" w:lineRule="exact"/>
              <w:rPr>
                <w:rFonts w:ascii="Arial" w:cs="Arial" w:eastAsia="Arial" w:hAnsi="Arial"/>
                <w:sz w:val="18"/>
                <w:szCs w:val="18"/>
                <w:color w:val="0000FF"/>
                <w:w w:val="99"/>
              </w:rPr>
            </w:pPr>
            <w:hyperlink r:id="rId96">
              <w:r>
                <w:rPr>
                  <w:rFonts w:ascii="Arial" w:cs="Arial" w:eastAsia="Arial" w:hAnsi="Arial"/>
                  <w:sz w:val="18"/>
                  <w:szCs w:val="18"/>
                  <w:color w:val="0000FF"/>
                  <w:w w:val="99"/>
                </w:rPr>
                <w:t>Incorporated, dated November 25, 2003</w:t>
              </w:r>
            </w:hyperlink>
          </w:p>
        </w:tc>
        <w:tc>
          <w:tcPr>
            <w:tcW w:w="1160" w:type="dxa"/>
            <w:vAlign w:val="bottom"/>
            <w:tcBorders>
              <w:top w:val="single" w:sz="8" w:color="0000FF"/>
              <w:bottom w:val="single" w:sz="8" w:color="DCE2EF"/>
            </w:tcBorders>
            <w:gridSpan w:val="13"/>
            <w:shd w:val="clear" w:color="auto" w:fill="DCE2EF"/>
          </w:tcPr>
          <w:p>
            <w:pPr>
              <w:spacing w:after="0"/>
              <w:rPr>
                <w:sz w:val="18"/>
                <w:szCs w:val="18"/>
                <w:color w:val="auto"/>
              </w:rPr>
            </w:pPr>
          </w:p>
        </w:tc>
        <w:tc>
          <w:tcPr>
            <w:tcW w:w="40" w:type="dxa"/>
            <w:vAlign w:val="bottom"/>
            <w:tcBorders>
              <w:top w:val="single" w:sz="8" w:color="DCE2EF"/>
              <w:bottom w:val="single" w:sz="8" w:color="DCE2EF"/>
            </w:tcBorders>
            <w:gridSpan w:val="2"/>
            <w:shd w:val="clear" w:color="auto" w:fill="DCE2EF"/>
          </w:tcPr>
          <w:p>
            <w:pPr>
              <w:spacing w:after="0"/>
              <w:rPr>
                <w:sz w:val="18"/>
                <w:szCs w:val="18"/>
                <w:color w:val="auto"/>
              </w:rPr>
            </w:pPr>
          </w:p>
        </w:tc>
        <w:tc>
          <w:tcPr>
            <w:tcW w:w="100" w:type="dxa"/>
            <w:vAlign w:val="bottom"/>
            <w:tcBorders>
              <w:top w:val="single" w:sz="8" w:color="DCE2EF"/>
              <w:bottom w:val="single" w:sz="8" w:color="DCE2EF"/>
              <w:right w:val="single" w:sz="8" w:color="DCE2EF"/>
            </w:tcBorders>
            <w:shd w:val="clear" w:color="auto" w:fill="DCE2EF"/>
          </w:tcPr>
          <w:p>
            <w:pPr>
              <w:spacing w:after="0"/>
              <w:rPr>
                <w:sz w:val="18"/>
                <w:szCs w:val="18"/>
                <w:color w:val="auto"/>
              </w:rPr>
            </w:pPr>
          </w:p>
        </w:tc>
        <w:tc>
          <w:tcPr>
            <w:tcW w:w="100" w:type="dxa"/>
            <w:vAlign w:val="bottom"/>
            <w:tcBorders>
              <w:top w:val="single" w:sz="8" w:color="DCE2EF"/>
              <w:left w:val="single" w:sz="8" w:color="DCE2EF"/>
              <w:bottom w:val="single" w:sz="8" w:color="DCE2EF"/>
            </w:tcBorders>
            <w:gridSpan w:val="2"/>
            <w:shd w:val="clear" w:color="auto" w:fill="DCE2EF"/>
          </w:tcPr>
          <w:p>
            <w:pPr>
              <w:spacing w:after="0"/>
              <w:rPr>
                <w:sz w:val="18"/>
                <w:szCs w:val="18"/>
                <w:color w:val="auto"/>
              </w:rPr>
            </w:pPr>
          </w:p>
        </w:tc>
        <w:tc>
          <w:tcPr>
            <w:tcW w:w="20" w:type="dxa"/>
            <w:vAlign w:val="bottom"/>
            <w:tcBorders>
              <w:top w:val="single" w:sz="8" w:color="DCE2EF"/>
              <w:bottom w:val="single" w:sz="8" w:color="DCE2EF"/>
            </w:tcBorders>
            <w:shd w:val="clear" w:color="auto" w:fill="DCE2EF"/>
          </w:tcPr>
          <w:p>
            <w:pPr>
              <w:spacing w:after="0"/>
              <w:rPr>
                <w:sz w:val="18"/>
                <w:szCs w:val="18"/>
                <w:color w:val="auto"/>
              </w:rPr>
            </w:pPr>
          </w:p>
        </w:tc>
        <w:tc>
          <w:tcPr>
            <w:tcW w:w="20" w:type="dxa"/>
            <w:vAlign w:val="bottom"/>
            <w:tcBorders>
              <w:top w:val="single" w:sz="8" w:color="DCE2EF"/>
              <w:bottom w:val="single" w:sz="8" w:color="DCE2EF"/>
            </w:tcBorders>
            <w:shd w:val="clear" w:color="auto" w:fill="DCE2EF"/>
          </w:tcPr>
          <w:p>
            <w:pPr>
              <w:spacing w:after="0"/>
              <w:rPr>
                <w:sz w:val="18"/>
                <w:szCs w:val="18"/>
                <w:color w:val="auto"/>
              </w:rPr>
            </w:pPr>
          </w:p>
        </w:tc>
        <w:tc>
          <w:tcPr>
            <w:tcW w:w="20" w:type="dxa"/>
            <w:vAlign w:val="bottom"/>
            <w:tcBorders>
              <w:top w:val="single" w:sz="8" w:color="DCE2EF"/>
              <w:bottom w:val="single" w:sz="8" w:color="DCE2EF"/>
            </w:tcBorders>
            <w:shd w:val="clear" w:color="auto" w:fill="DCE2EF"/>
          </w:tcPr>
          <w:p>
            <w:pPr>
              <w:spacing w:after="0"/>
              <w:rPr>
                <w:sz w:val="18"/>
                <w:szCs w:val="18"/>
                <w:color w:val="auto"/>
              </w:rPr>
            </w:pPr>
          </w:p>
        </w:tc>
        <w:tc>
          <w:tcPr>
            <w:tcW w:w="20" w:type="dxa"/>
            <w:vAlign w:val="bottom"/>
            <w:tcBorders>
              <w:top w:val="single" w:sz="8" w:color="DCE2EF"/>
              <w:bottom w:val="single" w:sz="8" w:color="DCE2EF"/>
            </w:tcBorders>
            <w:shd w:val="clear" w:color="auto" w:fill="DCE2EF"/>
          </w:tcPr>
          <w:p>
            <w:pPr>
              <w:spacing w:after="0"/>
              <w:rPr>
                <w:sz w:val="18"/>
                <w:szCs w:val="18"/>
                <w:color w:val="auto"/>
              </w:rPr>
            </w:pPr>
          </w:p>
        </w:tc>
        <w:tc>
          <w:tcPr>
            <w:tcW w:w="100" w:type="dxa"/>
            <w:vAlign w:val="bottom"/>
            <w:tcBorders>
              <w:top w:val="single" w:sz="8" w:color="DCE2EF"/>
              <w:bottom w:val="single" w:sz="8" w:color="DCE2EF"/>
            </w:tcBorders>
            <w:gridSpan w:val="2"/>
            <w:shd w:val="clear" w:color="auto" w:fill="DCE2EF"/>
          </w:tcPr>
          <w:p>
            <w:pPr>
              <w:spacing w:after="0"/>
              <w:rPr>
                <w:sz w:val="18"/>
                <w:szCs w:val="18"/>
                <w:color w:val="auto"/>
              </w:rPr>
            </w:pPr>
          </w:p>
        </w:tc>
        <w:tc>
          <w:tcPr>
            <w:tcW w:w="700" w:type="dxa"/>
            <w:vAlign w:val="bottom"/>
            <w:tcBorders>
              <w:top w:val="single" w:sz="8" w:color="DCE2EF"/>
              <w:bottom w:val="single" w:sz="8" w:color="DCE2EF"/>
            </w:tcBorders>
            <w:shd w:val="clear" w:color="auto" w:fill="DCE2EF"/>
          </w:tcPr>
          <w:p>
            <w:pPr>
              <w:spacing w:after="0"/>
              <w:rPr>
                <w:sz w:val="18"/>
                <w:szCs w:val="18"/>
                <w:color w:val="auto"/>
              </w:rPr>
            </w:pPr>
          </w:p>
        </w:tc>
        <w:tc>
          <w:tcPr>
            <w:tcW w:w="120" w:type="dxa"/>
            <w:vAlign w:val="bottom"/>
            <w:tcBorders>
              <w:top w:val="single" w:sz="8" w:color="DCE2EF"/>
              <w:bottom w:val="single" w:sz="8" w:color="DCE2EF"/>
            </w:tcBorders>
            <w:shd w:val="clear" w:color="auto" w:fill="DCE2EF"/>
          </w:tcPr>
          <w:p>
            <w:pPr>
              <w:spacing w:after="0"/>
              <w:rPr>
                <w:sz w:val="18"/>
                <w:szCs w:val="18"/>
                <w:color w:val="auto"/>
              </w:rPr>
            </w:pPr>
          </w:p>
        </w:tc>
        <w:tc>
          <w:tcPr>
            <w:tcW w:w="1240" w:type="dxa"/>
            <w:vAlign w:val="bottom"/>
            <w:tcBorders>
              <w:top w:val="single" w:sz="8" w:color="DCE2EF"/>
              <w:bottom w:val="single" w:sz="8" w:color="DCE2EF"/>
            </w:tcBorders>
            <w:shd w:val="clear" w:color="auto" w:fill="DCE2EF"/>
          </w:tcPr>
          <w:p>
            <w:pPr>
              <w:spacing w:after="0"/>
              <w:rPr>
                <w:sz w:val="18"/>
                <w:szCs w:val="18"/>
                <w:color w:val="auto"/>
              </w:rPr>
            </w:pPr>
          </w:p>
        </w:tc>
        <w:tc>
          <w:tcPr>
            <w:tcW w:w="100" w:type="dxa"/>
            <w:vAlign w:val="bottom"/>
            <w:tcBorders>
              <w:top w:val="single" w:sz="8" w:color="DCE2EF"/>
              <w:bottom w:val="single" w:sz="8" w:color="DCE2EF"/>
            </w:tcBorders>
            <w:shd w:val="clear" w:color="auto" w:fill="DCE2EF"/>
          </w:tcPr>
          <w:p>
            <w:pPr>
              <w:spacing w:after="0"/>
              <w:rPr>
                <w:sz w:val="18"/>
                <w:szCs w:val="18"/>
                <w:color w:val="auto"/>
              </w:rPr>
            </w:pPr>
          </w:p>
        </w:tc>
        <w:tc>
          <w:tcPr>
            <w:tcW w:w="920" w:type="dxa"/>
            <w:vAlign w:val="bottom"/>
            <w:tcBorders>
              <w:top w:val="single" w:sz="8" w:color="DCE2EF"/>
              <w:bottom w:val="single" w:sz="8" w:color="DCE2EF"/>
            </w:tcBorders>
            <w:shd w:val="clear" w:color="auto" w:fill="DCE2EF"/>
          </w:tcPr>
          <w:p>
            <w:pPr>
              <w:spacing w:after="0"/>
              <w:rPr>
                <w:sz w:val="18"/>
                <w:szCs w:val="18"/>
                <w:color w:val="auto"/>
              </w:rPr>
            </w:pPr>
          </w:p>
        </w:tc>
        <w:tc>
          <w:tcPr>
            <w:tcW w:w="100" w:type="dxa"/>
            <w:vAlign w:val="bottom"/>
            <w:tcBorders>
              <w:top w:val="single" w:sz="8" w:color="DCE2EF"/>
              <w:bottom w:val="single" w:sz="8" w:color="DCE2EF"/>
            </w:tcBorders>
            <w:shd w:val="clear" w:color="auto" w:fill="DCE2EF"/>
          </w:tcPr>
          <w:p>
            <w:pPr>
              <w:spacing w:after="0"/>
              <w:rPr>
                <w:sz w:val="18"/>
                <w:szCs w:val="18"/>
                <w:color w:val="auto"/>
              </w:rPr>
            </w:pPr>
          </w:p>
        </w:tc>
        <w:tc>
          <w:tcPr>
            <w:tcW w:w="2160" w:type="dxa"/>
            <w:vAlign w:val="bottom"/>
            <w:tcBorders>
              <w:top w:val="single" w:sz="8" w:color="DCE2EF"/>
              <w:bottom w:val="single" w:sz="8" w:color="DCE2EF"/>
            </w:tcBorders>
            <w:shd w:val="clear" w:color="auto" w:fill="DCE2EF"/>
          </w:tcPr>
          <w:p>
            <w:pPr>
              <w:spacing w:after="0"/>
              <w:rPr>
                <w:sz w:val="18"/>
                <w:szCs w:val="18"/>
                <w:color w:val="auto"/>
              </w:rPr>
            </w:pPr>
          </w:p>
        </w:tc>
      </w:tr>
      <w:tr>
        <w:trPr>
          <w:trHeight w:val="203"/>
        </w:trPr>
        <w:tc>
          <w:tcPr>
            <w:tcW w:w="1160" w:type="dxa"/>
            <w:vAlign w:val="bottom"/>
          </w:tcPr>
          <w:p>
            <w:pPr>
              <w:ind w:left="40"/>
              <w:spacing w:after="0" w:line="202" w:lineRule="exact"/>
              <w:rPr>
                <w:sz w:val="20"/>
                <w:szCs w:val="20"/>
                <w:color w:val="auto"/>
              </w:rPr>
            </w:pPr>
            <w:r>
              <w:rPr>
                <w:rFonts w:ascii="Arial" w:cs="Arial" w:eastAsia="Arial" w:hAnsi="Arial"/>
                <w:sz w:val="18"/>
                <w:szCs w:val="18"/>
                <w:color w:val="auto"/>
              </w:rPr>
              <w:t>3.2</w:t>
            </w:r>
          </w:p>
        </w:tc>
        <w:tc>
          <w:tcPr>
            <w:tcW w:w="140" w:type="dxa"/>
            <w:vAlign w:val="bottom"/>
          </w:tcPr>
          <w:p>
            <w:pPr>
              <w:spacing w:after="0"/>
              <w:rPr>
                <w:sz w:val="17"/>
                <w:szCs w:val="17"/>
                <w:color w:val="auto"/>
              </w:rPr>
            </w:pPr>
          </w:p>
        </w:tc>
        <w:tc>
          <w:tcPr>
            <w:tcW w:w="4780" w:type="dxa"/>
            <w:vAlign w:val="bottom"/>
            <w:gridSpan w:val="30"/>
          </w:tcPr>
          <w:p>
            <w:pPr>
              <w:spacing w:after="0" w:line="202" w:lineRule="exact"/>
              <w:rPr>
                <w:rFonts w:ascii="Arial" w:cs="Arial" w:eastAsia="Arial" w:hAnsi="Arial"/>
                <w:sz w:val="18"/>
                <w:szCs w:val="18"/>
                <w:color w:val="0000FF"/>
              </w:rPr>
            </w:pPr>
            <w:hyperlink r:id="rId97">
              <w:r>
                <w:rPr>
                  <w:rFonts w:ascii="Arial" w:cs="Arial" w:eastAsia="Arial" w:hAnsi="Arial"/>
                  <w:sz w:val="18"/>
                  <w:szCs w:val="18"/>
                  <w:color w:val="0000FF"/>
                </w:rPr>
                <w:t>Amended and Restated Bylaws of ABM Industries</w:t>
              </w:r>
            </w:hyperlink>
          </w:p>
        </w:tc>
        <w:tc>
          <w:tcPr>
            <w:tcW w:w="820" w:type="dxa"/>
            <w:vAlign w:val="bottom"/>
            <w:gridSpan w:val="2"/>
          </w:tcPr>
          <w:p>
            <w:pPr>
              <w:jc w:val="center"/>
              <w:ind w:right="140"/>
              <w:spacing w:after="0" w:line="202" w:lineRule="exact"/>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001-08929</w:t>
            </w:r>
          </w:p>
        </w:tc>
        <w:tc>
          <w:tcPr>
            <w:tcW w:w="100" w:type="dxa"/>
            <w:vAlign w:val="bottom"/>
          </w:tcPr>
          <w:p>
            <w:pPr>
              <w:spacing w:after="0"/>
              <w:rPr>
                <w:sz w:val="17"/>
                <w:szCs w:val="17"/>
                <w:color w:val="auto"/>
              </w:rPr>
            </w:pP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17"/>
                <w:szCs w:val="17"/>
                <w:color w:val="auto"/>
              </w:rPr>
            </w:pPr>
          </w:p>
        </w:tc>
        <w:tc>
          <w:tcPr>
            <w:tcW w:w="2160" w:type="dxa"/>
            <w:vAlign w:val="bottom"/>
          </w:tcPr>
          <w:p>
            <w:pPr>
              <w:jc w:val="center"/>
              <w:spacing w:after="0" w:line="202" w:lineRule="exact"/>
              <w:rPr>
                <w:sz w:val="20"/>
                <w:szCs w:val="20"/>
                <w:color w:val="auto"/>
              </w:rPr>
            </w:pPr>
            <w:r>
              <w:rPr>
                <w:rFonts w:ascii="Arial" w:cs="Arial" w:eastAsia="Arial" w:hAnsi="Arial"/>
                <w:sz w:val="18"/>
                <w:szCs w:val="18"/>
                <w:color w:val="auto"/>
              </w:rPr>
              <w:t>December 10, 2018</w:t>
            </w:r>
          </w:p>
        </w:tc>
      </w:tr>
      <w:tr>
        <w:trPr>
          <w:trHeight w:val="183"/>
        </w:trPr>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980" w:type="dxa"/>
            <w:vAlign w:val="bottom"/>
            <w:tcBorders>
              <w:top w:val="single" w:sz="8" w:color="0000FF"/>
            </w:tcBorders>
            <w:gridSpan w:val="11"/>
          </w:tcPr>
          <w:p>
            <w:pPr>
              <w:spacing w:after="0" w:line="182" w:lineRule="exact"/>
              <w:rPr>
                <w:rFonts w:ascii="Arial" w:cs="Arial" w:eastAsia="Arial" w:hAnsi="Arial"/>
                <w:sz w:val="18"/>
                <w:szCs w:val="18"/>
                <w:color w:val="0000FF"/>
              </w:rPr>
            </w:pPr>
            <w:hyperlink r:id="rId97">
              <w:r>
                <w:rPr>
                  <w:rFonts w:ascii="Arial" w:cs="Arial" w:eastAsia="Arial" w:hAnsi="Arial"/>
                  <w:sz w:val="18"/>
                  <w:szCs w:val="18"/>
                  <w:color w:val="0000FF"/>
                </w:rPr>
                <w:t>Incorporated, dated December 4, 2018</w:t>
              </w:r>
            </w:hyperlink>
          </w:p>
        </w:tc>
        <w:tc>
          <w:tcPr>
            <w:tcW w:w="4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34"/>
        </w:trPr>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03"/>
        </w:trPr>
        <w:tc>
          <w:tcPr>
            <w:tcW w:w="1160" w:type="dxa"/>
            <w:vAlign w:val="bottom"/>
            <w:shd w:val="clear" w:color="auto" w:fill="DCE2EF"/>
          </w:tcPr>
          <w:p>
            <w:pPr>
              <w:ind w:left="40"/>
              <w:spacing w:after="0" w:line="202" w:lineRule="exact"/>
              <w:rPr>
                <w:sz w:val="20"/>
                <w:szCs w:val="20"/>
                <w:color w:val="auto"/>
              </w:rPr>
            </w:pPr>
            <w:r>
              <w:rPr>
                <w:rFonts w:ascii="Arial" w:cs="Arial" w:eastAsia="Arial" w:hAnsi="Arial"/>
                <w:sz w:val="18"/>
                <w:szCs w:val="18"/>
                <w:color w:val="auto"/>
              </w:rPr>
              <w:t>10.1</w:t>
            </w:r>
          </w:p>
        </w:tc>
        <w:tc>
          <w:tcPr>
            <w:tcW w:w="140" w:type="dxa"/>
            <w:vAlign w:val="bottom"/>
            <w:tcBorders>
              <w:right w:val="single" w:sz="8" w:color="DCE2EF"/>
            </w:tcBorders>
            <w:shd w:val="clear" w:color="auto" w:fill="DCE2EF"/>
          </w:tcPr>
          <w:p>
            <w:pPr>
              <w:spacing w:after="0"/>
              <w:rPr>
                <w:sz w:val="17"/>
                <w:szCs w:val="17"/>
                <w:color w:val="auto"/>
              </w:rPr>
            </w:pPr>
          </w:p>
        </w:tc>
        <w:tc>
          <w:tcPr>
            <w:tcW w:w="4780" w:type="dxa"/>
            <w:vAlign w:val="bottom"/>
            <w:gridSpan w:val="30"/>
            <w:shd w:val="clear" w:color="auto" w:fill="DCE2EF"/>
          </w:tcPr>
          <w:p>
            <w:pPr>
              <w:spacing w:after="0" w:line="202" w:lineRule="exact"/>
              <w:rPr>
                <w:rFonts w:ascii="Arial" w:cs="Arial" w:eastAsia="Arial" w:hAnsi="Arial"/>
                <w:sz w:val="18"/>
                <w:szCs w:val="18"/>
                <w:color w:val="0000FF"/>
              </w:rPr>
            </w:pPr>
            <w:hyperlink r:id="rId98">
              <w:r>
                <w:rPr>
                  <w:rFonts w:ascii="Arial" w:cs="Arial" w:eastAsia="Arial" w:hAnsi="Arial"/>
                  <w:sz w:val="18"/>
                  <w:szCs w:val="18"/>
                  <w:color w:val="0000FF"/>
                </w:rPr>
                <w:t>Shareholders’ Agreement, dated September 1, 2017,</w:t>
              </w:r>
            </w:hyperlink>
          </w:p>
        </w:tc>
        <w:tc>
          <w:tcPr>
            <w:tcW w:w="820" w:type="dxa"/>
            <w:vAlign w:val="bottom"/>
            <w:gridSpan w:val="2"/>
            <w:shd w:val="clear" w:color="auto" w:fill="DCE2EF"/>
          </w:tcPr>
          <w:p>
            <w:pPr>
              <w:jc w:val="center"/>
              <w:ind w:right="140"/>
              <w:spacing w:after="0" w:line="202" w:lineRule="exact"/>
              <w:rPr>
                <w:sz w:val="20"/>
                <w:szCs w:val="20"/>
                <w:color w:val="auto"/>
              </w:rPr>
            </w:pPr>
            <w:r>
              <w:rPr>
                <w:rFonts w:ascii="Arial" w:cs="Arial" w:eastAsia="Arial" w:hAnsi="Arial"/>
                <w:sz w:val="18"/>
                <w:szCs w:val="18"/>
                <w:color w:val="auto"/>
                <w:w w:val="99"/>
              </w:rPr>
              <w:t>8-K</w:t>
            </w:r>
          </w:p>
        </w:tc>
        <w:tc>
          <w:tcPr>
            <w:tcW w:w="1240" w:type="dxa"/>
            <w:vAlign w:val="bottom"/>
            <w:shd w:val="clear" w:color="auto" w:fill="DCE2EF"/>
          </w:tcPr>
          <w:p>
            <w:pPr>
              <w:jc w:val="center"/>
              <w:spacing w:after="0" w:line="202" w:lineRule="exact"/>
              <w:rPr>
                <w:sz w:val="20"/>
                <w:szCs w:val="20"/>
                <w:color w:val="auto"/>
              </w:rPr>
            </w:pPr>
            <w:r>
              <w:rPr>
                <w:rFonts w:ascii="Arial" w:cs="Arial" w:eastAsia="Arial" w:hAnsi="Arial"/>
                <w:sz w:val="18"/>
                <w:szCs w:val="18"/>
                <w:color w:val="auto"/>
                <w:w w:val="99"/>
              </w:rPr>
              <w:t>001-08929</w:t>
            </w:r>
          </w:p>
        </w:tc>
        <w:tc>
          <w:tcPr>
            <w:tcW w:w="100" w:type="dxa"/>
            <w:vAlign w:val="bottom"/>
            <w:shd w:val="clear" w:color="auto" w:fill="DCE2EF"/>
          </w:tcPr>
          <w:p>
            <w:pPr>
              <w:spacing w:after="0"/>
              <w:rPr>
                <w:sz w:val="17"/>
                <w:szCs w:val="17"/>
                <w:color w:val="auto"/>
              </w:rPr>
            </w:pPr>
          </w:p>
        </w:tc>
        <w:tc>
          <w:tcPr>
            <w:tcW w:w="920" w:type="dxa"/>
            <w:vAlign w:val="bottom"/>
            <w:shd w:val="clear" w:color="auto" w:fill="DCE2EF"/>
          </w:tcPr>
          <w:p>
            <w:pPr>
              <w:jc w:val="center"/>
              <w:spacing w:after="0" w:line="202" w:lineRule="exact"/>
              <w:rPr>
                <w:sz w:val="20"/>
                <w:szCs w:val="20"/>
                <w:color w:val="auto"/>
              </w:rPr>
            </w:pPr>
            <w:r>
              <w:rPr>
                <w:rFonts w:ascii="Arial" w:cs="Arial" w:eastAsia="Arial" w:hAnsi="Arial"/>
                <w:sz w:val="18"/>
                <w:szCs w:val="18"/>
                <w:color w:val="auto"/>
              </w:rPr>
              <w:t>10.1</w:t>
            </w:r>
          </w:p>
        </w:tc>
        <w:tc>
          <w:tcPr>
            <w:tcW w:w="100" w:type="dxa"/>
            <w:vAlign w:val="bottom"/>
            <w:shd w:val="clear" w:color="auto" w:fill="DCE2EF"/>
          </w:tcPr>
          <w:p>
            <w:pPr>
              <w:spacing w:after="0"/>
              <w:rPr>
                <w:sz w:val="17"/>
                <w:szCs w:val="17"/>
                <w:color w:val="auto"/>
              </w:rPr>
            </w:pPr>
          </w:p>
        </w:tc>
        <w:tc>
          <w:tcPr>
            <w:tcW w:w="2160" w:type="dxa"/>
            <w:vAlign w:val="bottom"/>
            <w:shd w:val="clear" w:color="auto" w:fill="DCE2EF"/>
          </w:tcPr>
          <w:p>
            <w:pPr>
              <w:jc w:val="center"/>
              <w:spacing w:after="0" w:line="202" w:lineRule="exact"/>
              <w:rPr>
                <w:sz w:val="20"/>
                <w:szCs w:val="20"/>
                <w:color w:val="auto"/>
              </w:rPr>
            </w:pPr>
            <w:r>
              <w:rPr>
                <w:rFonts w:ascii="Arial" w:cs="Arial" w:eastAsia="Arial" w:hAnsi="Arial"/>
                <w:sz w:val="18"/>
                <w:szCs w:val="18"/>
                <w:color w:val="auto"/>
                <w:w w:val="99"/>
              </w:rPr>
              <w:t>September 8, 2017</w:t>
            </w:r>
          </w:p>
        </w:tc>
      </w:tr>
      <w:tr>
        <w:trPr>
          <w:trHeight w:val="183"/>
        </w:trPr>
        <w:tc>
          <w:tcPr>
            <w:tcW w:w="1160" w:type="dxa"/>
            <w:vAlign w:val="bottom"/>
            <w:tcBorders>
              <w:top w:val="single" w:sz="8" w:color="DCE2EF"/>
              <w:bottom w:val="single" w:sz="8" w:color="DCE2EF"/>
            </w:tcBorders>
            <w:shd w:val="clear" w:color="auto" w:fill="DCE2EF"/>
          </w:tcPr>
          <w:p>
            <w:pPr>
              <w:spacing w:after="0"/>
              <w:rPr>
                <w:sz w:val="15"/>
                <w:szCs w:val="15"/>
                <w:color w:val="auto"/>
              </w:rPr>
            </w:pPr>
          </w:p>
        </w:tc>
        <w:tc>
          <w:tcPr>
            <w:tcW w:w="140" w:type="dxa"/>
            <w:vAlign w:val="bottom"/>
            <w:tcBorders>
              <w:top w:val="single" w:sz="8" w:color="DCE2EF"/>
              <w:bottom w:val="single" w:sz="8" w:color="DCE2EF"/>
              <w:right w:val="single" w:sz="8" w:color="DCE2EF"/>
            </w:tcBorders>
            <w:shd w:val="clear" w:color="auto" w:fill="DCE2EF"/>
          </w:tcPr>
          <w:p>
            <w:pPr>
              <w:spacing w:after="0"/>
              <w:rPr>
                <w:sz w:val="15"/>
                <w:szCs w:val="15"/>
                <w:color w:val="auto"/>
              </w:rPr>
            </w:pPr>
          </w:p>
        </w:tc>
        <w:tc>
          <w:tcPr>
            <w:tcW w:w="4220" w:type="dxa"/>
            <w:vAlign w:val="bottom"/>
            <w:tcBorders>
              <w:top w:val="single" w:sz="8" w:color="0000FF"/>
              <w:bottom w:val="single" w:sz="8" w:color="0000FF"/>
            </w:tcBorders>
            <w:gridSpan w:val="15"/>
            <w:shd w:val="clear" w:color="auto" w:fill="DCE2EF"/>
          </w:tcPr>
          <w:p>
            <w:pPr>
              <w:spacing w:after="0" w:line="182" w:lineRule="exact"/>
              <w:rPr>
                <w:rFonts w:ascii="Arial" w:cs="Arial" w:eastAsia="Arial" w:hAnsi="Arial"/>
                <w:sz w:val="18"/>
                <w:szCs w:val="18"/>
                <w:color w:val="0000FF"/>
                <w:w w:val="99"/>
              </w:rPr>
            </w:pPr>
            <w:hyperlink r:id="rId98">
              <w:r>
                <w:rPr>
                  <w:rFonts w:ascii="Arial" w:cs="Arial" w:eastAsia="Arial" w:hAnsi="Arial"/>
                  <w:sz w:val="18"/>
                  <w:szCs w:val="18"/>
                  <w:color w:val="0000FF"/>
                  <w:w w:val="99"/>
                </w:rPr>
                <w:t>among ABM Industries Incorporated, Thomas H. Lee</w:t>
              </w:r>
            </w:hyperlink>
          </w:p>
        </w:tc>
        <w:tc>
          <w:tcPr>
            <w:tcW w:w="20" w:type="dxa"/>
            <w:vAlign w:val="bottom"/>
            <w:tcBorders>
              <w:top w:val="single" w:sz="8" w:color="0000F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40" w:type="dxa"/>
            <w:vAlign w:val="bottom"/>
            <w:tcBorders>
              <w:top w:val="single" w:sz="8" w:color="DCE2EF"/>
              <w:bottom w:val="single" w:sz="8" w:color="DCE2EF"/>
            </w:tcBorders>
            <w:shd w:val="clear" w:color="auto" w:fill="DCE2EF"/>
          </w:tcPr>
          <w:p>
            <w:pPr>
              <w:spacing w:after="0"/>
              <w:rPr>
                <w:sz w:val="15"/>
                <w:szCs w:val="15"/>
                <w:color w:val="auto"/>
              </w:rPr>
            </w:pPr>
          </w:p>
        </w:tc>
        <w:tc>
          <w:tcPr>
            <w:tcW w:w="100" w:type="dxa"/>
            <w:vAlign w:val="bottom"/>
            <w:tcBorders>
              <w:top w:val="single" w:sz="8" w:color="DCE2EF"/>
              <w:bottom w:val="single" w:sz="8" w:color="DCE2EF"/>
            </w:tcBorders>
            <w:gridSpan w:val="3"/>
            <w:shd w:val="clear" w:color="auto" w:fill="DCE2EF"/>
          </w:tcPr>
          <w:p>
            <w:pPr>
              <w:spacing w:after="0"/>
              <w:rPr>
                <w:sz w:val="15"/>
                <w:szCs w:val="15"/>
                <w:color w:val="auto"/>
              </w:rPr>
            </w:pPr>
          </w:p>
        </w:tc>
        <w:tc>
          <w:tcPr>
            <w:tcW w:w="100" w:type="dxa"/>
            <w:vAlign w:val="bottom"/>
            <w:tcBorders>
              <w:top w:val="single" w:sz="8" w:color="DCE2EF"/>
              <w:bottom w:val="single" w:sz="8" w:color="DCE2EF"/>
              <w:right w:val="single" w:sz="8" w:color="DCE2EF"/>
            </w:tcBorders>
            <w:shd w:val="clear" w:color="auto" w:fill="DCE2EF"/>
          </w:tcPr>
          <w:p>
            <w:pPr>
              <w:spacing w:after="0"/>
              <w:rPr>
                <w:sz w:val="15"/>
                <w:szCs w:val="15"/>
                <w:color w:val="auto"/>
              </w:rPr>
            </w:pPr>
          </w:p>
        </w:tc>
        <w:tc>
          <w:tcPr>
            <w:tcW w:w="100" w:type="dxa"/>
            <w:vAlign w:val="bottom"/>
            <w:tcBorders>
              <w:top w:val="single" w:sz="8" w:color="DCE2EF"/>
              <w:left w:val="single" w:sz="8" w:color="DCE2EF"/>
              <w:bottom w:val="single" w:sz="8" w:color="DCE2EF"/>
            </w:tcBorders>
            <w:gridSpan w:val="2"/>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100" w:type="dxa"/>
            <w:vAlign w:val="bottom"/>
            <w:tcBorders>
              <w:top w:val="single" w:sz="8" w:color="DCE2EF"/>
              <w:bottom w:val="single" w:sz="8" w:color="DCE2EF"/>
            </w:tcBorders>
            <w:gridSpan w:val="2"/>
            <w:shd w:val="clear" w:color="auto" w:fill="DCE2EF"/>
          </w:tcPr>
          <w:p>
            <w:pPr>
              <w:spacing w:after="0"/>
              <w:rPr>
                <w:sz w:val="15"/>
                <w:szCs w:val="15"/>
                <w:color w:val="auto"/>
              </w:rPr>
            </w:pPr>
          </w:p>
        </w:tc>
        <w:tc>
          <w:tcPr>
            <w:tcW w:w="700" w:type="dxa"/>
            <w:vAlign w:val="bottom"/>
            <w:tcBorders>
              <w:top w:val="single" w:sz="8" w:color="DCE2EF"/>
              <w:bottom w:val="single" w:sz="8" w:color="DCE2EF"/>
            </w:tcBorders>
            <w:shd w:val="clear" w:color="auto" w:fill="DCE2EF"/>
          </w:tcPr>
          <w:p>
            <w:pPr>
              <w:spacing w:after="0"/>
              <w:rPr>
                <w:sz w:val="15"/>
                <w:szCs w:val="15"/>
                <w:color w:val="auto"/>
              </w:rPr>
            </w:pPr>
          </w:p>
        </w:tc>
        <w:tc>
          <w:tcPr>
            <w:tcW w:w="120" w:type="dxa"/>
            <w:vAlign w:val="bottom"/>
            <w:tcBorders>
              <w:top w:val="single" w:sz="8" w:color="DCE2EF"/>
              <w:bottom w:val="single" w:sz="8" w:color="DCE2EF"/>
            </w:tcBorders>
            <w:shd w:val="clear" w:color="auto" w:fill="DCE2EF"/>
          </w:tcPr>
          <w:p>
            <w:pPr>
              <w:spacing w:after="0"/>
              <w:rPr>
                <w:sz w:val="15"/>
                <w:szCs w:val="15"/>
                <w:color w:val="auto"/>
              </w:rPr>
            </w:pPr>
          </w:p>
        </w:tc>
        <w:tc>
          <w:tcPr>
            <w:tcW w:w="1240" w:type="dxa"/>
            <w:vAlign w:val="bottom"/>
            <w:tcBorders>
              <w:top w:val="single" w:sz="8" w:color="DCE2EF"/>
              <w:bottom w:val="single" w:sz="8" w:color="DCE2EF"/>
            </w:tcBorders>
            <w:shd w:val="clear" w:color="auto" w:fill="DCE2EF"/>
          </w:tcPr>
          <w:p>
            <w:pPr>
              <w:spacing w:after="0"/>
              <w:rPr>
                <w:sz w:val="15"/>
                <w:szCs w:val="15"/>
                <w:color w:val="auto"/>
              </w:rPr>
            </w:pPr>
          </w:p>
        </w:tc>
        <w:tc>
          <w:tcPr>
            <w:tcW w:w="100" w:type="dxa"/>
            <w:vAlign w:val="bottom"/>
            <w:tcBorders>
              <w:top w:val="single" w:sz="8" w:color="DCE2EF"/>
              <w:bottom w:val="single" w:sz="8" w:color="DCE2EF"/>
            </w:tcBorders>
            <w:shd w:val="clear" w:color="auto" w:fill="DCE2EF"/>
          </w:tcPr>
          <w:p>
            <w:pPr>
              <w:spacing w:after="0"/>
              <w:rPr>
                <w:sz w:val="15"/>
                <w:szCs w:val="15"/>
                <w:color w:val="auto"/>
              </w:rPr>
            </w:pPr>
          </w:p>
        </w:tc>
        <w:tc>
          <w:tcPr>
            <w:tcW w:w="920" w:type="dxa"/>
            <w:vAlign w:val="bottom"/>
            <w:tcBorders>
              <w:top w:val="single" w:sz="8" w:color="DCE2EF"/>
              <w:bottom w:val="single" w:sz="8" w:color="DCE2EF"/>
            </w:tcBorders>
            <w:shd w:val="clear" w:color="auto" w:fill="DCE2EF"/>
          </w:tcPr>
          <w:p>
            <w:pPr>
              <w:spacing w:after="0"/>
              <w:rPr>
                <w:sz w:val="15"/>
                <w:szCs w:val="15"/>
                <w:color w:val="auto"/>
              </w:rPr>
            </w:pPr>
          </w:p>
        </w:tc>
        <w:tc>
          <w:tcPr>
            <w:tcW w:w="100" w:type="dxa"/>
            <w:vAlign w:val="bottom"/>
            <w:tcBorders>
              <w:top w:val="single" w:sz="8" w:color="DCE2EF"/>
              <w:bottom w:val="single" w:sz="8" w:color="DCE2EF"/>
            </w:tcBorders>
            <w:shd w:val="clear" w:color="auto" w:fill="DCE2EF"/>
          </w:tcPr>
          <w:p>
            <w:pPr>
              <w:spacing w:after="0"/>
              <w:rPr>
                <w:sz w:val="15"/>
                <w:szCs w:val="15"/>
                <w:color w:val="auto"/>
              </w:rPr>
            </w:pPr>
          </w:p>
        </w:tc>
        <w:tc>
          <w:tcPr>
            <w:tcW w:w="2160" w:type="dxa"/>
            <w:vAlign w:val="bottom"/>
            <w:tcBorders>
              <w:top w:val="single" w:sz="8" w:color="DCE2EF"/>
              <w:bottom w:val="single" w:sz="8" w:color="DCE2EF"/>
            </w:tcBorders>
            <w:shd w:val="clear" w:color="auto" w:fill="DCE2EF"/>
          </w:tcPr>
          <w:p>
            <w:pPr>
              <w:spacing w:after="0"/>
              <w:rPr>
                <w:sz w:val="15"/>
                <w:szCs w:val="15"/>
                <w:color w:val="auto"/>
              </w:rPr>
            </w:pPr>
          </w:p>
        </w:tc>
      </w:tr>
      <w:tr>
        <w:trPr>
          <w:trHeight w:val="183"/>
        </w:trPr>
        <w:tc>
          <w:tcPr>
            <w:tcW w:w="1160" w:type="dxa"/>
            <w:vAlign w:val="bottom"/>
            <w:shd w:val="clear" w:color="auto" w:fill="DCE2EF"/>
          </w:tcPr>
          <w:p>
            <w:pPr>
              <w:spacing w:after="0"/>
              <w:rPr>
                <w:sz w:val="15"/>
                <w:szCs w:val="15"/>
                <w:color w:val="auto"/>
              </w:rPr>
            </w:pPr>
          </w:p>
        </w:tc>
        <w:tc>
          <w:tcPr>
            <w:tcW w:w="140" w:type="dxa"/>
            <w:vAlign w:val="bottom"/>
            <w:tcBorders>
              <w:right w:val="single" w:sz="8" w:color="DCE2EF"/>
            </w:tcBorders>
            <w:shd w:val="clear" w:color="auto" w:fill="DCE2EF"/>
          </w:tcPr>
          <w:p>
            <w:pPr>
              <w:spacing w:after="0"/>
              <w:rPr>
                <w:sz w:val="15"/>
                <w:szCs w:val="15"/>
                <w:color w:val="auto"/>
              </w:rPr>
            </w:pPr>
          </w:p>
        </w:tc>
        <w:tc>
          <w:tcPr>
            <w:tcW w:w="4780" w:type="dxa"/>
            <w:vAlign w:val="bottom"/>
            <w:gridSpan w:val="30"/>
            <w:shd w:val="clear" w:color="auto" w:fill="DCE2EF"/>
          </w:tcPr>
          <w:p>
            <w:pPr>
              <w:spacing w:after="0" w:line="182" w:lineRule="exact"/>
              <w:rPr>
                <w:rFonts w:ascii="Arial" w:cs="Arial" w:eastAsia="Arial" w:hAnsi="Arial"/>
                <w:sz w:val="18"/>
                <w:szCs w:val="18"/>
                <w:color w:val="0000FF"/>
              </w:rPr>
            </w:pPr>
            <w:hyperlink r:id="rId98">
              <w:r>
                <w:rPr>
                  <w:rFonts w:ascii="Arial" w:cs="Arial" w:eastAsia="Arial" w:hAnsi="Arial"/>
                  <w:sz w:val="18"/>
                  <w:szCs w:val="18"/>
                  <w:color w:val="0000FF"/>
                </w:rPr>
                <w:t>Equity Fund VII, L.P., Thomas H. Lee Parallel Fund VII,</w:t>
              </w:r>
            </w:hyperlink>
          </w:p>
        </w:tc>
        <w:tc>
          <w:tcPr>
            <w:tcW w:w="70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124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92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2160" w:type="dxa"/>
            <w:vAlign w:val="bottom"/>
            <w:shd w:val="clear" w:color="auto" w:fill="DCE2EF"/>
          </w:tcPr>
          <w:p>
            <w:pPr>
              <w:spacing w:after="0"/>
              <w:rPr>
                <w:sz w:val="15"/>
                <w:szCs w:val="15"/>
                <w:color w:val="auto"/>
              </w:rPr>
            </w:pPr>
          </w:p>
        </w:tc>
      </w:tr>
      <w:tr>
        <w:trPr>
          <w:trHeight w:val="183"/>
        </w:trPr>
        <w:tc>
          <w:tcPr>
            <w:tcW w:w="1160" w:type="dxa"/>
            <w:vAlign w:val="bottom"/>
            <w:tcBorders>
              <w:top w:val="single" w:sz="8" w:color="DCE2EF"/>
              <w:bottom w:val="single" w:sz="8" w:color="DCE2EF"/>
            </w:tcBorders>
            <w:shd w:val="clear" w:color="auto" w:fill="DCE2EF"/>
          </w:tcPr>
          <w:p>
            <w:pPr>
              <w:spacing w:after="0"/>
              <w:rPr>
                <w:sz w:val="15"/>
                <w:szCs w:val="15"/>
                <w:color w:val="auto"/>
              </w:rPr>
            </w:pPr>
          </w:p>
        </w:tc>
        <w:tc>
          <w:tcPr>
            <w:tcW w:w="140" w:type="dxa"/>
            <w:vAlign w:val="bottom"/>
            <w:tcBorders>
              <w:top w:val="single" w:sz="8" w:color="DCE2EF"/>
              <w:bottom w:val="single" w:sz="8" w:color="DCE2EF"/>
              <w:right w:val="single" w:sz="8" w:color="DCE2EF"/>
            </w:tcBorders>
            <w:shd w:val="clear" w:color="auto" w:fill="DCE2EF"/>
          </w:tcPr>
          <w:p>
            <w:pPr>
              <w:spacing w:after="0"/>
              <w:rPr>
                <w:sz w:val="15"/>
                <w:szCs w:val="15"/>
                <w:color w:val="auto"/>
              </w:rPr>
            </w:pPr>
          </w:p>
        </w:tc>
        <w:tc>
          <w:tcPr>
            <w:tcW w:w="4300" w:type="dxa"/>
            <w:vAlign w:val="bottom"/>
            <w:tcBorders>
              <w:top w:val="single" w:sz="8" w:color="0000FF"/>
              <w:bottom w:val="single" w:sz="8" w:color="0000FF"/>
            </w:tcBorders>
            <w:gridSpan w:val="18"/>
            <w:shd w:val="clear" w:color="auto" w:fill="DCE2EF"/>
          </w:tcPr>
          <w:p>
            <w:pPr>
              <w:spacing w:after="0" w:line="182" w:lineRule="exact"/>
              <w:rPr>
                <w:rFonts w:ascii="Arial" w:cs="Arial" w:eastAsia="Arial" w:hAnsi="Arial"/>
                <w:sz w:val="18"/>
                <w:szCs w:val="18"/>
                <w:color w:val="0000FF"/>
                <w:w w:val="98"/>
              </w:rPr>
            </w:pPr>
            <w:hyperlink r:id="rId98">
              <w:r>
                <w:rPr>
                  <w:rFonts w:ascii="Arial" w:cs="Arial" w:eastAsia="Arial" w:hAnsi="Arial"/>
                  <w:sz w:val="18"/>
                  <w:szCs w:val="18"/>
                  <w:color w:val="0000FF"/>
                  <w:w w:val="98"/>
                </w:rPr>
                <w:t>L.P., Thomas H. Lee Parallel (Cayman) Fund VII, L.P.,</w:t>
              </w:r>
            </w:hyperlink>
          </w:p>
        </w:tc>
        <w:tc>
          <w:tcPr>
            <w:tcW w:w="100" w:type="dxa"/>
            <w:vAlign w:val="bottom"/>
            <w:tcBorders>
              <w:top w:val="single" w:sz="8" w:color="0000FF"/>
              <w:bottom w:val="single" w:sz="8" w:color="DCE2EF"/>
            </w:tcBorders>
            <w:gridSpan w:val="3"/>
            <w:shd w:val="clear" w:color="auto" w:fill="DCE2EF"/>
          </w:tcPr>
          <w:p>
            <w:pPr>
              <w:spacing w:after="0"/>
              <w:rPr>
                <w:sz w:val="15"/>
                <w:szCs w:val="15"/>
                <w:color w:val="auto"/>
              </w:rPr>
            </w:pPr>
          </w:p>
        </w:tc>
        <w:tc>
          <w:tcPr>
            <w:tcW w:w="100" w:type="dxa"/>
            <w:vAlign w:val="bottom"/>
            <w:tcBorders>
              <w:top w:val="single" w:sz="8" w:color="DCE2EF"/>
              <w:bottom w:val="single" w:sz="8" w:color="DCE2EF"/>
              <w:right w:val="single" w:sz="8" w:color="DCE2EF"/>
            </w:tcBorders>
            <w:shd w:val="clear" w:color="auto" w:fill="DCE2EF"/>
          </w:tcPr>
          <w:p>
            <w:pPr>
              <w:spacing w:after="0"/>
              <w:rPr>
                <w:sz w:val="15"/>
                <w:szCs w:val="15"/>
                <w:color w:val="auto"/>
              </w:rPr>
            </w:pPr>
          </w:p>
        </w:tc>
        <w:tc>
          <w:tcPr>
            <w:tcW w:w="100" w:type="dxa"/>
            <w:vAlign w:val="bottom"/>
            <w:tcBorders>
              <w:top w:val="single" w:sz="8" w:color="DCE2EF"/>
              <w:left w:val="single" w:sz="8" w:color="DCE2EF"/>
              <w:bottom w:val="single" w:sz="8" w:color="DCE2EF"/>
            </w:tcBorders>
            <w:gridSpan w:val="2"/>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100" w:type="dxa"/>
            <w:vAlign w:val="bottom"/>
            <w:tcBorders>
              <w:top w:val="single" w:sz="8" w:color="DCE2EF"/>
              <w:bottom w:val="single" w:sz="8" w:color="DCE2EF"/>
            </w:tcBorders>
            <w:gridSpan w:val="2"/>
            <w:shd w:val="clear" w:color="auto" w:fill="DCE2EF"/>
          </w:tcPr>
          <w:p>
            <w:pPr>
              <w:spacing w:after="0"/>
              <w:rPr>
                <w:sz w:val="15"/>
                <w:szCs w:val="15"/>
                <w:color w:val="auto"/>
              </w:rPr>
            </w:pPr>
          </w:p>
        </w:tc>
        <w:tc>
          <w:tcPr>
            <w:tcW w:w="700" w:type="dxa"/>
            <w:vAlign w:val="bottom"/>
            <w:tcBorders>
              <w:top w:val="single" w:sz="8" w:color="DCE2EF"/>
              <w:bottom w:val="single" w:sz="8" w:color="DCE2EF"/>
            </w:tcBorders>
            <w:shd w:val="clear" w:color="auto" w:fill="DCE2EF"/>
          </w:tcPr>
          <w:p>
            <w:pPr>
              <w:spacing w:after="0"/>
              <w:rPr>
                <w:sz w:val="15"/>
                <w:szCs w:val="15"/>
                <w:color w:val="auto"/>
              </w:rPr>
            </w:pPr>
          </w:p>
        </w:tc>
        <w:tc>
          <w:tcPr>
            <w:tcW w:w="120" w:type="dxa"/>
            <w:vAlign w:val="bottom"/>
            <w:tcBorders>
              <w:top w:val="single" w:sz="8" w:color="DCE2EF"/>
              <w:bottom w:val="single" w:sz="8" w:color="DCE2EF"/>
            </w:tcBorders>
            <w:shd w:val="clear" w:color="auto" w:fill="DCE2EF"/>
          </w:tcPr>
          <w:p>
            <w:pPr>
              <w:spacing w:after="0"/>
              <w:rPr>
                <w:sz w:val="15"/>
                <w:szCs w:val="15"/>
                <w:color w:val="auto"/>
              </w:rPr>
            </w:pPr>
          </w:p>
        </w:tc>
        <w:tc>
          <w:tcPr>
            <w:tcW w:w="1240" w:type="dxa"/>
            <w:vAlign w:val="bottom"/>
            <w:tcBorders>
              <w:top w:val="single" w:sz="8" w:color="DCE2EF"/>
              <w:bottom w:val="single" w:sz="8" w:color="DCE2EF"/>
            </w:tcBorders>
            <w:shd w:val="clear" w:color="auto" w:fill="DCE2EF"/>
          </w:tcPr>
          <w:p>
            <w:pPr>
              <w:spacing w:after="0"/>
              <w:rPr>
                <w:sz w:val="15"/>
                <w:szCs w:val="15"/>
                <w:color w:val="auto"/>
              </w:rPr>
            </w:pPr>
          </w:p>
        </w:tc>
        <w:tc>
          <w:tcPr>
            <w:tcW w:w="100" w:type="dxa"/>
            <w:vAlign w:val="bottom"/>
            <w:tcBorders>
              <w:top w:val="single" w:sz="8" w:color="DCE2EF"/>
              <w:bottom w:val="single" w:sz="8" w:color="DCE2EF"/>
            </w:tcBorders>
            <w:shd w:val="clear" w:color="auto" w:fill="DCE2EF"/>
          </w:tcPr>
          <w:p>
            <w:pPr>
              <w:spacing w:after="0"/>
              <w:rPr>
                <w:sz w:val="15"/>
                <w:szCs w:val="15"/>
                <w:color w:val="auto"/>
              </w:rPr>
            </w:pPr>
          </w:p>
        </w:tc>
        <w:tc>
          <w:tcPr>
            <w:tcW w:w="920" w:type="dxa"/>
            <w:vAlign w:val="bottom"/>
            <w:tcBorders>
              <w:top w:val="single" w:sz="8" w:color="DCE2EF"/>
              <w:bottom w:val="single" w:sz="8" w:color="DCE2EF"/>
            </w:tcBorders>
            <w:shd w:val="clear" w:color="auto" w:fill="DCE2EF"/>
          </w:tcPr>
          <w:p>
            <w:pPr>
              <w:spacing w:after="0"/>
              <w:rPr>
                <w:sz w:val="15"/>
                <w:szCs w:val="15"/>
                <w:color w:val="auto"/>
              </w:rPr>
            </w:pPr>
          </w:p>
        </w:tc>
        <w:tc>
          <w:tcPr>
            <w:tcW w:w="100" w:type="dxa"/>
            <w:vAlign w:val="bottom"/>
            <w:tcBorders>
              <w:top w:val="single" w:sz="8" w:color="DCE2EF"/>
              <w:bottom w:val="single" w:sz="8" w:color="DCE2EF"/>
            </w:tcBorders>
            <w:shd w:val="clear" w:color="auto" w:fill="DCE2EF"/>
          </w:tcPr>
          <w:p>
            <w:pPr>
              <w:spacing w:after="0"/>
              <w:rPr>
                <w:sz w:val="15"/>
                <w:szCs w:val="15"/>
                <w:color w:val="auto"/>
              </w:rPr>
            </w:pPr>
          </w:p>
        </w:tc>
        <w:tc>
          <w:tcPr>
            <w:tcW w:w="2160" w:type="dxa"/>
            <w:vAlign w:val="bottom"/>
            <w:tcBorders>
              <w:top w:val="single" w:sz="8" w:color="DCE2EF"/>
              <w:bottom w:val="single" w:sz="8" w:color="DCE2EF"/>
            </w:tcBorders>
            <w:shd w:val="clear" w:color="auto" w:fill="DCE2EF"/>
          </w:tcPr>
          <w:p>
            <w:pPr>
              <w:spacing w:after="0"/>
              <w:rPr>
                <w:sz w:val="15"/>
                <w:szCs w:val="15"/>
                <w:color w:val="auto"/>
              </w:rPr>
            </w:pPr>
          </w:p>
        </w:tc>
      </w:tr>
      <w:tr>
        <w:trPr>
          <w:trHeight w:val="183"/>
        </w:trPr>
        <w:tc>
          <w:tcPr>
            <w:tcW w:w="1160" w:type="dxa"/>
            <w:vAlign w:val="bottom"/>
            <w:shd w:val="clear" w:color="auto" w:fill="DCE2EF"/>
          </w:tcPr>
          <w:p>
            <w:pPr>
              <w:spacing w:after="0"/>
              <w:rPr>
                <w:sz w:val="15"/>
                <w:szCs w:val="15"/>
                <w:color w:val="auto"/>
              </w:rPr>
            </w:pPr>
          </w:p>
        </w:tc>
        <w:tc>
          <w:tcPr>
            <w:tcW w:w="140" w:type="dxa"/>
            <w:vAlign w:val="bottom"/>
            <w:tcBorders>
              <w:right w:val="single" w:sz="8" w:color="DCE2EF"/>
            </w:tcBorders>
            <w:shd w:val="clear" w:color="auto" w:fill="DCE2EF"/>
          </w:tcPr>
          <w:p>
            <w:pPr>
              <w:spacing w:after="0"/>
              <w:rPr>
                <w:sz w:val="15"/>
                <w:szCs w:val="15"/>
                <w:color w:val="auto"/>
              </w:rPr>
            </w:pPr>
          </w:p>
        </w:tc>
        <w:tc>
          <w:tcPr>
            <w:tcW w:w="4780" w:type="dxa"/>
            <w:vAlign w:val="bottom"/>
            <w:gridSpan w:val="30"/>
            <w:shd w:val="clear" w:color="auto" w:fill="DCE2EF"/>
          </w:tcPr>
          <w:p>
            <w:pPr>
              <w:spacing w:after="0" w:line="182" w:lineRule="exact"/>
              <w:rPr>
                <w:rFonts w:ascii="Arial" w:cs="Arial" w:eastAsia="Arial" w:hAnsi="Arial"/>
                <w:sz w:val="18"/>
                <w:szCs w:val="18"/>
                <w:color w:val="0000FF"/>
              </w:rPr>
            </w:pPr>
            <w:hyperlink r:id="rId98">
              <w:r>
                <w:rPr>
                  <w:rFonts w:ascii="Arial" w:cs="Arial" w:eastAsia="Arial" w:hAnsi="Arial"/>
                  <w:sz w:val="18"/>
                  <w:szCs w:val="18"/>
                  <w:color w:val="0000FF"/>
                </w:rPr>
                <w:t>THL Executive Fund VII, L.P., THL Fund VII Coinvestment</w:t>
              </w:r>
            </w:hyperlink>
          </w:p>
        </w:tc>
        <w:tc>
          <w:tcPr>
            <w:tcW w:w="70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124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92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2160" w:type="dxa"/>
            <w:vAlign w:val="bottom"/>
            <w:shd w:val="clear" w:color="auto" w:fill="DCE2EF"/>
          </w:tcPr>
          <w:p>
            <w:pPr>
              <w:spacing w:after="0"/>
              <w:rPr>
                <w:sz w:val="15"/>
                <w:szCs w:val="15"/>
                <w:color w:val="auto"/>
              </w:rPr>
            </w:pPr>
          </w:p>
        </w:tc>
      </w:tr>
      <w:tr>
        <w:trPr>
          <w:trHeight w:val="183"/>
        </w:trPr>
        <w:tc>
          <w:tcPr>
            <w:tcW w:w="1160" w:type="dxa"/>
            <w:vAlign w:val="bottom"/>
            <w:tcBorders>
              <w:top w:val="single" w:sz="8" w:color="DCE2EF"/>
              <w:bottom w:val="single" w:sz="8" w:color="DCE2EF"/>
            </w:tcBorders>
            <w:shd w:val="clear" w:color="auto" w:fill="DCE2EF"/>
          </w:tcPr>
          <w:p>
            <w:pPr>
              <w:spacing w:after="0"/>
              <w:rPr>
                <w:sz w:val="15"/>
                <w:szCs w:val="15"/>
                <w:color w:val="auto"/>
              </w:rPr>
            </w:pPr>
          </w:p>
        </w:tc>
        <w:tc>
          <w:tcPr>
            <w:tcW w:w="140" w:type="dxa"/>
            <w:vAlign w:val="bottom"/>
            <w:tcBorders>
              <w:top w:val="single" w:sz="8" w:color="DCE2EF"/>
              <w:bottom w:val="single" w:sz="8" w:color="DCE2EF"/>
              <w:right w:val="single" w:sz="8" w:color="DCE2EF"/>
            </w:tcBorders>
            <w:shd w:val="clear" w:color="auto" w:fill="DCE2EF"/>
          </w:tcPr>
          <w:p>
            <w:pPr>
              <w:spacing w:after="0"/>
              <w:rPr>
                <w:sz w:val="15"/>
                <w:szCs w:val="15"/>
                <w:color w:val="auto"/>
              </w:rPr>
            </w:pPr>
          </w:p>
        </w:tc>
        <w:tc>
          <w:tcPr>
            <w:tcW w:w="3960" w:type="dxa"/>
            <w:vAlign w:val="bottom"/>
            <w:tcBorders>
              <w:top w:val="single" w:sz="8" w:color="0000FF"/>
              <w:bottom w:val="single" w:sz="8" w:color="0000FF"/>
            </w:tcBorders>
            <w:gridSpan w:val="10"/>
            <w:shd w:val="clear" w:color="auto" w:fill="DCE2EF"/>
          </w:tcPr>
          <w:p>
            <w:pPr>
              <w:spacing w:after="0" w:line="182" w:lineRule="exact"/>
              <w:rPr>
                <w:rFonts w:ascii="Arial" w:cs="Arial" w:eastAsia="Arial" w:hAnsi="Arial"/>
                <w:sz w:val="18"/>
                <w:szCs w:val="18"/>
                <w:color w:val="0000FF"/>
                <w:w w:val="99"/>
              </w:rPr>
            </w:pPr>
            <w:hyperlink r:id="rId98">
              <w:r>
                <w:rPr>
                  <w:rFonts w:ascii="Arial" w:cs="Arial" w:eastAsia="Arial" w:hAnsi="Arial"/>
                  <w:sz w:val="18"/>
                  <w:szCs w:val="18"/>
                  <w:color w:val="0000FF"/>
                  <w:w w:val="99"/>
                </w:rPr>
                <w:t>Partners, L.P., Broad Street Principal Investments</w:t>
              </w:r>
            </w:hyperlink>
          </w:p>
        </w:tc>
        <w:tc>
          <w:tcPr>
            <w:tcW w:w="680" w:type="dxa"/>
            <w:vAlign w:val="bottom"/>
            <w:tcBorders>
              <w:top w:val="single" w:sz="8" w:color="0000FF"/>
              <w:bottom w:val="single" w:sz="8" w:color="DCE2EF"/>
            </w:tcBorders>
            <w:gridSpan w:val="16"/>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100" w:type="dxa"/>
            <w:vAlign w:val="bottom"/>
            <w:tcBorders>
              <w:top w:val="single" w:sz="8" w:color="DCE2EF"/>
              <w:bottom w:val="single" w:sz="8" w:color="DCE2EF"/>
            </w:tcBorders>
            <w:gridSpan w:val="2"/>
            <w:shd w:val="clear" w:color="auto" w:fill="DCE2EF"/>
          </w:tcPr>
          <w:p>
            <w:pPr>
              <w:spacing w:after="0"/>
              <w:rPr>
                <w:sz w:val="15"/>
                <w:szCs w:val="15"/>
                <w:color w:val="auto"/>
              </w:rPr>
            </w:pPr>
          </w:p>
        </w:tc>
        <w:tc>
          <w:tcPr>
            <w:tcW w:w="700" w:type="dxa"/>
            <w:vAlign w:val="bottom"/>
            <w:tcBorders>
              <w:top w:val="single" w:sz="8" w:color="DCE2EF"/>
              <w:bottom w:val="single" w:sz="8" w:color="DCE2EF"/>
            </w:tcBorders>
            <w:shd w:val="clear" w:color="auto" w:fill="DCE2EF"/>
          </w:tcPr>
          <w:p>
            <w:pPr>
              <w:spacing w:after="0"/>
              <w:rPr>
                <w:sz w:val="15"/>
                <w:szCs w:val="15"/>
                <w:color w:val="auto"/>
              </w:rPr>
            </w:pPr>
          </w:p>
        </w:tc>
        <w:tc>
          <w:tcPr>
            <w:tcW w:w="120" w:type="dxa"/>
            <w:vAlign w:val="bottom"/>
            <w:tcBorders>
              <w:top w:val="single" w:sz="8" w:color="DCE2EF"/>
              <w:bottom w:val="single" w:sz="8" w:color="DCE2EF"/>
            </w:tcBorders>
            <w:shd w:val="clear" w:color="auto" w:fill="DCE2EF"/>
          </w:tcPr>
          <w:p>
            <w:pPr>
              <w:spacing w:after="0"/>
              <w:rPr>
                <w:sz w:val="15"/>
                <w:szCs w:val="15"/>
                <w:color w:val="auto"/>
              </w:rPr>
            </w:pPr>
          </w:p>
        </w:tc>
        <w:tc>
          <w:tcPr>
            <w:tcW w:w="1240" w:type="dxa"/>
            <w:vAlign w:val="bottom"/>
            <w:tcBorders>
              <w:top w:val="single" w:sz="8" w:color="DCE2EF"/>
              <w:bottom w:val="single" w:sz="8" w:color="DCE2EF"/>
            </w:tcBorders>
            <w:shd w:val="clear" w:color="auto" w:fill="DCE2EF"/>
          </w:tcPr>
          <w:p>
            <w:pPr>
              <w:spacing w:after="0"/>
              <w:rPr>
                <w:sz w:val="15"/>
                <w:szCs w:val="15"/>
                <w:color w:val="auto"/>
              </w:rPr>
            </w:pPr>
          </w:p>
        </w:tc>
        <w:tc>
          <w:tcPr>
            <w:tcW w:w="100" w:type="dxa"/>
            <w:vAlign w:val="bottom"/>
            <w:tcBorders>
              <w:top w:val="single" w:sz="8" w:color="DCE2EF"/>
              <w:bottom w:val="single" w:sz="8" w:color="DCE2EF"/>
            </w:tcBorders>
            <w:shd w:val="clear" w:color="auto" w:fill="DCE2EF"/>
          </w:tcPr>
          <w:p>
            <w:pPr>
              <w:spacing w:after="0"/>
              <w:rPr>
                <w:sz w:val="15"/>
                <w:szCs w:val="15"/>
                <w:color w:val="auto"/>
              </w:rPr>
            </w:pPr>
          </w:p>
        </w:tc>
        <w:tc>
          <w:tcPr>
            <w:tcW w:w="920" w:type="dxa"/>
            <w:vAlign w:val="bottom"/>
            <w:tcBorders>
              <w:top w:val="single" w:sz="8" w:color="DCE2EF"/>
              <w:bottom w:val="single" w:sz="8" w:color="DCE2EF"/>
            </w:tcBorders>
            <w:shd w:val="clear" w:color="auto" w:fill="DCE2EF"/>
          </w:tcPr>
          <w:p>
            <w:pPr>
              <w:spacing w:after="0"/>
              <w:rPr>
                <w:sz w:val="15"/>
                <w:szCs w:val="15"/>
                <w:color w:val="auto"/>
              </w:rPr>
            </w:pPr>
          </w:p>
        </w:tc>
        <w:tc>
          <w:tcPr>
            <w:tcW w:w="100" w:type="dxa"/>
            <w:vAlign w:val="bottom"/>
            <w:tcBorders>
              <w:top w:val="single" w:sz="8" w:color="DCE2EF"/>
              <w:bottom w:val="single" w:sz="8" w:color="DCE2EF"/>
            </w:tcBorders>
            <w:shd w:val="clear" w:color="auto" w:fill="DCE2EF"/>
          </w:tcPr>
          <w:p>
            <w:pPr>
              <w:spacing w:after="0"/>
              <w:rPr>
                <w:sz w:val="15"/>
                <w:szCs w:val="15"/>
                <w:color w:val="auto"/>
              </w:rPr>
            </w:pPr>
          </w:p>
        </w:tc>
        <w:tc>
          <w:tcPr>
            <w:tcW w:w="2160" w:type="dxa"/>
            <w:vAlign w:val="bottom"/>
            <w:tcBorders>
              <w:top w:val="single" w:sz="8" w:color="DCE2EF"/>
              <w:bottom w:val="single" w:sz="8" w:color="DCE2EF"/>
            </w:tcBorders>
            <w:shd w:val="clear" w:color="auto" w:fill="DCE2EF"/>
          </w:tcPr>
          <w:p>
            <w:pPr>
              <w:spacing w:after="0"/>
              <w:rPr>
                <w:sz w:val="15"/>
                <w:szCs w:val="15"/>
                <w:color w:val="auto"/>
              </w:rPr>
            </w:pPr>
          </w:p>
        </w:tc>
      </w:tr>
      <w:tr>
        <w:trPr>
          <w:trHeight w:val="183"/>
        </w:trPr>
        <w:tc>
          <w:tcPr>
            <w:tcW w:w="1160" w:type="dxa"/>
            <w:vAlign w:val="bottom"/>
            <w:shd w:val="clear" w:color="auto" w:fill="DCE2EF"/>
          </w:tcPr>
          <w:p>
            <w:pPr>
              <w:spacing w:after="0"/>
              <w:rPr>
                <w:sz w:val="15"/>
                <w:szCs w:val="15"/>
                <w:color w:val="auto"/>
              </w:rPr>
            </w:pPr>
          </w:p>
        </w:tc>
        <w:tc>
          <w:tcPr>
            <w:tcW w:w="140" w:type="dxa"/>
            <w:vAlign w:val="bottom"/>
            <w:tcBorders>
              <w:right w:val="single" w:sz="8" w:color="DCE2EF"/>
            </w:tcBorders>
            <w:shd w:val="clear" w:color="auto" w:fill="DCE2EF"/>
          </w:tcPr>
          <w:p>
            <w:pPr>
              <w:spacing w:after="0"/>
              <w:rPr>
                <w:sz w:val="15"/>
                <w:szCs w:val="15"/>
                <w:color w:val="auto"/>
              </w:rPr>
            </w:pPr>
          </w:p>
        </w:tc>
        <w:tc>
          <w:tcPr>
            <w:tcW w:w="4780" w:type="dxa"/>
            <w:vAlign w:val="bottom"/>
            <w:gridSpan w:val="30"/>
            <w:shd w:val="clear" w:color="auto" w:fill="DCE2EF"/>
          </w:tcPr>
          <w:p>
            <w:pPr>
              <w:spacing w:after="0" w:line="182" w:lineRule="exact"/>
              <w:rPr>
                <w:rFonts w:ascii="Arial" w:cs="Arial" w:eastAsia="Arial" w:hAnsi="Arial"/>
                <w:sz w:val="18"/>
                <w:szCs w:val="18"/>
                <w:color w:val="0000FF"/>
              </w:rPr>
            </w:pPr>
            <w:hyperlink r:id="rId98">
              <w:r>
                <w:rPr>
                  <w:rFonts w:ascii="Arial" w:cs="Arial" w:eastAsia="Arial" w:hAnsi="Arial"/>
                  <w:sz w:val="18"/>
                  <w:szCs w:val="18"/>
                  <w:color w:val="0000FF"/>
                </w:rPr>
                <w:t>Holdings, L.P., Bridge Street 2015, L.P., MBD 2015, L.P.,</w:t>
              </w:r>
            </w:hyperlink>
          </w:p>
        </w:tc>
        <w:tc>
          <w:tcPr>
            <w:tcW w:w="70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124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92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2160" w:type="dxa"/>
            <w:vAlign w:val="bottom"/>
            <w:shd w:val="clear" w:color="auto" w:fill="DCE2EF"/>
          </w:tcPr>
          <w:p>
            <w:pPr>
              <w:spacing w:after="0"/>
              <w:rPr>
                <w:sz w:val="15"/>
                <w:szCs w:val="15"/>
                <w:color w:val="auto"/>
              </w:rPr>
            </w:pPr>
          </w:p>
        </w:tc>
      </w:tr>
      <w:tr>
        <w:trPr>
          <w:trHeight w:val="183"/>
        </w:trPr>
        <w:tc>
          <w:tcPr>
            <w:tcW w:w="1160" w:type="dxa"/>
            <w:vAlign w:val="bottom"/>
            <w:tcBorders>
              <w:top w:val="single" w:sz="8" w:color="DCE2EF"/>
            </w:tcBorders>
            <w:shd w:val="clear" w:color="auto" w:fill="DCE2EF"/>
          </w:tcPr>
          <w:p>
            <w:pPr>
              <w:spacing w:after="0"/>
              <w:rPr>
                <w:sz w:val="15"/>
                <w:szCs w:val="15"/>
                <w:color w:val="auto"/>
              </w:rPr>
            </w:pPr>
          </w:p>
        </w:tc>
        <w:tc>
          <w:tcPr>
            <w:tcW w:w="140" w:type="dxa"/>
            <w:vAlign w:val="bottom"/>
            <w:tcBorders>
              <w:top w:val="single" w:sz="8" w:color="DCE2EF"/>
              <w:right w:val="single" w:sz="8" w:color="DCE2EF"/>
            </w:tcBorders>
            <w:shd w:val="clear" w:color="auto" w:fill="DCE2EF"/>
          </w:tcPr>
          <w:p>
            <w:pPr>
              <w:spacing w:after="0"/>
              <w:rPr>
                <w:sz w:val="15"/>
                <w:szCs w:val="15"/>
                <w:color w:val="auto"/>
              </w:rPr>
            </w:pPr>
          </w:p>
        </w:tc>
        <w:tc>
          <w:tcPr>
            <w:tcW w:w="4500" w:type="dxa"/>
            <w:vAlign w:val="bottom"/>
            <w:tcBorders>
              <w:top w:val="single" w:sz="8" w:color="0000FF"/>
              <w:right w:val="single" w:sz="8" w:color="DCE2EF"/>
            </w:tcBorders>
            <w:gridSpan w:val="22"/>
            <w:shd w:val="clear" w:color="auto" w:fill="DCE2EF"/>
          </w:tcPr>
          <w:p>
            <w:pPr>
              <w:spacing w:after="0" w:line="182" w:lineRule="exact"/>
              <w:rPr>
                <w:rFonts w:ascii="Arial" w:cs="Arial" w:eastAsia="Arial" w:hAnsi="Arial"/>
                <w:sz w:val="18"/>
                <w:szCs w:val="18"/>
                <w:color w:val="0000FF"/>
              </w:rPr>
            </w:pPr>
            <w:hyperlink r:id="rId98">
              <w:r>
                <w:rPr>
                  <w:rFonts w:ascii="Arial" w:cs="Arial" w:eastAsia="Arial" w:hAnsi="Arial"/>
                  <w:sz w:val="18"/>
                  <w:szCs w:val="18"/>
                  <w:color w:val="0000FF"/>
                </w:rPr>
                <w:t>Stone Street 2015, L.P., 2015 Employee Offshore</w:t>
              </w:r>
            </w:hyperlink>
          </w:p>
        </w:tc>
        <w:tc>
          <w:tcPr>
            <w:tcW w:w="100" w:type="dxa"/>
            <w:vAlign w:val="bottom"/>
            <w:tcBorders>
              <w:top w:val="single" w:sz="8" w:color="DCE2EF"/>
              <w:left w:val="single" w:sz="8" w:color="DCE2EF"/>
            </w:tcBorders>
            <w:gridSpan w:val="2"/>
            <w:shd w:val="clear" w:color="auto" w:fill="DCE2EF"/>
          </w:tcPr>
          <w:p>
            <w:pPr>
              <w:spacing w:after="0"/>
              <w:rPr>
                <w:sz w:val="15"/>
                <w:szCs w:val="15"/>
                <w:color w:val="auto"/>
              </w:rPr>
            </w:pPr>
          </w:p>
        </w:tc>
        <w:tc>
          <w:tcPr>
            <w:tcW w:w="20" w:type="dxa"/>
            <w:vAlign w:val="bottom"/>
            <w:tcBorders>
              <w:top w:val="single" w:sz="8" w:color="DCE2EF"/>
            </w:tcBorders>
            <w:shd w:val="clear" w:color="auto" w:fill="DCE2EF"/>
          </w:tcPr>
          <w:p>
            <w:pPr>
              <w:spacing w:after="0"/>
              <w:rPr>
                <w:sz w:val="15"/>
                <w:szCs w:val="15"/>
                <w:color w:val="auto"/>
              </w:rPr>
            </w:pPr>
          </w:p>
        </w:tc>
        <w:tc>
          <w:tcPr>
            <w:tcW w:w="40" w:type="dxa"/>
            <w:vAlign w:val="bottom"/>
            <w:tcBorders>
              <w:top w:val="single" w:sz="8" w:color="DCE2EF"/>
            </w:tcBorders>
            <w:gridSpan w:val="2"/>
            <w:shd w:val="clear" w:color="auto" w:fill="DCE2EF"/>
          </w:tcPr>
          <w:p>
            <w:pPr>
              <w:spacing w:after="0"/>
              <w:rPr>
                <w:sz w:val="15"/>
                <w:szCs w:val="15"/>
                <w:color w:val="auto"/>
              </w:rPr>
            </w:pPr>
          </w:p>
        </w:tc>
        <w:tc>
          <w:tcPr>
            <w:tcW w:w="20" w:type="dxa"/>
            <w:vAlign w:val="bottom"/>
            <w:tcBorders>
              <w:top w:val="single" w:sz="8" w:color="DCE2EF"/>
            </w:tcBorders>
            <w:shd w:val="clear" w:color="auto" w:fill="DCE2EF"/>
          </w:tcPr>
          <w:p>
            <w:pPr>
              <w:spacing w:after="0"/>
              <w:rPr>
                <w:sz w:val="15"/>
                <w:szCs w:val="15"/>
                <w:color w:val="auto"/>
              </w:rPr>
            </w:pPr>
          </w:p>
        </w:tc>
        <w:tc>
          <w:tcPr>
            <w:tcW w:w="100" w:type="dxa"/>
            <w:vAlign w:val="bottom"/>
            <w:tcBorders>
              <w:top w:val="single" w:sz="8" w:color="DCE2EF"/>
            </w:tcBorders>
            <w:gridSpan w:val="2"/>
            <w:shd w:val="clear" w:color="auto" w:fill="DCE2EF"/>
          </w:tcPr>
          <w:p>
            <w:pPr>
              <w:spacing w:after="0"/>
              <w:rPr>
                <w:sz w:val="15"/>
                <w:szCs w:val="15"/>
                <w:color w:val="auto"/>
              </w:rPr>
            </w:pPr>
          </w:p>
        </w:tc>
        <w:tc>
          <w:tcPr>
            <w:tcW w:w="700" w:type="dxa"/>
            <w:vAlign w:val="bottom"/>
            <w:tcBorders>
              <w:top w:val="single" w:sz="8" w:color="DCE2EF"/>
            </w:tcBorders>
            <w:shd w:val="clear" w:color="auto" w:fill="DCE2EF"/>
          </w:tcPr>
          <w:p>
            <w:pPr>
              <w:spacing w:after="0"/>
              <w:rPr>
                <w:sz w:val="15"/>
                <w:szCs w:val="15"/>
                <w:color w:val="auto"/>
              </w:rPr>
            </w:pPr>
          </w:p>
        </w:tc>
        <w:tc>
          <w:tcPr>
            <w:tcW w:w="120" w:type="dxa"/>
            <w:vAlign w:val="bottom"/>
            <w:tcBorders>
              <w:top w:val="single" w:sz="8" w:color="DCE2EF"/>
            </w:tcBorders>
            <w:shd w:val="clear" w:color="auto" w:fill="DCE2EF"/>
          </w:tcPr>
          <w:p>
            <w:pPr>
              <w:spacing w:after="0"/>
              <w:rPr>
                <w:sz w:val="15"/>
                <w:szCs w:val="15"/>
                <w:color w:val="auto"/>
              </w:rPr>
            </w:pPr>
          </w:p>
        </w:tc>
        <w:tc>
          <w:tcPr>
            <w:tcW w:w="1240" w:type="dxa"/>
            <w:vAlign w:val="bottom"/>
            <w:tcBorders>
              <w:top w:val="single" w:sz="8" w:color="DCE2EF"/>
            </w:tcBorders>
            <w:shd w:val="clear" w:color="auto" w:fill="DCE2EF"/>
          </w:tcPr>
          <w:p>
            <w:pPr>
              <w:spacing w:after="0"/>
              <w:rPr>
                <w:sz w:val="15"/>
                <w:szCs w:val="15"/>
                <w:color w:val="auto"/>
              </w:rPr>
            </w:pPr>
          </w:p>
        </w:tc>
        <w:tc>
          <w:tcPr>
            <w:tcW w:w="100" w:type="dxa"/>
            <w:vAlign w:val="bottom"/>
            <w:tcBorders>
              <w:top w:val="single" w:sz="8" w:color="DCE2EF"/>
            </w:tcBorders>
            <w:shd w:val="clear" w:color="auto" w:fill="DCE2EF"/>
          </w:tcPr>
          <w:p>
            <w:pPr>
              <w:spacing w:after="0"/>
              <w:rPr>
                <w:sz w:val="15"/>
                <w:szCs w:val="15"/>
                <w:color w:val="auto"/>
              </w:rPr>
            </w:pPr>
          </w:p>
        </w:tc>
        <w:tc>
          <w:tcPr>
            <w:tcW w:w="920" w:type="dxa"/>
            <w:vAlign w:val="bottom"/>
            <w:tcBorders>
              <w:top w:val="single" w:sz="8" w:color="DCE2EF"/>
            </w:tcBorders>
            <w:shd w:val="clear" w:color="auto" w:fill="DCE2EF"/>
          </w:tcPr>
          <w:p>
            <w:pPr>
              <w:spacing w:after="0"/>
              <w:rPr>
                <w:sz w:val="15"/>
                <w:szCs w:val="15"/>
                <w:color w:val="auto"/>
              </w:rPr>
            </w:pPr>
          </w:p>
        </w:tc>
        <w:tc>
          <w:tcPr>
            <w:tcW w:w="100" w:type="dxa"/>
            <w:vAlign w:val="bottom"/>
            <w:tcBorders>
              <w:top w:val="single" w:sz="8" w:color="DCE2EF"/>
            </w:tcBorders>
            <w:shd w:val="clear" w:color="auto" w:fill="DCE2EF"/>
          </w:tcPr>
          <w:p>
            <w:pPr>
              <w:spacing w:after="0"/>
              <w:rPr>
                <w:sz w:val="15"/>
                <w:szCs w:val="15"/>
                <w:color w:val="auto"/>
              </w:rPr>
            </w:pPr>
          </w:p>
        </w:tc>
        <w:tc>
          <w:tcPr>
            <w:tcW w:w="2160" w:type="dxa"/>
            <w:vAlign w:val="bottom"/>
            <w:tcBorders>
              <w:top w:val="single" w:sz="8" w:color="DCE2EF"/>
            </w:tcBorders>
            <w:shd w:val="clear" w:color="auto" w:fill="DCE2EF"/>
          </w:tcPr>
          <w:p>
            <w:pPr>
              <w:spacing w:after="0"/>
              <w:rPr>
                <w:sz w:val="15"/>
                <w:szCs w:val="15"/>
                <w:color w:val="auto"/>
              </w:rPr>
            </w:pPr>
          </w:p>
        </w:tc>
      </w:tr>
      <w:tr>
        <w:trPr>
          <w:trHeight w:val="217"/>
        </w:trPr>
        <w:tc>
          <w:tcPr>
            <w:tcW w:w="1160" w:type="dxa"/>
            <w:vAlign w:val="bottom"/>
            <w:tcBorders>
              <w:top w:val="single" w:sz="8" w:color="DCE2EF"/>
              <w:bottom w:val="single" w:sz="8" w:color="DCE2EF"/>
            </w:tcBorders>
            <w:shd w:val="clear" w:color="auto" w:fill="DCE2EF"/>
          </w:tcPr>
          <w:p>
            <w:pPr>
              <w:spacing w:after="0"/>
              <w:rPr>
                <w:sz w:val="18"/>
                <w:szCs w:val="18"/>
                <w:color w:val="auto"/>
              </w:rPr>
            </w:pPr>
          </w:p>
        </w:tc>
        <w:tc>
          <w:tcPr>
            <w:tcW w:w="140" w:type="dxa"/>
            <w:vAlign w:val="bottom"/>
            <w:tcBorders>
              <w:top w:val="single" w:sz="8" w:color="DCE2EF"/>
              <w:bottom w:val="single" w:sz="8" w:color="DCE2EF"/>
              <w:right w:val="single" w:sz="8" w:color="DCE2EF"/>
            </w:tcBorders>
            <w:shd w:val="clear" w:color="auto" w:fill="DCE2EF"/>
          </w:tcPr>
          <w:p>
            <w:pPr>
              <w:spacing w:after="0"/>
              <w:rPr>
                <w:sz w:val="18"/>
                <w:szCs w:val="18"/>
                <w:color w:val="auto"/>
              </w:rPr>
            </w:pPr>
          </w:p>
        </w:tc>
        <w:tc>
          <w:tcPr>
            <w:tcW w:w="3900" w:type="dxa"/>
            <w:vAlign w:val="bottom"/>
            <w:tcBorders>
              <w:top w:val="single" w:sz="8" w:color="0000FF"/>
              <w:bottom w:val="single" w:sz="8" w:color="0000FF"/>
            </w:tcBorders>
            <w:gridSpan w:val="8"/>
            <w:shd w:val="clear" w:color="auto" w:fill="DCE2EF"/>
          </w:tcPr>
          <w:p>
            <w:pPr>
              <w:spacing w:after="0" w:line="182" w:lineRule="exact"/>
              <w:rPr>
                <w:rFonts w:ascii="Arial" w:cs="Arial" w:eastAsia="Arial" w:hAnsi="Arial"/>
                <w:sz w:val="18"/>
                <w:szCs w:val="18"/>
                <w:color w:val="0000FF"/>
                <w:w w:val="98"/>
              </w:rPr>
            </w:pPr>
            <w:hyperlink r:id="rId98">
              <w:r>
                <w:rPr>
                  <w:rFonts w:ascii="Arial" w:cs="Arial" w:eastAsia="Arial" w:hAnsi="Arial"/>
                  <w:sz w:val="18"/>
                  <w:szCs w:val="18"/>
                  <w:color w:val="0000FF"/>
                  <w:w w:val="98"/>
                </w:rPr>
                <w:t>Aggregator, L.P., and Goldman Sachs &amp; Co. LLC</w:t>
              </w:r>
            </w:hyperlink>
          </w:p>
        </w:tc>
        <w:tc>
          <w:tcPr>
            <w:tcW w:w="40" w:type="dxa"/>
            <w:vAlign w:val="bottom"/>
            <w:tcBorders>
              <w:top w:val="single" w:sz="8" w:color="0000FF"/>
              <w:bottom w:val="single" w:sz="8" w:color="DCE2EF"/>
            </w:tcBorders>
            <w:shd w:val="clear" w:color="auto" w:fill="DCE2EF"/>
          </w:tcPr>
          <w:p>
            <w:pPr>
              <w:spacing w:after="0"/>
              <w:rPr>
                <w:sz w:val="18"/>
                <w:szCs w:val="18"/>
                <w:color w:val="auto"/>
              </w:rPr>
            </w:pPr>
          </w:p>
        </w:tc>
        <w:tc>
          <w:tcPr>
            <w:tcW w:w="80" w:type="dxa"/>
            <w:vAlign w:val="bottom"/>
            <w:tcBorders>
              <w:top w:val="single" w:sz="8" w:color="DCE2EF"/>
              <w:bottom w:val="single" w:sz="8" w:color="DCE2EF"/>
            </w:tcBorders>
            <w:gridSpan w:val="3"/>
            <w:shd w:val="clear" w:color="auto" w:fill="DCE2EF"/>
          </w:tcPr>
          <w:p>
            <w:pPr>
              <w:spacing w:after="0"/>
              <w:rPr>
                <w:sz w:val="18"/>
                <w:szCs w:val="18"/>
                <w:color w:val="auto"/>
              </w:rPr>
            </w:pPr>
          </w:p>
        </w:tc>
        <w:tc>
          <w:tcPr>
            <w:tcW w:w="180" w:type="dxa"/>
            <w:vAlign w:val="bottom"/>
            <w:tcBorders>
              <w:top w:val="single" w:sz="8" w:color="DCE2EF"/>
              <w:bottom w:val="single" w:sz="8" w:color="DCE2EF"/>
              <w:right w:val="single" w:sz="8" w:color="DCE2EF"/>
            </w:tcBorders>
            <w:gridSpan w:val="2"/>
            <w:shd w:val="clear" w:color="auto" w:fill="DCE2EF"/>
          </w:tcPr>
          <w:p>
            <w:pPr>
              <w:spacing w:after="0"/>
              <w:rPr>
                <w:sz w:val="18"/>
                <w:szCs w:val="18"/>
                <w:color w:val="auto"/>
              </w:rPr>
            </w:pPr>
          </w:p>
        </w:tc>
        <w:tc>
          <w:tcPr>
            <w:tcW w:w="60" w:type="dxa"/>
            <w:vAlign w:val="bottom"/>
            <w:tcBorders>
              <w:top w:val="single" w:sz="8" w:color="DCE2EF"/>
              <w:bottom w:val="single" w:sz="8" w:color="DCE2EF"/>
            </w:tcBorders>
            <w:gridSpan w:val="3"/>
            <w:shd w:val="clear" w:color="auto" w:fill="DCE2EF"/>
          </w:tcPr>
          <w:p>
            <w:pPr>
              <w:spacing w:after="0"/>
              <w:rPr>
                <w:sz w:val="18"/>
                <w:szCs w:val="18"/>
                <w:color w:val="auto"/>
              </w:rPr>
            </w:pPr>
          </w:p>
        </w:tc>
        <w:tc>
          <w:tcPr>
            <w:tcW w:w="240" w:type="dxa"/>
            <w:vAlign w:val="bottom"/>
            <w:tcBorders>
              <w:top w:val="single" w:sz="8" w:color="DCE2EF"/>
              <w:bottom w:val="single" w:sz="8" w:color="DCE2EF"/>
              <w:right w:val="single" w:sz="8" w:color="DCE2EF"/>
            </w:tcBorders>
            <w:gridSpan w:val="5"/>
            <w:shd w:val="clear" w:color="auto" w:fill="DCE2EF"/>
          </w:tcPr>
          <w:p>
            <w:pPr>
              <w:spacing w:after="0"/>
              <w:rPr>
                <w:sz w:val="18"/>
                <w:szCs w:val="18"/>
                <w:color w:val="auto"/>
              </w:rPr>
            </w:pPr>
          </w:p>
        </w:tc>
        <w:tc>
          <w:tcPr>
            <w:tcW w:w="100" w:type="dxa"/>
            <w:vAlign w:val="bottom"/>
            <w:tcBorders>
              <w:top w:val="single" w:sz="8" w:color="DCE2EF"/>
              <w:left w:val="single" w:sz="8" w:color="DCE2EF"/>
              <w:bottom w:val="single" w:sz="8" w:color="DCE2EF"/>
            </w:tcBorders>
            <w:gridSpan w:val="2"/>
            <w:shd w:val="clear" w:color="auto" w:fill="DCE2EF"/>
          </w:tcPr>
          <w:p>
            <w:pPr>
              <w:spacing w:after="0"/>
              <w:rPr>
                <w:sz w:val="18"/>
                <w:szCs w:val="18"/>
                <w:color w:val="auto"/>
              </w:rPr>
            </w:pPr>
          </w:p>
        </w:tc>
        <w:tc>
          <w:tcPr>
            <w:tcW w:w="20" w:type="dxa"/>
            <w:vAlign w:val="bottom"/>
            <w:tcBorders>
              <w:top w:val="single" w:sz="8" w:color="DCE2EF"/>
              <w:bottom w:val="single" w:sz="8" w:color="DCE2EF"/>
            </w:tcBorders>
            <w:shd w:val="clear" w:color="auto" w:fill="DCE2EF"/>
          </w:tcPr>
          <w:p>
            <w:pPr>
              <w:spacing w:after="0"/>
              <w:rPr>
                <w:sz w:val="18"/>
                <w:szCs w:val="18"/>
                <w:color w:val="auto"/>
              </w:rPr>
            </w:pPr>
          </w:p>
        </w:tc>
        <w:tc>
          <w:tcPr>
            <w:tcW w:w="40" w:type="dxa"/>
            <w:vAlign w:val="bottom"/>
            <w:tcBorders>
              <w:top w:val="single" w:sz="8" w:color="DCE2EF"/>
              <w:bottom w:val="single" w:sz="8" w:color="DCE2EF"/>
            </w:tcBorders>
            <w:gridSpan w:val="2"/>
            <w:shd w:val="clear" w:color="auto" w:fill="DCE2EF"/>
          </w:tcPr>
          <w:p>
            <w:pPr>
              <w:spacing w:after="0"/>
              <w:rPr>
                <w:sz w:val="18"/>
                <w:szCs w:val="18"/>
                <w:color w:val="auto"/>
              </w:rPr>
            </w:pPr>
          </w:p>
        </w:tc>
        <w:tc>
          <w:tcPr>
            <w:tcW w:w="20" w:type="dxa"/>
            <w:vAlign w:val="bottom"/>
            <w:tcBorders>
              <w:top w:val="single" w:sz="8" w:color="DCE2EF"/>
              <w:bottom w:val="single" w:sz="8" w:color="DCE2EF"/>
            </w:tcBorders>
            <w:shd w:val="clear" w:color="auto" w:fill="DCE2EF"/>
          </w:tcPr>
          <w:p>
            <w:pPr>
              <w:spacing w:after="0"/>
              <w:rPr>
                <w:sz w:val="18"/>
                <w:szCs w:val="18"/>
                <w:color w:val="auto"/>
              </w:rPr>
            </w:pPr>
          </w:p>
        </w:tc>
        <w:tc>
          <w:tcPr>
            <w:tcW w:w="100" w:type="dxa"/>
            <w:vAlign w:val="bottom"/>
            <w:tcBorders>
              <w:top w:val="single" w:sz="8" w:color="DCE2EF"/>
              <w:bottom w:val="single" w:sz="8" w:color="DCE2EF"/>
            </w:tcBorders>
            <w:gridSpan w:val="2"/>
            <w:shd w:val="clear" w:color="auto" w:fill="DCE2EF"/>
          </w:tcPr>
          <w:p>
            <w:pPr>
              <w:spacing w:after="0"/>
              <w:rPr>
                <w:sz w:val="18"/>
                <w:szCs w:val="18"/>
                <w:color w:val="auto"/>
              </w:rPr>
            </w:pPr>
          </w:p>
        </w:tc>
        <w:tc>
          <w:tcPr>
            <w:tcW w:w="700" w:type="dxa"/>
            <w:vAlign w:val="bottom"/>
            <w:tcBorders>
              <w:top w:val="single" w:sz="8" w:color="DCE2EF"/>
              <w:bottom w:val="single" w:sz="8" w:color="DCE2EF"/>
            </w:tcBorders>
            <w:shd w:val="clear" w:color="auto" w:fill="DCE2EF"/>
          </w:tcPr>
          <w:p>
            <w:pPr>
              <w:spacing w:after="0"/>
              <w:rPr>
                <w:sz w:val="18"/>
                <w:szCs w:val="18"/>
                <w:color w:val="auto"/>
              </w:rPr>
            </w:pPr>
          </w:p>
        </w:tc>
        <w:tc>
          <w:tcPr>
            <w:tcW w:w="120" w:type="dxa"/>
            <w:vAlign w:val="bottom"/>
            <w:tcBorders>
              <w:top w:val="single" w:sz="8" w:color="DCE2EF"/>
              <w:bottom w:val="single" w:sz="8" w:color="DCE2EF"/>
            </w:tcBorders>
            <w:shd w:val="clear" w:color="auto" w:fill="DCE2EF"/>
          </w:tcPr>
          <w:p>
            <w:pPr>
              <w:spacing w:after="0"/>
              <w:rPr>
                <w:sz w:val="18"/>
                <w:szCs w:val="18"/>
                <w:color w:val="auto"/>
              </w:rPr>
            </w:pPr>
          </w:p>
        </w:tc>
        <w:tc>
          <w:tcPr>
            <w:tcW w:w="1240" w:type="dxa"/>
            <w:vAlign w:val="bottom"/>
            <w:tcBorders>
              <w:top w:val="single" w:sz="8" w:color="DCE2EF"/>
              <w:bottom w:val="single" w:sz="8" w:color="DCE2EF"/>
            </w:tcBorders>
            <w:shd w:val="clear" w:color="auto" w:fill="DCE2EF"/>
          </w:tcPr>
          <w:p>
            <w:pPr>
              <w:spacing w:after="0"/>
              <w:rPr>
                <w:sz w:val="18"/>
                <w:szCs w:val="18"/>
                <w:color w:val="auto"/>
              </w:rPr>
            </w:pPr>
          </w:p>
        </w:tc>
        <w:tc>
          <w:tcPr>
            <w:tcW w:w="100" w:type="dxa"/>
            <w:vAlign w:val="bottom"/>
            <w:tcBorders>
              <w:top w:val="single" w:sz="8" w:color="DCE2EF"/>
              <w:bottom w:val="single" w:sz="8" w:color="DCE2EF"/>
            </w:tcBorders>
            <w:shd w:val="clear" w:color="auto" w:fill="DCE2EF"/>
          </w:tcPr>
          <w:p>
            <w:pPr>
              <w:spacing w:after="0"/>
              <w:rPr>
                <w:sz w:val="18"/>
                <w:szCs w:val="18"/>
                <w:color w:val="auto"/>
              </w:rPr>
            </w:pPr>
          </w:p>
        </w:tc>
        <w:tc>
          <w:tcPr>
            <w:tcW w:w="920" w:type="dxa"/>
            <w:vAlign w:val="bottom"/>
            <w:tcBorders>
              <w:top w:val="single" w:sz="8" w:color="DCE2EF"/>
              <w:bottom w:val="single" w:sz="8" w:color="DCE2EF"/>
            </w:tcBorders>
            <w:shd w:val="clear" w:color="auto" w:fill="DCE2EF"/>
          </w:tcPr>
          <w:p>
            <w:pPr>
              <w:spacing w:after="0"/>
              <w:rPr>
                <w:sz w:val="18"/>
                <w:szCs w:val="18"/>
                <w:color w:val="auto"/>
              </w:rPr>
            </w:pPr>
          </w:p>
        </w:tc>
        <w:tc>
          <w:tcPr>
            <w:tcW w:w="100" w:type="dxa"/>
            <w:vAlign w:val="bottom"/>
            <w:tcBorders>
              <w:top w:val="single" w:sz="8" w:color="DCE2EF"/>
              <w:bottom w:val="single" w:sz="8" w:color="DCE2EF"/>
            </w:tcBorders>
            <w:shd w:val="clear" w:color="auto" w:fill="DCE2EF"/>
          </w:tcPr>
          <w:p>
            <w:pPr>
              <w:spacing w:after="0"/>
              <w:rPr>
                <w:sz w:val="18"/>
                <w:szCs w:val="18"/>
                <w:color w:val="auto"/>
              </w:rPr>
            </w:pPr>
          </w:p>
        </w:tc>
        <w:tc>
          <w:tcPr>
            <w:tcW w:w="2160" w:type="dxa"/>
            <w:vAlign w:val="bottom"/>
            <w:tcBorders>
              <w:top w:val="single" w:sz="8" w:color="DCE2EF"/>
              <w:bottom w:val="single" w:sz="8" w:color="DCE2EF"/>
            </w:tcBorders>
            <w:shd w:val="clear" w:color="auto" w:fill="DCE2EF"/>
          </w:tcPr>
          <w:p>
            <w:pPr>
              <w:spacing w:after="0"/>
              <w:rPr>
                <w:sz w:val="18"/>
                <w:szCs w:val="18"/>
                <w:color w:val="auto"/>
              </w:rPr>
            </w:pPr>
          </w:p>
        </w:tc>
      </w:tr>
      <w:tr>
        <w:trPr>
          <w:trHeight w:val="203"/>
        </w:trPr>
        <w:tc>
          <w:tcPr>
            <w:tcW w:w="1160" w:type="dxa"/>
            <w:vAlign w:val="bottom"/>
          </w:tcPr>
          <w:p>
            <w:pPr>
              <w:ind w:left="40"/>
              <w:spacing w:after="0" w:line="202" w:lineRule="exact"/>
              <w:rPr>
                <w:sz w:val="20"/>
                <w:szCs w:val="20"/>
                <w:color w:val="auto"/>
              </w:rPr>
            </w:pPr>
            <w:r>
              <w:rPr>
                <w:rFonts w:ascii="Arial" w:cs="Arial" w:eastAsia="Arial" w:hAnsi="Arial"/>
                <w:sz w:val="18"/>
                <w:szCs w:val="18"/>
                <w:color w:val="auto"/>
              </w:rPr>
              <w:t>10.2</w:t>
            </w:r>
          </w:p>
        </w:tc>
        <w:tc>
          <w:tcPr>
            <w:tcW w:w="140" w:type="dxa"/>
            <w:vAlign w:val="bottom"/>
          </w:tcPr>
          <w:p>
            <w:pPr>
              <w:spacing w:after="0"/>
              <w:rPr>
                <w:sz w:val="17"/>
                <w:szCs w:val="17"/>
                <w:color w:val="auto"/>
              </w:rPr>
            </w:pPr>
          </w:p>
        </w:tc>
        <w:tc>
          <w:tcPr>
            <w:tcW w:w="4780" w:type="dxa"/>
            <w:vAlign w:val="bottom"/>
            <w:gridSpan w:val="30"/>
          </w:tcPr>
          <w:p>
            <w:pPr>
              <w:spacing w:after="0" w:line="202" w:lineRule="exact"/>
              <w:rPr>
                <w:rFonts w:ascii="Arial" w:cs="Arial" w:eastAsia="Arial" w:hAnsi="Arial"/>
                <w:sz w:val="18"/>
                <w:szCs w:val="18"/>
                <w:color w:val="0000FF"/>
              </w:rPr>
            </w:pPr>
            <w:hyperlink r:id="rId99">
              <w:r>
                <w:rPr>
                  <w:rFonts w:ascii="Arial" w:cs="Arial" w:eastAsia="Arial" w:hAnsi="Arial"/>
                  <w:sz w:val="18"/>
                  <w:szCs w:val="18"/>
                  <w:color w:val="0000FF"/>
                </w:rPr>
                <w:t>Credit Agreement, dated as of September 1, 2017, by and</w:t>
              </w:r>
            </w:hyperlink>
          </w:p>
        </w:tc>
        <w:tc>
          <w:tcPr>
            <w:tcW w:w="820" w:type="dxa"/>
            <w:vAlign w:val="bottom"/>
            <w:gridSpan w:val="2"/>
          </w:tcPr>
          <w:p>
            <w:pPr>
              <w:jc w:val="center"/>
              <w:ind w:right="140"/>
              <w:spacing w:after="0" w:line="202" w:lineRule="exact"/>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001-08929</w:t>
            </w:r>
          </w:p>
        </w:tc>
        <w:tc>
          <w:tcPr>
            <w:tcW w:w="100" w:type="dxa"/>
            <w:vAlign w:val="bottom"/>
          </w:tcPr>
          <w:p>
            <w:pPr>
              <w:spacing w:after="0"/>
              <w:rPr>
                <w:sz w:val="17"/>
                <w:szCs w:val="17"/>
                <w:color w:val="auto"/>
              </w:rPr>
            </w:pP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rPr>
              <w:t>10.2</w:t>
            </w:r>
          </w:p>
        </w:tc>
        <w:tc>
          <w:tcPr>
            <w:tcW w:w="100" w:type="dxa"/>
            <w:vAlign w:val="bottom"/>
          </w:tcPr>
          <w:p>
            <w:pPr>
              <w:spacing w:after="0"/>
              <w:rPr>
                <w:sz w:val="17"/>
                <w:szCs w:val="17"/>
                <w:color w:val="auto"/>
              </w:rPr>
            </w:pPr>
          </w:p>
        </w:tc>
        <w:tc>
          <w:tcPr>
            <w:tcW w:w="2160" w:type="dxa"/>
            <w:vAlign w:val="bottom"/>
          </w:tcPr>
          <w:p>
            <w:pPr>
              <w:jc w:val="center"/>
              <w:spacing w:after="0" w:line="202" w:lineRule="exact"/>
              <w:rPr>
                <w:sz w:val="20"/>
                <w:szCs w:val="20"/>
                <w:color w:val="auto"/>
              </w:rPr>
            </w:pPr>
            <w:r>
              <w:rPr>
                <w:rFonts w:ascii="Arial" w:cs="Arial" w:eastAsia="Arial" w:hAnsi="Arial"/>
                <w:sz w:val="18"/>
                <w:szCs w:val="18"/>
                <w:color w:val="auto"/>
                <w:w w:val="99"/>
              </w:rPr>
              <w:t>September 8, 2017</w:t>
            </w:r>
          </w:p>
        </w:tc>
      </w:tr>
      <w:tr>
        <w:trPr>
          <w:trHeight w:val="183"/>
        </w:trPr>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80" w:type="dxa"/>
            <w:vAlign w:val="bottom"/>
            <w:tcBorders>
              <w:top w:val="single" w:sz="8" w:color="0000FF"/>
            </w:tcBorders>
            <w:gridSpan w:val="28"/>
          </w:tcPr>
          <w:p>
            <w:pPr>
              <w:spacing w:after="0" w:line="182" w:lineRule="exact"/>
              <w:rPr>
                <w:rFonts w:ascii="Arial" w:cs="Arial" w:eastAsia="Arial" w:hAnsi="Arial"/>
                <w:sz w:val="18"/>
                <w:szCs w:val="18"/>
                <w:color w:val="0000FF"/>
              </w:rPr>
            </w:pPr>
            <w:hyperlink r:id="rId99">
              <w:r>
                <w:rPr>
                  <w:rFonts w:ascii="Arial" w:cs="Arial" w:eastAsia="Arial" w:hAnsi="Arial"/>
                  <w:sz w:val="18"/>
                  <w:szCs w:val="18"/>
                  <w:color w:val="0000FF"/>
                </w:rPr>
                <w:t>among ABM Industries Incorporated, a Delaware</w:t>
              </w:r>
            </w:hyperlink>
          </w:p>
        </w:tc>
        <w:tc>
          <w:tcPr>
            <w:tcW w:w="10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90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6"/>
              </w:rPr>
            </w:pPr>
            <w:hyperlink r:id="rId99">
              <w:r>
                <w:rPr>
                  <w:rFonts w:ascii="Arial" w:cs="Arial" w:eastAsia="Arial" w:hAnsi="Arial"/>
                  <w:sz w:val="18"/>
                  <w:szCs w:val="18"/>
                  <w:color w:val="0000FF"/>
                  <w:w w:val="96"/>
                </w:rPr>
                <w:t>corporation, certain subsidiaries of ABM Industries</w:t>
              </w:r>
            </w:hyperlink>
          </w:p>
        </w:tc>
        <w:tc>
          <w:tcPr>
            <w:tcW w:w="120" w:type="dxa"/>
            <w:vAlign w:val="bottom"/>
            <w:tcBorders>
              <w:bottom w:val="single" w:sz="8" w:color="0000FF"/>
            </w:tcBorders>
            <w:gridSpan w:val="4"/>
          </w:tcPr>
          <w:p>
            <w:pPr>
              <w:spacing w:after="0"/>
              <w:rPr>
                <w:sz w:val="15"/>
                <w:szCs w:val="15"/>
                <w:color w:val="auto"/>
              </w:rPr>
            </w:pPr>
          </w:p>
        </w:tc>
        <w:tc>
          <w:tcPr>
            <w:tcW w:w="18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40" w:type="dxa"/>
            <w:vAlign w:val="bottom"/>
            <w:gridSpan w:val="5"/>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20" w:type="dxa"/>
            <w:vAlign w:val="bottom"/>
            <w:gridSpan w:val="3"/>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500" w:type="dxa"/>
            <w:vAlign w:val="bottom"/>
            <w:tcBorders>
              <w:bottom w:val="single" w:sz="8" w:color="0000FF"/>
            </w:tcBorders>
            <w:gridSpan w:val="22"/>
          </w:tcPr>
          <w:p>
            <w:pPr>
              <w:spacing w:after="0" w:line="182" w:lineRule="exact"/>
              <w:rPr>
                <w:rFonts w:ascii="Arial" w:cs="Arial" w:eastAsia="Arial" w:hAnsi="Arial"/>
                <w:sz w:val="18"/>
                <w:szCs w:val="18"/>
                <w:color w:val="0000FF"/>
              </w:rPr>
            </w:pPr>
            <w:hyperlink r:id="rId99">
              <w:r>
                <w:rPr>
                  <w:rFonts w:ascii="Arial" w:cs="Arial" w:eastAsia="Arial" w:hAnsi="Arial"/>
                  <w:sz w:val="18"/>
                  <w:szCs w:val="18"/>
                  <w:color w:val="0000FF"/>
                </w:rPr>
                <w:t>Incorporated from time to time party thereto, the lenders</w:t>
              </w:r>
            </w:hyperlink>
          </w:p>
        </w:tc>
        <w:tc>
          <w:tcPr>
            <w:tcW w:w="280" w:type="dxa"/>
            <w:vAlign w:val="bottom"/>
            <w:gridSpan w:val="8"/>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780" w:type="dxa"/>
            <w:vAlign w:val="bottom"/>
            <w:gridSpan w:val="30"/>
          </w:tcPr>
          <w:p>
            <w:pPr>
              <w:spacing w:after="0" w:line="182" w:lineRule="exact"/>
              <w:rPr>
                <w:rFonts w:ascii="Arial" w:cs="Arial" w:eastAsia="Arial" w:hAnsi="Arial"/>
                <w:sz w:val="18"/>
                <w:szCs w:val="18"/>
                <w:color w:val="0000FF"/>
              </w:rPr>
            </w:pPr>
            <w:hyperlink r:id="rId99">
              <w:r>
                <w:rPr>
                  <w:rFonts w:ascii="Arial" w:cs="Arial" w:eastAsia="Arial" w:hAnsi="Arial"/>
                  <w:sz w:val="18"/>
                  <w:szCs w:val="18"/>
                  <w:color w:val="0000FF"/>
                </w:rPr>
                <w:t>from time to time party thereto and Bank of America, N.A.,</w:t>
              </w:r>
            </w:hyperlink>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60" w:type="dxa"/>
            <w:vAlign w:val="bottom"/>
            <w:tcBorders>
              <w:top w:val="single" w:sz="8" w:color="0000FF"/>
            </w:tcBorders>
            <w:gridSpan w:val="27"/>
          </w:tcPr>
          <w:p>
            <w:pPr>
              <w:spacing w:after="0" w:line="182" w:lineRule="exact"/>
              <w:rPr>
                <w:rFonts w:ascii="Arial" w:cs="Arial" w:eastAsia="Arial" w:hAnsi="Arial"/>
                <w:sz w:val="18"/>
                <w:szCs w:val="18"/>
                <w:color w:val="0000FF"/>
              </w:rPr>
            </w:pPr>
            <w:hyperlink r:id="rId99">
              <w:r>
                <w:rPr>
                  <w:rFonts w:ascii="Arial" w:cs="Arial" w:eastAsia="Arial" w:hAnsi="Arial"/>
                  <w:sz w:val="18"/>
                  <w:szCs w:val="18"/>
                  <w:color w:val="0000FF"/>
                </w:rPr>
                <w:t>as administrative agent</w:t>
              </w:r>
            </w:hyperlink>
          </w:p>
        </w:tc>
        <w:tc>
          <w:tcPr>
            <w:tcW w:w="120" w:type="dxa"/>
            <w:vAlign w:val="bottom"/>
            <w:gridSpan w:val="3"/>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34"/>
        </w:trPr>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03"/>
        </w:trPr>
        <w:tc>
          <w:tcPr>
            <w:tcW w:w="1160" w:type="dxa"/>
            <w:vAlign w:val="bottom"/>
            <w:tcBorders>
              <w:bottom w:val="single" w:sz="8" w:color="DCE2EF"/>
            </w:tcBorders>
            <w:shd w:val="clear" w:color="auto" w:fill="DCE2EF"/>
          </w:tcPr>
          <w:p>
            <w:pPr>
              <w:ind w:left="40"/>
              <w:spacing w:after="0" w:line="202" w:lineRule="exact"/>
              <w:rPr>
                <w:sz w:val="20"/>
                <w:szCs w:val="20"/>
                <w:color w:val="auto"/>
              </w:rPr>
            </w:pPr>
            <w:r>
              <w:rPr>
                <w:rFonts w:ascii="Arial" w:cs="Arial" w:eastAsia="Arial" w:hAnsi="Arial"/>
                <w:sz w:val="18"/>
                <w:szCs w:val="18"/>
                <w:color w:val="auto"/>
              </w:rPr>
              <w:t>10.3</w:t>
            </w:r>
          </w:p>
        </w:tc>
        <w:tc>
          <w:tcPr>
            <w:tcW w:w="140" w:type="dxa"/>
            <w:vAlign w:val="bottom"/>
            <w:tcBorders>
              <w:bottom w:val="single" w:sz="8" w:color="DCE2EF"/>
              <w:right w:val="single" w:sz="8" w:color="DCE2EF"/>
            </w:tcBorders>
            <w:shd w:val="clear" w:color="auto" w:fill="DCE2EF"/>
          </w:tcPr>
          <w:p>
            <w:pPr>
              <w:spacing w:after="0"/>
              <w:rPr>
                <w:sz w:val="17"/>
                <w:szCs w:val="17"/>
                <w:color w:val="auto"/>
              </w:rPr>
            </w:pPr>
          </w:p>
        </w:tc>
        <w:tc>
          <w:tcPr>
            <w:tcW w:w="4260" w:type="dxa"/>
            <w:vAlign w:val="bottom"/>
            <w:tcBorders>
              <w:bottom w:val="single" w:sz="8" w:color="0000FF"/>
            </w:tcBorders>
            <w:gridSpan w:val="17"/>
            <w:shd w:val="clear" w:color="auto" w:fill="DCE2EF"/>
          </w:tcPr>
          <w:p>
            <w:pPr>
              <w:spacing w:after="0" w:line="202" w:lineRule="exact"/>
              <w:rPr>
                <w:rFonts w:ascii="Arial" w:cs="Arial" w:eastAsia="Arial" w:hAnsi="Arial"/>
                <w:sz w:val="18"/>
                <w:szCs w:val="18"/>
                <w:color w:val="0000FF"/>
                <w:w w:val="99"/>
              </w:rPr>
            </w:pPr>
            <w:hyperlink r:id="rId100">
              <w:r>
                <w:rPr>
                  <w:rFonts w:ascii="Arial" w:cs="Arial" w:eastAsia="Arial" w:hAnsi="Arial"/>
                  <w:sz w:val="18"/>
                  <w:szCs w:val="18"/>
                  <w:color w:val="0000FF"/>
                  <w:w w:val="99"/>
                </w:rPr>
                <w:t>Letter Agreement, dated November 6, 2017, between</w:t>
              </w:r>
            </w:hyperlink>
          </w:p>
        </w:tc>
        <w:tc>
          <w:tcPr>
            <w:tcW w:w="520" w:type="dxa"/>
            <w:vAlign w:val="bottom"/>
            <w:tcBorders>
              <w:bottom w:val="single" w:sz="8" w:color="DCE2EF"/>
            </w:tcBorders>
            <w:gridSpan w:val="13"/>
            <w:shd w:val="clear" w:color="auto" w:fill="DCE2EF"/>
          </w:tcPr>
          <w:p>
            <w:pPr>
              <w:spacing w:after="0"/>
              <w:rPr>
                <w:sz w:val="17"/>
                <w:szCs w:val="17"/>
                <w:color w:val="auto"/>
              </w:rPr>
            </w:pPr>
          </w:p>
        </w:tc>
        <w:tc>
          <w:tcPr>
            <w:tcW w:w="820" w:type="dxa"/>
            <w:vAlign w:val="bottom"/>
            <w:tcBorders>
              <w:bottom w:val="single" w:sz="8" w:color="DCE2EF"/>
            </w:tcBorders>
            <w:gridSpan w:val="2"/>
            <w:shd w:val="clear" w:color="auto" w:fill="DCE2EF"/>
          </w:tcPr>
          <w:p>
            <w:pPr>
              <w:jc w:val="center"/>
              <w:ind w:right="120"/>
              <w:spacing w:after="0" w:line="202" w:lineRule="exact"/>
              <w:rPr>
                <w:sz w:val="20"/>
                <w:szCs w:val="20"/>
                <w:color w:val="auto"/>
              </w:rPr>
            </w:pPr>
            <w:r>
              <w:rPr>
                <w:rFonts w:ascii="Arial" w:cs="Arial" w:eastAsia="Arial" w:hAnsi="Arial"/>
                <w:sz w:val="18"/>
                <w:szCs w:val="18"/>
                <w:color w:val="auto"/>
                <w:w w:val="99"/>
              </w:rPr>
              <w:t>10-K</w:t>
            </w:r>
          </w:p>
        </w:tc>
        <w:tc>
          <w:tcPr>
            <w:tcW w:w="1240" w:type="dxa"/>
            <w:vAlign w:val="bottom"/>
            <w:tcBorders>
              <w:bottom w:val="single" w:sz="8" w:color="DCE2EF"/>
            </w:tcBorders>
            <w:shd w:val="clear" w:color="auto" w:fill="DCE2EF"/>
          </w:tcPr>
          <w:p>
            <w:pPr>
              <w:jc w:val="center"/>
              <w:spacing w:after="0" w:line="202" w:lineRule="exact"/>
              <w:rPr>
                <w:sz w:val="20"/>
                <w:szCs w:val="20"/>
                <w:color w:val="auto"/>
              </w:rPr>
            </w:pPr>
            <w:r>
              <w:rPr>
                <w:rFonts w:ascii="Arial" w:cs="Arial" w:eastAsia="Arial" w:hAnsi="Arial"/>
                <w:sz w:val="18"/>
                <w:szCs w:val="18"/>
                <w:color w:val="auto"/>
                <w:w w:val="99"/>
              </w:rPr>
              <w:t>001-08929</w:t>
            </w:r>
          </w:p>
        </w:tc>
        <w:tc>
          <w:tcPr>
            <w:tcW w:w="100" w:type="dxa"/>
            <w:vAlign w:val="bottom"/>
            <w:tcBorders>
              <w:bottom w:val="single" w:sz="8" w:color="DCE2EF"/>
            </w:tcBorders>
            <w:shd w:val="clear" w:color="auto" w:fill="DCE2EF"/>
          </w:tcPr>
          <w:p>
            <w:pPr>
              <w:spacing w:after="0"/>
              <w:rPr>
                <w:sz w:val="17"/>
                <w:szCs w:val="17"/>
                <w:color w:val="auto"/>
              </w:rPr>
            </w:pPr>
          </w:p>
        </w:tc>
        <w:tc>
          <w:tcPr>
            <w:tcW w:w="920" w:type="dxa"/>
            <w:vAlign w:val="bottom"/>
            <w:tcBorders>
              <w:bottom w:val="single" w:sz="8" w:color="DCE2EF"/>
            </w:tcBorders>
            <w:shd w:val="clear" w:color="auto" w:fill="DCE2EF"/>
          </w:tcPr>
          <w:p>
            <w:pPr>
              <w:jc w:val="center"/>
              <w:spacing w:after="0" w:line="202" w:lineRule="exact"/>
              <w:rPr>
                <w:sz w:val="20"/>
                <w:szCs w:val="20"/>
                <w:color w:val="auto"/>
              </w:rPr>
            </w:pPr>
            <w:r>
              <w:rPr>
                <w:rFonts w:ascii="Arial" w:cs="Arial" w:eastAsia="Arial" w:hAnsi="Arial"/>
                <w:sz w:val="18"/>
                <w:szCs w:val="18"/>
                <w:color w:val="auto"/>
              </w:rPr>
              <w:t>10.3</w:t>
            </w:r>
          </w:p>
        </w:tc>
        <w:tc>
          <w:tcPr>
            <w:tcW w:w="100" w:type="dxa"/>
            <w:vAlign w:val="bottom"/>
            <w:tcBorders>
              <w:bottom w:val="single" w:sz="8" w:color="DCE2EF"/>
            </w:tcBorders>
            <w:shd w:val="clear" w:color="auto" w:fill="DCE2EF"/>
          </w:tcPr>
          <w:p>
            <w:pPr>
              <w:spacing w:after="0"/>
              <w:rPr>
                <w:sz w:val="17"/>
                <w:szCs w:val="17"/>
                <w:color w:val="auto"/>
              </w:rPr>
            </w:pPr>
          </w:p>
        </w:tc>
        <w:tc>
          <w:tcPr>
            <w:tcW w:w="2160" w:type="dxa"/>
            <w:vAlign w:val="bottom"/>
            <w:tcBorders>
              <w:bottom w:val="single" w:sz="8" w:color="DCE2EF"/>
            </w:tcBorders>
            <w:shd w:val="clear" w:color="auto" w:fill="DCE2EF"/>
          </w:tcPr>
          <w:p>
            <w:pPr>
              <w:jc w:val="center"/>
              <w:spacing w:after="0" w:line="202" w:lineRule="exact"/>
              <w:rPr>
                <w:sz w:val="20"/>
                <w:szCs w:val="20"/>
                <w:color w:val="auto"/>
              </w:rPr>
            </w:pPr>
            <w:r>
              <w:rPr>
                <w:rFonts w:ascii="Arial" w:cs="Arial" w:eastAsia="Arial" w:hAnsi="Arial"/>
                <w:sz w:val="18"/>
                <w:szCs w:val="18"/>
                <w:color w:val="auto"/>
              </w:rPr>
              <w:t>December 22, 2017</w:t>
            </w:r>
          </w:p>
        </w:tc>
      </w:tr>
      <w:tr>
        <w:trPr>
          <w:trHeight w:val="183"/>
        </w:trPr>
        <w:tc>
          <w:tcPr>
            <w:tcW w:w="1160" w:type="dxa"/>
            <w:vAlign w:val="bottom"/>
            <w:shd w:val="clear" w:color="auto" w:fill="DCE2EF"/>
          </w:tcPr>
          <w:p>
            <w:pPr>
              <w:spacing w:after="0"/>
              <w:rPr>
                <w:sz w:val="15"/>
                <w:szCs w:val="15"/>
                <w:color w:val="auto"/>
              </w:rPr>
            </w:pPr>
          </w:p>
        </w:tc>
        <w:tc>
          <w:tcPr>
            <w:tcW w:w="140" w:type="dxa"/>
            <w:vAlign w:val="bottom"/>
            <w:tcBorders>
              <w:right w:val="single" w:sz="8" w:color="DCE2EF"/>
            </w:tcBorders>
            <w:shd w:val="clear" w:color="auto" w:fill="DCE2EF"/>
          </w:tcPr>
          <w:p>
            <w:pPr>
              <w:spacing w:after="0"/>
              <w:rPr>
                <w:sz w:val="15"/>
                <w:szCs w:val="15"/>
                <w:color w:val="auto"/>
              </w:rPr>
            </w:pPr>
          </w:p>
        </w:tc>
        <w:tc>
          <w:tcPr>
            <w:tcW w:w="4780" w:type="dxa"/>
            <w:vAlign w:val="bottom"/>
            <w:gridSpan w:val="30"/>
            <w:shd w:val="clear" w:color="auto" w:fill="DCE2EF"/>
          </w:tcPr>
          <w:p>
            <w:pPr>
              <w:spacing w:after="0" w:line="182" w:lineRule="exact"/>
              <w:rPr>
                <w:rFonts w:ascii="Arial" w:cs="Arial" w:eastAsia="Arial" w:hAnsi="Arial"/>
                <w:sz w:val="18"/>
                <w:szCs w:val="18"/>
                <w:color w:val="0000FF"/>
              </w:rPr>
            </w:pPr>
            <w:hyperlink r:id="rId100">
              <w:r>
                <w:rPr>
                  <w:rFonts w:ascii="Arial" w:cs="Arial" w:eastAsia="Arial" w:hAnsi="Arial"/>
                  <w:sz w:val="18"/>
                  <w:szCs w:val="18"/>
                  <w:color w:val="0000FF"/>
                </w:rPr>
                <w:t>ABM Industries Incorporated and Bank of America, N.A.,</w:t>
              </w:r>
            </w:hyperlink>
          </w:p>
        </w:tc>
        <w:tc>
          <w:tcPr>
            <w:tcW w:w="70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124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92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2160" w:type="dxa"/>
            <w:vAlign w:val="bottom"/>
            <w:shd w:val="clear" w:color="auto" w:fill="DCE2EF"/>
          </w:tcPr>
          <w:p>
            <w:pPr>
              <w:spacing w:after="0"/>
              <w:rPr>
                <w:sz w:val="15"/>
                <w:szCs w:val="15"/>
                <w:color w:val="auto"/>
              </w:rPr>
            </w:pPr>
          </w:p>
        </w:tc>
      </w:tr>
      <w:tr>
        <w:trPr>
          <w:trHeight w:val="183"/>
        </w:trPr>
        <w:tc>
          <w:tcPr>
            <w:tcW w:w="1160" w:type="dxa"/>
            <w:vAlign w:val="bottom"/>
            <w:tcBorders>
              <w:top w:val="single" w:sz="8" w:color="DCE2EF"/>
              <w:bottom w:val="single" w:sz="8" w:color="DCE2EF"/>
            </w:tcBorders>
            <w:shd w:val="clear" w:color="auto" w:fill="DCE2EF"/>
          </w:tcPr>
          <w:p>
            <w:pPr>
              <w:spacing w:after="0"/>
              <w:rPr>
                <w:sz w:val="15"/>
                <w:szCs w:val="15"/>
                <w:color w:val="auto"/>
              </w:rPr>
            </w:pPr>
          </w:p>
        </w:tc>
        <w:tc>
          <w:tcPr>
            <w:tcW w:w="140" w:type="dxa"/>
            <w:vAlign w:val="bottom"/>
            <w:tcBorders>
              <w:top w:val="single" w:sz="8" w:color="DCE2EF"/>
              <w:bottom w:val="single" w:sz="8" w:color="DCE2EF"/>
              <w:right w:val="single" w:sz="8" w:color="DCE2EF"/>
            </w:tcBorders>
            <w:shd w:val="clear" w:color="auto" w:fill="DCE2EF"/>
          </w:tcPr>
          <w:p>
            <w:pPr>
              <w:spacing w:after="0"/>
              <w:rPr>
                <w:sz w:val="15"/>
                <w:szCs w:val="15"/>
                <w:color w:val="auto"/>
              </w:rPr>
            </w:pPr>
          </w:p>
        </w:tc>
        <w:tc>
          <w:tcPr>
            <w:tcW w:w="4500" w:type="dxa"/>
            <w:vAlign w:val="bottom"/>
            <w:tcBorders>
              <w:top w:val="single" w:sz="8" w:color="0000FF"/>
              <w:bottom w:val="single" w:sz="8" w:color="0000FF"/>
              <w:right w:val="single" w:sz="8" w:color="DCE2EF"/>
            </w:tcBorders>
            <w:gridSpan w:val="22"/>
            <w:shd w:val="clear" w:color="auto" w:fill="DCE2EF"/>
          </w:tcPr>
          <w:p>
            <w:pPr>
              <w:spacing w:after="0" w:line="182" w:lineRule="exact"/>
              <w:rPr>
                <w:rFonts w:ascii="Arial" w:cs="Arial" w:eastAsia="Arial" w:hAnsi="Arial"/>
                <w:sz w:val="18"/>
                <w:szCs w:val="18"/>
                <w:color w:val="0000FF"/>
                <w:w w:val="97"/>
              </w:rPr>
            </w:pPr>
            <w:hyperlink r:id="rId100">
              <w:r>
                <w:rPr>
                  <w:rFonts w:ascii="Arial" w:cs="Arial" w:eastAsia="Arial" w:hAnsi="Arial"/>
                  <w:sz w:val="18"/>
                  <w:szCs w:val="18"/>
                  <w:color w:val="0000FF"/>
                  <w:w w:val="97"/>
                </w:rPr>
                <w:t>as Swingline Lender with respect to the Credit Agreement</w:t>
              </w:r>
            </w:hyperlink>
          </w:p>
        </w:tc>
        <w:tc>
          <w:tcPr>
            <w:tcW w:w="100" w:type="dxa"/>
            <w:vAlign w:val="bottom"/>
            <w:tcBorders>
              <w:top w:val="single" w:sz="8" w:color="DCE2EF"/>
              <w:left w:val="single" w:sz="8" w:color="DCE2EF"/>
              <w:bottom w:val="single" w:sz="8" w:color="0000FF"/>
            </w:tcBorders>
            <w:gridSpan w:val="2"/>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160" w:type="dxa"/>
            <w:vAlign w:val="bottom"/>
            <w:tcBorders>
              <w:top w:val="single" w:sz="8" w:color="DCE2EF"/>
              <w:bottom w:val="single" w:sz="8" w:color="DCE2EF"/>
            </w:tcBorders>
            <w:gridSpan w:val="5"/>
            <w:shd w:val="clear" w:color="auto" w:fill="DCE2EF"/>
          </w:tcPr>
          <w:p>
            <w:pPr>
              <w:spacing w:after="0"/>
              <w:rPr>
                <w:sz w:val="15"/>
                <w:szCs w:val="15"/>
                <w:color w:val="auto"/>
              </w:rPr>
            </w:pPr>
          </w:p>
        </w:tc>
        <w:tc>
          <w:tcPr>
            <w:tcW w:w="700" w:type="dxa"/>
            <w:vAlign w:val="bottom"/>
            <w:tcBorders>
              <w:top w:val="single" w:sz="8" w:color="DCE2EF"/>
              <w:bottom w:val="single" w:sz="8" w:color="DCE2EF"/>
            </w:tcBorders>
            <w:shd w:val="clear" w:color="auto" w:fill="DCE2EF"/>
          </w:tcPr>
          <w:p>
            <w:pPr>
              <w:spacing w:after="0"/>
              <w:rPr>
                <w:sz w:val="15"/>
                <w:szCs w:val="15"/>
                <w:color w:val="auto"/>
              </w:rPr>
            </w:pPr>
          </w:p>
        </w:tc>
        <w:tc>
          <w:tcPr>
            <w:tcW w:w="120" w:type="dxa"/>
            <w:vAlign w:val="bottom"/>
            <w:tcBorders>
              <w:top w:val="single" w:sz="8" w:color="DCE2EF"/>
              <w:bottom w:val="single" w:sz="8" w:color="DCE2EF"/>
            </w:tcBorders>
            <w:shd w:val="clear" w:color="auto" w:fill="DCE2EF"/>
          </w:tcPr>
          <w:p>
            <w:pPr>
              <w:spacing w:after="0"/>
              <w:rPr>
                <w:sz w:val="15"/>
                <w:szCs w:val="15"/>
                <w:color w:val="auto"/>
              </w:rPr>
            </w:pPr>
          </w:p>
        </w:tc>
        <w:tc>
          <w:tcPr>
            <w:tcW w:w="1240" w:type="dxa"/>
            <w:vAlign w:val="bottom"/>
            <w:tcBorders>
              <w:top w:val="single" w:sz="8" w:color="DCE2EF"/>
              <w:bottom w:val="single" w:sz="8" w:color="DCE2EF"/>
            </w:tcBorders>
            <w:shd w:val="clear" w:color="auto" w:fill="DCE2EF"/>
          </w:tcPr>
          <w:p>
            <w:pPr>
              <w:spacing w:after="0"/>
              <w:rPr>
                <w:sz w:val="15"/>
                <w:szCs w:val="15"/>
                <w:color w:val="auto"/>
              </w:rPr>
            </w:pPr>
          </w:p>
        </w:tc>
        <w:tc>
          <w:tcPr>
            <w:tcW w:w="100" w:type="dxa"/>
            <w:vAlign w:val="bottom"/>
            <w:tcBorders>
              <w:top w:val="single" w:sz="8" w:color="DCE2EF"/>
              <w:bottom w:val="single" w:sz="8" w:color="DCE2EF"/>
            </w:tcBorders>
            <w:shd w:val="clear" w:color="auto" w:fill="DCE2EF"/>
          </w:tcPr>
          <w:p>
            <w:pPr>
              <w:spacing w:after="0"/>
              <w:rPr>
                <w:sz w:val="15"/>
                <w:szCs w:val="15"/>
                <w:color w:val="auto"/>
              </w:rPr>
            </w:pPr>
          </w:p>
        </w:tc>
        <w:tc>
          <w:tcPr>
            <w:tcW w:w="920" w:type="dxa"/>
            <w:vAlign w:val="bottom"/>
            <w:tcBorders>
              <w:top w:val="single" w:sz="8" w:color="DCE2EF"/>
              <w:bottom w:val="single" w:sz="8" w:color="DCE2EF"/>
            </w:tcBorders>
            <w:shd w:val="clear" w:color="auto" w:fill="DCE2EF"/>
          </w:tcPr>
          <w:p>
            <w:pPr>
              <w:spacing w:after="0"/>
              <w:rPr>
                <w:sz w:val="15"/>
                <w:szCs w:val="15"/>
                <w:color w:val="auto"/>
              </w:rPr>
            </w:pPr>
          </w:p>
        </w:tc>
        <w:tc>
          <w:tcPr>
            <w:tcW w:w="100" w:type="dxa"/>
            <w:vAlign w:val="bottom"/>
            <w:tcBorders>
              <w:top w:val="single" w:sz="8" w:color="DCE2EF"/>
              <w:bottom w:val="single" w:sz="8" w:color="DCE2EF"/>
            </w:tcBorders>
            <w:shd w:val="clear" w:color="auto" w:fill="DCE2EF"/>
          </w:tcPr>
          <w:p>
            <w:pPr>
              <w:spacing w:after="0"/>
              <w:rPr>
                <w:sz w:val="15"/>
                <w:szCs w:val="15"/>
                <w:color w:val="auto"/>
              </w:rPr>
            </w:pPr>
          </w:p>
        </w:tc>
        <w:tc>
          <w:tcPr>
            <w:tcW w:w="2160" w:type="dxa"/>
            <w:vAlign w:val="bottom"/>
            <w:tcBorders>
              <w:top w:val="single" w:sz="8" w:color="DCE2EF"/>
              <w:bottom w:val="single" w:sz="8" w:color="DCE2EF"/>
            </w:tcBorders>
            <w:shd w:val="clear" w:color="auto" w:fill="DCE2EF"/>
          </w:tcPr>
          <w:p>
            <w:pPr>
              <w:spacing w:after="0"/>
              <w:rPr>
                <w:sz w:val="15"/>
                <w:szCs w:val="15"/>
                <w:color w:val="auto"/>
              </w:rPr>
            </w:pPr>
          </w:p>
        </w:tc>
      </w:tr>
      <w:tr>
        <w:trPr>
          <w:trHeight w:val="183"/>
        </w:trPr>
        <w:tc>
          <w:tcPr>
            <w:tcW w:w="1160" w:type="dxa"/>
            <w:vAlign w:val="bottom"/>
            <w:shd w:val="clear" w:color="auto" w:fill="DCE2EF"/>
          </w:tcPr>
          <w:p>
            <w:pPr>
              <w:spacing w:after="0"/>
              <w:rPr>
                <w:sz w:val="15"/>
                <w:szCs w:val="15"/>
                <w:color w:val="auto"/>
              </w:rPr>
            </w:pPr>
          </w:p>
        </w:tc>
        <w:tc>
          <w:tcPr>
            <w:tcW w:w="140" w:type="dxa"/>
            <w:vAlign w:val="bottom"/>
            <w:tcBorders>
              <w:right w:val="single" w:sz="8" w:color="DCE2EF"/>
            </w:tcBorders>
            <w:shd w:val="clear" w:color="auto" w:fill="DCE2EF"/>
          </w:tcPr>
          <w:p>
            <w:pPr>
              <w:spacing w:after="0"/>
              <w:rPr>
                <w:sz w:val="15"/>
                <w:szCs w:val="15"/>
                <w:color w:val="auto"/>
              </w:rPr>
            </w:pPr>
          </w:p>
        </w:tc>
        <w:tc>
          <w:tcPr>
            <w:tcW w:w="4600" w:type="dxa"/>
            <w:vAlign w:val="bottom"/>
            <w:gridSpan w:val="24"/>
            <w:shd w:val="clear" w:color="auto" w:fill="DCE2EF"/>
          </w:tcPr>
          <w:p>
            <w:pPr>
              <w:spacing w:after="0" w:line="182" w:lineRule="exact"/>
              <w:rPr>
                <w:rFonts w:ascii="Arial" w:cs="Arial" w:eastAsia="Arial" w:hAnsi="Arial"/>
                <w:sz w:val="18"/>
                <w:szCs w:val="18"/>
                <w:color w:val="0000FF"/>
              </w:rPr>
            </w:pPr>
            <w:hyperlink r:id="rId100">
              <w:r>
                <w:rPr>
                  <w:rFonts w:ascii="Arial" w:cs="Arial" w:eastAsia="Arial" w:hAnsi="Arial"/>
                  <w:sz w:val="18"/>
                  <w:szCs w:val="18"/>
                  <w:color w:val="0000FF"/>
                </w:rPr>
                <w:t>dated as of September 1, 2017, among ABM Industries</w:t>
              </w:r>
            </w:hyperlink>
          </w:p>
        </w:tc>
        <w:tc>
          <w:tcPr>
            <w:tcW w:w="20" w:type="dxa"/>
            <w:vAlign w:val="bottom"/>
            <w:shd w:val="clear" w:color="auto" w:fill="DCE2EF"/>
          </w:tcPr>
          <w:p>
            <w:pPr>
              <w:spacing w:after="0"/>
              <w:rPr>
                <w:sz w:val="15"/>
                <w:szCs w:val="15"/>
                <w:color w:val="auto"/>
              </w:rPr>
            </w:pPr>
          </w:p>
        </w:tc>
        <w:tc>
          <w:tcPr>
            <w:tcW w:w="160" w:type="dxa"/>
            <w:vAlign w:val="bottom"/>
            <w:gridSpan w:val="5"/>
            <w:shd w:val="clear" w:color="auto" w:fill="DCE2EF"/>
          </w:tcPr>
          <w:p>
            <w:pPr>
              <w:spacing w:after="0"/>
              <w:rPr>
                <w:sz w:val="15"/>
                <w:szCs w:val="15"/>
                <w:color w:val="auto"/>
              </w:rPr>
            </w:pPr>
          </w:p>
        </w:tc>
        <w:tc>
          <w:tcPr>
            <w:tcW w:w="70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124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92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2160" w:type="dxa"/>
            <w:vAlign w:val="bottom"/>
            <w:shd w:val="clear" w:color="auto" w:fill="DCE2EF"/>
          </w:tcPr>
          <w:p>
            <w:pPr>
              <w:spacing w:after="0"/>
              <w:rPr>
                <w:sz w:val="15"/>
                <w:szCs w:val="15"/>
                <w:color w:val="auto"/>
              </w:rPr>
            </w:pPr>
          </w:p>
        </w:tc>
      </w:tr>
      <w:tr>
        <w:trPr>
          <w:trHeight w:val="183"/>
        </w:trPr>
        <w:tc>
          <w:tcPr>
            <w:tcW w:w="1160" w:type="dxa"/>
            <w:vAlign w:val="bottom"/>
            <w:tcBorders>
              <w:top w:val="single" w:sz="8" w:color="DCE2EF"/>
            </w:tcBorders>
            <w:shd w:val="clear" w:color="auto" w:fill="DCE2EF"/>
          </w:tcPr>
          <w:p>
            <w:pPr>
              <w:spacing w:after="0"/>
              <w:rPr>
                <w:sz w:val="15"/>
                <w:szCs w:val="15"/>
                <w:color w:val="auto"/>
              </w:rPr>
            </w:pPr>
          </w:p>
        </w:tc>
        <w:tc>
          <w:tcPr>
            <w:tcW w:w="140" w:type="dxa"/>
            <w:vAlign w:val="bottom"/>
            <w:tcBorders>
              <w:top w:val="single" w:sz="8" w:color="DCE2EF"/>
              <w:right w:val="single" w:sz="8" w:color="DCE2EF"/>
            </w:tcBorders>
            <w:shd w:val="clear" w:color="auto" w:fill="DCE2EF"/>
          </w:tcPr>
          <w:p>
            <w:pPr>
              <w:spacing w:after="0"/>
              <w:rPr>
                <w:sz w:val="15"/>
                <w:szCs w:val="15"/>
                <w:color w:val="auto"/>
              </w:rPr>
            </w:pPr>
          </w:p>
        </w:tc>
        <w:tc>
          <w:tcPr>
            <w:tcW w:w="4500" w:type="dxa"/>
            <w:vAlign w:val="bottom"/>
            <w:tcBorders>
              <w:top w:val="single" w:sz="8" w:color="0000FF"/>
              <w:right w:val="single" w:sz="8" w:color="DCE2EF"/>
            </w:tcBorders>
            <w:gridSpan w:val="22"/>
            <w:shd w:val="clear" w:color="auto" w:fill="DCE2EF"/>
          </w:tcPr>
          <w:p>
            <w:pPr>
              <w:spacing w:after="0" w:line="182" w:lineRule="exact"/>
              <w:rPr>
                <w:rFonts w:ascii="Arial" w:cs="Arial" w:eastAsia="Arial" w:hAnsi="Arial"/>
                <w:sz w:val="18"/>
                <w:szCs w:val="18"/>
                <w:color w:val="0000FF"/>
              </w:rPr>
            </w:pPr>
            <w:hyperlink r:id="rId100">
              <w:r>
                <w:rPr>
                  <w:rFonts w:ascii="Arial" w:cs="Arial" w:eastAsia="Arial" w:hAnsi="Arial"/>
                  <w:sz w:val="18"/>
                  <w:szCs w:val="18"/>
                  <w:color w:val="0000FF"/>
                </w:rPr>
                <w:t>Incorporated, the Designated Borrowers party thereto,</w:t>
              </w:r>
            </w:hyperlink>
          </w:p>
        </w:tc>
        <w:tc>
          <w:tcPr>
            <w:tcW w:w="280" w:type="dxa"/>
            <w:vAlign w:val="bottom"/>
            <w:tcBorders>
              <w:top w:val="single" w:sz="8" w:color="DCE2EF"/>
              <w:left w:val="single" w:sz="8" w:color="DCE2EF"/>
            </w:tcBorders>
            <w:gridSpan w:val="8"/>
            <w:shd w:val="clear" w:color="auto" w:fill="DCE2EF"/>
          </w:tcPr>
          <w:p>
            <w:pPr>
              <w:spacing w:after="0" w:line="182" w:lineRule="exact"/>
              <w:rPr>
                <w:rFonts w:ascii="Arial" w:cs="Arial" w:eastAsia="Arial" w:hAnsi="Arial"/>
                <w:sz w:val="18"/>
                <w:szCs w:val="18"/>
                <w:color w:val="0000FF"/>
              </w:rPr>
            </w:pPr>
            <w:hyperlink r:id="rId100">
              <w:r>
                <w:rPr>
                  <w:rFonts w:ascii="Arial" w:cs="Arial" w:eastAsia="Arial" w:hAnsi="Arial"/>
                  <w:sz w:val="18"/>
                  <w:szCs w:val="18"/>
                  <w:color w:val="0000FF"/>
                </w:rPr>
                <w:t>the</w:t>
              </w:r>
            </w:hyperlink>
          </w:p>
        </w:tc>
        <w:tc>
          <w:tcPr>
            <w:tcW w:w="700" w:type="dxa"/>
            <w:vAlign w:val="bottom"/>
            <w:tcBorders>
              <w:top w:val="single" w:sz="8" w:color="DCE2EF"/>
            </w:tcBorders>
            <w:shd w:val="clear" w:color="auto" w:fill="DCE2EF"/>
          </w:tcPr>
          <w:p>
            <w:pPr>
              <w:spacing w:after="0"/>
              <w:rPr>
                <w:sz w:val="15"/>
                <w:szCs w:val="15"/>
                <w:color w:val="auto"/>
              </w:rPr>
            </w:pPr>
          </w:p>
        </w:tc>
        <w:tc>
          <w:tcPr>
            <w:tcW w:w="120" w:type="dxa"/>
            <w:vAlign w:val="bottom"/>
            <w:tcBorders>
              <w:top w:val="single" w:sz="8" w:color="DCE2EF"/>
            </w:tcBorders>
            <w:shd w:val="clear" w:color="auto" w:fill="DCE2EF"/>
          </w:tcPr>
          <w:p>
            <w:pPr>
              <w:spacing w:after="0"/>
              <w:rPr>
                <w:sz w:val="15"/>
                <w:szCs w:val="15"/>
                <w:color w:val="auto"/>
              </w:rPr>
            </w:pPr>
          </w:p>
        </w:tc>
        <w:tc>
          <w:tcPr>
            <w:tcW w:w="1240" w:type="dxa"/>
            <w:vAlign w:val="bottom"/>
            <w:tcBorders>
              <w:top w:val="single" w:sz="8" w:color="DCE2EF"/>
            </w:tcBorders>
            <w:shd w:val="clear" w:color="auto" w:fill="DCE2EF"/>
          </w:tcPr>
          <w:p>
            <w:pPr>
              <w:spacing w:after="0"/>
              <w:rPr>
                <w:sz w:val="15"/>
                <w:szCs w:val="15"/>
                <w:color w:val="auto"/>
              </w:rPr>
            </w:pPr>
          </w:p>
        </w:tc>
        <w:tc>
          <w:tcPr>
            <w:tcW w:w="100" w:type="dxa"/>
            <w:vAlign w:val="bottom"/>
            <w:tcBorders>
              <w:top w:val="single" w:sz="8" w:color="DCE2EF"/>
            </w:tcBorders>
            <w:shd w:val="clear" w:color="auto" w:fill="DCE2EF"/>
          </w:tcPr>
          <w:p>
            <w:pPr>
              <w:spacing w:after="0"/>
              <w:rPr>
                <w:sz w:val="15"/>
                <w:szCs w:val="15"/>
                <w:color w:val="auto"/>
              </w:rPr>
            </w:pPr>
          </w:p>
        </w:tc>
        <w:tc>
          <w:tcPr>
            <w:tcW w:w="920" w:type="dxa"/>
            <w:vAlign w:val="bottom"/>
            <w:tcBorders>
              <w:top w:val="single" w:sz="8" w:color="DCE2EF"/>
            </w:tcBorders>
            <w:shd w:val="clear" w:color="auto" w:fill="DCE2EF"/>
          </w:tcPr>
          <w:p>
            <w:pPr>
              <w:spacing w:after="0"/>
              <w:rPr>
                <w:sz w:val="15"/>
                <w:szCs w:val="15"/>
                <w:color w:val="auto"/>
              </w:rPr>
            </w:pPr>
          </w:p>
        </w:tc>
        <w:tc>
          <w:tcPr>
            <w:tcW w:w="100" w:type="dxa"/>
            <w:vAlign w:val="bottom"/>
            <w:tcBorders>
              <w:top w:val="single" w:sz="8" w:color="DCE2EF"/>
            </w:tcBorders>
            <w:shd w:val="clear" w:color="auto" w:fill="DCE2EF"/>
          </w:tcPr>
          <w:p>
            <w:pPr>
              <w:spacing w:after="0"/>
              <w:rPr>
                <w:sz w:val="15"/>
                <w:szCs w:val="15"/>
                <w:color w:val="auto"/>
              </w:rPr>
            </w:pPr>
          </w:p>
        </w:tc>
        <w:tc>
          <w:tcPr>
            <w:tcW w:w="2160" w:type="dxa"/>
            <w:vAlign w:val="bottom"/>
            <w:tcBorders>
              <w:top w:val="single" w:sz="8" w:color="DCE2EF"/>
            </w:tcBorders>
            <w:shd w:val="clear" w:color="auto" w:fill="DCE2EF"/>
          </w:tcPr>
          <w:p>
            <w:pPr>
              <w:spacing w:after="0"/>
              <w:rPr>
                <w:sz w:val="15"/>
                <w:szCs w:val="15"/>
                <w:color w:val="auto"/>
              </w:rPr>
            </w:pPr>
          </w:p>
        </w:tc>
      </w:tr>
      <w:tr>
        <w:trPr>
          <w:trHeight w:val="183"/>
        </w:trPr>
        <w:tc>
          <w:tcPr>
            <w:tcW w:w="1160" w:type="dxa"/>
            <w:vAlign w:val="bottom"/>
            <w:tcBorders>
              <w:top w:val="single" w:sz="8" w:color="DCE2EF"/>
            </w:tcBorders>
            <w:shd w:val="clear" w:color="auto" w:fill="DCE2EF"/>
          </w:tcPr>
          <w:p>
            <w:pPr>
              <w:spacing w:after="0"/>
              <w:rPr>
                <w:sz w:val="15"/>
                <w:szCs w:val="15"/>
                <w:color w:val="auto"/>
              </w:rPr>
            </w:pPr>
          </w:p>
        </w:tc>
        <w:tc>
          <w:tcPr>
            <w:tcW w:w="140" w:type="dxa"/>
            <w:vAlign w:val="bottom"/>
            <w:tcBorders>
              <w:top w:val="single" w:sz="8" w:color="DCE2EF"/>
              <w:right w:val="single" w:sz="8" w:color="DCE2EF"/>
            </w:tcBorders>
            <w:shd w:val="clear" w:color="auto" w:fill="DCE2EF"/>
          </w:tcPr>
          <w:p>
            <w:pPr>
              <w:spacing w:after="0"/>
              <w:rPr>
                <w:sz w:val="15"/>
                <w:szCs w:val="15"/>
                <w:color w:val="auto"/>
              </w:rPr>
            </w:pPr>
          </w:p>
        </w:tc>
        <w:tc>
          <w:tcPr>
            <w:tcW w:w="4620" w:type="dxa"/>
            <w:vAlign w:val="bottom"/>
            <w:tcBorders>
              <w:top w:val="single" w:sz="8" w:color="0000FF"/>
            </w:tcBorders>
            <w:gridSpan w:val="25"/>
            <w:shd w:val="clear" w:color="auto" w:fill="DCE2EF"/>
          </w:tcPr>
          <w:p>
            <w:pPr>
              <w:spacing w:after="0" w:line="182" w:lineRule="exact"/>
              <w:rPr>
                <w:rFonts w:ascii="Arial" w:cs="Arial" w:eastAsia="Arial" w:hAnsi="Arial"/>
                <w:sz w:val="18"/>
                <w:szCs w:val="18"/>
                <w:color w:val="0000FF"/>
              </w:rPr>
            </w:pPr>
            <w:hyperlink r:id="rId100">
              <w:r>
                <w:rPr>
                  <w:rFonts w:ascii="Arial" w:cs="Arial" w:eastAsia="Arial" w:hAnsi="Arial"/>
                  <w:sz w:val="18"/>
                  <w:szCs w:val="18"/>
                  <w:color w:val="0000FF"/>
                </w:rPr>
                <w:t>Lenders party thereto and Bank of America, N.A., as</w:t>
              </w:r>
            </w:hyperlink>
          </w:p>
        </w:tc>
        <w:tc>
          <w:tcPr>
            <w:tcW w:w="160" w:type="dxa"/>
            <w:vAlign w:val="bottom"/>
            <w:tcBorders>
              <w:top w:val="single" w:sz="8" w:color="DCE2EF"/>
            </w:tcBorders>
            <w:gridSpan w:val="5"/>
            <w:shd w:val="clear" w:color="auto" w:fill="DCE2EF"/>
          </w:tcPr>
          <w:p>
            <w:pPr>
              <w:spacing w:after="0"/>
              <w:rPr>
                <w:sz w:val="15"/>
                <w:szCs w:val="15"/>
                <w:color w:val="auto"/>
              </w:rPr>
            </w:pPr>
          </w:p>
        </w:tc>
        <w:tc>
          <w:tcPr>
            <w:tcW w:w="700" w:type="dxa"/>
            <w:vAlign w:val="bottom"/>
            <w:tcBorders>
              <w:top w:val="single" w:sz="8" w:color="DCE2EF"/>
            </w:tcBorders>
            <w:shd w:val="clear" w:color="auto" w:fill="DCE2EF"/>
          </w:tcPr>
          <w:p>
            <w:pPr>
              <w:spacing w:after="0"/>
              <w:rPr>
                <w:sz w:val="15"/>
                <w:szCs w:val="15"/>
                <w:color w:val="auto"/>
              </w:rPr>
            </w:pPr>
          </w:p>
        </w:tc>
        <w:tc>
          <w:tcPr>
            <w:tcW w:w="120" w:type="dxa"/>
            <w:vAlign w:val="bottom"/>
            <w:tcBorders>
              <w:top w:val="single" w:sz="8" w:color="DCE2EF"/>
            </w:tcBorders>
            <w:shd w:val="clear" w:color="auto" w:fill="DCE2EF"/>
          </w:tcPr>
          <w:p>
            <w:pPr>
              <w:spacing w:after="0"/>
              <w:rPr>
                <w:sz w:val="15"/>
                <w:szCs w:val="15"/>
                <w:color w:val="auto"/>
              </w:rPr>
            </w:pPr>
          </w:p>
        </w:tc>
        <w:tc>
          <w:tcPr>
            <w:tcW w:w="1240" w:type="dxa"/>
            <w:vAlign w:val="bottom"/>
            <w:tcBorders>
              <w:top w:val="single" w:sz="8" w:color="DCE2EF"/>
            </w:tcBorders>
            <w:shd w:val="clear" w:color="auto" w:fill="DCE2EF"/>
          </w:tcPr>
          <w:p>
            <w:pPr>
              <w:spacing w:after="0"/>
              <w:rPr>
                <w:sz w:val="15"/>
                <w:szCs w:val="15"/>
                <w:color w:val="auto"/>
              </w:rPr>
            </w:pPr>
          </w:p>
        </w:tc>
        <w:tc>
          <w:tcPr>
            <w:tcW w:w="100" w:type="dxa"/>
            <w:vAlign w:val="bottom"/>
            <w:tcBorders>
              <w:top w:val="single" w:sz="8" w:color="DCE2EF"/>
            </w:tcBorders>
            <w:shd w:val="clear" w:color="auto" w:fill="DCE2EF"/>
          </w:tcPr>
          <w:p>
            <w:pPr>
              <w:spacing w:after="0"/>
              <w:rPr>
                <w:sz w:val="15"/>
                <w:szCs w:val="15"/>
                <w:color w:val="auto"/>
              </w:rPr>
            </w:pPr>
          </w:p>
        </w:tc>
        <w:tc>
          <w:tcPr>
            <w:tcW w:w="920" w:type="dxa"/>
            <w:vAlign w:val="bottom"/>
            <w:tcBorders>
              <w:top w:val="single" w:sz="8" w:color="DCE2EF"/>
            </w:tcBorders>
            <w:shd w:val="clear" w:color="auto" w:fill="DCE2EF"/>
          </w:tcPr>
          <w:p>
            <w:pPr>
              <w:spacing w:after="0"/>
              <w:rPr>
                <w:sz w:val="15"/>
                <w:szCs w:val="15"/>
                <w:color w:val="auto"/>
              </w:rPr>
            </w:pPr>
          </w:p>
        </w:tc>
        <w:tc>
          <w:tcPr>
            <w:tcW w:w="100" w:type="dxa"/>
            <w:vAlign w:val="bottom"/>
            <w:tcBorders>
              <w:top w:val="single" w:sz="8" w:color="DCE2EF"/>
            </w:tcBorders>
            <w:shd w:val="clear" w:color="auto" w:fill="DCE2EF"/>
          </w:tcPr>
          <w:p>
            <w:pPr>
              <w:spacing w:after="0"/>
              <w:rPr>
                <w:sz w:val="15"/>
                <w:szCs w:val="15"/>
                <w:color w:val="auto"/>
              </w:rPr>
            </w:pPr>
          </w:p>
        </w:tc>
        <w:tc>
          <w:tcPr>
            <w:tcW w:w="2160" w:type="dxa"/>
            <w:vAlign w:val="bottom"/>
            <w:tcBorders>
              <w:top w:val="single" w:sz="8" w:color="DCE2EF"/>
            </w:tcBorders>
            <w:shd w:val="clear" w:color="auto" w:fill="DCE2EF"/>
          </w:tcPr>
          <w:p>
            <w:pPr>
              <w:spacing w:after="0"/>
              <w:rPr>
                <w:sz w:val="15"/>
                <w:szCs w:val="15"/>
                <w:color w:val="auto"/>
              </w:rPr>
            </w:pPr>
          </w:p>
        </w:tc>
      </w:tr>
      <w:tr>
        <w:trPr>
          <w:trHeight w:val="217"/>
        </w:trPr>
        <w:tc>
          <w:tcPr>
            <w:tcW w:w="1160" w:type="dxa"/>
            <w:vAlign w:val="bottom"/>
            <w:tcBorders>
              <w:top w:val="single" w:sz="8" w:color="DCE2EF"/>
              <w:bottom w:val="single" w:sz="8" w:color="DCE2EF"/>
            </w:tcBorders>
            <w:shd w:val="clear" w:color="auto" w:fill="DCE2EF"/>
          </w:tcPr>
          <w:p>
            <w:pPr>
              <w:spacing w:after="0"/>
              <w:rPr>
                <w:sz w:val="18"/>
                <w:szCs w:val="18"/>
                <w:color w:val="auto"/>
              </w:rPr>
            </w:pPr>
          </w:p>
        </w:tc>
        <w:tc>
          <w:tcPr>
            <w:tcW w:w="140" w:type="dxa"/>
            <w:vAlign w:val="bottom"/>
            <w:tcBorders>
              <w:top w:val="single" w:sz="8" w:color="DCE2EF"/>
              <w:bottom w:val="single" w:sz="8" w:color="DCE2EF"/>
              <w:right w:val="single" w:sz="8" w:color="DCE2EF"/>
            </w:tcBorders>
            <w:shd w:val="clear" w:color="auto" w:fill="DCE2EF"/>
          </w:tcPr>
          <w:p>
            <w:pPr>
              <w:spacing w:after="0"/>
              <w:rPr>
                <w:sz w:val="18"/>
                <w:szCs w:val="18"/>
                <w:color w:val="auto"/>
              </w:rPr>
            </w:pPr>
          </w:p>
        </w:tc>
        <w:tc>
          <w:tcPr>
            <w:tcW w:w="1620" w:type="dxa"/>
            <w:vAlign w:val="bottom"/>
            <w:tcBorders>
              <w:top w:val="single" w:sz="8" w:color="0000FF"/>
              <w:bottom w:val="single" w:sz="8" w:color="0000FF"/>
            </w:tcBorders>
            <w:shd w:val="clear" w:color="auto" w:fill="DCE2EF"/>
          </w:tcPr>
          <w:p>
            <w:pPr>
              <w:spacing w:after="0" w:line="182" w:lineRule="exact"/>
              <w:rPr>
                <w:rFonts w:ascii="Arial" w:cs="Arial" w:eastAsia="Arial" w:hAnsi="Arial"/>
                <w:sz w:val="18"/>
                <w:szCs w:val="18"/>
                <w:color w:val="0000FF"/>
                <w:w w:val="99"/>
              </w:rPr>
            </w:pPr>
            <w:hyperlink r:id="rId100">
              <w:r>
                <w:rPr>
                  <w:rFonts w:ascii="Arial" w:cs="Arial" w:eastAsia="Arial" w:hAnsi="Arial"/>
                  <w:sz w:val="18"/>
                  <w:szCs w:val="18"/>
                  <w:color w:val="0000FF"/>
                  <w:w w:val="99"/>
                </w:rPr>
                <w:t>administrative agent</w:t>
              </w:r>
            </w:hyperlink>
          </w:p>
        </w:tc>
        <w:tc>
          <w:tcPr>
            <w:tcW w:w="2580" w:type="dxa"/>
            <w:vAlign w:val="bottom"/>
            <w:tcBorders>
              <w:top w:val="single" w:sz="8" w:color="0000FF"/>
              <w:bottom w:val="single" w:sz="8" w:color="DCE2EF"/>
              <w:right w:val="single" w:sz="8" w:color="DCE2EF"/>
            </w:tcBorders>
            <w:gridSpan w:val="13"/>
            <w:shd w:val="clear" w:color="auto" w:fill="DCE2EF"/>
          </w:tcPr>
          <w:p>
            <w:pPr>
              <w:spacing w:after="0"/>
              <w:rPr>
                <w:sz w:val="18"/>
                <w:szCs w:val="18"/>
                <w:color w:val="auto"/>
              </w:rPr>
            </w:pPr>
          </w:p>
        </w:tc>
        <w:tc>
          <w:tcPr>
            <w:tcW w:w="300" w:type="dxa"/>
            <w:vAlign w:val="bottom"/>
            <w:tcBorders>
              <w:top w:val="single" w:sz="8" w:color="DCE2EF"/>
              <w:bottom w:val="single" w:sz="8" w:color="DCE2EF"/>
              <w:right w:val="single" w:sz="8" w:color="DCE2EF"/>
            </w:tcBorders>
            <w:gridSpan w:val="8"/>
            <w:shd w:val="clear" w:color="auto" w:fill="DCE2EF"/>
          </w:tcPr>
          <w:p>
            <w:pPr>
              <w:spacing w:after="0"/>
              <w:rPr>
                <w:sz w:val="18"/>
                <w:szCs w:val="18"/>
                <w:color w:val="auto"/>
              </w:rPr>
            </w:pPr>
          </w:p>
        </w:tc>
        <w:tc>
          <w:tcPr>
            <w:tcW w:w="280" w:type="dxa"/>
            <w:vAlign w:val="bottom"/>
            <w:tcBorders>
              <w:top w:val="single" w:sz="8" w:color="DCE2EF"/>
              <w:left w:val="single" w:sz="8" w:color="DCE2EF"/>
              <w:bottom w:val="single" w:sz="8" w:color="DCE2EF"/>
            </w:tcBorders>
            <w:gridSpan w:val="8"/>
            <w:shd w:val="clear" w:color="auto" w:fill="DCE2EF"/>
          </w:tcPr>
          <w:p>
            <w:pPr>
              <w:spacing w:after="0"/>
              <w:rPr>
                <w:sz w:val="18"/>
                <w:szCs w:val="18"/>
                <w:color w:val="auto"/>
              </w:rPr>
            </w:pPr>
          </w:p>
        </w:tc>
        <w:tc>
          <w:tcPr>
            <w:tcW w:w="700" w:type="dxa"/>
            <w:vAlign w:val="bottom"/>
            <w:tcBorders>
              <w:top w:val="single" w:sz="8" w:color="DCE2EF"/>
              <w:bottom w:val="single" w:sz="8" w:color="DCE2EF"/>
            </w:tcBorders>
            <w:shd w:val="clear" w:color="auto" w:fill="DCE2EF"/>
          </w:tcPr>
          <w:p>
            <w:pPr>
              <w:spacing w:after="0"/>
              <w:rPr>
                <w:sz w:val="18"/>
                <w:szCs w:val="18"/>
                <w:color w:val="auto"/>
              </w:rPr>
            </w:pPr>
          </w:p>
        </w:tc>
        <w:tc>
          <w:tcPr>
            <w:tcW w:w="120" w:type="dxa"/>
            <w:vAlign w:val="bottom"/>
            <w:tcBorders>
              <w:top w:val="single" w:sz="8" w:color="DCE2EF"/>
              <w:bottom w:val="single" w:sz="8" w:color="DCE2EF"/>
            </w:tcBorders>
            <w:shd w:val="clear" w:color="auto" w:fill="DCE2EF"/>
          </w:tcPr>
          <w:p>
            <w:pPr>
              <w:spacing w:after="0"/>
              <w:rPr>
                <w:sz w:val="18"/>
                <w:szCs w:val="18"/>
                <w:color w:val="auto"/>
              </w:rPr>
            </w:pPr>
          </w:p>
        </w:tc>
        <w:tc>
          <w:tcPr>
            <w:tcW w:w="1240" w:type="dxa"/>
            <w:vAlign w:val="bottom"/>
            <w:tcBorders>
              <w:top w:val="single" w:sz="8" w:color="DCE2EF"/>
              <w:bottom w:val="single" w:sz="8" w:color="DCE2EF"/>
            </w:tcBorders>
            <w:shd w:val="clear" w:color="auto" w:fill="DCE2EF"/>
          </w:tcPr>
          <w:p>
            <w:pPr>
              <w:spacing w:after="0"/>
              <w:rPr>
                <w:sz w:val="18"/>
                <w:szCs w:val="18"/>
                <w:color w:val="auto"/>
              </w:rPr>
            </w:pPr>
          </w:p>
        </w:tc>
        <w:tc>
          <w:tcPr>
            <w:tcW w:w="100" w:type="dxa"/>
            <w:vAlign w:val="bottom"/>
            <w:tcBorders>
              <w:top w:val="single" w:sz="8" w:color="DCE2EF"/>
              <w:bottom w:val="single" w:sz="8" w:color="DCE2EF"/>
            </w:tcBorders>
            <w:shd w:val="clear" w:color="auto" w:fill="DCE2EF"/>
          </w:tcPr>
          <w:p>
            <w:pPr>
              <w:spacing w:after="0"/>
              <w:rPr>
                <w:sz w:val="18"/>
                <w:szCs w:val="18"/>
                <w:color w:val="auto"/>
              </w:rPr>
            </w:pPr>
          </w:p>
        </w:tc>
        <w:tc>
          <w:tcPr>
            <w:tcW w:w="920" w:type="dxa"/>
            <w:vAlign w:val="bottom"/>
            <w:tcBorders>
              <w:top w:val="single" w:sz="8" w:color="DCE2EF"/>
              <w:bottom w:val="single" w:sz="8" w:color="DCE2EF"/>
            </w:tcBorders>
            <w:shd w:val="clear" w:color="auto" w:fill="DCE2EF"/>
          </w:tcPr>
          <w:p>
            <w:pPr>
              <w:spacing w:after="0"/>
              <w:rPr>
                <w:sz w:val="18"/>
                <w:szCs w:val="18"/>
                <w:color w:val="auto"/>
              </w:rPr>
            </w:pPr>
          </w:p>
        </w:tc>
        <w:tc>
          <w:tcPr>
            <w:tcW w:w="100" w:type="dxa"/>
            <w:vAlign w:val="bottom"/>
            <w:tcBorders>
              <w:top w:val="single" w:sz="8" w:color="DCE2EF"/>
              <w:bottom w:val="single" w:sz="8" w:color="DCE2EF"/>
            </w:tcBorders>
            <w:shd w:val="clear" w:color="auto" w:fill="DCE2EF"/>
          </w:tcPr>
          <w:p>
            <w:pPr>
              <w:spacing w:after="0"/>
              <w:rPr>
                <w:sz w:val="18"/>
                <w:szCs w:val="18"/>
                <w:color w:val="auto"/>
              </w:rPr>
            </w:pPr>
          </w:p>
        </w:tc>
        <w:tc>
          <w:tcPr>
            <w:tcW w:w="2160" w:type="dxa"/>
            <w:vAlign w:val="bottom"/>
            <w:tcBorders>
              <w:top w:val="single" w:sz="8" w:color="DCE2EF"/>
              <w:bottom w:val="single" w:sz="8" w:color="DCE2EF"/>
            </w:tcBorders>
            <w:shd w:val="clear" w:color="auto" w:fill="DCE2EF"/>
          </w:tcPr>
          <w:p>
            <w:pPr>
              <w:spacing w:after="0"/>
              <w:rPr>
                <w:sz w:val="18"/>
                <w:szCs w:val="18"/>
                <w:color w:val="auto"/>
              </w:rPr>
            </w:pPr>
          </w:p>
        </w:tc>
      </w:tr>
      <w:tr>
        <w:trPr>
          <w:trHeight w:val="203"/>
        </w:trPr>
        <w:tc>
          <w:tcPr>
            <w:tcW w:w="1160" w:type="dxa"/>
            <w:vAlign w:val="bottom"/>
          </w:tcPr>
          <w:p>
            <w:pPr>
              <w:ind w:left="40"/>
              <w:spacing w:after="0" w:line="202" w:lineRule="exact"/>
              <w:rPr>
                <w:sz w:val="20"/>
                <w:szCs w:val="20"/>
                <w:color w:val="auto"/>
              </w:rPr>
            </w:pPr>
            <w:r>
              <w:rPr>
                <w:rFonts w:ascii="Arial" w:cs="Arial" w:eastAsia="Arial" w:hAnsi="Arial"/>
                <w:sz w:val="18"/>
                <w:szCs w:val="18"/>
                <w:color w:val="auto"/>
              </w:rPr>
              <w:t>10.4</w:t>
            </w:r>
          </w:p>
        </w:tc>
        <w:tc>
          <w:tcPr>
            <w:tcW w:w="140" w:type="dxa"/>
            <w:vAlign w:val="bottom"/>
          </w:tcPr>
          <w:p>
            <w:pPr>
              <w:spacing w:after="0"/>
              <w:rPr>
                <w:sz w:val="17"/>
                <w:szCs w:val="17"/>
                <w:color w:val="auto"/>
              </w:rPr>
            </w:pPr>
          </w:p>
        </w:tc>
        <w:tc>
          <w:tcPr>
            <w:tcW w:w="4780" w:type="dxa"/>
            <w:vAlign w:val="bottom"/>
            <w:gridSpan w:val="30"/>
          </w:tcPr>
          <w:p>
            <w:pPr>
              <w:spacing w:after="0" w:line="202" w:lineRule="exact"/>
              <w:rPr>
                <w:rFonts w:ascii="Arial" w:cs="Arial" w:eastAsia="Arial" w:hAnsi="Arial"/>
                <w:sz w:val="18"/>
                <w:szCs w:val="18"/>
                <w:color w:val="0000FF"/>
              </w:rPr>
            </w:pPr>
            <w:hyperlink r:id="rId101">
              <w:r>
                <w:rPr>
                  <w:rFonts w:ascii="Arial" w:cs="Arial" w:eastAsia="Arial" w:hAnsi="Arial"/>
                  <w:sz w:val="18"/>
                  <w:szCs w:val="18"/>
                  <w:color w:val="0000FF"/>
                </w:rPr>
                <w:t>First Amendment, dated as of July 3, 2018, to the Credit</w:t>
              </w:r>
            </w:hyperlink>
          </w:p>
        </w:tc>
        <w:tc>
          <w:tcPr>
            <w:tcW w:w="82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rPr>
              <w:t>10-Q</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001-08929</w:t>
            </w:r>
          </w:p>
        </w:tc>
        <w:tc>
          <w:tcPr>
            <w:tcW w:w="100" w:type="dxa"/>
            <w:vAlign w:val="bottom"/>
          </w:tcPr>
          <w:p>
            <w:pPr>
              <w:spacing w:after="0"/>
              <w:rPr>
                <w:sz w:val="17"/>
                <w:szCs w:val="17"/>
                <w:color w:val="auto"/>
              </w:rPr>
            </w:pP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7"/>
                <w:szCs w:val="17"/>
                <w:color w:val="auto"/>
              </w:rPr>
            </w:pPr>
          </w:p>
        </w:tc>
        <w:tc>
          <w:tcPr>
            <w:tcW w:w="2160" w:type="dxa"/>
            <w:vAlign w:val="bottom"/>
          </w:tcPr>
          <w:p>
            <w:pPr>
              <w:jc w:val="center"/>
              <w:spacing w:after="0" w:line="202" w:lineRule="exact"/>
              <w:rPr>
                <w:sz w:val="20"/>
                <w:szCs w:val="20"/>
                <w:color w:val="auto"/>
              </w:rPr>
            </w:pPr>
            <w:r>
              <w:rPr>
                <w:rFonts w:ascii="Arial" w:cs="Arial" w:eastAsia="Arial" w:hAnsi="Arial"/>
                <w:sz w:val="18"/>
                <w:szCs w:val="18"/>
                <w:color w:val="auto"/>
                <w:w w:val="99"/>
              </w:rPr>
              <w:t>September 7, 2018</w:t>
            </w:r>
          </w:p>
        </w:tc>
      </w:tr>
      <w:tr>
        <w:trPr>
          <w:trHeight w:val="183"/>
        </w:trPr>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500" w:type="dxa"/>
            <w:vAlign w:val="bottom"/>
            <w:tcBorders>
              <w:top w:val="single" w:sz="8" w:color="0000FF"/>
            </w:tcBorders>
            <w:gridSpan w:val="22"/>
          </w:tcPr>
          <w:p>
            <w:pPr>
              <w:spacing w:after="0" w:line="182" w:lineRule="exact"/>
              <w:rPr>
                <w:rFonts w:ascii="Arial" w:cs="Arial" w:eastAsia="Arial" w:hAnsi="Arial"/>
                <w:sz w:val="18"/>
                <w:szCs w:val="18"/>
                <w:color w:val="0000FF"/>
              </w:rPr>
            </w:pPr>
            <w:hyperlink r:id="rId101">
              <w:r>
                <w:rPr>
                  <w:rFonts w:ascii="Arial" w:cs="Arial" w:eastAsia="Arial" w:hAnsi="Arial"/>
                  <w:sz w:val="18"/>
                  <w:szCs w:val="18"/>
                  <w:color w:val="0000FF"/>
                </w:rPr>
                <w:t>Agreement dated September 1, 2017, by and among</w:t>
              </w:r>
            </w:hyperlink>
          </w:p>
        </w:tc>
        <w:tc>
          <w:tcPr>
            <w:tcW w:w="280" w:type="dxa"/>
            <w:vAlign w:val="bottom"/>
            <w:gridSpan w:val="8"/>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ind w:left="1300"/>
        <w:spacing w:after="0"/>
        <w:rPr>
          <w:rFonts w:ascii="Arial" w:cs="Arial" w:eastAsia="Arial" w:hAnsi="Arial"/>
          <w:sz w:val="18"/>
          <w:szCs w:val="18"/>
          <w:u w:val="single" w:color="auto"/>
          <w:color w:val="0000FF"/>
        </w:rPr>
      </w:pPr>
      <w:hyperlink r:id="rId101">
        <w:r>
          <w:rPr>
            <w:rFonts w:ascii="Arial" w:cs="Arial" w:eastAsia="Arial" w:hAnsi="Arial"/>
            <w:sz w:val="18"/>
            <w:szCs w:val="18"/>
            <w:u w:val="single" w:color="auto"/>
            <w:color w:val="0000FF"/>
          </w:rPr>
          <w:t>ABM Industries Incorporated, a Delaware corporation, the</w:t>
        </w:r>
      </w:hyperlink>
    </w:p>
    <w:p>
      <w:pPr>
        <w:spacing w:after="0" w:line="4" w:lineRule="exact"/>
        <w:rPr>
          <w:sz w:val="20"/>
          <w:szCs w:val="20"/>
          <w:color w:val="auto"/>
        </w:rPr>
      </w:pPr>
    </w:p>
    <w:p>
      <w:pPr>
        <w:ind w:left="1300"/>
        <w:spacing w:after="0"/>
        <w:rPr>
          <w:rFonts w:ascii="Arial" w:cs="Arial" w:eastAsia="Arial" w:hAnsi="Arial"/>
          <w:sz w:val="18"/>
          <w:szCs w:val="18"/>
          <w:u w:val="single" w:color="auto"/>
          <w:color w:val="0000FF"/>
        </w:rPr>
      </w:pPr>
      <w:hyperlink r:id="rId101">
        <w:r>
          <w:rPr>
            <w:rFonts w:ascii="Arial" w:cs="Arial" w:eastAsia="Arial" w:hAnsi="Arial"/>
            <w:sz w:val="18"/>
            <w:szCs w:val="18"/>
            <w:u w:val="single" w:color="auto"/>
            <w:color w:val="0000FF"/>
          </w:rPr>
          <w:t>Designated Borrowers identified on the signature pages</w:t>
        </w:r>
      </w:hyperlink>
    </w:p>
    <w:p>
      <w:pPr>
        <w:ind w:left="1300"/>
        <w:spacing w:after="0" w:line="234" w:lineRule="auto"/>
        <w:rPr>
          <w:rFonts w:ascii="Arial" w:cs="Arial" w:eastAsia="Arial" w:hAnsi="Arial"/>
          <w:sz w:val="18"/>
          <w:szCs w:val="18"/>
          <w:u w:val="single" w:color="auto"/>
          <w:color w:val="0000FF"/>
        </w:rPr>
      </w:pPr>
      <w:hyperlink r:id="rId101">
        <w:r>
          <w:rPr>
            <w:rFonts w:ascii="Arial" w:cs="Arial" w:eastAsia="Arial" w:hAnsi="Arial"/>
            <w:sz w:val="18"/>
            <w:szCs w:val="18"/>
            <w:u w:val="single" w:color="auto"/>
            <w:color w:val="0000FF"/>
          </w:rPr>
          <w:t>thereto, the Guarantors identified on the signature pages</w:t>
        </w:r>
      </w:hyperlink>
    </w:p>
    <w:p>
      <w:pPr>
        <w:ind w:left="1300"/>
        <w:spacing w:after="0" w:line="235" w:lineRule="auto"/>
        <w:rPr>
          <w:rFonts w:ascii="Arial" w:cs="Arial" w:eastAsia="Arial" w:hAnsi="Arial"/>
          <w:sz w:val="18"/>
          <w:szCs w:val="18"/>
          <w:u w:val="single" w:color="auto"/>
          <w:color w:val="0000FF"/>
        </w:rPr>
      </w:pPr>
      <w:hyperlink r:id="rId101">
        <w:r>
          <w:rPr>
            <w:rFonts w:ascii="Arial" w:cs="Arial" w:eastAsia="Arial" w:hAnsi="Arial"/>
            <w:sz w:val="18"/>
            <w:szCs w:val="18"/>
            <w:u w:val="single" w:color="auto"/>
            <w:color w:val="0000FF"/>
          </w:rPr>
          <w:t>thereto, the Lenders identified on the signature pages</w:t>
        </w:r>
      </w:hyperlink>
    </w:p>
    <w:p>
      <w:pPr>
        <w:ind w:left="1300"/>
        <w:spacing w:after="0" w:line="235" w:lineRule="auto"/>
        <w:rPr>
          <w:rFonts w:ascii="Arial" w:cs="Arial" w:eastAsia="Arial" w:hAnsi="Arial"/>
          <w:sz w:val="18"/>
          <w:szCs w:val="18"/>
          <w:u w:val="single" w:color="auto"/>
          <w:color w:val="0000FF"/>
        </w:rPr>
      </w:pPr>
      <w:hyperlink r:id="rId101">
        <w:r>
          <w:rPr>
            <w:rFonts w:ascii="Arial" w:cs="Arial" w:eastAsia="Arial" w:hAnsi="Arial"/>
            <w:sz w:val="18"/>
            <w:szCs w:val="18"/>
            <w:u w:val="single" w:color="auto"/>
            <w:color w:val="0000FF"/>
          </w:rPr>
          <w:t>thereto, and Bank of America, N.A., as administrative</w:t>
        </w:r>
      </w:hyperlink>
    </w:p>
    <w:p>
      <w:pPr>
        <w:spacing w:after="0" w:line="1" w:lineRule="exact"/>
        <w:rPr>
          <w:sz w:val="20"/>
          <w:szCs w:val="20"/>
          <w:color w:val="auto"/>
        </w:rPr>
      </w:pPr>
    </w:p>
    <w:p>
      <w:pPr>
        <w:ind w:left="1300"/>
        <w:spacing w:after="0"/>
        <w:rPr>
          <w:rFonts w:ascii="Arial" w:cs="Arial" w:eastAsia="Arial" w:hAnsi="Arial"/>
          <w:sz w:val="18"/>
          <w:szCs w:val="18"/>
          <w:u w:val="single" w:color="auto"/>
          <w:color w:val="0000FF"/>
        </w:rPr>
      </w:pPr>
      <w:hyperlink r:id="rId101">
        <w:r>
          <w:rPr>
            <w:rFonts w:ascii="Arial" w:cs="Arial" w:eastAsia="Arial" w:hAnsi="Arial"/>
            <w:sz w:val="18"/>
            <w:szCs w:val="18"/>
            <w:u w:val="single" w:color="auto"/>
            <w:color w:val="0000FF"/>
          </w:rPr>
          <w:t>agent</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93" w:right="2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07"/>
        </w:trPr>
        <w:tc>
          <w:tcPr>
            <w:tcW w:w="1300" w:type="dxa"/>
            <w:vAlign w:val="bottom"/>
            <w:shd w:val="clear" w:color="auto" w:fill="DCE2EF"/>
          </w:tcPr>
          <w:p>
            <w:pPr>
              <w:ind w:left="40"/>
              <w:spacing w:after="0"/>
              <w:rPr>
                <w:sz w:val="20"/>
                <w:szCs w:val="20"/>
                <w:color w:val="auto"/>
              </w:rPr>
            </w:pPr>
            <w:r>
              <w:rPr>
                <w:rFonts w:ascii="Arial" w:cs="Arial" w:eastAsia="Arial" w:hAnsi="Arial"/>
                <w:sz w:val="18"/>
                <w:szCs w:val="18"/>
                <w:color w:val="auto"/>
              </w:rPr>
              <w:t>10.5</w:t>
            </w:r>
          </w:p>
        </w:tc>
        <w:tc>
          <w:tcPr>
            <w:tcW w:w="4780" w:type="dxa"/>
            <w:vAlign w:val="bottom"/>
            <w:gridSpan w:val="42"/>
            <w:shd w:val="clear" w:color="auto" w:fill="DCE2EF"/>
          </w:tcPr>
          <w:p>
            <w:pPr>
              <w:spacing w:after="0"/>
              <w:rPr>
                <w:rFonts w:ascii="Arial" w:cs="Arial" w:eastAsia="Arial" w:hAnsi="Arial"/>
                <w:sz w:val="18"/>
                <w:szCs w:val="18"/>
                <w:color w:val="0000FF"/>
              </w:rPr>
            </w:pPr>
            <w:hyperlink r:id="rId102">
              <w:r>
                <w:rPr>
                  <w:rFonts w:ascii="Arial" w:cs="Arial" w:eastAsia="Arial" w:hAnsi="Arial"/>
                  <w:sz w:val="18"/>
                  <w:szCs w:val="18"/>
                  <w:color w:val="0000FF"/>
                </w:rPr>
                <w:t>Second Amendment, dated as of September 5, 2018, to</w:t>
              </w:r>
            </w:hyperlink>
          </w:p>
        </w:tc>
        <w:tc>
          <w:tcPr>
            <w:tcW w:w="780" w:type="dxa"/>
            <w:vAlign w:val="bottom"/>
            <w:shd w:val="clear" w:color="auto" w:fill="DCE2EF"/>
          </w:tcPr>
          <w:p>
            <w:pPr>
              <w:jc w:val="center"/>
              <w:spacing w:after="0"/>
              <w:rPr>
                <w:sz w:val="20"/>
                <w:szCs w:val="20"/>
                <w:color w:val="auto"/>
              </w:rPr>
            </w:pPr>
            <w:r>
              <w:rPr>
                <w:rFonts w:ascii="Arial" w:cs="Arial" w:eastAsia="Arial" w:hAnsi="Arial"/>
                <w:sz w:val="18"/>
                <w:szCs w:val="18"/>
                <w:color w:val="auto"/>
              </w:rPr>
              <w:t>10-Q</w:t>
            </w:r>
          </w:p>
        </w:tc>
        <w:tc>
          <w:tcPr>
            <w:tcW w:w="136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shd w:val="clear" w:color="auto" w:fill="DCE2EF"/>
          </w:tcPr>
          <w:p>
            <w:pPr>
              <w:jc w:val="center"/>
              <w:spacing w:after="0"/>
              <w:rPr>
                <w:sz w:val="20"/>
                <w:szCs w:val="20"/>
                <w:color w:val="auto"/>
              </w:rPr>
            </w:pPr>
            <w:r>
              <w:rPr>
                <w:rFonts w:ascii="Arial" w:cs="Arial" w:eastAsia="Arial" w:hAnsi="Arial"/>
                <w:sz w:val="18"/>
                <w:szCs w:val="18"/>
                <w:color w:val="auto"/>
              </w:rPr>
              <w:t>10.2</w:t>
            </w:r>
          </w:p>
        </w:tc>
        <w:tc>
          <w:tcPr>
            <w:tcW w:w="2180" w:type="dxa"/>
            <w:vAlign w:val="bottom"/>
            <w:shd w:val="clear" w:color="auto" w:fill="DCE2EF"/>
          </w:tcPr>
          <w:p>
            <w:pPr>
              <w:jc w:val="center"/>
              <w:spacing w:after="0"/>
              <w:rPr>
                <w:sz w:val="20"/>
                <w:szCs w:val="20"/>
                <w:color w:val="auto"/>
              </w:rPr>
            </w:pPr>
            <w:r>
              <w:rPr>
                <w:rFonts w:ascii="Arial" w:cs="Arial" w:eastAsia="Arial" w:hAnsi="Arial"/>
                <w:sz w:val="18"/>
                <w:szCs w:val="18"/>
                <w:color w:val="auto"/>
                <w:w w:val="99"/>
              </w:rPr>
              <w:t>September 7, 2018</w:t>
            </w:r>
          </w:p>
        </w:tc>
      </w:tr>
      <w:tr>
        <w:trPr>
          <w:trHeight w:val="183"/>
        </w:trPr>
        <w:tc>
          <w:tcPr>
            <w:tcW w:w="1300" w:type="dxa"/>
            <w:vAlign w:val="bottom"/>
            <w:tcBorders>
              <w:top w:val="single" w:sz="8" w:color="DCE2EF"/>
            </w:tcBorders>
            <w:shd w:val="clear" w:color="auto" w:fill="DCE2EF"/>
          </w:tcPr>
          <w:p>
            <w:pPr>
              <w:spacing w:after="0"/>
              <w:rPr>
                <w:sz w:val="15"/>
                <w:szCs w:val="15"/>
                <w:color w:val="auto"/>
              </w:rPr>
            </w:pPr>
          </w:p>
        </w:tc>
        <w:tc>
          <w:tcPr>
            <w:tcW w:w="4480" w:type="dxa"/>
            <w:vAlign w:val="bottom"/>
            <w:tcBorders>
              <w:top w:val="single" w:sz="8" w:color="0000FF"/>
            </w:tcBorders>
            <w:gridSpan w:val="32"/>
            <w:shd w:val="clear" w:color="auto" w:fill="DCE2EF"/>
          </w:tcPr>
          <w:p>
            <w:pPr>
              <w:spacing w:after="0" w:line="182" w:lineRule="exact"/>
              <w:rPr>
                <w:rFonts w:ascii="Arial" w:cs="Arial" w:eastAsia="Arial" w:hAnsi="Arial"/>
                <w:sz w:val="18"/>
                <w:szCs w:val="18"/>
                <w:color w:val="0000FF"/>
              </w:rPr>
            </w:pPr>
            <w:hyperlink r:id="rId102">
              <w:r>
                <w:rPr>
                  <w:rFonts w:ascii="Arial" w:cs="Arial" w:eastAsia="Arial" w:hAnsi="Arial"/>
                  <w:sz w:val="18"/>
                  <w:szCs w:val="18"/>
                  <w:color w:val="0000FF"/>
                </w:rPr>
                <w:t>the Credit Agreement dated September 1, 2017, by and</w:t>
              </w:r>
            </w:hyperlink>
          </w:p>
        </w:tc>
        <w:tc>
          <w:tcPr>
            <w:tcW w:w="20" w:type="dxa"/>
            <w:vAlign w:val="bottom"/>
            <w:tcBorders>
              <w:top w:val="single" w:sz="8" w:color="DCE2EF"/>
            </w:tcBorders>
            <w:shd w:val="clear" w:color="auto" w:fill="DCE2EF"/>
          </w:tcPr>
          <w:p>
            <w:pPr>
              <w:spacing w:after="0"/>
              <w:rPr>
                <w:sz w:val="15"/>
                <w:szCs w:val="15"/>
                <w:color w:val="auto"/>
              </w:rPr>
            </w:pPr>
          </w:p>
        </w:tc>
        <w:tc>
          <w:tcPr>
            <w:tcW w:w="20" w:type="dxa"/>
            <w:vAlign w:val="bottom"/>
            <w:tcBorders>
              <w:top w:val="single" w:sz="8" w:color="DCE2EF"/>
            </w:tcBorders>
            <w:shd w:val="clear" w:color="auto" w:fill="DCE2EF"/>
          </w:tcPr>
          <w:p>
            <w:pPr>
              <w:spacing w:after="0"/>
              <w:rPr>
                <w:sz w:val="15"/>
                <w:szCs w:val="15"/>
                <w:color w:val="auto"/>
              </w:rPr>
            </w:pPr>
          </w:p>
        </w:tc>
        <w:tc>
          <w:tcPr>
            <w:tcW w:w="20" w:type="dxa"/>
            <w:vAlign w:val="bottom"/>
            <w:tcBorders>
              <w:top w:val="single" w:sz="8" w:color="DCE2EF"/>
            </w:tcBorders>
            <w:shd w:val="clear" w:color="auto" w:fill="DCE2EF"/>
          </w:tcPr>
          <w:p>
            <w:pPr>
              <w:spacing w:after="0"/>
              <w:rPr>
                <w:sz w:val="15"/>
                <w:szCs w:val="15"/>
                <w:color w:val="auto"/>
              </w:rPr>
            </w:pPr>
          </w:p>
        </w:tc>
        <w:tc>
          <w:tcPr>
            <w:tcW w:w="20" w:type="dxa"/>
            <w:vAlign w:val="bottom"/>
            <w:tcBorders>
              <w:top w:val="single" w:sz="8" w:color="DCE2EF"/>
            </w:tcBorders>
            <w:shd w:val="clear" w:color="auto" w:fill="DCE2EF"/>
          </w:tcPr>
          <w:p>
            <w:pPr>
              <w:spacing w:after="0"/>
              <w:rPr>
                <w:sz w:val="15"/>
                <w:szCs w:val="15"/>
                <w:color w:val="auto"/>
              </w:rPr>
            </w:pPr>
          </w:p>
        </w:tc>
        <w:tc>
          <w:tcPr>
            <w:tcW w:w="20" w:type="dxa"/>
            <w:vAlign w:val="bottom"/>
            <w:tcBorders>
              <w:top w:val="single" w:sz="8" w:color="DCE2EF"/>
            </w:tcBorders>
            <w:shd w:val="clear" w:color="auto" w:fill="DCE2EF"/>
          </w:tcPr>
          <w:p>
            <w:pPr>
              <w:spacing w:after="0"/>
              <w:rPr>
                <w:sz w:val="15"/>
                <w:szCs w:val="15"/>
                <w:color w:val="auto"/>
              </w:rPr>
            </w:pPr>
          </w:p>
        </w:tc>
        <w:tc>
          <w:tcPr>
            <w:tcW w:w="20" w:type="dxa"/>
            <w:vAlign w:val="bottom"/>
            <w:tcBorders>
              <w:top w:val="single" w:sz="8" w:color="DCE2EF"/>
            </w:tcBorders>
            <w:shd w:val="clear" w:color="auto" w:fill="DCE2EF"/>
          </w:tcPr>
          <w:p>
            <w:pPr>
              <w:spacing w:after="0"/>
              <w:rPr>
                <w:sz w:val="15"/>
                <w:szCs w:val="15"/>
                <w:color w:val="auto"/>
              </w:rPr>
            </w:pPr>
          </w:p>
        </w:tc>
        <w:tc>
          <w:tcPr>
            <w:tcW w:w="20" w:type="dxa"/>
            <w:vAlign w:val="bottom"/>
            <w:tcBorders>
              <w:top w:val="single" w:sz="8" w:color="DCE2EF"/>
            </w:tcBorders>
            <w:shd w:val="clear" w:color="auto" w:fill="DCE2EF"/>
          </w:tcPr>
          <w:p>
            <w:pPr>
              <w:spacing w:after="0"/>
              <w:rPr>
                <w:sz w:val="15"/>
                <w:szCs w:val="15"/>
                <w:color w:val="auto"/>
              </w:rPr>
            </w:pPr>
          </w:p>
        </w:tc>
        <w:tc>
          <w:tcPr>
            <w:tcW w:w="20" w:type="dxa"/>
            <w:vAlign w:val="bottom"/>
            <w:tcBorders>
              <w:top w:val="single" w:sz="8" w:color="DCE2EF"/>
            </w:tcBorders>
            <w:shd w:val="clear" w:color="auto" w:fill="DCE2EF"/>
          </w:tcPr>
          <w:p>
            <w:pPr>
              <w:spacing w:after="0"/>
              <w:rPr>
                <w:sz w:val="15"/>
                <w:szCs w:val="15"/>
                <w:color w:val="auto"/>
              </w:rPr>
            </w:pPr>
          </w:p>
        </w:tc>
        <w:tc>
          <w:tcPr>
            <w:tcW w:w="20" w:type="dxa"/>
            <w:vAlign w:val="bottom"/>
            <w:tcBorders>
              <w:top w:val="single" w:sz="8" w:color="DCE2EF"/>
            </w:tcBorders>
            <w:shd w:val="clear" w:color="auto" w:fill="DCE2EF"/>
          </w:tcPr>
          <w:p>
            <w:pPr>
              <w:spacing w:after="0"/>
              <w:rPr>
                <w:sz w:val="15"/>
                <w:szCs w:val="15"/>
                <w:color w:val="auto"/>
              </w:rPr>
            </w:pPr>
          </w:p>
        </w:tc>
        <w:tc>
          <w:tcPr>
            <w:tcW w:w="120" w:type="dxa"/>
            <w:vAlign w:val="bottom"/>
            <w:tcBorders>
              <w:top w:val="single" w:sz="8" w:color="DCE2EF"/>
            </w:tcBorders>
            <w:shd w:val="clear" w:color="auto" w:fill="DCE2EF"/>
          </w:tcPr>
          <w:p>
            <w:pPr>
              <w:spacing w:after="0"/>
              <w:rPr>
                <w:sz w:val="15"/>
                <w:szCs w:val="15"/>
                <w:color w:val="auto"/>
              </w:rPr>
            </w:pPr>
          </w:p>
        </w:tc>
        <w:tc>
          <w:tcPr>
            <w:tcW w:w="780" w:type="dxa"/>
            <w:vAlign w:val="bottom"/>
            <w:tcBorders>
              <w:top w:val="single" w:sz="8" w:color="DCE2EF"/>
            </w:tcBorders>
            <w:shd w:val="clear" w:color="auto" w:fill="DCE2EF"/>
          </w:tcPr>
          <w:p>
            <w:pPr>
              <w:spacing w:after="0"/>
              <w:rPr>
                <w:sz w:val="15"/>
                <w:szCs w:val="15"/>
                <w:color w:val="auto"/>
              </w:rPr>
            </w:pPr>
          </w:p>
        </w:tc>
        <w:tc>
          <w:tcPr>
            <w:tcW w:w="1360" w:type="dxa"/>
            <w:vAlign w:val="bottom"/>
            <w:tcBorders>
              <w:top w:val="single" w:sz="8" w:color="DCE2EF"/>
            </w:tcBorders>
            <w:shd w:val="clear" w:color="auto" w:fill="DCE2EF"/>
          </w:tcPr>
          <w:p>
            <w:pPr>
              <w:spacing w:after="0"/>
              <w:rPr>
                <w:sz w:val="15"/>
                <w:szCs w:val="15"/>
                <w:color w:val="auto"/>
              </w:rPr>
            </w:pPr>
          </w:p>
        </w:tc>
        <w:tc>
          <w:tcPr>
            <w:tcW w:w="1020" w:type="dxa"/>
            <w:vAlign w:val="bottom"/>
            <w:tcBorders>
              <w:top w:val="single" w:sz="8" w:color="DCE2EF"/>
            </w:tcBorders>
            <w:shd w:val="clear" w:color="auto" w:fill="DCE2EF"/>
          </w:tcPr>
          <w:p>
            <w:pPr>
              <w:spacing w:after="0"/>
              <w:rPr>
                <w:sz w:val="15"/>
                <w:szCs w:val="15"/>
                <w:color w:val="auto"/>
              </w:rPr>
            </w:pPr>
          </w:p>
        </w:tc>
        <w:tc>
          <w:tcPr>
            <w:tcW w:w="2180" w:type="dxa"/>
            <w:vAlign w:val="bottom"/>
            <w:tcBorders>
              <w:top w:val="single" w:sz="8" w:color="DCE2EF"/>
            </w:tcBorders>
            <w:shd w:val="clear" w:color="auto" w:fill="DCE2EF"/>
          </w:tcPr>
          <w:p>
            <w:pPr>
              <w:spacing w:after="0"/>
              <w:rPr>
                <w:sz w:val="15"/>
                <w:szCs w:val="15"/>
                <w:color w:val="auto"/>
              </w:rPr>
            </w:pPr>
          </w:p>
        </w:tc>
      </w:tr>
      <w:tr>
        <w:trPr>
          <w:trHeight w:val="183"/>
        </w:trPr>
        <w:tc>
          <w:tcPr>
            <w:tcW w:w="1300" w:type="dxa"/>
            <w:vAlign w:val="bottom"/>
            <w:tcBorders>
              <w:top w:val="single" w:sz="8" w:color="DCE2EF"/>
            </w:tcBorders>
            <w:shd w:val="clear" w:color="auto" w:fill="DCE2EF"/>
          </w:tcPr>
          <w:p>
            <w:pPr>
              <w:spacing w:after="0"/>
              <w:rPr>
                <w:sz w:val="15"/>
                <w:szCs w:val="15"/>
                <w:color w:val="auto"/>
              </w:rPr>
            </w:pPr>
          </w:p>
        </w:tc>
        <w:tc>
          <w:tcPr>
            <w:tcW w:w="4460" w:type="dxa"/>
            <w:vAlign w:val="bottom"/>
            <w:tcBorders>
              <w:top w:val="single" w:sz="8" w:color="0000FF"/>
            </w:tcBorders>
            <w:gridSpan w:val="31"/>
            <w:shd w:val="clear" w:color="auto" w:fill="DCE2EF"/>
          </w:tcPr>
          <w:p>
            <w:pPr>
              <w:spacing w:after="0" w:line="182" w:lineRule="exact"/>
              <w:rPr>
                <w:rFonts w:ascii="Arial" w:cs="Arial" w:eastAsia="Arial" w:hAnsi="Arial"/>
                <w:sz w:val="18"/>
                <w:szCs w:val="18"/>
                <w:color w:val="0000FF"/>
              </w:rPr>
            </w:pPr>
            <w:hyperlink r:id="rId102">
              <w:r>
                <w:rPr>
                  <w:rFonts w:ascii="Arial" w:cs="Arial" w:eastAsia="Arial" w:hAnsi="Arial"/>
                  <w:sz w:val="18"/>
                  <w:szCs w:val="18"/>
                  <w:color w:val="0000FF"/>
                </w:rPr>
                <w:t>among ABM Industries Incorporated, a Delaware</w:t>
              </w:r>
            </w:hyperlink>
          </w:p>
        </w:tc>
        <w:tc>
          <w:tcPr>
            <w:tcW w:w="40" w:type="dxa"/>
            <w:vAlign w:val="bottom"/>
            <w:tcBorders>
              <w:top w:val="single" w:sz="8" w:color="DCE2EF"/>
            </w:tcBorders>
            <w:gridSpan w:val="2"/>
            <w:shd w:val="clear" w:color="auto" w:fill="DCE2EF"/>
          </w:tcPr>
          <w:p>
            <w:pPr>
              <w:spacing w:after="0"/>
              <w:rPr>
                <w:sz w:val="15"/>
                <w:szCs w:val="15"/>
                <w:color w:val="auto"/>
              </w:rPr>
            </w:pPr>
          </w:p>
        </w:tc>
        <w:tc>
          <w:tcPr>
            <w:tcW w:w="20" w:type="dxa"/>
            <w:vAlign w:val="bottom"/>
            <w:tcBorders>
              <w:top w:val="single" w:sz="8" w:color="DCE2EF"/>
            </w:tcBorders>
            <w:shd w:val="clear" w:color="auto" w:fill="DCE2EF"/>
          </w:tcPr>
          <w:p>
            <w:pPr>
              <w:spacing w:after="0"/>
              <w:rPr>
                <w:sz w:val="15"/>
                <w:szCs w:val="15"/>
                <w:color w:val="auto"/>
              </w:rPr>
            </w:pPr>
          </w:p>
        </w:tc>
        <w:tc>
          <w:tcPr>
            <w:tcW w:w="20" w:type="dxa"/>
            <w:vAlign w:val="bottom"/>
            <w:tcBorders>
              <w:top w:val="single" w:sz="8" w:color="DCE2EF"/>
            </w:tcBorders>
            <w:shd w:val="clear" w:color="auto" w:fill="DCE2EF"/>
          </w:tcPr>
          <w:p>
            <w:pPr>
              <w:spacing w:after="0"/>
              <w:rPr>
                <w:sz w:val="15"/>
                <w:szCs w:val="15"/>
                <w:color w:val="auto"/>
              </w:rPr>
            </w:pPr>
          </w:p>
        </w:tc>
        <w:tc>
          <w:tcPr>
            <w:tcW w:w="20" w:type="dxa"/>
            <w:vAlign w:val="bottom"/>
            <w:tcBorders>
              <w:top w:val="single" w:sz="8" w:color="DCE2EF"/>
            </w:tcBorders>
            <w:shd w:val="clear" w:color="auto" w:fill="DCE2EF"/>
          </w:tcPr>
          <w:p>
            <w:pPr>
              <w:spacing w:after="0"/>
              <w:rPr>
                <w:sz w:val="15"/>
                <w:szCs w:val="15"/>
                <w:color w:val="auto"/>
              </w:rPr>
            </w:pPr>
          </w:p>
        </w:tc>
        <w:tc>
          <w:tcPr>
            <w:tcW w:w="20" w:type="dxa"/>
            <w:vAlign w:val="bottom"/>
            <w:tcBorders>
              <w:top w:val="single" w:sz="8" w:color="DCE2EF"/>
            </w:tcBorders>
            <w:shd w:val="clear" w:color="auto" w:fill="DCE2EF"/>
          </w:tcPr>
          <w:p>
            <w:pPr>
              <w:spacing w:after="0"/>
              <w:rPr>
                <w:sz w:val="15"/>
                <w:szCs w:val="15"/>
                <w:color w:val="auto"/>
              </w:rPr>
            </w:pPr>
          </w:p>
        </w:tc>
        <w:tc>
          <w:tcPr>
            <w:tcW w:w="20" w:type="dxa"/>
            <w:vAlign w:val="bottom"/>
            <w:tcBorders>
              <w:top w:val="single" w:sz="8" w:color="DCE2EF"/>
            </w:tcBorders>
            <w:shd w:val="clear" w:color="auto" w:fill="DCE2EF"/>
          </w:tcPr>
          <w:p>
            <w:pPr>
              <w:spacing w:after="0"/>
              <w:rPr>
                <w:sz w:val="15"/>
                <w:szCs w:val="15"/>
                <w:color w:val="auto"/>
              </w:rPr>
            </w:pPr>
          </w:p>
        </w:tc>
        <w:tc>
          <w:tcPr>
            <w:tcW w:w="20" w:type="dxa"/>
            <w:vAlign w:val="bottom"/>
            <w:tcBorders>
              <w:top w:val="single" w:sz="8" w:color="DCE2EF"/>
            </w:tcBorders>
            <w:shd w:val="clear" w:color="auto" w:fill="DCE2EF"/>
          </w:tcPr>
          <w:p>
            <w:pPr>
              <w:spacing w:after="0"/>
              <w:rPr>
                <w:sz w:val="15"/>
                <w:szCs w:val="15"/>
                <w:color w:val="auto"/>
              </w:rPr>
            </w:pPr>
          </w:p>
        </w:tc>
        <w:tc>
          <w:tcPr>
            <w:tcW w:w="20" w:type="dxa"/>
            <w:vAlign w:val="bottom"/>
            <w:tcBorders>
              <w:top w:val="single" w:sz="8" w:color="DCE2EF"/>
            </w:tcBorders>
            <w:shd w:val="clear" w:color="auto" w:fill="DCE2EF"/>
          </w:tcPr>
          <w:p>
            <w:pPr>
              <w:spacing w:after="0"/>
              <w:rPr>
                <w:sz w:val="15"/>
                <w:szCs w:val="15"/>
                <w:color w:val="auto"/>
              </w:rPr>
            </w:pPr>
          </w:p>
        </w:tc>
        <w:tc>
          <w:tcPr>
            <w:tcW w:w="20" w:type="dxa"/>
            <w:vAlign w:val="bottom"/>
            <w:tcBorders>
              <w:top w:val="single" w:sz="8" w:color="DCE2EF"/>
            </w:tcBorders>
            <w:shd w:val="clear" w:color="auto" w:fill="DCE2EF"/>
          </w:tcPr>
          <w:p>
            <w:pPr>
              <w:spacing w:after="0"/>
              <w:rPr>
                <w:sz w:val="15"/>
                <w:szCs w:val="15"/>
                <w:color w:val="auto"/>
              </w:rPr>
            </w:pPr>
          </w:p>
        </w:tc>
        <w:tc>
          <w:tcPr>
            <w:tcW w:w="120" w:type="dxa"/>
            <w:vAlign w:val="bottom"/>
            <w:tcBorders>
              <w:top w:val="single" w:sz="8" w:color="DCE2EF"/>
            </w:tcBorders>
            <w:shd w:val="clear" w:color="auto" w:fill="DCE2EF"/>
          </w:tcPr>
          <w:p>
            <w:pPr>
              <w:spacing w:after="0"/>
              <w:rPr>
                <w:sz w:val="15"/>
                <w:szCs w:val="15"/>
                <w:color w:val="auto"/>
              </w:rPr>
            </w:pPr>
          </w:p>
        </w:tc>
        <w:tc>
          <w:tcPr>
            <w:tcW w:w="780" w:type="dxa"/>
            <w:vAlign w:val="bottom"/>
            <w:tcBorders>
              <w:top w:val="single" w:sz="8" w:color="DCE2EF"/>
            </w:tcBorders>
            <w:shd w:val="clear" w:color="auto" w:fill="DCE2EF"/>
          </w:tcPr>
          <w:p>
            <w:pPr>
              <w:spacing w:after="0"/>
              <w:rPr>
                <w:sz w:val="15"/>
                <w:szCs w:val="15"/>
                <w:color w:val="auto"/>
              </w:rPr>
            </w:pPr>
          </w:p>
        </w:tc>
        <w:tc>
          <w:tcPr>
            <w:tcW w:w="1360" w:type="dxa"/>
            <w:vAlign w:val="bottom"/>
            <w:tcBorders>
              <w:top w:val="single" w:sz="8" w:color="DCE2EF"/>
            </w:tcBorders>
            <w:shd w:val="clear" w:color="auto" w:fill="DCE2EF"/>
          </w:tcPr>
          <w:p>
            <w:pPr>
              <w:spacing w:after="0"/>
              <w:rPr>
                <w:sz w:val="15"/>
                <w:szCs w:val="15"/>
                <w:color w:val="auto"/>
              </w:rPr>
            </w:pPr>
          </w:p>
        </w:tc>
        <w:tc>
          <w:tcPr>
            <w:tcW w:w="1020" w:type="dxa"/>
            <w:vAlign w:val="bottom"/>
            <w:tcBorders>
              <w:top w:val="single" w:sz="8" w:color="DCE2EF"/>
            </w:tcBorders>
            <w:shd w:val="clear" w:color="auto" w:fill="DCE2EF"/>
          </w:tcPr>
          <w:p>
            <w:pPr>
              <w:spacing w:after="0"/>
              <w:rPr>
                <w:sz w:val="15"/>
                <w:szCs w:val="15"/>
                <w:color w:val="auto"/>
              </w:rPr>
            </w:pPr>
          </w:p>
        </w:tc>
        <w:tc>
          <w:tcPr>
            <w:tcW w:w="2180" w:type="dxa"/>
            <w:vAlign w:val="bottom"/>
            <w:tcBorders>
              <w:top w:val="single" w:sz="8" w:color="DCE2EF"/>
            </w:tcBorders>
            <w:shd w:val="clear" w:color="auto" w:fill="DCE2EF"/>
          </w:tcPr>
          <w:p>
            <w:pPr>
              <w:spacing w:after="0"/>
              <w:rPr>
                <w:sz w:val="15"/>
                <w:szCs w:val="15"/>
                <w:color w:val="auto"/>
              </w:rPr>
            </w:pPr>
          </w:p>
        </w:tc>
      </w:tr>
      <w:tr>
        <w:trPr>
          <w:trHeight w:val="183"/>
        </w:trPr>
        <w:tc>
          <w:tcPr>
            <w:tcW w:w="1300" w:type="dxa"/>
            <w:vAlign w:val="bottom"/>
            <w:tcBorders>
              <w:top w:val="single" w:sz="8" w:color="DCE2EF"/>
              <w:bottom w:val="single" w:sz="8" w:color="DCE2EF"/>
            </w:tcBorders>
            <w:shd w:val="clear" w:color="auto" w:fill="DCE2EF"/>
          </w:tcPr>
          <w:p>
            <w:pPr>
              <w:spacing w:after="0"/>
              <w:rPr>
                <w:sz w:val="15"/>
                <w:szCs w:val="15"/>
                <w:color w:val="auto"/>
              </w:rPr>
            </w:pPr>
          </w:p>
        </w:tc>
        <w:tc>
          <w:tcPr>
            <w:tcW w:w="3900" w:type="dxa"/>
            <w:vAlign w:val="bottom"/>
            <w:tcBorders>
              <w:top w:val="single" w:sz="8" w:color="0000FF"/>
              <w:bottom w:val="single" w:sz="8" w:color="0000FF"/>
            </w:tcBorders>
            <w:gridSpan w:val="17"/>
            <w:shd w:val="clear" w:color="auto" w:fill="DCE2EF"/>
          </w:tcPr>
          <w:p>
            <w:pPr>
              <w:spacing w:after="0" w:line="182" w:lineRule="exact"/>
              <w:rPr>
                <w:rFonts w:ascii="Arial" w:cs="Arial" w:eastAsia="Arial" w:hAnsi="Arial"/>
                <w:sz w:val="18"/>
                <w:szCs w:val="18"/>
                <w:color w:val="0000FF"/>
              </w:rPr>
            </w:pPr>
            <w:hyperlink r:id="rId102">
              <w:r>
                <w:rPr>
                  <w:rFonts w:ascii="Arial" w:cs="Arial" w:eastAsia="Arial" w:hAnsi="Arial"/>
                  <w:sz w:val="18"/>
                  <w:szCs w:val="18"/>
                  <w:color w:val="0000FF"/>
                </w:rPr>
                <w:t>corporation, the Designated Borrowers identified</w:t>
              </w:r>
            </w:hyperlink>
          </w:p>
        </w:tc>
        <w:tc>
          <w:tcPr>
            <w:tcW w:w="20" w:type="dxa"/>
            <w:vAlign w:val="bottom"/>
            <w:tcBorders>
              <w:top w:val="single" w:sz="8" w:color="DCE2EF"/>
              <w:bottom w:val="single" w:sz="8" w:color="0000FF"/>
            </w:tcBorders>
            <w:shd w:val="clear" w:color="auto" w:fill="DCE2EF"/>
          </w:tcPr>
          <w:p>
            <w:pPr>
              <w:spacing w:after="0"/>
              <w:rPr>
                <w:sz w:val="15"/>
                <w:szCs w:val="15"/>
                <w:color w:val="auto"/>
              </w:rPr>
            </w:pPr>
          </w:p>
        </w:tc>
        <w:tc>
          <w:tcPr>
            <w:tcW w:w="520" w:type="dxa"/>
            <w:vAlign w:val="bottom"/>
            <w:tcBorders>
              <w:top w:val="single" w:sz="8" w:color="DCE2EF"/>
              <w:bottom w:val="single" w:sz="8" w:color="0000FF"/>
            </w:tcBorders>
            <w:gridSpan w:val="12"/>
            <w:shd w:val="clear" w:color="auto" w:fill="DCE2EF"/>
          </w:tcPr>
          <w:p>
            <w:pPr>
              <w:jc w:val="center"/>
              <w:ind w:right="40"/>
              <w:spacing w:after="0" w:line="182" w:lineRule="exact"/>
              <w:rPr>
                <w:rFonts w:ascii="Arial" w:cs="Arial" w:eastAsia="Arial" w:hAnsi="Arial"/>
                <w:sz w:val="18"/>
                <w:szCs w:val="18"/>
                <w:color w:val="0000FF"/>
                <w:w w:val="95"/>
              </w:rPr>
            </w:pPr>
            <w:hyperlink r:id="rId102">
              <w:r>
                <w:rPr>
                  <w:rFonts w:ascii="Arial" w:cs="Arial" w:eastAsia="Arial" w:hAnsi="Arial"/>
                  <w:sz w:val="18"/>
                  <w:szCs w:val="18"/>
                  <w:color w:val="0000FF"/>
                  <w:w w:val="95"/>
                </w:rPr>
                <w:t>on the</w:t>
              </w:r>
            </w:hyperlink>
          </w:p>
        </w:tc>
        <w:tc>
          <w:tcPr>
            <w:tcW w:w="340" w:type="dxa"/>
            <w:vAlign w:val="bottom"/>
            <w:tcBorders>
              <w:top w:val="single" w:sz="8" w:color="DCE2EF"/>
              <w:bottom w:val="single" w:sz="8" w:color="DCE2EF"/>
            </w:tcBorders>
            <w:gridSpan w:val="12"/>
            <w:shd w:val="clear" w:color="auto" w:fill="DCE2EF"/>
          </w:tcPr>
          <w:p>
            <w:pPr>
              <w:spacing w:after="0"/>
              <w:rPr>
                <w:sz w:val="15"/>
                <w:szCs w:val="15"/>
                <w:color w:val="auto"/>
              </w:rPr>
            </w:pPr>
          </w:p>
        </w:tc>
        <w:tc>
          <w:tcPr>
            <w:tcW w:w="780" w:type="dxa"/>
            <w:vAlign w:val="bottom"/>
            <w:tcBorders>
              <w:top w:val="single" w:sz="8" w:color="DCE2EF"/>
              <w:bottom w:val="single" w:sz="8" w:color="DCE2EF"/>
            </w:tcBorders>
            <w:shd w:val="clear" w:color="auto" w:fill="DCE2EF"/>
          </w:tcPr>
          <w:p>
            <w:pPr>
              <w:spacing w:after="0"/>
              <w:rPr>
                <w:sz w:val="15"/>
                <w:szCs w:val="15"/>
                <w:color w:val="auto"/>
              </w:rPr>
            </w:pPr>
          </w:p>
        </w:tc>
        <w:tc>
          <w:tcPr>
            <w:tcW w:w="1360" w:type="dxa"/>
            <w:vAlign w:val="bottom"/>
            <w:tcBorders>
              <w:top w:val="single" w:sz="8" w:color="DCE2EF"/>
              <w:bottom w:val="single" w:sz="8" w:color="DCE2EF"/>
            </w:tcBorders>
            <w:shd w:val="clear" w:color="auto" w:fill="DCE2EF"/>
          </w:tcPr>
          <w:p>
            <w:pPr>
              <w:spacing w:after="0"/>
              <w:rPr>
                <w:sz w:val="15"/>
                <w:szCs w:val="15"/>
                <w:color w:val="auto"/>
              </w:rPr>
            </w:pPr>
          </w:p>
        </w:tc>
        <w:tc>
          <w:tcPr>
            <w:tcW w:w="1020" w:type="dxa"/>
            <w:vAlign w:val="bottom"/>
            <w:tcBorders>
              <w:top w:val="single" w:sz="8" w:color="DCE2EF"/>
              <w:bottom w:val="single" w:sz="8" w:color="DCE2EF"/>
            </w:tcBorders>
            <w:shd w:val="clear" w:color="auto" w:fill="DCE2EF"/>
          </w:tcPr>
          <w:p>
            <w:pPr>
              <w:spacing w:after="0"/>
              <w:rPr>
                <w:sz w:val="15"/>
                <w:szCs w:val="15"/>
                <w:color w:val="auto"/>
              </w:rPr>
            </w:pPr>
          </w:p>
        </w:tc>
        <w:tc>
          <w:tcPr>
            <w:tcW w:w="2180" w:type="dxa"/>
            <w:vAlign w:val="bottom"/>
            <w:tcBorders>
              <w:top w:val="single" w:sz="8" w:color="DCE2EF"/>
              <w:bottom w:val="single" w:sz="8" w:color="DCE2EF"/>
            </w:tcBorders>
            <w:shd w:val="clear" w:color="auto" w:fill="DCE2EF"/>
          </w:tcPr>
          <w:p>
            <w:pPr>
              <w:spacing w:after="0"/>
              <w:rPr>
                <w:sz w:val="15"/>
                <w:szCs w:val="15"/>
                <w:color w:val="auto"/>
              </w:rPr>
            </w:pPr>
          </w:p>
        </w:tc>
      </w:tr>
      <w:tr>
        <w:trPr>
          <w:trHeight w:val="183"/>
        </w:trPr>
        <w:tc>
          <w:tcPr>
            <w:tcW w:w="1300" w:type="dxa"/>
            <w:vAlign w:val="bottom"/>
            <w:shd w:val="clear" w:color="auto" w:fill="DCE2EF"/>
          </w:tcPr>
          <w:p>
            <w:pPr>
              <w:spacing w:after="0"/>
              <w:rPr>
                <w:sz w:val="15"/>
                <w:szCs w:val="15"/>
                <w:color w:val="auto"/>
              </w:rPr>
            </w:pPr>
          </w:p>
        </w:tc>
        <w:tc>
          <w:tcPr>
            <w:tcW w:w="4780" w:type="dxa"/>
            <w:vAlign w:val="bottom"/>
            <w:gridSpan w:val="42"/>
            <w:shd w:val="clear" w:color="auto" w:fill="DCE2EF"/>
          </w:tcPr>
          <w:p>
            <w:pPr>
              <w:spacing w:after="0" w:line="182" w:lineRule="exact"/>
              <w:rPr>
                <w:rFonts w:ascii="Arial" w:cs="Arial" w:eastAsia="Arial" w:hAnsi="Arial"/>
                <w:sz w:val="18"/>
                <w:szCs w:val="18"/>
                <w:color w:val="0000FF"/>
              </w:rPr>
            </w:pPr>
            <w:hyperlink r:id="rId102">
              <w:r>
                <w:rPr>
                  <w:rFonts w:ascii="Arial" w:cs="Arial" w:eastAsia="Arial" w:hAnsi="Arial"/>
                  <w:sz w:val="18"/>
                  <w:szCs w:val="18"/>
                  <w:color w:val="0000FF"/>
                </w:rPr>
                <w:t>signature pages thereto, the Guarantors identified on the</w:t>
              </w:r>
            </w:hyperlink>
          </w:p>
        </w:tc>
        <w:tc>
          <w:tcPr>
            <w:tcW w:w="780" w:type="dxa"/>
            <w:vAlign w:val="bottom"/>
            <w:shd w:val="clear" w:color="auto" w:fill="DCE2EF"/>
          </w:tcPr>
          <w:p>
            <w:pPr>
              <w:spacing w:after="0"/>
              <w:rPr>
                <w:sz w:val="15"/>
                <w:szCs w:val="15"/>
                <w:color w:val="auto"/>
              </w:rPr>
            </w:pPr>
          </w:p>
        </w:tc>
        <w:tc>
          <w:tcPr>
            <w:tcW w:w="1360" w:type="dxa"/>
            <w:vAlign w:val="bottom"/>
            <w:shd w:val="clear" w:color="auto" w:fill="DCE2EF"/>
          </w:tcPr>
          <w:p>
            <w:pPr>
              <w:spacing w:after="0"/>
              <w:rPr>
                <w:sz w:val="15"/>
                <w:szCs w:val="15"/>
                <w:color w:val="auto"/>
              </w:rPr>
            </w:pPr>
          </w:p>
        </w:tc>
        <w:tc>
          <w:tcPr>
            <w:tcW w:w="1020" w:type="dxa"/>
            <w:vAlign w:val="bottom"/>
            <w:shd w:val="clear" w:color="auto" w:fill="DCE2EF"/>
          </w:tcPr>
          <w:p>
            <w:pPr>
              <w:spacing w:after="0"/>
              <w:rPr>
                <w:sz w:val="15"/>
                <w:szCs w:val="15"/>
                <w:color w:val="auto"/>
              </w:rPr>
            </w:pPr>
          </w:p>
        </w:tc>
        <w:tc>
          <w:tcPr>
            <w:tcW w:w="2180" w:type="dxa"/>
            <w:vAlign w:val="bottom"/>
            <w:shd w:val="clear" w:color="auto" w:fill="DCE2EF"/>
          </w:tcPr>
          <w:p>
            <w:pPr>
              <w:spacing w:after="0"/>
              <w:rPr>
                <w:sz w:val="15"/>
                <w:szCs w:val="15"/>
                <w:color w:val="auto"/>
              </w:rPr>
            </w:pPr>
          </w:p>
        </w:tc>
      </w:tr>
      <w:tr>
        <w:trPr>
          <w:trHeight w:val="183"/>
        </w:trPr>
        <w:tc>
          <w:tcPr>
            <w:tcW w:w="1300" w:type="dxa"/>
            <w:vAlign w:val="bottom"/>
            <w:tcBorders>
              <w:top w:val="single" w:sz="8" w:color="DCE2EF"/>
              <w:bottom w:val="single" w:sz="8" w:color="DCE2EF"/>
            </w:tcBorders>
            <w:shd w:val="clear" w:color="auto" w:fill="DCE2EF"/>
          </w:tcPr>
          <w:p>
            <w:pPr>
              <w:spacing w:after="0"/>
              <w:rPr>
                <w:sz w:val="15"/>
                <w:szCs w:val="15"/>
                <w:color w:val="auto"/>
              </w:rPr>
            </w:pPr>
          </w:p>
        </w:tc>
        <w:tc>
          <w:tcPr>
            <w:tcW w:w="4280" w:type="dxa"/>
            <w:vAlign w:val="bottom"/>
            <w:tcBorders>
              <w:top w:val="single" w:sz="8" w:color="0000FF"/>
              <w:bottom w:val="single" w:sz="8" w:color="0000FF"/>
            </w:tcBorders>
            <w:gridSpan w:val="22"/>
            <w:shd w:val="clear" w:color="auto" w:fill="DCE2EF"/>
          </w:tcPr>
          <w:p>
            <w:pPr>
              <w:spacing w:after="0" w:line="182" w:lineRule="exact"/>
              <w:rPr>
                <w:rFonts w:ascii="Arial" w:cs="Arial" w:eastAsia="Arial" w:hAnsi="Arial"/>
                <w:sz w:val="18"/>
                <w:szCs w:val="18"/>
                <w:color w:val="0000FF"/>
                <w:w w:val="99"/>
              </w:rPr>
            </w:pPr>
            <w:hyperlink r:id="rId102">
              <w:r>
                <w:rPr>
                  <w:rFonts w:ascii="Arial" w:cs="Arial" w:eastAsia="Arial" w:hAnsi="Arial"/>
                  <w:sz w:val="18"/>
                  <w:szCs w:val="18"/>
                  <w:color w:val="0000FF"/>
                  <w:w w:val="99"/>
                </w:rPr>
                <w:t>signature pages thereto, the Lenders identified on the</w:t>
              </w:r>
            </w:hyperlink>
          </w:p>
        </w:tc>
        <w:tc>
          <w:tcPr>
            <w:tcW w:w="300" w:type="dxa"/>
            <w:vAlign w:val="bottom"/>
            <w:tcBorders>
              <w:top w:val="single" w:sz="8" w:color="0000FF"/>
              <w:bottom w:val="single" w:sz="8" w:color="DCE2EF"/>
            </w:tcBorders>
            <w:gridSpan w:val="15"/>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120" w:type="dxa"/>
            <w:vAlign w:val="bottom"/>
            <w:tcBorders>
              <w:top w:val="single" w:sz="8" w:color="DCE2EF"/>
              <w:bottom w:val="single" w:sz="8" w:color="DCE2EF"/>
            </w:tcBorders>
            <w:shd w:val="clear" w:color="auto" w:fill="DCE2EF"/>
          </w:tcPr>
          <w:p>
            <w:pPr>
              <w:spacing w:after="0"/>
              <w:rPr>
                <w:sz w:val="15"/>
                <w:szCs w:val="15"/>
                <w:color w:val="auto"/>
              </w:rPr>
            </w:pPr>
          </w:p>
        </w:tc>
        <w:tc>
          <w:tcPr>
            <w:tcW w:w="780" w:type="dxa"/>
            <w:vAlign w:val="bottom"/>
            <w:tcBorders>
              <w:top w:val="single" w:sz="8" w:color="DCE2EF"/>
              <w:bottom w:val="single" w:sz="8" w:color="DCE2EF"/>
            </w:tcBorders>
            <w:shd w:val="clear" w:color="auto" w:fill="DCE2EF"/>
          </w:tcPr>
          <w:p>
            <w:pPr>
              <w:spacing w:after="0"/>
              <w:rPr>
                <w:sz w:val="15"/>
                <w:szCs w:val="15"/>
                <w:color w:val="auto"/>
              </w:rPr>
            </w:pPr>
          </w:p>
        </w:tc>
        <w:tc>
          <w:tcPr>
            <w:tcW w:w="1360" w:type="dxa"/>
            <w:vAlign w:val="bottom"/>
            <w:tcBorders>
              <w:top w:val="single" w:sz="8" w:color="DCE2EF"/>
              <w:bottom w:val="single" w:sz="8" w:color="DCE2EF"/>
            </w:tcBorders>
            <w:shd w:val="clear" w:color="auto" w:fill="DCE2EF"/>
          </w:tcPr>
          <w:p>
            <w:pPr>
              <w:spacing w:after="0"/>
              <w:rPr>
                <w:sz w:val="15"/>
                <w:szCs w:val="15"/>
                <w:color w:val="auto"/>
              </w:rPr>
            </w:pPr>
          </w:p>
        </w:tc>
        <w:tc>
          <w:tcPr>
            <w:tcW w:w="1020" w:type="dxa"/>
            <w:vAlign w:val="bottom"/>
            <w:tcBorders>
              <w:top w:val="single" w:sz="8" w:color="DCE2EF"/>
              <w:bottom w:val="single" w:sz="8" w:color="DCE2EF"/>
            </w:tcBorders>
            <w:shd w:val="clear" w:color="auto" w:fill="DCE2EF"/>
          </w:tcPr>
          <w:p>
            <w:pPr>
              <w:spacing w:after="0"/>
              <w:rPr>
                <w:sz w:val="15"/>
                <w:szCs w:val="15"/>
                <w:color w:val="auto"/>
              </w:rPr>
            </w:pPr>
          </w:p>
        </w:tc>
        <w:tc>
          <w:tcPr>
            <w:tcW w:w="2180" w:type="dxa"/>
            <w:vAlign w:val="bottom"/>
            <w:tcBorders>
              <w:top w:val="single" w:sz="8" w:color="DCE2EF"/>
              <w:bottom w:val="single" w:sz="8" w:color="DCE2EF"/>
            </w:tcBorders>
            <w:shd w:val="clear" w:color="auto" w:fill="DCE2EF"/>
          </w:tcPr>
          <w:p>
            <w:pPr>
              <w:spacing w:after="0"/>
              <w:rPr>
                <w:sz w:val="15"/>
                <w:szCs w:val="15"/>
                <w:color w:val="auto"/>
              </w:rPr>
            </w:pPr>
          </w:p>
        </w:tc>
      </w:tr>
      <w:tr>
        <w:trPr>
          <w:trHeight w:val="183"/>
        </w:trPr>
        <w:tc>
          <w:tcPr>
            <w:tcW w:w="1300" w:type="dxa"/>
            <w:vAlign w:val="bottom"/>
            <w:shd w:val="clear" w:color="auto" w:fill="DCE2EF"/>
          </w:tcPr>
          <w:p>
            <w:pPr>
              <w:spacing w:after="0"/>
              <w:rPr>
                <w:sz w:val="15"/>
                <w:szCs w:val="15"/>
                <w:color w:val="auto"/>
              </w:rPr>
            </w:pPr>
          </w:p>
        </w:tc>
        <w:tc>
          <w:tcPr>
            <w:tcW w:w="4780" w:type="dxa"/>
            <w:vAlign w:val="bottom"/>
            <w:gridSpan w:val="42"/>
            <w:shd w:val="clear" w:color="auto" w:fill="DCE2EF"/>
          </w:tcPr>
          <w:p>
            <w:pPr>
              <w:spacing w:after="0" w:line="182" w:lineRule="exact"/>
              <w:rPr>
                <w:rFonts w:ascii="Arial" w:cs="Arial" w:eastAsia="Arial" w:hAnsi="Arial"/>
                <w:sz w:val="18"/>
                <w:szCs w:val="18"/>
                <w:color w:val="0000FF"/>
              </w:rPr>
            </w:pPr>
            <w:hyperlink r:id="rId102">
              <w:r>
                <w:rPr>
                  <w:rFonts w:ascii="Arial" w:cs="Arial" w:eastAsia="Arial" w:hAnsi="Arial"/>
                  <w:sz w:val="18"/>
                  <w:szCs w:val="18"/>
                  <w:color w:val="0000FF"/>
                </w:rPr>
                <w:t>signature pages thereto, and Bank of America, N.A., as</w:t>
              </w:r>
            </w:hyperlink>
          </w:p>
        </w:tc>
        <w:tc>
          <w:tcPr>
            <w:tcW w:w="780" w:type="dxa"/>
            <w:vAlign w:val="bottom"/>
            <w:shd w:val="clear" w:color="auto" w:fill="DCE2EF"/>
          </w:tcPr>
          <w:p>
            <w:pPr>
              <w:spacing w:after="0"/>
              <w:rPr>
                <w:sz w:val="15"/>
                <w:szCs w:val="15"/>
                <w:color w:val="auto"/>
              </w:rPr>
            </w:pPr>
          </w:p>
        </w:tc>
        <w:tc>
          <w:tcPr>
            <w:tcW w:w="1360" w:type="dxa"/>
            <w:vAlign w:val="bottom"/>
            <w:shd w:val="clear" w:color="auto" w:fill="DCE2EF"/>
          </w:tcPr>
          <w:p>
            <w:pPr>
              <w:spacing w:after="0"/>
              <w:rPr>
                <w:sz w:val="15"/>
                <w:szCs w:val="15"/>
                <w:color w:val="auto"/>
              </w:rPr>
            </w:pPr>
          </w:p>
        </w:tc>
        <w:tc>
          <w:tcPr>
            <w:tcW w:w="1020" w:type="dxa"/>
            <w:vAlign w:val="bottom"/>
            <w:shd w:val="clear" w:color="auto" w:fill="DCE2EF"/>
          </w:tcPr>
          <w:p>
            <w:pPr>
              <w:spacing w:after="0"/>
              <w:rPr>
                <w:sz w:val="15"/>
                <w:szCs w:val="15"/>
                <w:color w:val="auto"/>
              </w:rPr>
            </w:pPr>
          </w:p>
        </w:tc>
        <w:tc>
          <w:tcPr>
            <w:tcW w:w="2180" w:type="dxa"/>
            <w:vAlign w:val="bottom"/>
            <w:shd w:val="clear" w:color="auto" w:fill="DCE2EF"/>
          </w:tcPr>
          <w:p>
            <w:pPr>
              <w:spacing w:after="0"/>
              <w:rPr>
                <w:sz w:val="15"/>
                <w:szCs w:val="15"/>
                <w:color w:val="auto"/>
              </w:rPr>
            </w:pPr>
          </w:p>
        </w:tc>
      </w:tr>
      <w:tr>
        <w:trPr>
          <w:trHeight w:val="217"/>
        </w:trPr>
        <w:tc>
          <w:tcPr>
            <w:tcW w:w="1300" w:type="dxa"/>
            <w:vAlign w:val="bottom"/>
            <w:tcBorders>
              <w:top w:val="single" w:sz="8" w:color="DCE2EF"/>
              <w:bottom w:val="single" w:sz="8" w:color="DCE2EF"/>
            </w:tcBorders>
            <w:shd w:val="clear" w:color="auto" w:fill="DCE2EF"/>
          </w:tcPr>
          <w:p>
            <w:pPr>
              <w:spacing w:after="0"/>
              <w:rPr>
                <w:sz w:val="18"/>
                <w:szCs w:val="18"/>
                <w:color w:val="auto"/>
              </w:rPr>
            </w:pPr>
          </w:p>
        </w:tc>
        <w:tc>
          <w:tcPr>
            <w:tcW w:w="1620" w:type="dxa"/>
            <w:vAlign w:val="bottom"/>
            <w:tcBorders>
              <w:top w:val="single" w:sz="8" w:color="0000FF"/>
              <w:bottom w:val="single" w:sz="8" w:color="0000FF"/>
            </w:tcBorders>
            <w:gridSpan w:val="7"/>
            <w:shd w:val="clear" w:color="auto" w:fill="DCE2EF"/>
          </w:tcPr>
          <w:p>
            <w:pPr>
              <w:spacing w:after="0" w:line="182" w:lineRule="exact"/>
              <w:rPr>
                <w:rFonts w:ascii="Arial" w:cs="Arial" w:eastAsia="Arial" w:hAnsi="Arial"/>
                <w:sz w:val="18"/>
                <w:szCs w:val="18"/>
                <w:color w:val="0000FF"/>
                <w:w w:val="99"/>
              </w:rPr>
            </w:pPr>
            <w:hyperlink r:id="rId102">
              <w:r>
                <w:rPr>
                  <w:rFonts w:ascii="Arial" w:cs="Arial" w:eastAsia="Arial" w:hAnsi="Arial"/>
                  <w:sz w:val="18"/>
                  <w:szCs w:val="18"/>
                  <w:color w:val="0000FF"/>
                  <w:w w:val="99"/>
                </w:rPr>
                <w:t>administrative agent</w:t>
              </w:r>
            </w:hyperlink>
          </w:p>
        </w:tc>
        <w:tc>
          <w:tcPr>
            <w:tcW w:w="2800" w:type="dxa"/>
            <w:vAlign w:val="bottom"/>
            <w:tcBorders>
              <w:top w:val="single" w:sz="8" w:color="0000FF"/>
              <w:bottom w:val="single" w:sz="8" w:color="DCE2EF"/>
            </w:tcBorders>
            <w:gridSpan w:val="22"/>
            <w:shd w:val="clear" w:color="auto" w:fill="DCE2EF"/>
          </w:tcPr>
          <w:p>
            <w:pPr>
              <w:spacing w:after="0"/>
              <w:rPr>
                <w:sz w:val="18"/>
                <w:szCs w:val="18"/>
                <w:color w:val="auto"/>
              </w:rPr>
            </w:pPr>
          </w:p>
        </w:tc>
        <w:tc>
          <w:tcPr>
            <w:tcW w:w="20" w:type="dxa"/>
            <w:vAlign w:val="bottom"/>
            <w:tcBorders>
              <w:top w:val="single" w:sz="8" w:color="DCE2EF"/>
              <w:bottom w:val="single" w:sz="8" w:color="DCE2EF"/>
            </w:tcBorders>
            <w:shd w:val="clear" w:color="auto" w:fill="DCE2EF"/>
          </w:tcPr>
          <w:p>
            <w:pPr>
              <w:spacing w:after="0"/>
              <w:rPr>
                <w:sz w:val="18"/>
                <w:szCs w:val="18"/>
                <w:color w:val="auto"/>
              </w:rPr>
            </w:pPr>
          </w:p>
        </w:tc>
        <w:tc>
          <w:tcPr>
            <w:tcW w:w="60" w:type="dxa"/>
            <w:vAlign w:val="bottom"/>
            <w:tcBorders>
              <w:top w:val="single" w:sz="8" w:color="DCE2EF"/>
              <w:bottom w:val="single" w:sz="8" w:color="DCE2EF"/>
            </w:tcBorders>
            <w:gridSpan w:val="3"/>
            <w:shd w:val="clear" w:color="auto" w:fill="DCE2EF"/>
          </w:tcPr>
          <w:p>
            <w:pPr>
              <w:spacing w:after="0"/>
              <w:rPr>
                <w:sz w:val="18"/>
                <w:szCs w:val="18"/>
                <w:color w:val="auto"/>
              </w:rPr>
            </w:pPr>
          </w:p>
        </w:tc>
        <w:tc>
          <w:tcPr>
            <w:tcW w:w="20" w:type="dxa"/>
            <w:vAlign w:val="bottom"/>
            <w:tcBorders>
              <w:top w:val="single" w:sz="8" w:color="DCE2EF"/>
              <w:bottom w:val="single" w:sz="8" w:color="DCE2EF"/>
            </w:tcBorders>
            <w:shd w:val="clear" w:color="auto" w:fill="DCE2EF"/>
          </w:tcPr>
          <w:p>
            <w:pPr>
              <w:spacing w:after="0"/>
              <w:rPr>
                <w:sz w:val="18"/>
                <w:szCs w:val="18"/>
                <w:color w:val="auto"/>
              </w:rPr>
            </w:pPr>
          </w:p>
        </w:tc>
        <w:tc>
          <w:tcPr>
            <w:tcW w:w="20" w:type="dxa"/>
            <w:vAlign w:val="bottom"/>
            <w:tcBorders>
              <w:top w:val="single" w:sz="8" w:color="DCE2EF"/>
              <w:bottom w:val="single" w:sz="8" w:color="DCE2EF"/>
            </w:tcBorders>
            <w:shd w:val="clear" w:color="auto" w:fill="DCE2EF"/>
          </w:tcPr>
          <w:p>
            <w:pPr>
              <w:spacing w:after="0"/>
              <w:rPr>
                <w:sz w:val="18"/>
                <w:szCs w:val="18"/>
                <w:color w:val="auto"/>
              </w:rPr>
            </w:pPr>
          </w:p>
        </w:tc>
        <w:tc>
          <w:tcPr>
            <w:tcW w:w="20" w:type="dxa"/>
            <w:vAlign w:val="bottom"/>
            <w:tcBorders>
              <w:top w:val="single" w:sz="8" w:color="DCE2EF"/>
              <w:bottom w:val="single" w:sz="8" w:color="DCE2EF"/>
            </w:tcBorders>
            <w:shd w:val="clear" w:color="auto" w:fill="DCE2EF"/>
          </w:tcPr>
          <w:p>
            <w:pPr>
              <w:spacing w:after="0"/>
              <w:rPr>
                <w:sz w:val="18"/>
                <w:szCs w:val="18"/>
                <w:color w:val="auto"/>
              </w:rPr>
            </w:pPr>
          </w:p>
        </w:tc>
        <w:tc>
          <w:tcPr>
            <w:tcW w:w="40" w:type="dxa"/>
            <w:vAlign w:val="bottom"/>
            <w:tcBorders>
              <w:top w:val="single" w:sz="8" w:color="DCE2EF"/>
              <w:bottom w:val="single" w:sz="8" w:color="DCE2EF"/>
            </w:tcBorders>
            <w:gridSpan w:val="2"/>
            <w:shd w:val="clear" w:color="auto" w:fill="DCE2EF"/>
          </w:tcPr>
          <w:p>
            <w:pPr>
              <w:spacing w:after="0"/>
              <w:rPr>
                <w:sz w:val="18"/>
                <w:szCs w:val="18"/>
                <w:color w:val="auto"/>
              </w:rPr>
            </w:pPr>
          </w:p>
        </w:tc>
        <w:tc>
          <w:tcPr>
            <w:tcW w:w="20" w:type="dxa"/>
            <w:vAlign w:val="bottom"/>
            <w:tcBorders>
              <w:top w:val="single" w:sz="8" w:color="DCE2EF"/>
              <w:bottom w:val="single" w:sz="8" w:color="DCE2EF"/>
            </w:tcBorders>
            <w:shd w:val="clear" w:color="auto" w:fill="DCE2EF"/>
          </w:tcPr>
          <w:p>
            <w:pPr>
              <w:spacing w:after="0"/>
              <w:rPr>
                <w:sz w:val="18"/>
                <w:szCs w:val="18"/>
                <w:color w:val="auto"/>
              </w:rPr>
            </w:pPr>
          </w:p>
        </w:tc>
        <w:tc>
          <w:tcPr>
            <w:tcW w:w="20" w:type="dxa"/>
            <w:vAlign w:val="bottom"/>
            <w:tcBorders>
              <w:top w:val="single" w:sz="8" w:color="DCE2EF"/>
              <w:bottom w:val="single" w:sz="8" w:color="DCE2EF"/>
            </w:tcBorders>
            <w:shd w:val="clear" w:color="auto" w:fill="DCE2EF"/>
          </w:tcPr>
          <w:p>
            <w:pPr>
              <w:spacing w:after="0"/>
              <w:rPr>
                <w:sz w:val="18"/>
                <w:szCs w:val="18"/>
                <w:color w:val="auto"/>
              </w:rPr>
            </w:pPr>
          </w:p>
        </w:tc>
        <w:tc>
          <w:tcPr>
            <w:tcW w:w="20" w:type="dxa"/>
            <w:vAlign w:val="bottom"/>
            <w:tcBorders>
              <w:top w:val="single" w:sz="8" w:color="DCE2EF"/>
              <w:bottom w:val="single" w:sz="8" w:color="DCE2EF"/>
            </w:tcBorders>
            <w:shd w:val="clear" w:color="auto" w:fill="DCE2EF"/>
          </w:tcPr>
          <w:p>
            <w:pPr>
              <w:spacing w:after="0"/>
              <w:rPr>
                <w:sz w:val="18"/>
                <w:szCs w:val="18"/>
                <w:color w:val="auto"/>
              </w:rPr>
            </w:pPr>
          </w:p>
        </w:tc>
        <w:tc>
          <w:tcPr>
            <w:tcW w:w="120" w:type="dxa"/>
            <w:vAlign w:val="bottom"/>
            <w:tcBorders>
              <w:top w:val="single" w:sz="8" w:color="DCE2EF"/>
              <w:bottom w:val="single" w:sz="8" w:color="DCE2EF"/>
            </w:tcBorders>
            <w:shd w:val="clear" w:color="auto" w:fill="DCE2EF"/>
          </w:tcPr>
          <w:p>
            <w:pPr>
              <w:spacing w:after="0"/>
              <w:rPr>
                <w:sz w:val="18"/>
                <w:szCs w:val="18"/>
                <w:color w:val="auto"/>
              </w:rPr>
            </w:pPr>
          </w:p>
        </w:tc>
        <w:tc>
          <w:tcPr>
            <w:tcW w:w="780" w:type="dxa"/>
            <w:vAlign w:val="bottom"/>
            <w:tcBorders>
              <w:top w:val="single" w:sz="8" w:color="DCE2EF"/>
              <w:bottom w:val="single" w:sz="8" w:color="DCE2EF"/>
            </w:tcBorders>
            <w:shd w:val="clear" w:color="auto" w:fill="DCE2EF"/>
          </w:tcPr>
          <w:p>
            <w:pPr>
              <w:spacing w:after="0"/>
              <w:rPr>
                <w:sz w:val="18"/>
                <w:szCs w:val="18"/>
                <w:color w:val="auto"/>
              </w:rPr>
            </w:pPr>
          </w:p>
        </w:tc>
        <w:tc>
          <w:tcPr>
            <w:tcW w:w="1360" w:type="dxa"/>
            <w:vAlign w:val="bottom"/>
            <w:tcBorders>
              <w:top w:val="single" w:sz="8" w:color="DCE2EF"/>
              <w:bottom w:val="single" w:sz="8" w:color="DCE2EF"/>
            </w:tcBorders>
            <w:shd w:val="clear" w:color="auto" w:fill="DCE2EF"/>
          </w:tcPr>
          <w:p>
            <w:pPr>
              <w:spacing w:after="0"/>
              <w:rPr>
                <w:sz w:val="18"/>
                <w:szCs w:val="18"/>
                <w:color w:val="auto"/>
              </w:rPr>
            </w:pPr>
          </w:p>
        </w:tc>
        <w:tc>
          <w:tcPr>
            <w:tcW w:w="1020" w:type="dxa"/>
            <w:vAlign w:val="bottom"/>
            <w:tcBorders>
              <w:top w:val="single" w:sz="8" w:color="DCE2EF"/>
              <w:bottom w:val="single" w:sz="8" w:color="DCE2EF"/>
            </w:tcBorders>
            <w:shd w:val="clear" w:color="auto" w:fill="DCE2EF"/>
          </w:tcPr>
          <w:p>
            <w:pPr>
              <w:spacing w:after="0"/>
              <w:rPr>
                <w:sz w:val="18"/>
                <w:szCs w:val="18"/>
                <w:color w:val="auto"/>
              </w:rPr>
            </w:pPr>
          </w:p>
        </w:tc>
        <w:tc>
          <w:tcPr>
            <w:tcW w:w="2180" w:type="dxa"/>
            <w:vAlign w:val="bottom"/>
            <w:tcBorders>
              <w:top w:val="single" w:sz="8" w:color="DCE2EF"/>
              <w:bottom w:val="single" w:sz="8" w:color="DCE2EF"/>
            </w:tcBorders>
            <w:shd w:val="clear" w:color="auto" w:fill="DCE2EF"/>
          </w:tcPr>
          <w:p>
            <w:pPr>
              <w:spacing w:after="0"/>
              <w:rPr>
                <w:sz w:val="18"/>
                <w:szCs w:val="18"/>
                <w:color w:val="auto"/>
              </w:rPr>
            </w:pPr>
          </w:p>
        </w:tc>
      </w:tr>
      <w:tr>
        <w:trPr>
          <w:trHeight w:val="216"/>
        </w:trPr>
        <w:tc>
          <w:tcPr>
            <w:tcW w:w="1300" w:type="dxa"/>
            <w:vAlign w:val="bottom"/>
          </w:tcPr>
          <w:p>
            <w:pPr>
              <w:ind w:left="40"/>
              <w:spacing w:after="0"/>
              <w:rPr>
                <w:sz w:val="20"/>
                <w:szCs w:val="20"/>
                <w:color w:val="auto"/>
              </w:rPr>
            </w:pPr>
            <w:r>
              <w:rPr>
                <w:rFonts w:ascii="Arial" w:cs="Arial" w:eastAsia="Arial" w:hAnsi="Arial"/>
                <w:sz w:val="18"/>
                <w:szCs w:val="18"/>
                <w:color w:val="auto"/>
              </w:rPr>
              <w:t>10.6*</w:t>
            </w:r>
          </w:p>
        </w:tc>
        <w:tc>
          <w:tcPr>
            <w:tcW w:w="4780" w:type="dxa"/>
            <w:vAlign w:val="bottom"/>
            <w:gridSpan w:val="42"/>
          </w:tcPr>
          <w:p>
            <w:pPr>
              <w:spacing w:after="0"/>
              <w:rPr>
                <w:rFonts w:ascii="Arial" w:cs="Arial" w:eastAsia="Arial" w:hAnsi="Arial"/>
                <w:sz w:val="18"/>
                <w:szCs w:val="18"/>
                <w:color w:val="0000FF"/>
              </w:rPr>
            </w:pPr>
            <w:hyperlink r:id="rId103">
              <w:r>
                <w:rPr>
                  <w:rFonts w:ascii="Arial" w:cs="Arial" w:eastAsia="Arial" w:hAnsi="Arial"/>
                  <w:sz w:val="18"/>
                  <w:szCs w:val="18"/>
                  <w:color w:val="0000FF"/>
                </w:rPr>
                <w:t>ABM Executive Retiree Healthcare and Dental Plan</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w w:val="97"/>
              </w:rPr>
              <w:t>10.17</w:t>
            </w:r>
          </w:p>
        </w:tc>
        <w:tc>
          <w:tcPr>
            <w:tcW w:w="2180" w:type="dxa"/>
            <w:vAlign w:val="bottom"/>
          </w:tcPr>
          <w:p>
            <w:pPr>
              <w:jc w:val="center"/>
              <w:spacing w:after="0"/>
              <w:rPr>
                <w:sz w:val="20"/>
                <w:szCs w:val="20"/>
                <w:color w:val="auto"/>
              </w:rPr>
            </w:pPr>
            <w:r>
              <w:rPr>
                <w:rFonts w:ascii="Arial" w:cs="Arial" w:eastAsia="Arial" w:hAnsi="Arial"/>
                <w:sz w:val="18"/>
                <w:szCs w:val="18"/>
                <w:color w:val="auto"/>
              </w:rPr>
              <w:t>January 14, 2005</w:t>
            </w:r>
          </w:p>
        </w:tc>
      </w:tr>
      <w:tr>
        <w:trPr>
          <w:trHeight w:val="34"/>
        </w:trPr>
        <w:tc>
          <w:tcPr>
            <w:tcW w:w="130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03"/>
        </w:trPr>
        <w:tc>
          <w:tcPr>
            <w:tcW w:w="1300" w:type="dxa"/>
            <w:vAlign w:val="bottom"/>
            <w:shd w:val="clear" w:color="auto" w:fill="DCE2EF"/>
          </w:tcPr>
          <w:p>
            <w:pPr>
              <w:ind w:left="40"/>
              <w:spacing w:after="0" w:line="202" w:lineRule="exact"/>
              <w:rPr>
                <w:sz w:val="20"/>
                <w:szCs w:val="20"/>
                <w:color w:val="auto"/>
              </w:rPr>
            </w:pPr>
            <w:r>
              <w:rPr>
                <w:rFonts w:ascii="Arial" w:cs="Arial" w:eastAsia="Arial" w:hAnsi="Arial"/>
                <w:sz w:val="18"/>
                <w:szCs w:val="18"/>
                <w:color w:val="auto"/>
              </w:rPr>
              <w:t>10.7*</w:t>
            </w:r>
          </w:p>
        </w:tc>
        <w:tc>
          <w:tcPr>
            <w:tcW w:w="4780" w:type="dxa"/>
            <w:vAlign w:val="bottom"/>
            <w:gridSpan w:val="42"/>
            <w:shd w:val="clear" w:color="auto" w:fill="DCE2EF"/>
          </w:tcPr>
          <w:p>
            <w:pPr>
              <w:spacing w:after="0" w:line="202" w:lineRule="exact"/>
              <w:rPr>
                <w:rFonts w:ascii="Arial" w:cs="Arial" w:eastAsia="Arial" w:hAnsi="Arial"/>
                <w:sz w:val="18"/>
                <w:szCs w:val="18"/>
                <w:color w:val="0000FF"/>
              </w:rPr>
            </w:pPr>
            <w:hyperlink r:id="rId104">
              <w:r>
                <w:rPr>
                  <w:rFonts w:ascii="Arial" w:cs="Arial" w:eastAsia="Arial" w:hAnsi="Arial"/>
                  <w:sz w:val="18"/>
                  <w:szCs w:val="18"/>
                  <w:color w:val="0000FF"/>
                </w:rPr>
                <w:t>Director Retirement Plan Distribution Election Form, as</w:t>
              </w:r>
            </w:hyperlink>
          </w:p>
        </w:tc>
        <w:tc>
          <w:tcPr>
            <w:tcW w:w="780" w:type="dxa"/>
            <w:vAlign w:val="bottom"/>
            <w:shd w:val="clear" w:color="auto" w:fill="DCE2EF"/>
          </w:tcPr>
          <w:p>
            <w:pPr>
              <w:jc w:val="center"/>
              <w:spacing w:after="0" w:line="202" w:lineRule="exact"/>
              <w:rPr>
                <w:sz w:val="20"/>
                <w:szCs w:val="20"/>
                <w:color w:val="auto"/>
              </w:rPr>
            </w:pPr>
            <w:r>
              <w:rPr>
                <w:rFonts w:ascii="Arial" w:cs="Arial" w:eastAsia="Arial" w:hAnsi="Arial"/>
                <w:sz w:val="18"/>
                <w:szCs w:val="18"/>
                <w:color w:val="auto"/>
              </w:rPr>
              <w:t>10-Q</w:t>
            </w:r>
          </w:p>
        </w:tc>
        <w:tc>
          <w:tcPr>
            <w:tcW w:w="1360" w:type="dxa"/>
            <w:vAlign w:val="bottom"/>
            <w:shd w:val="clear" w:color="auto" w:fill="DCE2EF"/>
          </w:tcPr>
          <w:p>
            <w:pPr>
              <w:jc w:val="right"/>
              <w:ind w:right="190"/>
              <w:spacing w:after="0" w:line="202" w:lineRule="exact"/>
              <w:rPr>
                <w:sz w:val="20"/>
                <w:szCs w:val="20"/>
                <w:color w:val="auto"/>
              </w:rPr>
            </w:pPr>
            <w:r>
              <w:rPr>
                <w:rFonts w:ascii="Arial" w:cs="Arial" w:eastAsia="Arial" w:hAnsi="Arial"/>
                <w:sz w:val="18"/>
                <w:szCs w:val="18"/>
                <w:color w:val="auto"/>
              </w:rPr>
              <w:t>001-08929</w:t>
            </w:r>
          </w:p>
        </w:tc>
        <w:tc>
          <w:tcPr>
            <w:tcW w:w="1020" w:type="dxa"/>
            <w:vAlign w:val="bottom"/>
            <w:shd w:val="clear" w:color="auto" w:fill="DCE2EF"/>
          </w:tcPr>
          <w:p>
            <w:pPr>
              <w:jc w:val="center"/>
              <w:spacing w:after="0" w:line="202" w:lineRule="exact"/>
              <w:rPr>
                <w:sz w:val="20"/>
                <w:szCs w:val="20"/>
                <w:color w:val="auto"/>
              </w:rPr>
            </w:pPr>
            <w:r>
              <w:rPr>
                <w:rFonts w:ascii="Arial" w:cs="Arial" w:eastAsia="Arial" w:hAnsi="Arial"/>
                <w:sz w:val="18"/>
                <w:szCs w:val="18"/>
                <w:color w:val="auto"/>
              </w:rPr>
              <w:t>10.1</w:t>
            </w:r>
          </w:p>
        </w:tc>
        <w:tc>
          <w:tcPr>
            <w:tcW w:w="2180" w:type="dxa"/>
            <w:vAlign w:val="bottom"/>
            <w:shd w:val="clear" w:color="auto" w:fill="DCE2EF"/>
          </w:tcPr>
          <w:p>
            <w:pPr>
              <w:jc w:val="center"/>
              <w:spacing w:after="0" w:line="202" w:lineRule="exact"/>
              <w:rPr>
                <w:sz w:val="20"/>
                <w:szCs w:val="20"/>
                <w:color w:val="auto"/>
              </w:rPr>
            </w:pPr>
            <w:r>
              <w:rPr>
                <w:rFonts w:ascii="Arial" w:cs="Arial" w:eastAsia="Arial" w:hAnsi="Arial"/>
                <w:sz w:val="18"/>
                <w:szCs w:val="18"/>
                <w:color w:val="auto"/>
                <w:w w:val="99"/>
              </w:rPr>
              <w:t>September 8, 2006</w:t>
            </w:r>
          </w:p>
        </w:tc>
      </w:tr>
      <w:tr>
        <w:trPr>
          <w:trHeight w:val="217"/>
        </w:trPr>
        <w:tc>
          <w:tcPr>
            <w:tcW w:w="1300" w:type="dxa"/>
            <w:vAlign w:val="bottom"/>
            <w:tcBorders>
              <w:top w:val="single" w:sz="8" w:color="DCE2EF"/>
              <w:bottom w:val="single" w:sz="8" w:color="DCE2EF"/>
            </w:tcBorders>
            <w:shd w:val="clear" w:color="auto" w:fill="DCE2EF"/>
          </w:tcPr>
          <w:p>
            <w:pPr>
              <w:spacing w:after="0"/>
              <w:rPr>
                <w:sz w:val="18"/>
                <w:szCs w:val="18"/>
                <w:color w:val="auto"/>
              </w:rPr>
            </w:pPr>
          </w:p>
        </w:tc>
        <w:tc>
          <w:tcPr>
            <w:tcW w:w="1780" w:type="dxa"/>
            <w:vAlign w:val="bottom"/>
            <w:tcBorders>
              <w:top w:val="single" w:sz="8" w:color="0000FF"/>
              <w:bottom w:val="single" w:sz="8" w:color="0000FF"/>
            </w:tcBorders>
            <w:gridSpan w:val="9"/>
            <w:shd w:val="clear" w:color="auto" w:fill="DCE2EF"/>
          </w:tcPr>
          <w:p>
            <w:pPr>
              <w:spacing w:after="0" w:line="182" w:lineRule="exact"/>
              <w:rPr>
                <w:rFonts w:ascii="Arial" w:cs="Arial" w:eastAsia="Arial" w:hAnsi="Arial"/>
                <w:sz w:val="18"/>
                <w:szCs w:val="18"/>
                <w:color w:val="0000FF"/>
                <w:w w:val="99"/>
              </w:rPr>
            </w:pPr>
            <w:hyperlink r:id="rId104">
              <w:r>
                <w:rPr>
                  <w:rFonts w:ascii="Arial" w:cs="Arial" w:eastAsia="Arial" w:hAnsi="Arial"/>
                  <w:sz w:val="18"/>
                  <w:szCs w:val="18"/>
                  <w:color w:val="0000FF"/>
                  <w:w w:val="99"/>
                </w:rPr>
                <w:t>revised June 16, 2006</w:t>
              </w:r>
            </w:hyperlink>
          </w:p>
        </w:tc>
        <w:tc>
          <w:tcPr>
            <w:tcW w:w="2600" w:type="dxa"/>
            <w:vAlign w:val="bottom"/>
            <w:tcBorders>
              <w:top w:val="single" w:sz="8" w:color="0000FF"/>
              <w:bottom w:val="single" w:sz="8" w:color="DCE2EF"/>
            </w:tcBorders>
            <w:gridSpan w:val="18"/>
            <w:shd w:val="clear" w:color="auto" w:fill="DCE2EF"/>
          </w:tcPr>
          <w:p>
            <w:pPr>
              <w:spacing w:after="0"/>
              <w:rPr>
                <w:sz w:val="18"/>
                <w:szCs w:val="18"/>
                <w:color w:val="auto"/>
              </w:rPr>
            </w:pPr>
          </w:p>
        </w:tc>
        <w:tc>
          <w:tcPr>
            <w:tcW w:w="20" w:type="dxa"/>
            <w:vAlign w:val="bottom"/>
            <w:tcBorders>
              <w:top w:val="single" w:sz="8" w:color="DCE2EF"/>
              <w:bottom w:val="single" w:sz="8" w:color="DCE2EF"/>
            </w:tcBorders>
            <w:shd w:val="clear" w:color="auto" w:fill="DCE2EF"/>
          </w:tcPr>
          <w:p>
            <w:pPr>
              <w:spacing w:after="0"/>
              <w:rPr>
                <w:sz w:val="18"/>
                <w:szCs w:val="18"/>
                <w:color w:val="auto"/>
              </w:rPr>
            </w:pPr>
          </w:p>
        </w:tc>
        <w:tc>
          <w:tcPr>
            <w:tcW w:w="40" w:type="dxa"/>
            <w:vAlign w:val="bottom"/>
            <w:tcBorders>
              <w:top w:val="single" w:sz="8" w:color="DCE2EF"/>
              <w:bottom w:val="single" w:sz="8" w:color="DCE2EF"/>
            </w:tcBorders>
            <w:gridSpan w:val="2"/>
            <w:shd w:val="clear" w:color="auto" w:fill="DCE2EF"/>
          </w:tcPr>
          <w:p>
            <w:pPr>
              <w:spacing w:after="0"/>
              <w:rPr>
                <w:sz w:val="18"/>
                <w:szCs w:val="18"/>
                <w:color w:val="auto"/>
              </w:rPr>
            </w:pPr>
          </w:p>
        </w:tc>
        <w:tc>
          <w:tcPr>
            <w:tcW w:w="60" w:type="dxa"/>
            <w:vAlign w:val="bottom"/>
            <w:tcBorders>
              <w:top w:val="single" w:sz="8" w:color="DCE2EF"/>
              <w:bottom w:val="single" w:sz="8" w:color="DCE2EF"/>
            </w:tcBorders>
            <w:gridSpan w:val="3"/>
            <w:shd w:val="clear" w:color="auto" w:fill="DCE2EF"/>
          </w:tcPr>
          <w:p>
            <w:pPr>
              <w:spacing w:after="0"/>
              <w:rPr>
                <w:sz w:val="18"/>
                <w:szCs w:val="18"/>
                <w:color w:val="auto"/>
              </w:rPr>
            </w:pPr>
          </w:p>
        </w:tc>
        <w:tc>
          <w:tcPr>
            <w:tcW w:w="20" w:type="dxa"/>
            <w:vAlign w:val="bottom"/>
            <w:tcBorders>
              <w:top w:val="single" w:sz="8" w:color="DCE2EF"/>
              <w:bottom w:val="single" w:sz="8" w:color="DCE2EF"/>
            </w:tcBorders>
            <w:shd w:val="clear" w:color="auto" w:fill="DCE2EF"/>
          </w:tcPr>
          <w:p>
            <w:pPr>
              <w:spacing w:after="0"/>
              <w:rPr>
                <w:sz w:val="18"/>
                <w:szCs w:val="18"/>
                <w:color w:val="auto"/>
              </w:rPr>
            </w:pPr>
          </w:p>
        </w:tc>
        <w:tc>
          <w:tcPr>
            <w:tcW w:w="20" w:type="dxa"/>
            <w:vAlign w:val="bottom"/>
            <w:tcBorders>
              <w:top w:val="single" w:sz="8" w:color="DCE2EF"/>
              <w:bottom w:val="single" w:sz="8" w:color="DCE2EF"/>
            </w:tcBorders>
            <w:shd w:val="clear" w:color="auto" w:fill="DCE2EF"/>
          </w:tcPr>
          <w:p>
            <w:pPr>
              <w:spacing w:after="0"/>
              <w:rPr>
                <w:sz w:val="18"/>
                <w:szCs w:val="18"/>
                <w:color w:val="auto"/>
              </w:rPr>
            </w:pPr>
          </w:p>
        </w:tc>
        <w:tc>
          <w:tcPr>
            <w:tcW w:w="20" w:type="dxa"/>
            <w:vAlign w:val="bottom"/>
            <w:tcBorders>
              <w:top w:val="single" w:sz="8" w:color="DCE2EF"/>
              <w:bottom w:val="single" w:sz="8" w:color="DCE2EF"/>
            </w:tcBorders>
            <w:shd w:val="clear" w:color="auto" w:fill="DCE2EF"/>
          </w:tcPr>
          <w:p>
            <w:pPr>
              <w:spacing w:after="0"/>
              <w:rPr>
                <w:sz w:val="18"/>
                <w:szCs w:val="18"/>
                <w:color w:val="auto"/>
              </w:rPr>
            </w:pPr>
          </w:p>
        </w:tc>
        <w:tc>
          <w:tcPr>
            <w:tcW w:w="40" w:type="dxa"/>
            <w:vAlign w:val="bottom"/>
            <w:tcBorders>
              <w:top w:val="single" w:sz="8" w:color="DCE2EF"/>
              <w:bottom w:val="single" w:sz="8" w:color="DCE2EF"/>
            </w:tcBorders>
            <w:gridSpan w:val="2"/>
            <w:shd w:val="clear" w:color="auto" w:fill="DCE2EF"/>
          </w:tcPr>
          <w:p>
            <w:pPr>
              <w:spacing w:after="0"/>
              <w:rPr>
                <w:sz w:val="18"/>
                <w:szCs w:val="18"/>
                <w:color w:val="auto"/>
              </w:rPr>
            </w:pPr>
          </w:p>
        </w:tc>
        <w:tc>
          <w:tcPr>
            <w:tcW w:w="20" w:type="dxa"/>
            <w:vAlign w:val="bottom"/>
            <w:tcBorders>
              <w:top w:val="single" w:sz="8" w:color="DCE2EF"/>
              <w:bottom w:val="single" w:sz="8" w:color="DCE2EF"/>
            </w:tcBorders>
            <w:shd w:val="clear" w:color="auto" w:fill="DCE2EF"/>
          </w:tcPr>
          <w:p>
            <w:pPr>
              <w:spacing w:after="0"/>
              <w:rPr>
                <w:sz w:val="18"/>
                <w:szCs w:val="18"/>
                <w:color w:val="auto"/>
              </w:rPr>
            </w:pPr>
          </w:p>
        </w:tc>
        <w:tc>
          <w:tcPr>
            <w:tcW w:w="20" w:type="dxa"/>
            <w:vAlign w:val="bottom"/>
            <w:tcBorders>
              <w:top w:val="single" w:sz="8" w:color="DCE2EF"/>
              <w:bottom w:val="single" w:sz="8" w:color="DCE2EF"/>
            </w:tcBorders>
            <w:shd w:val="clear" w:color="auto" w:fill="DCE2EF"/>
          </w:tcPr>
          <w:p>
            <w:pPr>
              <w:spacing w:after="0"/>
              <w:rPr>
                <w:sz w:val="18"/>
                <w:szCs w:val="18"/>
                <w:color w:val="auto"/>
              </w:rPr>
            </w:pPr>
          </w:p>
        </w:tc>
        <w:tc>
          <w:tcPr>
            <w:tcW w:w="20" w:type="dxa"/>
            <w:vAlign w:val="bottom"/>
            <w:tcBorders>
              <w:top w:val="single" w:sz="8" w:color="DCE2EF"/>
              <w:bottom w:val="single" w:sz="8" w:color="DCE2EF"/>
            </w:tcBorders>
            <w:shd w:val="clear" w:color="auto" w:fill="DCE2EF"/>
          </w:tcPr>
          <w:p>
            <w:pPr>
              <w:spacing w:after="0"/>
              <w:rPr>
                <w:sz w:val="18"/>
                <w:szCs w:val="18"/>
                <w:color w:val="auto"/>
              </w:rPr>
            </w:pPr>
          </w:p>
        </w:tc>
        <w:tc>
          <w:tcPr>
            <w:tcW w:w="120" w:type="dxa"/>
            <w:vAlign w:val="bottom"/>
            <w:tcBorders>
              <w:top w:val="single" w:sz="8" w:color="DCE2EF"/>
              <w:bottom w:val="single" w:sz="8" w:color="DCE2EF"/>
            </w:tcBorders>
            <w:shd w:val="clear" w:color="auto" w:fill="DCE2EF"/>
          </w:tcPr>
          <w:p>
            <w:pPr>
              <w:spacing w:after="0"/>
              <w:rPr>
                <w:sz w:val="18"/>
                <w:szCs w:val="18"/>
                <w:color w:val="auto"/>
              </w:rPr>
            </w:pPr>
          </w:p>
        </w:tc>
        <w:tc>
          <w:tcPr>
            <w:tcW w:w="780" w:type="dxa"/>
            <w:vAlign w:val="bottom"/>
            <w:tcBorders>
              <w:top w:val="single" w:sz="8" w:color="DCE2EF"/>
              <w:bottom w:val="single" w:sz="8" w:color="DCE2EF"/>
            </w:tcBorders>
            <w:shd w:val="clear" w:color="auto" w:fill="DCE2EF"/>
          </w:tcPr>
          <w:p>
            <w:pPr>
              <w:spacing w:after="0"/>
              <w:rPr>
                <w:sz w:val="18"/>
                <w:szCs w:val="18"/>
                <w:color w:val="auto"/>
              </w:rPr>
            </w:pPr>
          </w:p>
        </w:tc>
        <w:tc>
          <w:tcPr>
            <w:tcW w:w="1360" w:type="dxa"/>
            <w:vAlign w:val="bottom"/>
            <w:tcBorders>
              <w:top w:val="single" w:sz="8" w:color="DCE2EF"/>
              <w:bottom w:val="single" w:sz="8" w:color="DCE2EF"/>
            </w:tcBorders>
            <w:shd w:val="clear" w:color="auto" w:fill="DCE2EF"/>
          </w:tcPr>
          <w:p>
            <w:pPr>
              <w:spacing w:after="0"/>
              <w:rPr>
                <w:sz w:val="18"/>
                <w:szCs w:val="18"/>
                <w:color w:val="auto"/>
              </w:rPr>
            </w:pPr>
          </w:p>
        </w:tc>
        <w:tc>
          <w:tcPr>
            <w:tcW w:w="1020" w:type="dxa"/>
            <w:vAlign w:val="bottom"/>
            <w:tcBorders>
              <w:top w:val="single" w:sz="8" w:color="DCE2EF"/>
              <w:bottom w:val="single" w:sz="8" w:color="DCE2EF"/>
            </w:tcBorders>
            <w:shd w:val="clear" w:color="auto" w:fill="DCE2EF"/>
          </w:tcPr>
          <w:p>
            <w:pPr>
              <w:spacing w:after="0"/>
              <w:rPr>
                <w:sz w:val="18"/>
                <w:szCs w:val="18"/>
                <w:color w:val="auto"/>
              </w:rPr>
            </w:pPr>
          </w:p>
        </w:tc>
        <w:tc>
          <w:tcPr>
            <w:tcW w:w="2180" w:type="dxa"/>
            <w:vAlign w:val="bottom"/>
            <w:tcBorders>
              <w:top w:val="single" w:sz="8" w:color="DCE2EF"/>
              <w:bottom w:val="single" w:sz="8" w:color="DCE2EF"/>
            </w:tcBorders>
            <w:shd w:val="clear" w:color="auto" w:fill="DCE2EF"/>
          </w:tcPr>
          <w:p>
            <w:pPr>
              <w:spacing w:after="0"/>
              <w:rPr>
                <w:sz w:val="18"/>
                <w:szCs w:val="18"/>
                <w:color w:val="auto"/>
              </w:rPr>
            </w:pPr>
          </w:p>
        </w:tc>
      </w:tr>
      <w:tr>
        <w:trPr>
          <w:trHeight w:val="203"/>
        </w:trPr>
        <w:tc>
          <w:tcPr>
            <w:tcW w:w="1300" w:type="dxa"/>
            <w:vAlign w:val="bottom"/>
          </w:tcPr>
          <w:p>
            <w:pPr>
              <w:ind w:left="40"/>
              <w:spacing w:after="0" w:line="202" w:lineRule="exact"/>
              <w:rPr>
                <w:sz w:val="20"/>
                <w:szCs w:val="20"/>
                <w:color w:val="auto"/>
              </w:rPr>
            </w:pPr>
            <w:r>
              <w:rPr>
                <w:rFonts w:ascii="Arial" w:cs="Arial" w:eastAsia="Arial" w:hAnsi="Arial"/>
                <w:sz w:val="18"/>
                <w:szCs w:val="18"/>
                <w:color w:val="auto"/>
              </w:rPr>
              <w:t>10.8*</w:t>
            </w:r>
          </w:p>
        </w:tc>
        <w:tc>
          <w:tcPr>
            <w:tcW w:w="4780" w:type="dxa"/>
            <w:vAlign w:val="bottom"/>
            <w:gridSpan w:val="42"/>
          </w:tcPr>
          <w:p>
            <w:pPr>
              <w:spacing w:after="0" w:line="202" w:lineRule="exact"/>
              <w:rPr>
                <w:rFonts w:ascii="Arial" w:cs="Arial" w:eastAsia="Arial" w:hAnsi="Arial"/>
                <w:sz w:val="18"/>
                <w:szCs w:val="18"/>
                <w:color w:val="0000FF"/>
              </w:rPr>
            </w:pPr>
            <w:hyperlink r:id="rId105">
              <w:r>
                <w:rPr>
                  <w:rFonts w:ascii="Arial" w:cs="Arial" w:eastAsia="Arial" w:hAnsi="Arial"/>
                  <w:sz w:val="18"/>
                  <w:szCs w:val="18"/>
                  <w:color w:val="0000FF"/>
                </w:rPr>
                <w:t>Deferred Compensation Plan for Non-Employee</w:t>
              </w:r>
            </w:hyperlink>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99"/>
              </w:rPr>
              <w:t>10-K</w:t>
            </w:r>
          </w:p>
        </w:tc>
        <w:tc>
          <w:tcPr>
            <w:tcW w:w="13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rPr>
              <w:t>10.7</w:t>
            </w:r>
          </w:p>
        </w:tc>
        <w:tc>
          <w:tcPr>
            <w:tcW w:w="2180" w:type="dxa"/>
            <w:vAlign w:val="bottom"/>
          </w:tcPr>
          <w:p>
            <w:pPr>
              <w:jc w:val="center"/>
              <w:spacing w:after="0" w:line="202" w:lineRule="exact"/>
              <w:rPr>
                <w:sz w:val="20"/>
                <w:szCs w:val="20"/>
                <w:color w:val="auto"/>
              </w:rPr>
            </w:pPr>
            <w:r>
              <w:rPr>
                <w:rFonts w:ascii="Arial" w:cs="Arial" w:eastAsia="Arial" w:hAnsi="Arial"/>
                <w:sz w:val="18"/>
                <w:szCs w:val="18"/>
                <w:color w:val="auto"/>
              </w:rPr>
              <w:t>December 23, 2010</w:t>
            </w:r>
          </w:p>
        </w:tc>
      </w:tr>
      <w:tr>
        <w:trPr>
          <w:trHeight w:val="183"/>
        </w:trPr>
        <w:tc>
          <w:tcPr>
            <w:tcW w:w="1300" w:type="dxa"/>
            <w:vAlign w:val="bottom"/>
          </w:tcPr>
          <w:p>
            <w:pPr>
              <w:spacing w:after="0"/>
              <w:rPr>
                <w:sz w:val="15"/>
                <w:szCs w:val="15"/>
                <w:color w:val="auto"/>
              </w:rPr>
            </w:pPr>
          </w:p>
        </w:tc>
        <w:tc>
          <w:tcPr>
            <w:tcW w:w="3820" w:type="dxa"/>
            <w:vAlign w:val="bottom"/>
            <w:tcBorders>
              <w:top w:val="single" w:sz="8" w:color="0000FF"/>
            </w:tcBorders>
            <w:gridSpan w:val="15"/>
          </w:tcPr>
          <w:p>
            <w:pPr>
              <w:spacing w:after="0" w:line="182" w:lineRule="exact"/>
              <w:rPr>
                <w:rFonts w:ascii="Arial" w:cs="Arial" w:eastAsia="Arial" w:hAnsi="Arial"/>
                <w:sz w:val="18"/>
                <w:szCs w:val="18"/>
                <w:color w:val="0000FF"/>
              </w:rPr>
            </w:pPr>
            <w:hyperlink r:id="rId105">
              <w:r>
                <w:rPr>
                  <w:rFonts w:ascii="Arial" w:cs="Arial" w:eastAsia="Arial" w:hAnsi="Arial"/>
                  <w:sz w:val="18"/>
                  <w:szCs w:val="18"/>
                  <w:color w:val="0000FF"/>
                </w:rPr>
                <w:t>Directors, as amended and restated December</w:t>
              </w:r>
            </w:hyperlink>
          </w:p>
        </w:tc>
        <w:tc>
          <w:tcPr>
            <w:tcW w:w="780" w:type="dxa"/>
            <w:vAlign w:val="bottom"/>
            <w:gridSpan w:val="23"/>
          </w:tcPr>
          <w:p>
            <w:pPr>
              <w:jc w:val="center"/>
              <w:ind w:right="80"/>
              <w:spacing w:after="0" w:line="182" w:lineRule="exact"/>
              <w:rPr>
                <w:rFonts w:ascii="Arial" w:cs="Arial" w:eastAsia="Arial" w:hAnsi="Arial"/>
                <w:sz w:val="18"/>
                <w:szCs w:val="18"/>
                <w:color w:val="0000FF"/>
                <w:w w:val="94"/>
              </w:rPr>
            </w:pPr>
            <w:hyperlink r:id="rId105">
              <w:r>
                <w:rPr>
                  <w:rFonts w:ascii="Arial" w:cs="Arial" w:eastAsia="Arial" w:hAnsi="Arial"/>
                  <w:sz w:val="18"/>
                  <w:szCs w:val="18"/>
                  <w:color w:val="0000FF"/>
                  <w:w w:val="94"/>
                </w:rPr>
                <w:t>13, 2010</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34"/>
        </w:trPr>
        <w:tc>
          <w:tcPr>
            <w:tcW w:w="130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16"/>
        </w:trPr>
        <w:tc>
          <w:tcPr>
            <w:tcW w:w="1300" w:type="dxa"/>
            <w:vAlign w:val="bottom"/>
            <w:shd w:val="clear" w:color="auto" w:fill="DCE2EF"/>
          </w:tcPr>
          <w:p>
            <w:pPr>
              <w:ind w:left="40"/>
              <w:spacing w:after="0"/>
              <w:rPr>
                <w:sz w:val="20"/>
                <w:szCs w:val="20"/>
                <w:color w:val="auto"/>
              </w:rPr>
            </w:pPr>
            <w:r>
              <w:rPr>
                <w:rFonts w:ascii="Arial" w:cs="Arial" w:eastAsia="Arial" w:hAnsi="Arial"/>
                <w:sz w:val="18"/>
                <w:szCs w:val="18"/>
                <w:color w:val="auto"/>
              </w:rPr>
              <w:t>10.9*</w:t>
            </w:r>
          </w:p>
        </w:tc>
        <w:tc>
          <w:tcPr>
            <w:tcW w:w="4780" w:type="dxa"/>
            <w:vAlign w:val="bottom"/>
            <w:gridSpan w:val="42"/>
            <w:shd w:val="clear" w:color="auto" w:fill="DCE2EF"/>
          </w:tcPr>
          <w:p>
            <w:pPr>
              <w:spacing w:after="0"/>
              <w:rPr>
                <w:rFonts w:ascii="Arial" w:cs="Arial" w:eastAsia="Arial" w:hAnsi="Arial"/>
                <w:sz w:val="18"/>
                <w:szCs w:val="18"/>
                <w:color w:val="0000FF"/>
              </w:rPr>
            </w:pPr>
            <w:hyperlink r:id="rId106">
              <w:r>
                <w:rPr>
                  <w:rFonts w:ascii="Arial" w:cs="Arial" w:eastAsia="Arial" w:hAnsi="Arial"/>
                  <w:sz w:val="18"/>
                  <w:szCs w:val="18"/>
                  <w:color w:val="0000FF"/>
                </w:rPr>
                <w:t>Form of Director’s Indemnification Agreement</w:t>
              </w:r>
            </w:hyperlink>
          </w:p>
        </w:tc>
        <w:tc>
          <w:tcPr>
            <w:tcW w:w="780" w:type="dxa"/>
            <w:vAlign w:val="bottom"/>
            <w:shd w:val="clear" w:color="auto" w:fill="DCE2EF"/>
          </w:tcPr>
          <w:p>
            <w:pPr>
              <w:jc w:val="center"/>
              <w:spacing w:after="0"/>
              <w:rPr>
                <w:sz w:val="20"/>
                <w:szCs w:val="20"/>
                <w:color w:val="auto"/>
              </w:rPr>
            </w:pPr>
            <w:r>
              <w:rPr>
                <w:rFonts w:ascii="Arial" w:cs="Arial" w:eastAsia="Arial" w:hAnsi="Arial"/>
                <w:sz w:val="18"/>
                <w:szCs w:val="18"/>
                <w:color w:val="auto"/>
                <w:w w:val="99"/>
              </w:rPr>
              <w:t>10-K</w:t>
            </w:r>
          </w:p>
        </w:tc>
        <w:tc>
          <w:tcPr>
            <w:tcW w:w="136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shd w:val="clear" w:color="auto" w:fill="DCE2EF"/>
          </w:tcPr>
          <w:p>
            <w:pPr>
              <w:jc w:val="center"/>
              <w:spacing w:after="0"/>
              <w:rPr>
                <w:sz w:val="20"/>
                <w:szCs w:val="20"/>
                <w:color w:val="auto"/>
              </w:rPr>
            </w:pPr>
            <w:r>
              <w:rPr>
                <w:rFonts w:ascii="Arial" w:cs="Arial" w:eastAsia="Arial" w:hAnsi="Arial"/>
                <w:sz w:val="18"/>
                <w:szCs w:val="18"/>
                <w:color w:val="auto"/>
              </w:rPr>
              <w:t>10.9</w:t>
            </w:r>
          </w:p>
        </w:tc>
        <w:tc>
          <w:tcPr>
            <w:tcW w:w="2180" w:type="dxa"/>
            <w:vAlign w:val="bottom"/>
            <w:shd w:val="clear" w:color="auto" w:fill="DCE2EF"/>
          </w:tcPr>
          <w:p>
            <w:pPr>
              <w:jc w:val="center"/>
              <w:spacing w:after="0"/>
              <w:rPr>
                <w:sz w:val="20"/>
                <w:szCs w:val="20"/>
                <w:color w:val="auto"/>
              </w:rPr>
            </w:pPr>
            <w:r>
              <w:rPr>
                <w:rFonts w:ascii="Arial" w:cs="Arial" w:eastAsia="Arial" w:hAnsi="Arial"/>
                <w:sz w:val="18"/>
                <w:szCs w:val="18"/>
                <w:color w:val="auto"/>
              </w:rPr>
              <w:t>December 21, 2018</w:t>
            </w:r>
          </w:p>
        </w:tc>
      </w:tr>
      <w:tr>
        <w:trPr>
          <w:trHeight w:val="34"/>
        </w:trPr>
        <w:tc>
          <w:tcPr>
            <w:tcW w:w="1300" w:type="dxa"/>
            <w:vAlign w:val="bottom"/>
            <w:tcBorders>
              <w:top w:val="single" w:sz="8" w:color="DCE2EF"/>
            </w:tcBorders>
            <w:shd w:val="clear" w:color="auto" w:fill="DCE2EF"/>
          </w:tcPr>
          <w:p>
            <w:pPr>
              <w:spacing w:after="0"/>
              <w:rPr>
                <w:sz w:val="2"/>
                <w:szCs w:val="2"/>
                <w:color w:val="auto"/>
              </w:rPr>
            </w:pPr>
          </w:p>
        </w:tc>
        <w:tc>
          <w:tcPr>
            <w:tcW w:w="360" w:type="dxa"/>
            <w:vAlign w:val="bottom"/>
            <w:tcBorders>
              <w:top w:val="single" w:sz="8" w:color="0000FF"/>
            </w:tcBorders>
            <w:shd w:val="clear" w:color="auto" w:fill="DCE2EF"/>
          </w:tcPr>
          <w:p>
            <w:pPr>
              <w:spacing w:after="0"/>
              <w:rPr>
                <w:sz w:val="2"/>
                <w:szCs w:val="2"/>
                <w:color w:val="auto"/>
              </w:rPr>
            </w:pPr>
          </w:p>
        </w:tc>
        <w:tc>
          <w:tcPr>
            <w:tcW w:w="40" w:type="dxa"/>
            <w:vAlign w:val="bottom"/>
            <w:tcBorders>
              <w:top w:val="single" w:sz="8" w:color="0000FF"/>
            </w:tcBorders>
            <w:shd w:val="clear" w:color="auto" w:fill="DCE2EF"/>
          </w:tcPr>
          <w:p>
            <w:pPr>
              <w:spacing w:after="0"/>
              <w:rPr>
                <w:sz w:val="2"/>
                <w:szCs w:val="2"/>
                <w:color w:val="auto"/>
              </w:rPr>
            </w:pPr>
          </w:p>
        </w:tc>
        <w:tc>
          <w:tcPr>
            <w:tcW w:w="520" w:type="dxa"/>
            <w:vAlign w:val="bottom"/>
            <w:tcBorders>
              <w:top w:val="single" w:sz="8" w:color="0000FF"/>
            </w:tcBorders>
            <w:shd w:val="clear" w:color="auto" w:fill="DCE2EF"/>
          </w:tcPr>
          <w:p>
            <w:pPr>
              <w:spacing w:after="0"/>
              <w:rPr>
                <w:sz w:val="2"/>
                <w:szCs w:val="2"/>
                <w:color w:val="auto"/>
              </w:rPr>
            </w:pPr>
          </w:p>
        </w:tc>
        <w:tc>
          <w:tcPr>
            <w:tcW w:w="240" w:type="dxa"/>
            <w:vAlign w:val="bottom"/>
            <w:tcBorders>
              <w:top w:val="single" w:sz="8" w:color="0000FF"/>
            </w:tcBorders>
            <w:shd w:val="clear" w:color="auto" w:fill="DCE2EF"/>
          </w:tcPr>
          <w:p>
            <w:pPr>
              <w:spacing w:after="0"/>
              <w:rPr>
                <w:sz w:val="2"/>
                <w:szCs w:val="2"/>
                <w:color w:val="auto"/>
              </w:rPr>
            </w:pPr>
          </w:p>
        </w:tc>
        <w:tc>
          <w:tcPr>
            <w:tcW w:w="320" w:type="dxa"/>
            <w:vAlign w:val="bottom"/>
            <w:tcBorders>
              <w:top w:val="single" w:sz="8" w:color="0000FF"/>
            </w:tcBorders>
            <w:shd w:val="clear" w:color="auto" w:fill="DCE2EF"/>
          </w:tcPr>
          <w:p>
            <w:pPr>
              <w:spacing w:after="0"/>
              <w:rPr>
                <w:sz w:val="2"/>
                <w:szCs w:val="2"/>
                <w:color w:val="auto"/>
              </w:rPr>
            </w:pPr>
          </w:p>
        </w:tc>
        <w:tc>
          <w:tcPr>
            <w:tcW w:w="80" w:type="dxa"/>
            <w:vAlign w:val="bottom"/>
            <w:tcBorders>
              <w:top w:val="single" w:sz="8" w:color="0000FF"/>
            </w:tcBorders>
            <w:shd w:val="clear" w:color="auto" w:fill="DCE2EF"/>
          </w:tcPr>
          <w:p>
            <w:pPr>
              <w:spacing w:after="0"/>
              <w:rPr>
                <w:sz w:val="2"/>
                <w:szCs w:val="2"/>
                <w:color w:val="auto"/>
              </w:rPr>
            </w:pPr>
          </w:p>
        </w:tc>
        <w:tc>
          <w:tcPr>
            <w:tcW w:w="60" w:type="dxa"/>
            <w:vAlign w:val="bottom"/>
            <w:tcBorders>
              <w:top w:val="single" w:sz="8" w:color="0000FF"/>
            </w:tcBorders>
            <w:shd w:val="clear" w:color="auto" w:fill="DCE2EF"/>
          </w:tcPr>
          <w:p>
            <w:pPr>
              <w:spacing w:after="0"/>
              <w:rPr>
                <w:sz w:val="2"/>
                <w:szCs w:val="2"/>
                <w:color w:val="auto"/>
              </w:rPr>
            </w:pPr>
          </w:p>
        </w:tc>
        <w:tc>
          <w:tcPr>
            <w:tcW w:w="120" w:type="dxa"/>
            <w:vAlign w:val="bottom"/>
            <w:tcBorders>
              <w:top w:val="single" w:sz="8" w:color="0000FF"/>
            </w:tcBorders>
            <w:shd w:val="clear" w:color="auto" w:fill="DCE2EF"/>
          </w:tcPr>
          <w:p>
            <w:pPr>
              <w:spacing w:after="0"/>
              <w:rPr>
                <w:sz w:val="2"/>
                <w:szCs w:val="2"/>
                <w:color w:val="auto"/>
              </w:rPr>
            </w:pPr>
          </w:p>
        </w:tc>
        <w:tc>
          <w:tcPr>
            <w:tcW w:w="40" w:type="dxa"/>
            <w:vAlign w:val="bottom"/>
            <w:tcBorders>
              <w:top w:val="single" w:sz="8" w:color="0000FF"/>
            </w:tcBorders>
            <w:shd w:val="clear" w:color="auto" w:fill="DCE2EF"/>
          </w:tcPr>
          <w:p>
            <w:pPr>
              <w:spacing w:after="0"/>
              <w:rPr>
                <w:sz w:val="2"/>
                <w:szCs w:val="2"/>
                <w:color w:val="auto"/>
              </w:rPr>
            </w:pPr>
          </w:p>
        </w:tc>
        <w:tc>
          <w:tcPr>
            <w:tcW w:w="660" w:type="dxa"/>
            <w:vAlign w:val="bottom"/>
            <w:tcBorders>
              <w:top w:val="single" w:sz="8" w:color="0000FF"/>
            </w:tcBorders>
            <w:shd w:val="clear" w:color="auto" w:fill="DCE2EF"/>
          </w:tcPr>
          <w:p>
            <w:pPr>
              <w:spacing w:after="0"/>
              <w:rPr>
                <w:sz w:val="2"/>
                <w:szCs w:val="2"/>
                <w:color w:val="auto"/>
              </w:rPr>
            </w:pPr>
          </w:p>
        </w:tc>
        <w:tc>
          <w:tcPr>
            <w:tcW w:w="140" w:type="dxa"/>
            <w:vAlign w:val="bottom"/>
            <w:tcBorders>
              <w:top w:val="single" w:sz="8" w:color="0000FF"/>
            </w:tcBorders>
            <w:shd w:val="clear" w:color="auto" w:fill="DCE2EF"/>
          </w:tcPr>
          <w:p>
            <w:pPr>
              <w:spacing w:after="0"/>
              <w:rPr>
                <w:sz w:val="2"/>
                <w:szCs w:val="2"/>
                <w:color w:val="auto"/>
              </w:rPr>
            </w:pPr>
          </w:p>
        </w:tc>
        <w:tc>
          <w:tcPr>
            <w:tcW w:w="760" w:type="dxa"/>
            <w:vAlign w:val="bottom"/>
            <w:tcBorders>
              <w:top w:val="single" w:sz="8" w:color="0000FF"/>
            </w:tcBorders>
            <w:shd w:val="clear" w:color="auto" w:fill="DCE2EF"/>
          </w:tcPr>
          <w:p>
            <w:pPr>
              <w:spacing w:after="0"/>
              <w:rPr>
                <w:sz w:val="2"/>
                <w:szCs w:val="2"/>
                <w:color w:val="auto"/>
              </w:rPr>
            </w:pPr>
          </w:p>
        </w:tc>
        <w:tc>
          <w:tcPr>
            <w:tcW w:w="40" w:type="dxa"/>
            <w:vAlign w:val="bottom"/>
            <w:tcBorders>
              <w:top w:val="single" w:sz="8" w:color="0000FF"/>
            </w:tcBorders>
            <w:shd w:val="clear" w:color="auto" w:fill="DCE2EF"/>
          </w:tcPr>
          <w:p>
            <w:pPr>
              <w:spacing w:after="0"/>
              <w:rPr>
                <w:sz w:val="2"/>
                <w:szCs w:val="2"/>
                <w:color w:val="auto"/>
              </w:rPr>
            </w:pPr>
          </w:p>
        </w:tc>
        <w:tc>
          <w:tcPr>
            <w:tcW w:w="240" w:type="dxa"/>
            <w:vAlign w:val="bottom"/>
            <w:tcBorders>
              <w:top w:val="single" w:sz="8" w:color="0000FF"/>
            </w:tcBorders>
            <w:shd w:val="clear" w:color="auto" w:fill="DCE2EF"/>
          </w:tcPr>
          <w:p>
            <w:pPr>
              <w:spacing w:after="0"/>
              <w:rPr>
                <w:sz w:val="2"/>
                <w:szCs w:val="2"/>
                <w:color w:val="auto"/>
              </w:rPr>
            </w:pPr>
          </w:p>
        </w:tc>
        <w:tc>
          <w:tcPr>
            <w:tcW w:w="20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6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180" w:type="dxa"/>
            <w:vAlign w:val="bottom"/>
            <w:tcBorders>
              <w:top w:val="single" w:sz="8" w:color="DCE2EF"/>
            </w:tcBorders>
            <w:shd w:val="clear" w:color="auto" w:fill="DCE2EF"/>
          </w:tcPr>
          <w:p>
            <w:pPr>
              <w:spacing w:after="0"/>
              <w:rPr>
                <w:sz w:val="2"/>
                <w:szCs w:val="2"/>
                <w:color w:val="auto"/>
              </w:rPr>
            </w:pPr>
          </w:p>
        </w:tc>
        <w:tc>
          <w:tcPr>
            <w:tcW w:w="100" w:type="dxa"/>
            <w:vAlign w:val="bottom"/>
            <w:tcBorders>
              <w:top w:val="single" w:sz="8" w:color="DCE2EF"/>
            </w:tcBorders>
            <w:shd w:val="clear" w:color="auto" w:fill="DCE2EF"/>
          </w:tcPr>
          <w:p>
            <w:pPr>
              <w:spacing w:after="0"/>
              <w:rPr>
                <w:sz w:val="2"/>
                <w:szCs w:val="2"/>
                <w:color w:val="auto"/>
              </w:rPr>
            </w:pPr>
          </w:p>
        </w:tc>
        <w:tc>
          <w:tcPr>
            <w:tcW w:w="6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120" w:type="dxa"/>
            <w:vAlign w:val="bottom"/>
            <w:tcBorders>
              <w:top w:val="single" w:sz="8" w:color="DCE2EF"/>
            </w:tcBorders>
            <w:shd w:val="clear" w:color="auto" w:fill="DCE2EF"/>
          </w:tcPr>
          <w:p>
            <w:pPr>
              <w:spacing w:after="0"/>
              <w:rPr>
                <w:sz w:val="2"/>
                <w:szCs w:val="2"/>
                <w:color w:val="auto"/>
              </w:rPr>
            </w:pPr>
          </w:p>
        </w:tc>
        <w:tc>
          <w:tcPr>
            <w:tcW w:w="780" w:type="dxa"/>
            <w:vAlign w:val="bottom"/>
            <w:tcBorders>
              <w:top w:val="single" w:sz="8" w:color="DCE2EF"/>
            </w:tcBorders>
            <w:shd w:val="clear" w:color="auto" w:fill="DCE2EF"/>
          </w:tcPr>
          <w:p>
            <w:pPr>
              <w:spacing w:after="0"/>
              <w:rPr>
                <w:sz w:val="2"/>
                <w:szCs w:val="2"/>
                <w:color w:val="auto"/>
              </w:rPr>
            </w:pPr>
          </w:p>
        </w:tc>
        <w:tc>
          <w:tcPr>
            <w:tcW w:w="1360" w:type="dxa"/>
            <w:vAlign w:val="bottom"/>
            <w:tcBorders>
              <w:top w:val="single" w:sz="8" w:color="DCE2EF"/>
            </w:tcBorders>
            <w:shd w:val="clear" w:color="auto" w:fill="DCE2EF"/>
          </w:tcPr>
          <w:p>
            <w:pPr>
              <w:spacing w:after="0"/>
              <w:rPr>
                <w:sz w:val="2"/>
                <w:szCs w:val="2"/>
                <w:color w:val="auto"/>
              </w:rPr>
            </w:pPr>
          </w:p>
        </w:tc>
        <w:tc>
          <w:tcPr>
            <w:tcW w:w="1020" w:type="dxa"/>
            <w:vAlign w:val="bottom"/>
            <w:tcBorders>
              <w:top w:val="single" w:sz="8" w:color="DCE2EF"/>
            </w:tcBorders>
            <w:shd w:val="clear" w:color="auto" w:fill="DCE2EF"/>
          </w:tcPr>
          <w:p>
            <w:pPr>
              <w:spacing w:after="0"/>
              <w:rPr>
                <w:sz w:val="2"/>
                <w:szCs w:val="2"/>
                <w:color w:val="auto"/>
              </w:rPr>
            </w:pPr>
          </w:p>
        </w:tc>
        <w:tc>
          <w:tcPr>
            <w:tcW w:w="2180" w:type="dxa"/>
            <w:vAlign w:val="bottom"/>
            <w:tcBorders>
              <w:top w:val="single" w:sz="8" w:color="DCE2EF"/>
            </w:tcBorders>
            <w:shd w:val="clear" w:color="auto" w:fill="DCE2EF"/>
          </w:tcPr>
          <w:p>
            <w:pPr>
              <w:spacing w:after="0"/>
              <w:rPr>
                <w:sz w:val="2"/>
                <w:szCs w:val="2"/>
                <w:color w:val="auto"/>
              </w:rPr>
            </w:pPr>
          </w:p>
        </w:tc>
      </w:tr>
      <w:tr>
        <w:trPr>
          <w:trHeight w:val="203"/>
        </w:trPr>
        <w:tc>
          <w:tcPr>
            <w:tcW w:w="1300" w:type="dxa"/>
            <w:vAlign w:val="bottom"/>
          </w:tcPr>
          <w:p>
            <w:pPr>
              <w:ind w:left="40"/>
              <w:spacing w:after="0" w:line="202" w:lineRule="exact"/>
              <w:rPr>
                <w:sz w:val="20"/>
                <w:szCs w:val="20"/>
                <w:color w:val="auto"/>
              </w:rPr>
            </w:pPr>
            <w:r>
              <w:rPr>
                <w:rFonts w:ascii="Arial" w:cs="Arial" w:eastAsia="Arial" w:hAnsi="Arial"/>
                <w:sz w:val="18"/>
                <w:szCs w:val="18"/>
                <w:color w:val="auto"/>
              </w:rPr>
              <w:t>10.10*</w:t>
            </w:r>
          </w:p>
        </w:tc>
        <w:tc>
          <w:tcPr>
            <w:tcW w:w="4780" w:type="dxa"/>
            <w:vAlign w:val="bottom"/>
            <w:gridSpan w:val="42"/>
          </w:tcPr>
          <w:p>
            <w:pPr>
              <w:spacing w:after="0" w:line="202" w:lineRule="exact"/>
              <w:rPr>
                <w:rFonts w:ascii="Arial" w:cs="Arial" w:eastAsia="Arial" w:hAnsi="Arial"/>
                <w:sz w:val="18"/>
                <w:szCs w:val="18"/>
                <w:color w:val="0000FF"/>
              </w:rPr>
            </w:pPr>
            <w:hyperlink r:id="rId107">
              <w:r>
                <w:rPr>
                  <w:rFonts w:ascii="Arial" w:cs="Arial" w:eastAsia="Arial" w:hAnsi="Arial"/>
                  <w:sz w:val="18"/>
                  <w:szCs w:val="18"/>
                  <w:color w:val="0000FF"/>
                </w:rPr>
                <w:t>ABM Executive Officer Incentive Plan, as amended and</w:t>
              </w:r>
            </w:hyperlink>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rPr>
              <w:t>10.6</w:t>
            </w:r>
          </w:p>
        </w:tc>
        <w:tc>
          <w:tcPr>
            <w:tcW w:w="2180" w:type="dxa"/>
            <w:vAlign w:val="bottom"/>
          </w:tcPr>
          <w:p>
            <w:pPr>
              <w:jc w:val="center"/>
              <w:spacing w:after="0" w:line="202" w:lineRule="exact"/>
              <w:rPr>
                <w:sz w:val="20"/>
                <w:szCs w:val="20"/>
                <w:color w:val="auto"/>
              </w:rPr>
            </w:pPr>
            <w:r>
              <w:rPr>
                <w:rFonts w:ascii="Arial" w:cs="Arial" w:eastAsia="Arial" w:hAnsi="Arial"/>
                <w:sz w:val="18"/>
                <w:szCs w:val="18"/>
                <w:color w:val="auto"/>
                <w:w w:val="99"/>
              </w:rPr>
              <w:t>September 8, 2008</w:t>
            </w:r>
          </w:p>
        </w:tc>
      </w:tr>
      <w:tr>
        <w:trPr>
          <w:trHeight w:val="183"/>
        </w:trPr>
        <w:tc>
          <w:tcPr>
            <w:tcW w:w="1300" w:type="dxa"/>
            <w:vAlign w:val="bottom"/>
          </w:tcPr>
          <w:p>
            <w:pPr>
              <w:spacing w:after="0"/>
              <w:rPr>
                <w:sz w:val="15"/>
                <w:szCs w:val="15"/>
                <w:color w:val="auto"/>
              </w:rPr>
            </w:pPr>
          </w:p>
        </w:tc>
        <w:tc>
          <w:tcPr>
            <w:tcW w:w="4440" w:type="dxa"/>
            <w:vAlign w:val="bottom"/>
            <w:tcBorders>
              <w:top w:val="single" w:sz="8" w:color="0000FF"/>
            </w:tcBorders>
            <w:gridSpan w:val="30"/>
          </w:tcPr>
          <w:p>
            <w:pPr>
              <w:spacing w:after="0" w:line="182" w:lineRule="exact"/>
              <w:rPr>
                <w:rFonts w:ascii="Arial" w:cs="Arial" w:eastAsia="Arial" w:hAnsi="Arial"/>
                <w:sz w:val="18"/>
                <w:szCs w:val="18"/>
                <w:color w:val="0000FF"/>
              </w:rPr>
            </w:pPr>
            <w:hyperlink r:id="rId107">
              <w:r>
                <w:rPr>
                  <w:rFonts w:ascii="Arial" w:cs="Arial" w:eastAsia="Arial" w:hAnsi="Arial"/>
                  <w:sz w:val="18"/>
                  <w:szCs w:val="18"/>
                  <w:color w:val="0000FF"/>
                </w:rPr>
                <w:t>restated June 3, 2008</w:t>
              </w:r>
            </w:hyperlink>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34"/>
        </w:trPr>
        <w:tc>
          <w:tcPr>
            <w:tcW w:w="130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03"/>
        </w:trPr>
        <w:tc>
          <w:tcPr>
            <w:tcW w:w="1300" w:type="dxa"/>
            <w:vAlign w:val="bottom"/>
            <w:shd w:val="clear" w:color="auto" w:fill="DCE2EF"/>
          </w:tcPr>
          <w:p>
            <w:pPr>
              <w:ind w:left="40"/>
              <w:spacing w:after="0" w:line="202" w:lineRule="exact"/>
              <w:rPr>
                <w:sz w:val="20"/>
                <w:szCs w:val="20"/>
                <w:color w:val="auto"/>
              </w:rPr>
            </w:pPr>
            <w:r>
              <w:rPr>
                <w:rFonts w:ascii="Arial" w:cs="Arial" w:eastAsia="Arial" w:hAnsi="Arial"/>
                <w:sz w:val="18"/>
                <w:szCs w:val="18"/>
                <w:color w:val="auto"/>
              </w:rPr>
              <w:t>10.11*</w:t>
            </w:r>
          </w:p>
        </w:tc>
        <w:tc>
          <w:tcPr>
            <w:tcW w:w="4780" w:type="dxa"/>
            <w:vAlign w:val="bottom"/>
            <w:gridSpan w:val="42"/>
            <w:shd w:val="clear" w:color="auto" w:fill="DCE2EF"/>
          </w:tcPr>
          <w:p>
            <w:pPr>
              <w:spacing w:after="0" w:line="202" w:lineRule="exact"/>
              <w:rPr>
                <w:rFonts w:ascii="Arial" w:cs="Arial" w:eastAsia="Arial" w:hAnsi="Arial"/>
                <w:sz w:val="18"/>
                <w:szCs w:val="18"/>
                <w:color w:val="0000FF"/>
              </w:rPr>
            </w:pPr>
            <w:hyperlink r:id="rId108">
              <w:r>
                <w:rPr>
                  <w:rFonts w:ascii="Arial" w:cs="Arial" w:eastAsia="Arial" w:hAnsi="Arial"/>
                  <w:sz w:val="18"/>
                  <w:szCs w:val="18"/>
                  <w:color w:val="0000FF"/>
                </w:rPr>
                <w:t>2006 Equity Incentive Plan, as amended and restated</w:t>
              </w:r>
            </w:hyperlink>
          </w:p>
        </w:tc>
        <w:tc>
          <w:tcPr>
            <w:tcW w:w="780" w:type="dxa"/>
            <w:vAlign w:val="bottom"/>
            <w:shd w:val="clear" w:color="auto" w:fill="DCE2EF"/>
          </w:tcPr>
          <w:p>
            <w:pPr>
              <w:jc w:val="center"/>
              <w:ind w:right="10"/>
              <w:spacing w:after="0" w:line="202" w:lineRule="exact"/>
              <w:rPr>
                <w:sz w:val="20"/>
                <w:szCs w:val="20"/>
                <w:color w:val="auto"/>
              </w:rPr>
            </w:pPr>
            <w:r>
              <w:rPr>
                <w:rFonts w:ascii="Arial" w:cs="Arial" w:eastAsia="Arial" w:hAnsi="Arial"/>
                <w:sz w:val="18"/>
                <w:szCs w:val="18"/>
                <w:color w:val="auto"/>
                <w:w w:val="99"/>
              </w:rPr>
              <w:t>8-K</w:t>
            </w:r>
          </w:p>
        </w:tc>
        <w:tc>
          <w:tcPr>
            <w:tcW w:w="1360" w:type="dxa"/>
            <w:vAlign w:val="bottom"/>
            <w:shd w:val="clear" w:color="auto" w:fill="DCE2EF"/>
          </w:tcPr>
          <w:p>
            <w:pPr>
              <w:jc w:val="right"/>
              <w:ind w:right="190"/>
              <w:spacing w:after="0" w:line="202" w:lineRule="exact"/>
              <w:rPr>
                <w:sz w:val="20"/>
                <w:szCs w:val="20"/>
                <w:color w:val="auto"/>
              </w:rPr>
            </w:pPr>
            <w:r>
              <w:rPr>
                <w:rFonts w:ascii="Arial" w:cs="Arial" w:eastAsia="Arial" w:hAnsi="Arial"/>
                <w:sz w:val="18"/>
                <w:szCs w:val="18"/>
                <w:color w:val="auto"/>
              </w:rPr>
              <w:t>001-08929</w:t>
            </w:r>
          </w:p>
        </w:tc>
        <w:tc>
          <w:tcPr>
            <w:tcW w:w="1020" w:type="dxa"/>
            <w:vAlign w:val="bottom"/>
            <w:shd w:val="clear" w:color="auto" w:fill="DCE2EF"/>
          </w:tcPr>
          <w:p>
            <w:pPr>
              <w:jc w:val="center"/>
              <w:spacing w:after="0" w:line="202" w:lineRule="exact"/>
              <w:rPr>
                <w:sz w:val="20"/>
                <w:szCs w:val="20"/>
                <w:color w:val="auto"/>
              </w:rPr>
            </w:pPr>
            <w:r>
              <w:rPr>
                <w:rFonts w:ascii="Arial" w:cs="Arial" w:eastAsia="Arial" w:hAnsi="Arial"/>
                <w:sz w:val="18"/>
                <w:szCs w:val="18"/>
                <w:color w:val="auto"/>
              </w:rPr>
              <w:t>10.1</w:t>
            </w:r>
          </w:p>
        </w:tc>
        <w:tc>
          <w:tcPr>
            <w:tcW w:w="2180" w:type="dxa"/>
            <w:vAlign w:val="bottom"/>
            <w:shd w:val="clear" w:color="auto" w:fill="DCE2EF"/>
          </w:tcPr>
          <w:p>
            <w:pPr>
              <w:jc w:val="center"/>
              <w:spacing w:after="0" w:line="202" w:lineRule="exact"/>
              <w:rPr>
                <w:sz w:val="20"/>
                <w:szCs w:val="20"/>
                <w:color w:val="auto"/>
              </w:rPr>
            </w:pPr>
            <w:r>
              <w:rPr>
                <w:rFonts w:ascii="Arial" w:cs="Arial" w:eastAsia="Arial" w:hAnsi="Arial"/>
                <w:sz w:val="18"/>
                <w:szCs w:val="18"/>
                <w:color w:val="auto"/>
              </w:rPr>
              <w:t>March 8, 2018</w:t>
            </w:r>
          </w:p>
        </w:tc>
      </w:tr>
      <w:tr>
        <w:trPr>
          <w:trHeight w:val="217"/>
        </w:trPr>
        <w:tc>
          <w:tcPr>
            <w:tcW w:w="1300" w:type="dxa"/>
            <w:vAlign w:val="bottom"/>
            <w:tcBorders>
              <w:top w:val="single" w:sz="8" w:color="DCE2EF"/>
              <w:bottom w:val="single" w:sz="8" w:color="DCE2EF"/>
            </w:tcBorders>
            <w:shd w:val="clear" w:color="auto" w:fill="DCE2EF"/>
          </w:tcPr>
          <w:p>
            <w:pPr>
              <w:spacing w:after="0"/>
              <w:rPr>
                <w:sz w:val="18"/>
                <w:szCs w:val="18"/>
                <w:color w:val="auto"/>
              </w:rPr>
            </w:pPr>
          </w:p>
        </w:tc>
        <w:tc>
          <w:tcPr>
            <w:tcW w:w="1160" w:type="dxa"/>
            <w:vAlign w:val="bottom"/>
            <w:tcBorders>
              <w:top w:val="single" w:sz="8" w:color="0000FF"/>
              <w:bottom w:val="single" w:sz="8" w:color="0000FF"/>
            </w:tcBorders>
            <w:gridSpan w:val="4"/>
            <w:shd w:val="clear" w:color="auto" w:fill="DCE2EF"/>
          </w:tcPr>
          <w:p>
            <w:pPr>
              <w:spacing w:after="0" w:line="182" w:lineRule="exact"/>
              <w:rPr>
                <w:rFonts w:ascii="Arial" w:cs="Arial" w:eastAsia="Arial" w:hAnsi="Arial"/>
                <w:sz w:val="18"/>
                <w:szCs w:val="18"/>
                <w:color w:val="0000FF"/>
                <w:w w:val="99"/>
              </w:rPr>
            </w:pPr>
            <w:hyperlink r:id="rId108">
              <w:r>
                <w:rPr>
                  <w:rFonts w:ascii="Arial" w:cs="Arial" w:eastAsia="Arial" w:hAnsi="Arial"/>
                  <w:sz w:val="18"/>
                  <w:szCs w:val="18"/>
                  <w:color w:val="0000FF"/>
                  <w:w w:val="99"/>
                </w:rPr>
                <w:t>March 7, 2018</w:t>
              </w:r>
            </w:hyperlink>
          </w:p>
        </w:tc>
        <w:tc>
          <w:tcPr>
            <w:tcW w:w="3140" w:type="dxa"/>
            <w:vAlign w:val="bottom"/>
            <w:tcBorders>
              <w:top w:val="single" w:sz="8" w:color="0000FF"/>
              <w:bottom w:val="single" w:sz="8" w:color="DCE2EF"/>
            </w:tcBorders>
            <w:gridSpan w:val="19"/>
            <w:shd w:val="clear" w:color="auto" w:fill="DCE2EF"/>
          </w:tcPr>
          <w:p>
            <w:pPr>
              <w:spacing w:after="0"/>
              <w:rPr>
                <w:sz w:val="18"/>
                <w:szCs w:val="18"/>
                <w:color w:val="auto"/>
              </w:rPr>
            </w:pPr>
          </w:p>
        </w:tc>
        <w:tc>
          <w:tcPr>
            <w:tcW w:w="20" w:type="dxa"/>
            <w:vAlign w:val="bottom"/>
            <w:tcBorders>
              <w:top w:val="single" w:sz="8" w:color="DCE2EF"/>
              <w:bottom w:val="single" w:sz="8" w:color="DCE2EF"/>
            </w:tcBorders>
            <w:shd w:val="clear" w:color="auto" w:fill="DCE2EF"/>
          </w:tcPr>
          <w:p>
            <w:pPr>
              <w:spacing w:after="0"/>
              <w:rPr>
                <w:sz w:val="18"/>
                <w:szCs w:val="18"/>
                <w:color w:val="auto"/>
              </w:rPr>
            </w:pPr>
          </w:p>
        </w:tc>
        <w:tc>
          <w:tcPr>
            <w:tcW w:w="20" w:type="dxa"/>
            <w:vAlign w:val="bottom"/>
            <w:tcBorders>
              <w:top w:val="single" w:sz="8" w:color="DCE2EF"/>
              <w:bottom w:val="single" w:sz="8" w:color="DCE2EF"/>
            </w:tcBorders>
            <w:shd w:val="clear" w:color="auto" w:fill="DCE2EF"/>
          </w:tcPr>
          <w:p>
            <w:pPr>
              <w:spacing w:after="0"/>
              <w:rPr>
                <w:sz w:val="18"/>
                <w:szCs w:val="18"/>
                <w:color w:val="auto"/>
              </w:rPr>
            </w:pPr>
          </w:p>
        </w:tc>
        <w:tc>
          <w:tcPr>
            <w:tcW w:w="20" w:type="dxa"/>
            <w:vAlign w:val="bottom"/>
            <w:tcBorders>
              <w:top w:val="single" w:sz="8" w:color="DCE2EF"/>
              <w:bottom w:val="single" w:sz="8" w:color="DCE2EF"/>
            </w:tcBorders>
            <w:shd w:val="clear" w:color="auto" w:fill="DCE2EF"/>
          </w:tcPr>
          <w:p>
            <w:pPr>
              <w:spacing w:after="0"/>
              <w:rPr>
                <w:sz w:val="18"/>
                <w:szCs w:val="18"/>
                <w:color w:val="auto"/>
              </w:rPr>
            </w:pPr>
          </w:p>
        </w:tc>
        <w:tc>
          <w:tcPr>
            <w:tcW w:w="20" w:type="dxa"/>
            <w:vAlign w:val="bottom"/>
            <w:tcBorders>
              <w:top w:val="single" w:sz="8" w:color="DCE2EF"/>
              <w:bottom w:val="single" w:sz="8" w:color="DCE2EF"/>
            </w:tcBorders>
            <w:shd w:val="clear" w:color="auto" w:fill="DCE2EF"/>
          </w:tcPr>
          <w:p>
            <w:pPr>
              <w:spacing w:after="0"/>
              <w:rPr>
                <w:sz w:val="18"/>
                <w:szCs w:val="18"/>
                <w:color w:val="auto"/>
              </w:rPr>
            </w:pPr>
          </w:p>
        </w:tc>
        <w:tc>
          <w:tcPr>
            <w:tcW w:w="20" w:type="dxa"/>
            <w:vAlign w:val="bottom"/>
            <w:tcBorders>
              <w:top w:val="single" w:sz="8" w:color="DCE2EF"/>
              <w:bottom w:val="single" w:sz="8" w:color="DCE2EF"/>
            </w:tcBorders>
            <w:shd w:val="clear" w:color="auto" w:fill="DCE2EF"/>
          </w:tcPr>
          <w:p>
            <w:pPr>
              <w:spacing w:after="0"/>
              <w:rPr>
                <w:sz w:val="18"/>
                <w:szCs w:val="18"/>
                <w:color w:val="auto"/>
              </w:rPr>
            </w:pPr>
          </w:p>
        </w:tc>
        <w:tc>
          <w:tcPr>
            <w:tcW w:w="100" w:type="dxa"/>
            <w:vAlign w:val="bottom"/>
            <w:tcBorders>
              <w:top w:val="single" w:sz="8" w:color="DCE2EF"/>
              <w:bottom w:val="single" w:sz="8" w:color="DCE2EF"/>
            </w:tcBorders>
            <w:gridSpan w:val="5"/>
            <w:shd w:val="clear" w:color="auto" w:fill="DCE2EF"/>
          </w:tcPr>
          <w:p>
            <w:pPr>
              <w:spacing w:after="0"/>
              <w:rPr>
                <w:sz w:val="18"/>
                <w:szCs w:val="18"/>
                <w:color w:val="auto"/>
              </w:rPr>
            </w:pPr>
          </w:p>
        </w:tc>
        <w:tc>
          <w:tcPr>
            <w:tcW w:w="20" w:type="dxa"/>
            <w:vAlign w:val="bottom"/>
            <w:tcBorders>
              <w:top w:val="single" w:sz="8" w:color="DCE2EF"/>
              <w:bottom w:val="single" w:sz="8" w:color="DCE2EF"/>
            </w:tcBorders>
            <w:shd w:val="clear" w:color="auto" w:fill="DCE2EF"/>
          </w:tcPr>
          <w:p>
            <w:pPr>
              <w:spacing w:after="0"/>
              <w:rPr>
                <w:sz w:val="18"/>
                <w:szCs w:val="18"/>
                <w:color w:val="auto"/>
              </w:rPr>
            </w:pPr>
          </w:p>
        </w:tc>
        <w:tc>
          <w:tcPr>
            <w:tcW w:w="20" w:type="dxa"/>
            <w:vAlign w:val="bottom"/>
            <w:tcBorders>
              <w:top w:val="single" w:sz="8" w:color="DCE2EF"/>
              <w:bottom w:val="single" w:sz="8" w:color="DCE2EF"/>
            </w:tcBorders>
            <w:shd w:val="clear" w:color="auto" w:fill="DCE2EF"/>
          </w:tcPr>
          <w:p>
            <w:pPr>
              <w:spacing w:after="0"/>
              <w:rPr>
                <w:sz w:val="18"/>
                <w:szCs w:val="18"/>
                <w:color w:val="auto"/>
              </w:rPr>
            </w:pPr>
          </w:p>
        </w:tc>
        <w:tc>
          <w:tcPr>
            <w:tcW w:w="20" w:type="dxa"/>
            <w:vAlign w:val="bottom"/>
            <w:tcBorders>
              <w:top w:val="single" w:sz="8" w:color="DCE2EF"/>
              <w:bottom w:val="single" w:sz="8" w:color="DCE2EF"/>
            </w:tcBorders>
            <w:shd w:val="clear" w:color="auto" w:fill="DCE2EF"/>
          </w:tcPr>
          <w:p>
            <w:pPr>
              <w:spacing w:after="0"/>
              <w:rPr>
                <w:sz w:val="18"/>
                <w:szCs w:val="18"/>
                <w:color w:val="auto"/>
              </w:rPr>
            </w:pPr>
          </w:p>
        </w:tc>
        <w:tc>
          <w:tcPr>
            <w:tcW w:w="40" w:type="dxa"/>
            <w:vAlign w:val="bottom"/>
            <w:tcBorders>
              <w:top w:val="single" w:sz="8" w:color="DCE2EF"/>
              <w:bottom w:val="single" w:sz="8" w:color="DCE2EF"/>
            </w:tcBorders>
            <w:gridSpan w:val="2"/>
            <w:shd w:val="clear" w:color="auto" w:fill="DCE2EF"/>
          </w:tcPr>
          <w:p>
            <w:pPr>
              <w:spacing w:after="0"/>
              <w:rPr>
                <w:sz w:val="18"/>
                <w:szCs w:val="18"/>
                <w:color w:val="auto"/>
              </w:rPr>
            </w:pPr>
          </w:p>
        </w:tc>
        <w:tc>
          <w:tcPr>
            <w:tcW w:w="20" w:type="dxa"/>
            <w:vAlign w:val="bottom"/>
            <w:tcBorders>
              <w:top w:val="single" w:sz="8" w:color="DCE2EF"/>
              <w:bottom w:val="single" w:sz="8" w:color="DCE2EF"/>
            </w:tcBorders>
            <w:shd w:val="clear" w:color="auto" w:fill="DCE2EF"/>
          </w:tcPr>
          <w:p>
            <w:pPr>
              <w:spacing w:after="0"/>
              <w:rPr>
                <w:sz w:val="18"/>
                <w:szCs w:val="18"/>
                <w:color w:val="auto"/>
              </w:rPr>
            </w:pPr>
          </w:p>
        </w:tc>
        <w:tc>
          <w:tcPr>
            <w:tcW w:w="20" w:type="dxa"/>
            <w:vAlign w:val="bottom"/>
            <w:tcBorders>
              <w:top w:val="single" w:sz="8" w:color="DCE2EF"/>
              <w:bottom w:val="single" w:sz="8" w:color="DCE2EF"/>
            </w:tcBorders>
            <w:shd w:val="clear" w:color="auto" w:fill="DCE2EF"/>
          </w:tcPr>
          <w:p>
            <w:pPr>
              <w:spacing w:after="0"/>
              <w:rPr>
                <w:sz w:val="18"/>
                <w:szCs w:val="18"/>
                <w:color w:val="auto"/>
              </w:rPr>
            </w:pPr>
          </w:p>
        </w:tc>
        <w:tc>
          <w:tcPr>
            <w:tcW w:w="20" w:type="dxa"/>
            <w:vAlign w:val="bottom"/>
            <w:tcBorders>
              <w:top w:val="single" w:sz="8" w:color="DCE2EF"/>
              <w:bottom w:val="single" w:sz="8" w:color="DCE2EF"/>
            </w:tcBorders>
            <w:shd w:val="clear" w:color="auto" w:fill="DCE2EF"/>
          </w:tcPr>
          <w:p>
            <w:pPr>
              <w:spacing w:after="0"/>
              <w:rPr>
                <w:sz w:val="18"/>
                <w:szCs w:val="18"/>
                <w:color w:val="auto"/>
              </w:rPr>
            </w:pPr>
          </w:p>
        </w:tc>
        <w:tc>
          <w:tcPr>
            <w:tcW w:w="120" w:type="dxa"/>
            <w:vAlign w:val="bottom"/>
            <w:tcBorders>
              <w:top w:val="single" w:sz="8" w:color="DCE2EF"/>
              <w:bottom w:val="single" w:sz="8" w:color="DCE2EF"/>
            </w:tcBorders>
            <w:shd w:val="clear" w:color="auto" w:fill="DCE2EF"/>
          </w:tcPr>
          <w:p>
            <w:pPr>
              <w:spacing w:after="0"/>
              <w:rPr>
                <w:sz w:val="18"/>
                <w:szCs w:val="18"/>
                <w:color w:val="auto"/>
              </w:rPr>
            </w:pPr>
          </w:p>
        </w:tc>
        <w:tc>
          <w:tcPr>
            <w:tcW w:w="780" w:type="dxa"/>
            <w:vAlign w:val="bottom"/>
            <w:tcBorders>
              <w:top w:val="single" w:sz="8" w:color="DCE2EF"/>
              <w:bottom w:val="single" w:sz="8" w:color="DCE2EF"/>
            </w:tcBorders>
            <w:shd w:val="clear" w:color="auto" w:fill="DCE2EF"/>
          </w:tcPr>
          <w:p>
            <w:pPr>
              <w:spacing w:after="0"/>
              <w:rPr>
                <w:sz w:val="18"/>
                <w:szCs w:val="18"/>
                <w:color w:val="auto"/>
              </w:rPr>
            </w:pPr>
          </w:p>
        </w:tc>
        <w:tc>
          <w:tcPr>
            <w:tcW w:w="1360" w:type="dxa"/>
            <w:vAlign w:val="bottom"/>
            <w:tcBorders>
              <w:top w:val="single" w:sz="8" w:color="DCE2EF"/>
              <w:bottom w:val="single" w:sz="8" w:color="DCE2EF"/>
            </w:tcBorders>
            <w:shd w:val="clear" w:color="auto" w:fill="DCE2EF"/>
          </w:tcPr>
          <w:p>
            <w:pPr>
              <w:spacing w:after="0"/>
              <w:rPr>
                <w:sz w:val="18"/>
                <w:szCs w:val="18"/>
                <w:color w:val="auto"/>
              </w:rPr>
            </w:pPr>
          </w:p>
        </w:tc>
        <w:tc>
          <w:tcPr>
            <w:tcW w:w="1020" w:type="dxa"/>
            <w:vAlign w:val="bottom"/>
            <w:tcBorders>
              <w:top w:val="single" w:sz="8" w:color="DCE2EF"/>
              <w:bottom w:val="single" w:sz="8" w:color="DCE2EF"/>
            </w:tcBorders>
            <w:shd w:val="clear" w:color="auto" w:fill="DCE2EF"/>
          </w:tcPr>
          <w:p>
            <w:pPr>
              <w:spacing w:after="0"/>
              <w:rPr>
                <w:sz w:val="18"/>
                <w:szCs w:val="18"/>
                <w:color w:val="auto"/>
              </w:rPr>
            </w:pPr>
          </w:p>
        </w:tc>
        <w:tc>
          <w:tcPr>
            <w:tcW w:w="2180" w:type="dxa"/>
            <w:vAlign w:val="bottom"/>
            <w:tcBorders>
              <w:top w:val="single" w:sz="8" w:color="DCE2EF"/>
              <w:bottom w:val="single" w:sz="8" w:color="DCE2EF"/>
            </w:tcBorders>
            <w:shd w:val="clear" w:color="auto" w:fill="DCE2EF"/>
          </w:tcPr>
          <w:p>
            <w:pPr>
              <w:spacing w:after="0"/>
              <w:rPr>
                <w:sz w:val="18"/>
                <w:szCs w:val="18"/>
                <w:color w:val="auto"/>
              </w:rPr>
            </w:pPr>
          </w:p>
        </w:tc>
      </w:tr>
      <w:tr>
        <w:trPr>
          <w:trHeight w:val="203"/>
        </w:trPr>
        <w:tc>
          <w:tcPr>
            <w:tcW w:w="1300" w:type="dxa"/>
            <w:vAlign w:val="bottom"/>
          </w:tcPr>
          <w:p>
            <w:pPr>
              <w:ind w:left="40"/>
              <w:spacing w:after="0" w:line="202" w:lineRule="exact"/>
              <w:rPr>
                <w:sz w:val="20"/>
                <w:szCs w:val="20"/>
                <w:color w:val="auto"/>
              </w:rPr>
            </w:pPr>
            <w:r>
              <w:rPr>
                <w:rFonts w:ascii="Arial" w:cs="Arial" w:eastAsia="Arial" w:hAnsi="Arial"/>
                <w:sz w:val="18"/>
                <w:szCs w:val="18"/>
                <w:color w:val="auto"/>
              </w:rPr>
              <w:t>10.12*</w:t>
            </w:r>
          </w:p>
        </w:tc>
        <w:tc>
          <w:tcPr>
            <w:tcW w:w="4780" w:type="dxa"/>
            <w:vAlign w:val="bottom"/>
            <w:gridSpan w:val="42"/>
          </w:tcPr>
          <w:p>
            <w:pPr>
              <w:spacing w:after="0" w:line="202" w:lineRule="exact"/>
              <w:rPr>
                <w:rFonts w:ascii="Arial" w:cs="Arial" w:eastAsia="Arial" w:hAnsi="Arial"/>
                <w:sz w:val="18"/>
                <w:szCs w:val="18"/>
                <w:color w:val="0000FF"/>
              </w:rPr>
            </w:pPr>
            <w:hyperlink r:id="rId109">
              <w:r>
                <w:rPr>
                  <w:rFonts w:ascii="Arial" w:cs="Arial" w:eastAsia="Arial" w:hAnsi="Arial"/>
                  <w:sz w:val="18"/>
                  <w:szCs w:val="18"/>
                  <w:color w:val="0000FF"/>
                </w:rPr>
                <w:t>Statement of Terms and Conditions Applicable to Options,</w:t>
              </w:r>
            </w:hyperlink>
          </w:p>
        </w:tc>
        <w:tc>
          <w:tcPr>
            <w:tcW w:w="78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9"/>
              </w:rPr>
              <w:t>8-K</w:t>
            </w:r>
          </w:p>
        </w:tc>
        <w:tc>
          <w:tcPr>
            <w:tcW w:w="13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rPr>
              <w:t>10.1</w:t>
            </w:r>
          </w:p>
        </w:tc>
        <w:tc>
          <w:tcPr>
            <w:tcW w:w="2180" w:type="dxa"/>
            <w:vAlign w:val="bottom"/>
          </w:tcPr>
          <w:p>
            <w:pPr>
              <w:jc w:val="center"/>
              <w:spacing w:after="0" w:line="202" w:lineRule="exact"/>
              <w:rPr>
                <w:sz w:val="20"/>
                <w:szCs w:val="20"/>
                <w:color w:val="auto"/>
              </w:rPr>
            </w:pPr>
            <w:r>
              <w:rPr>
                <w:rFonts w:ascii="Arial" w:cs="Arial" w:eastAsia="Arial" w:hAnsi="Arial"/>
                <w:sz w:val="18"/>
                <w:szCs w:val="18"/>
                <w:color w:val="auto"/>
              </w:rPr>
              <w:t>December 12, 2013</w:t>
            </w:r>
          </w:p>
        </w:tc>
      </w:tr>
      <w:tr>
        <w:trPr>
          <w:trHeight w:val="183"/>
        </w:trPr>
        <w:tc>
          <w:tcPr>
            <w:tcW w:w="1300" w:type="dxa"/>
            <w:vAlign w:val="bottom"/>
          </w:tcPr>
          <w:p>
            <w:pPr>
              <w:spacing w:after="0"/>
              <w:rPr>
                <w:sz w:val="15"/>
                <w:szCs w:val="15"/>
                <w:color w:val="auto"/>
              </w:rPr>
            </w:pPr>
          </w:p>
        </w:tc>
        <w:tc>
          <w:tcPr>
            <w:tcW w:w="3840" w:type="dxa"/>
            <w:vAlign w:val="bottom"/>
            <w:tcBorders>
              <w:top w:val="single" w:sz="8" w:color="0000FF"/>
              <w:bottom w:val="single" w:sz="8" w:color="0000FF"/>
            </w:tcBorders>
            <w:gridSpan w:val="16"/>
          </w:tcPr>
          <w:p>
            <w:pPr>
              <w:spacing w:after="0" w:line="182" w:lineRule="exact"/>
              <w:rPr>
                <w:rFonts w:ascii="Arial" w:cs="Arial" w:eastAsia="Arial" w:hAnsi="Arial"/>
                <w:sz w:val="18"/>
                <w:szCs w:val="18"/>
                <w:color w:val="0000FF"/>
                <w:w w:val="99"/>
              </w:rPr>
            </w:pPr>
            <w:hyperlink r:id="rId109">
              <w:r>
                <w:rPr>
                  <w:rFonts w:ascii="Arial" w:cs="Arial" w:eastAsia="Arial" w:hAnsi="Arial"/>
                  <w:sz w:val="18"/>
                  <w:szCs w:val="18"/>
                  <w:color w:val="0000FF"/>
                  <w:w w:val="99"/>
                </w:rPr>
                <w:t>Restricted Stock and Restricted Stock Units and</w:t>
              </w:r>
            </w:hyperlink>
          </w:p>
        </w:tc>
        <w:tc>
          <w:tcPr>
            <w:tcW w:w="820" w:type="dxa"/>
            <w:vAlign w:val="bottom"/>
            <w:tcBorders>
              <w:top w:val="single" w:sz="8" w:color="0000FF"/>
            </w:tcBorders>
            <w:gridSpan w:val="25"/>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83"/>
        </w:trPr>
        <w:tc>
          <w:tcPr>
            <w:tcW w:w="1300" w:type="dxa"/>
            <w:vAlign w:val="bottom"/>
          </w:tcPr>
          <w:p>
            <w:pPr>
              <w:spacing w:after="0"/>
              <w:rPr>
                <w:sz w:val="15"/>
                <w:szCs w:val="15"/>
                <w:color w:val="auto"/>
              </w:rPr>
            </w:pPr>
          </w:p>
        </w:tc>
        <w:tc>
          <w:tcPr>
            <w:tcW w:w="4780" w:type="dxa"/>
            <w:vAlign w:val="bottom"/>
            <w:gridSpan w:val="42"/>
          </w:tcPr>
          <w:p>
            <w:pPr>
              <w:spacing w:after="0" w:line="182" w:lineRule="exact"/>
              <w:rPr>
                <w:rFonts w:ascii="Arial" w:cs="Arial" w:eastAsia="Arial" w:hAnsi="Arial"/>
                <w:sz w:val="18"/>
                <w:szCs w:val="18"/>
                <w:color w:val="0000FF"/>
              </w:rPr>
            </w:pPr>
            <w:hyperlink r:id="rId109">
              <w:r>
                <w:rPr>
                  <w:rFonts w:ascii="Arial" w:cs="Arial" w:eastAsia="Arial" w:hAnsi="Arial"/>
                  <w:sz w:val="18"/>
                  <w:szCs w:val="18"/>
                  <w:color w:val="0000FF"/>
                </w:rPr>
                <w:t>Performance Shares Granted to Employees Pursuant to</w:t>
              </w:r>
            </w:hyperlink>
          </w:p>
        </w:tc>
        <w:tc>
          <w:tcPr>
            <w:tcW w:w="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83"/>
        </w:trPr>
        <w:tc>
          <w:tcPr>
            <w:tcW w:w="1300" w:type="dxa"/>
            <w:vAlign w:val="bottom"/>
          </w:tcPr>
          <w:p>
            <w:pPr>
              <w:spacing w:after="0"/>
              <w:rPr>
                <w:sz w:val="15"/>
                <w:szCs w:val="15"/>
                <w:color w:val="auto"/>
              </w:rPr>
            </w:pPr>
          </w:p>
        </w:tc>
        <w:tc>
          <w:tcPr>
            <w:tcW w:w="4500" w:type="dxa"/>
            <w:vAlign w:val="bottom"/>
            <w:tcBorders>
              <w:top w:val="single" w:sz="8" w:color="0000FF"/>
              <w:bottom w:val="single" w:sz="8" w:color="0000FF"/>
            </w:tcBorders>
            <w:gridSpan w:val="33"/>
          </w:tcPr>
          <w:p>
            <w:pPr>
              <w:spacing w:after="0" w:line="182" w:lineRule="exact"/>
              <w:rPr>
                <w:rFonts w:ascii="Arial" w:cs="Arial" w:eastAsia="Arial" w:hAnsi="Arial"/>
                <w:sz w:val="18"/>
                <w:szCs w:val="18"/>
                <w:color w:val="0000FF"/>
                <w:w w:val="97"/>
              </w:rPr>
            </w:pPr>
            <w:hyperlink r:id="rId109">
              <w:r>
                <w:rPr>
                  <w:rFonts w:ascii="Arial" w:cs="Arial" w:eastAsia="Arial" w:hAnsi="Arial"/>
                  <w:sz w:val="18"/>
                  <w:szCs w:val="18"/>
                  <w:color w:val="0000FF"/>
                  <w:w w:val="97"/>
                </w:rPr>
                <w:t>the 2006 Equity Incentive Plan, as amended and restated</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83"/>
        </w:trPr>
        <w:tc>
          <w:tcPr>
            <w:tcW w:w="1300" w:type="dxa"/>
            <w:vAlign w:val="bottom"/>
          </w:tcPr>
          <w:p>
            <w:pPr>
              <w:spacing w:after="0"/>
              <w:rPr>
                <w:sz w:val="15"/>
                <w:szCs w:val="15"/>
                <w:color w:val="auto"/>
              </w:rPr>
            </w:pPr>
          </w:p>
        </w:tc>
        <w:tc>
          <w:tcPr>
            <w:tcW w:w="4620" w:type="dxa"/>
            <w:vAlign w:val="bottom"/>
            <w:gridSpan w:val="39"/>
          </w:tcPr>
          <w:p>
            <w:pPr>
              <w:spacing w:after="0" w:line="182" w:lineRule="exact"/>
              <w:rPr>
                <w:rFonts w:ascii="Arial" w:cs="Arial" w:eastAsia="Arial" w:hAnsi="Arial"/>
                <w:sz w:val="18"/>
                <w:szCs w:val="18"/>
                <w:color w:val="0000FF"/>
              </w:rPr>
            </w:pPr>
            <w:hyperlink r:id="rId109">
              <w:r>
                <w:rPr>
                  <w:rFonts w:ascii="Arial" w:cs="Arial" w:eastAsia="Arial" w:hAnsi="Arial"/>
                  <w:sz w:val="18"/>
                  <w:szCs w:val="18"/>
                  <w:color w:val="0000FF"/>
                </w:rPr>
                <w:t>December 9, 2013</w:t>
              </w:r>
            </w:hyperlink>
          </w:p>
        </w:tc>
        <w:tc>
          <w:tcPr>
            <w:tcW w:w="2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34"/>
        </w:trPr>
        <w:tc>
          <w:tcPr>
            <w:tcW w:w="130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03"/>
        </w:trPr>
        <w:tc>
          <w:tcPr>
            <w:tcW w:w="1300" w:type="dxa"/>
            <w:vAlign w:val="bottom"/>
            <w:shd w:val="clear" w:color="auto" w:fill="DCE2EF"/>
          </w:tcPr>
          <w:p>
            <w:pPr>
              <w:ind w:left="40"/>
              <w:spacing w:after="0" w:line="202" w:lineRule="exact"/>
              <w:rPr>
                <w:sz w:val="20"/>
                <w:szCs w:val="20"/>
                <w:color w:val="auto"/>
              </w:rPr>
            </w:pPr>
            <w:r>
              <w:rPr>
                <w:rFonts w:ascii="Arial" w:cs="Arial" w:eastAsia="Arial" w:hAnsi="Arial"/>
                <w:sz w:val="18"/>
                <w:szCs w:val="18"/>
                <w:color w:val="auto"/>
              </w:rPr>
              <w:t>10.13*</w:t>
            </w:r>
          </w:p>
        </w:tc>
        <w:tc>
          <w:tcPr>
            <w:tcW w:w="4780" w:type="dxa"/>
            <w:vAlign w:val="bottom"/>
            <w:gridSpan w:val="42"/>
            <w:shd w:val="clear" w:color="auto" w:fill="DCE2EF"/>
          </w:tcPr>
          <w:p>
            <w:pPr>
              <w:spacing w:after="0" w:line="202" w:lineRule="exact"/>
              <w:rPr>
                <w:rFonts w:ascii="Arial" w:cs="Arial" w:eastAsia="Arial" w:hAnsi="Arial"/>
                <w:sz w:val="18"/>
                <w:szCs w:val="18"/>
                <w:color w:val="0000FF"/>
              </w:rPr>
            </w:pPr>
            <w:hyperlink r:id="rId110">
              <w:r>
                <w:rPr>
                  <w:rFonts w:ascii="Arial" w:cs="Arial" w:eastAsia="Arial" w:hAnsi="Arial"/>
                  <w:sz w:val="18"/>
                  <w:szCs w:val="18"/>
                  <w:color w:val="0000FF"/>
                </w:rPr>
                <w:t>Statement of Terms and Conditions Applicable to Options,</w:t>
              </w:r>
            </w:hyperlink>
          </w:p>
        </w:tc>
        <w:tc>
          <w:tcPr>
            <w:tcW w:w="780" w:type="dxa"/>
            <w:vAlign w:val="bottom"/>
            <w:shd w:val="clear" w:color="auto" w:fill="DCE2EF"/>
          </w:tcPr>
          <w:p>
            <w:pPr>
              <w:jc w:val="center"/>
              <w:spacing w:after="0" w:line="202" w:lineRule="exact"/>
              <w:rPr>
                <w:sz w:val="20"/>
                <w:szCs w:val="20"/>
                <w:color w:val="auto"/>
              </w:rPr>
            </w:pPr>
            <w:r>
              <w:rPr>
                <w:rFonts w:ascii="Arial" w:cs="Arial" w:eastAsia="Arial" w:hAnsi="Arial"/>
                <w:sz w:val="18"/>
                <w:szCs w:val="18"/>
                <w:color w:val="auto"/>
              </w:rPr>
              <w:t>10-Q</w:t>
            </w:r>
          </w:p>
        </w:tc>
        <w:tc>
          <w:tcPr>
            <w:tcW w:w="1360" w:type="dxa"/>
            <w:vAlign w:val="bottom"/>
            <w:shd w:val="clear" w:color="auto" w:fill="DCE2EF"/>
          </w:tcPr>
          <w:p>
            <w:pPr>
              <w:jc w:val="right"/>
              <w:ind w:right="190"/>
              <w:spacing w:after="0" w:line="202" w:lineRule="exact"/>
              <w:rPr>
                <w:sz w:val="20"/>
                <w:szCs w:val="20"/>
                <w:color w:val="auto"/>
              </w:rPr>
            </w:pPr>
            <w:r>
              <w:rPr>
                <w:rFonts w:ascii="Arial" w:cs="Arial" w:eastAsia="Arial" w:hAnsi="Arial"/>
                <w:sz w:val="18"/>
                <w:szCs w:val="18"/>
                <w:color w:val="auto"/>
              </w:rPr>
              <w:t>001-08929</w:t>
            </w:r>
          </w:p>
        </w:tc>
        <w:tc>
          <w:tcPr>
            <w:tcW w:w="1020" w:type="dxa"/>
            <w:vAlign w:val="bottom"/>
            <w:shd w:val="clear" w:color="auto" w:fill="DCE2EF"/>
          </w:tcPr>
          <w:p>
            <w:pPr>
              <w:jc w:val="center"/>
              <w:spacing w:after="0" w:line="202" w:lineRule="exact"/>
              <w:rPr>
                <w:sz w:val="20"/>
                <w:szCs w:val="20"/>
                <w:color w:val="auto"/>
              </w:rPr>
            </w:pPr>
            <w:r>
              <w:rPr>
                <w:rFonts w:ascii="Arial" w:cs="Arial" w:eastAsia="Arial" w:hAnsi="Arial"/>
                <w:sz w:val="18"/>
                <w:szCs w:val="18"/>
                <w:color w:val="auto"/>
              </w:rPr>
              <w:t>10.2</w:t>
            </w:r>
          </w:p>
        </w:tc>
        <w:tc>
          <w:tcPr>
            <w:tcW w:w="2180" w:type="dxa"/>
            <w:vAlign w:val="bottom"/>
            <w:shd w:val="clear" w:color="auto" w:fill="DCE2EF"/>
          </w:tcPr>
          <w:p>
            <w:pPr>
              <w:jc w:val="center"/>
              <w:spacing w:after="0" w:line="202" w:lineRule="exact"/>
              <w:rPr>
                <w:sz w:val="20"/>
                <w:szCs w:val="20"/>
                <w:color w:val="auto"/>
              </w:rPr>
            </w:pPr>
            <w:r>
              <w:rPr>
                <w:rFonts w:ascii="Arial" w:cs="Arial" w:eastAsia="Arial" w:hAnsi="Arial"/>
                <w:sz w:val="18"/>
                <w:szCs w:val="18"/>
                <w:color w:val="auto"/>
                <w:w w:val="99"/>
              </w:rPr>
              <w:t>June 3, 2015</w:t>
            </w:r>
          </w:p>
        </w:tc>
      </w:tr>
      <w:tr>
        <w:trPr>
          <w:trHeight w:val="183"/>
        </w:trPr>
        <w:tc>
          <w:tcPr>
            <w:tcW w:w="1300" w:type="dxa"/>
            <w:vAlign w:val="bottom"/>
            <w:tcBorders>
              <w:top w:val="single" w:sz="8" w:color="DCE2EF"/>
              <w:bottom w:val="single" w:sz="8" w:color="DCE2EF"/>
            </w:tcBorders>
            <w:shd w:val="clear" w:color="auto" w:fill="DCE2EF"/>
          </w:tcPr>
          <w:p>
            <w:pPr>
              <w:spacing w:after="0"/>
              <w:rPr>
                <w:sz w:val="15"/>
                <w:szCs w:val="15"/>
                <w:color w:val="auto"/>
              </w:rPr>
            </w:pPr>
          </w:p>
        </w:tc>
        <w:tc>
          <w:tcPr>
            <w:tcW w:w="3840" w:type="dxa"/>
            <w:vAlign w:val="bottom"/>
            <w:tcBorders>
              <w:top w:val="single" w:sz="8" w:color="0000FF"/>
              <w:bottom w:val="single" w:sz="8" w:color="0000FF"/>
            </w:tcBorders>
            <w:gridSpan w:val="16"/>
            <w:shd w:val="clear" w:color="auto" w:fill="DCE2EF"/>
          </w:tcPr>
          <w:p>
            <w:pPr>
              <w:spacing w:after="0" w:line="182" w:lineRule="exact"/>
              <w:rPr>
                <w:rFonts w:ascii="Arial" w:cs="Arial" w:eastAsia="Arial" w:hAnsi="Arial"/>
                <w:sz w:val="18"/>
                <w:szCs w:val="18"/>
                <w:color w:val="0000FF"/>
                <w:w w:val="99"/>
              </w:rPr>
            </w:pPr>
            <w:hyperlink r:id="rId110">
              <w:r>
                <w:rPr>
                  <w:rFonts w:ascii="Arial" w:cs="Arial" w:eastAsia="Arial" w:hAnsi="Arial"/>
                  <w:sz w:val="18"/>
                  <w:szCs w:val="18"/>
                  <w:color w:val="0000FF"/>
                  <w:w w:val="99"/>
                </w:rPr>
                <w:t>Restricted Stock and Restricted Stock Units and</w:t>
              </w:r>
            </w:hyperlink>
          </w:p>
        </w:tc>
        <w:tc>
          <w:tcPr>
            <w:tcW w:w="820" w:type="dxa"/>
            <w:vAlign w:val="bottom"/>
            <w:tcBorders>
              <w:top w:val="single" w:sz="8" w:color="0000FF"/>
              <w:bottom w:val="single" w:sz="8" w:color="DCE2EF"/>
            </w:tcBorders>
            <w:gridSpan w:val="25"/>
            <w:shd w:val="clear" w:color="auto" w:fill="DCE2EF"/>
          </w:tcPr>
          <w:p>
            <w:pPr>
              <w:spacing w:after="0"/>
              <w:rPr>
                <w:sz w:val="15"/>
                <w:szCs w:val="15"/>
                <w:color w:val="auto"/>
              </w:rPr>
            </w:pPr>
          </w:p>
        </w:tc>
        <w:tc>
          <w:tcPr>
            <w:tcW w:w="120" w:type="dxa"/>
            <w:vAlign w:val="bottom"/>
            <w:tcBorders>
              <w:top w:val="single" w:sz="8" w:color="DCE2EF"/>
              <w:bottom w:val="single" w:sz="8" w:color="DCE2EF"/>
            </w:tcBorders>
            <w:shd w:val="clear" w:color="auto" w:fill="DCE2EF"/>
          </w:tcPr>
          <w:p>
            <w:pPr>
              <w:spacing w:after="0"/>
              <w:rPr>
                <w:sz w:val="15"/>
                <w:szCs w:val="15"/>
                <w:color w:val="auto"/>
              </w:rPr>
            </w:pPr>
          </w:p>
        </w:tc>
        <w:tc>
          <w:tcPr>
            <w:tcW w:w="780" w:type="dxa"/>
            <w:vAlign w:val="bottom"/>
            <w:tcBorders>
              <w:top w:val="single" w:sz="8" w:color="DCE2EF"/>
              <w:bottom w:val="single" w:sz="8" w:color="DCE2EF"/>
            </w:tcBorders>
            <w:shd w:val="clear" w:color="auto" w:fill="DCE2EF"/>
          </w:tcPr>
          <w:p>
            <w:pPr>
              <w:spacing w:after="0"/>
              <w:rPr>
                <w:sz w:val="15"/>
                <w:szCs w:val="15"/>
                <w:color w:val="auto"/>
              </w:rPr>
            </w:pPr>
          </w:p>
        </w:tc>
        <w:tc>
          <w:tcPr>
            <w:tcW w:w="1360" w:type="dxa"/>
            <w:vAlign w:val="bottom"/>
            <w:tcBorders>
              <w:top w:val="single" w:sz="8" w:color="DCE2EF"/>
              <w:bottom w:val="single" w:sz="8" w:color="DCE2EF"/>
            </w:tcBorders>
            <w:shd w:val="clear" w:color="auto" w:fill="DCE2EF"/>
          </w:tcPr>
          <w:p>
            <w:pPr>
              <w:spacing w:after="0"/>
              <w:rPr>
                <w:sz w:val="15"/>
                <w:szCs w:val="15"/>
                <w:color w:val="auto"/>
              </w:rPr>
            </w:pPr>
          </w:p>
        </w:tc>
        <w:tc>
          <w:tcPr>
            <w:tcW w:w="1020" w:type="dxa"/>
            <w:vAlign w:val="bottom"/>
            <w:tcBorders>
              <w:top w:val="single" w:sz="8" w:color="DCE2EF"/>
              <w:bottom w:val="single" w:sz="8" w:color="DCE2EF"/>
            </w:tcBorders>
            <w:shd w:val="clear" w:color="auto" w:fill="DCE2EF"/>
          </w:tcPr>
          <w:p>
            <w:pPr>
              <w:spacing w:after="0"/>
              <w:rPr>
                <w:sz w:val="15"/>
                <w:szCs w:val="15"/>
                <w:color w:val="auto"/>
              </w:rPr>
            </w:pPr>
          </w:p>
        </w:tc>
        <w:tc>
          <w:tcPr>
            <w:tcW w:w="2180" w:type="dxa"/>
            <w:vAlign w:val="bottom"/>
            <w:tcBorders>
              <w:top w:val="single" w:sz="8" w:color="DCE2EF"/>
              <w:bottom w:val="single" w:sz="8" w:color="DCE2EF"/>
            </w:tcBorders>
            <w:shd w:val="clear" w:color="auto" w:fill="DCE2EF"/>
          </w:tcPr>
          <w:p>
            <w:pPr>
              <w:spacing w:after="0"/>
              <w:rPr>
                <w:sz w:val="15"/>
                <w:szCs w:val="15"/>
                <w:color w:val="auto"/>
              </w:rPr>
            </w:pPr>
          </w:p>
        </w:tc>
      </w:tr>
      <w:tr>
        <w:trPr>
          <w:trHeight w:val="183"/>
        </w:trPr>
        <w:tc>
          <w:tcPr>
            <w:tcW w:w="1300" w:type="dxa"/>
            <w:vAlign w:val="bottom"/>
            <w:tcBorders>
              <w:bottom w:val="single" w:sz="8" w:color="DCE2EF"/>
            </w:tcBorders>
            <w:shd w:val="clear" w:color="auto" w:fill="DCE2EF"/>
          </w:tcPr>
          <w:p>
            <w:pPr>
              <w:spacing w:after="0"/>
              <w:rPr>
                <w:sz w:val="15"/>
                <w:szCs w:val="15"/>
                <w:color w:val="auto"/>
              </w:rPr>
            </w:pPr>
          </w:p>
        </w:tc>
        <w:tc>
          <w:tcPr>
            <w:tcW w:w="4500" w:type="dxa"/>
            <w:vAlign w:val="bottom"/>
            <w:tcBorders>
              <w:bottom w:val="single" w:sz="8" w:color="0000FF"/>
            </w:tcBorders>
            <w:gridSpan w:val="33"/>
            <w:shd w:val="clear" w:color="auto" w:fill="DCE2EF"/>
          </w:tcPr>
          <w:p>
            <w:pPr>
              <w:spacing w:after="0" w:line="182" w:lineRule="exact"/>
              <w:rPr>
                <w:rFonts w:ascii="Arial" w:cs="Arial" w:eastAsia="Arial" w:hAnsi="Arial"/>
                <w:sz w:val="18"/>
                <w:szCs w:val="18"/>
                <w:color w:val="0000FF"/>
              </w:rPr>
            </w:pPr>
            <w:hyperlink r:id="rId110">
              <w:r>
                <w:rPr>
                  <w:rFonts w:ascii="Arial" w:cs="Arial" w:eastAsia="Arial" w:hAnsi="Arial"/>
                  <w:sz w:val="18"/>
                  <w:szCs w:val="18"/>
                  <w:color w:val="0000FF"/>
                </w:rPr>
                <w:t>Performance Shares Granted to Employees Pursuant to</w:t>
              </w:r>
            </w:hyperlink>
          </w:p>
        </w:tc>
        <w:tc>
          <w:tcPr>
            <w:tcW w:w="280" w:type="dxa"/>
            <w:vAlign w:val="bottom"/>
            <w:tcBorders>
              <w:bottom w:val="single" w:sz="8" w:color="DCE2EF"/>
            </w:tcBorders>
            <w:gridSpan w:val="9"/>
            <w:shd w:val="clear" w:color="auto" w:fill="DCE2EF"/>
          </w:tcPr>
          <w:p>
            <w:pPr>
              <w:spacing w:after="0"/>
              <w:rPr>
                <w:sz w:val="15"/>
                <w:szCs w:val="15"/>
                <w:color w:val="auto"/>
              </w:rPr>
            </w:pPr>
          </w:p>
        </w:tc>
        <w:tc>
          <w:tcPr>
            <w:tcW w:w="780" w:type="dxa"/>
            <w:vAlign w:val="bottom"/>
            <w:tcBorders>
              <w:bottom w:val="single" w:sz="8" w:color="DCE2EF"/>
            </w:tcBorders>
            <w:shd w:val="clear" w:color="auto" w:fill="DCE2EF"/>
          </w:tcPr>
          <w:p>
            <w:pPr>
              <w:spacing w:after="0"/>
              <w:rPr>
                <w:sz w:val="15"/>
                <w:szCs w:val="15"/>
                <w:color w:val="auto"/>
              </w:rPr>
            </w:pPr>
          </w:p>
        </w:tc>
        <w:tc>
          <w:tcPr>
            <w:tcW w:w="1360" w:type="dxa"/>
            <w:vAlign w:val="bottom"/>
            <w:tcBorders>
              <w:bottom w:val="single" w:sz="8" w:color="DCE2EF"/>
            </w:tcBorders>
            <w:shd w:val="clear" w:color="auto" w:fill="DCE2EF"/>
          </w:tcPr>
          <w:p>
            <w:pPr>
              <w:spacing w:after="0"/>
              <w:rPr>
                <w:sz w:val="15"/>
                <w:szCs w:val="15"/>
                <w:color w:val="auto"/>
              </w:rPr>
            </w:pPr>
          </w:p>
        </w:tc>
        <w:tc>
          <w:tcPr>
            <w:tcW w:w="1020" w:type="dxa"/>
            <w:vAlign w:val="bottom"/>
            <w:tcBorders>
              <w:bottom w:val="single" w:sz="8" w:color="DCE2EF"/>
            </w:tcBorders>
            <w:shd w:val="clear" w:color="auto" w:fill="DCE2EF"/>
          </w:tcPr>
          <w:p>
            <w:pPr>
              <w:spacing w:after="0"/>
              <w:rPr>
                <w:sz w:val="15"/>
                <w:szCs w:val="15"/>
                <w:color w:val="auto"/>
              </w:rPr>
            </w:pPr>
          </w:p>
        </w:tc>
        <w:tc>
          <w:tcPr>
            <w:tcW w:w="2180" w:type="dxa"/>
            <w:vAlign w:val="bottom"/>
            <w:tcBorders>
              <w:bottom w:val="single" w:sz="8" w:color="DCE2EF"/>
            </w:tcBorders>
            <w:shd w:val="clear" w:color="auto" w:fill="DCE2EF"/>
          </w:tcPr>
          <w:p>
            <w:pPr>
              <w:spacing w:after="0"/>
              <w:rPr>
                <w:sz w:val="15"/>
                <w:szCs w:val="15"/>
                <w:color w:val="auto"/>
              </w:rPr>
            </w:pPr>
          </w:p>
        </w:tc>
      </w:tr>
      <w:tr>
        <w:trPr>
          <w:trHeight w:val="183"/>
        </w:trPr>
        <w:tc>
          <w:tcPr>
            <w:tcW w:w="1300" w:type="dxa"/>
            <w:vAlign w:val="bottom"/>
            <w:shd w:val="clear" w:color="auto" w:fill="DCE2EF"/>
          </w:tcPr>
          <w:p>
            <w:pPr>
              <w:spacing w:after="0"/>
              <w:rPr>
                <w:sz w:val="15"/>
                <w:szCs w:val="15"/>
                <w:color w:val="auto"/>
              </w:rPr>
            </w:pPr>
          </w:p>
        </w:tc>
        <w:tc>
          <w:tcPr>
            <w:tcW w:w="4780" w:type="dxa"/>
            <w:vAlign w:val="bottom"/>
            <w:gridSpan w:val="42"/>
            <w:shd w:val="clear" w:color="auto" w:fill="DCE2EF"/>
          </w:tcPr>
          <w:p>
            <w:pPr>
              <w:spacing w:after="0" w:line="182" w:lineRule="exact"/>
              <w:rPr>
                <w:rFonts w:ascii="Arial" w:cs="Arial" w:eastAsia="Arial" w:hAnsi="Arial"/>
                <w:sz w:val="18"/>
                <w:szCs w:val="18"/>
                <w:color w:val="0000FF"/>
              </w:rPr>
            </w:pPr>
            <w:hyperlink r:id="rId110">
              <w:r>
                <w:rPr>
                  <w:rFonts w:ascii="Arial" w:cs="Arial" w:eastAsia="Arial" w:hAnsi="Arial"/>
                  <w:sz w:val="18"/>
                  <w:szCs w:val="18"/>
                  <w:color w:val="0000FF"/>
                </w:rPr>
                <w:t>the 2006 Equity Incentive Plan, for Awards Granted on or</w:t>
              </w:r>
            </w:hyperlink>
          </w:p>
        </w:tc>
        <w:tc>
          <w:tcPr>
            <w:tcW w:w="780" w:type="dxa"/>
            <w:vAlign w:val="bottom"/>
            <w:shd w:val="clear" w:color="auto" w:fill="DCE2EF"/>
          </w:tcPr>
          <w:p>
            <w:pPr>
              <w:spacing w:after="0"/>
              <w:rPr>
                <w:sz w:val="15"/>
                <w:szCs w:val="15"/>
                <w:color w:val="auto"/>
              </w:rPr>
            </w:pPr>
          </w:p>
        </w:tc>
        <w:tc>
          <w:tcPr>
            <w:tcW w:w="1360" w:type="dxa"/>
            <w:vAlign w:val="bottom"/>
            <w:shd w:val="clear" w:color="auto" w:fill="DCE2EF"/>
          </w:tcPr>
          <w:p>
            <w:pPr>
              <w:spacing w:after="0"/>
              <w:rPr>
                <w:sz w:val="15"/>
                <w:szCs w:val="15"/>
                <w:color w:val="auto"/>
              </w:rPr>
            </w:pPr>
          </w:p>
        </w:tc>
        <w:tc>
          <w:tcPr>
            <w:tcW w:w="1020" w:type="dxa"/>
            <w:vAlign w:val="bottom"/>
            <w:shd w:val="clear" w:color="auto" w:fill="DCE2EF"/>
          </w:tcPr>
          <w:p>
            <w:pPr>
              <w:spacing w:after="0"/>
              <w:rPr>
                <w:sz w:val="15"/>
                <w:szCs w:val="15"/>
                <w:color w:val="auto"/>
              </w:rPr>
            </w:pPr>
          </w:p>
        </w:tc>
        <w:tc>
          <w:tcPr>
            <w:tcW w:w="2180" w:type="dxa"/>
            <w:vAlign w:val="bottom"/>
            <w:shd w:val="clear" w:color="auto" w:fill="DCE2EF"/>
          </w:tcPr>
          <w:p>
            <w:pPr>
              <w:spacing w:after="0"/>
              <w:rPr>
                <w:sz w:val="15"/>
                <w:szCs w:val="15"/>
                <w:color w:val="auto"/>
              </w:rPr>
            </w:pPr>
          </w:p>
        </w:tc>
      </w:tr>
      <w:tr>
        <w:trPr>
          <w:trHeight w:val="183"/>
        </w:trPr>
        <w:tc>
          <w:tcPr>
            <w:tcW w:w="1300" w:type="dxa"/>
            <w:vAlign w:val="bottom"/>
            <w:tcBorders>
              <w:top w:val="single" w:sz="8" w:color="DCE2EF"/>
            </w:tcBorders>
            <w:shd w:val="clear" w:color="auto" w:fill="DCE2EF"/>
          </w:tcPr>
          <w:p>
            <w:pPr>
              <w:spacing w:after="0"/>
              <w:rPr>
                <w:sz w:val="15"/>
                <w:szCs w:val="15"/>
                <w:color w:val="auto"/>
              </w:rPr>
            </w:pPr>
          </w:p>
        </w:tc>
        <w:tc>
          <w:tcPr>
            <w:tcW w:w="4600" w:type="dxa"/>
            <w:vAlign w:val="bottom"/>
            <w:tcBorders>
              <w:top w:val="single" w:sz="8" w:color="0000FF"/>
            </w:tcBorders>
            <w:gridSpan w:val="38"/>
            <w:shd w:val="clear" w:color="auto" w:fill="DCE2EF"/>
          </w:tcPr>
          <w:p>
            <w:pPr>
              <w:spacing w:after="0" w:line="182" w:lineRule="exact"/>
              <w:rPr>
                <w:rFonts w:ascii="Arial" w:cs="Arial" w:eastAsia="Arial" w:hAnsi="Arial"/>
                <w:sz w:val="18"/>
                <w:szCs w:val="18"/>
                <w:color w:val="0000FF"/>
              </w:rPr>
            </w:pPr>
            <w:hyperlink r:id="rId110">
              <w:r>
                <w:rPr>
                  <w:rFonts w:ascii="Arial" w:cs="Arial" w:eastAsia="Arial" w:hAnsi="Arial"/>
                  <w:sz w:val="18"/>
                  <w:szCs w:val="18"/>
                  <w:color w:val="0000FF"/>
                </w:rPr>
                <w:t>after March 4, 2015</w:t>
              </w:r>
            </w:hyperlink>
          </w:p>
        </w:tc>
        <w:tc>
          <w:tcPr>
            <w:tcW w:w="40" w:type="dxa"/>
            <w:vAlign w:val="bottom"/>
            <w:tcBorders>
              <w:top w:val="single" w:sz="8" w:color="DCE2EF"/>
            </w:tcBorders>
            <w:gridSpan w:val="2"/>
            <w:shd w:val="clear" w:color="auto" w:fill="DCE2EF"/>
          </w:tcPr>
          <w:p>
            <w:pPr>
              <w:spacing w:after="0"/>
              <w:rPr>
                <w:sz w:val="15"/>
                <w:szCs w:val="15"/>
                <w:color w:val="auto"/>
              </w:rPr>
            </w:pPr>
          </w:p>
        </w:tc>
        <w:tc>
          <w:tcPr>
            <w:tcW w:w="140" w:type="dxa"/>
            <w:vAlign w:val="bottom"/>
            <w:tcBorders>
              <w:top w:val="single" w:sz="8" w:color="DCE2EF"/>
            </w:tcBorders>
            <w:gridSpan w:val="2"/>
            <w:shd w:val="clear" w:color="auto" w:fill="DCE2EF"/>
          </w:tcPr>
          <w:p>
            <w:pPr>
              <w:spacing w:after="0"/>
              <w:rPr>
                <w:sz w:val="15"/>
                <w:szCs w:val="15"/>
                <w:color w:val="auto"/>
              </w:rPr>
            </w:pPr>
          </w:p>
        </w:tc>
        <w:tc>
          <w:tcPr>
            <w:tcW w:w="780" w:type="dxa"/>
            <w:vAlign w:val="bottom"/>
            <w:tcBorders>
              <w:top w:val="single" w:sz="8" w:color="DCE2EF"/>
            </w:tcBorders>
            <w:shd w:val="clear" w:color="auto" w:fill="DCE2EF"/>
          </w:tcPr>
          <w:p>
            <w:pPr>
              <w:spacing w:after="0"/>
              <w:rPr>
                <w:sz w:val="15"/>
                <w:szCs w:val="15"/>
                <w:color w:val="auto"/>
              </w:rPr>
            </w:pPr>
          </w:p>
        </w:tc>
        <w:tc>
          <w:tcPr>
            <w:tcW w:w="1360" w:type="dxa"/>
            <w:vAlign w:val="bottom"/>
            <w:tcBorders>
              <w:top w:val="single" w:sz="8" w:color="DCE2EF"/>
            </w:tcBorders>
            <w:shd w:val="clear" w:color="auto" w:fill="DCE2EF"/>
          </w:tcPr>
          <w:p>
            <w:pPr>
              <w:spacing w:after="0"/>
              <w:rPr>
                <w:sz w:val="15"/>
                <w:szCs w:val="15"/>
                <w:color w:val="auto"/>
              </w:rPr>
            </w:pPr>
          </w:p>
        </w:tc>
        <w:tc>
          <w:tcPr>
            <w:tcW w:w="1020" w:type="dxa"/>
            <w:vAlign w:val="bottom"/>
            <w:tcBorders>
              <w:top w:val="single" w:sz="8" w:color="DCE2EF"/>
            </w:tcBorders>
            <w:shd w:val="clear" w:color="auto" w:fill="DCE2EF"/>
          </w:tcPr>
          <w:p>
            <w:pPr>
              <w:spacing w:after="0"/>
              <w:rPr>
                <w:sz w:val="15"/>
                <w:szCs w:val="15"/>
                <w:color w:val="auto"/>
              </w:rPr>
            </w:pPr>
          </w:p>
        </w:tc>
        <w:tc>
          <w:tcPr>
            <w:tcW w:w="2180" w:type="dxa"/>
            <w:vAlign w:val="bottom"/>
            <w:tcBorders>
              <w:top w:val="single" w:sz="8" w:color="DCE2EF"/>
            </w:tcBorders>
            <w:shd w:val="clear" w:color="auto" w:fill="DCE2EF"/>
          </w:tcPr>
          <w:p>
            <w:pPr>
              <w:spacing w:after="0"/>
              <w:rPr>
                <w:sz w:val="15"/>
                <w:szCs w:val="15"/>
                <w:color w:val="auto"/>
              </w:rPr>
            </w:pPr>
          </w:p>
        </w:tc>
      </w:tr>
      <w:tr>
        <w:trPr>
          <w:trHeight w:val="34"/>
        </w:trPr>
        <w:tc>
          <w:tcPr>
            <w:tcW w:w="1300" w:type="dxa"/>
            <w:vAlign w:val="bottom"/>
            <w:tcBorders>
              <w:top w:val="single" w:sz="8" w:color="DCE2EF"/>
            </w:tcBorders>
            <w:shd w:val="clear" w:color="auto" w:fill="DCE2EF"/>
          </w:tcPr>
          <w:p>
            <w:pPr>
              <w:spacing w:after="0"/>
              <w:rPr>
                <w:sz w:val="2"/>
                <w:szCs w:val="2"/>
                <w:color w:val="auto"/>
              </w:rPr>
            </w:pPr>
          </w:p>
        </w:tc>
        <w:tc>
          <w:tcPr>
            <w:tcW w:w="360" w:type="dxa"/>
            <w:vAlign w:val="bottom"/>
            <w:tcBorders>
              <w:top w:val="single" w:sz="8" w:color="0000FF"/>
            </w:tcBorders>
            <w:shd w:val="clear" w:color="auto" w:fill="DCE2EF"/>
          </w:tcPr>
          <w:p>
            <w:pPr>
              <w:spacing w:after="0"/>
              <w:rPr>
                <w:sz w:val="2"/>
                <w:szCs w:val="2"/>
                <w:color w:val="auto"/>
              </w:rPr>
            </w:pPr>
          </w:p>
        </w:tc>
        <w:tc>
          <w:tcPr>
            <w:tcW w:w="40" w:type="dxa"/>
            <w:vAlign w:val="bottom"/>
            <w:tcBorders>
              <w:top w:val="single" w:sz="8" w:color="0000FF"/>
            </w:tcBorders>
            <w:shd w:val="clear" w:color="auto" w:fill="DCE2EF"/>
          </w:tcPr>
          <w:p>
            <w:pPr>
              <w:spacing w:after="0"/>
              <w:rPr>
                <w:sz w:val="2"/>
                <w:szCs w:val="2"/>
                <w:color w:val="auto"/>
              </w:rPr>
            </w:pPr>
          </w:p>
        </w:tc>
        <w:tc>
          <w:tcPr>
            <w:tcW w:w="520" w:type="dxa"/>
            <w:vAlign w:val="bottom"/>
            <w:tcBorders>
              <w:top w:val="single" w:sz="8" w:color="0000FF"/>
            </w:tcBorders>
            <w:shd w:val="clear" w:color="auto" w:fill="DCE2EF"/>
          </w:tcPr>
          <w:p>
            <w:pPr>
              <w:spacing w:after="0"/>
              <w:rPr>
                <w:sz w:val="2"/>
                <w:szCs w:val="2"/>
                <w:color w:val="auto"/>
              </w:rPr>
            </w:pPr>
          </w:p>
        </w:tc>
        <w:tc>
          <w:tcPr>
            <w:tcW w:w="240" w:type="dxa"/>
            <w:vAlign w:val="bottom"/>
            <w:tcBorders>
              <w:top w:val="single" w:sz="8" w:color="0000FF"/>
            </w:tcBorders>
            <w:shd w:val="clear" w:color="auto" w:fill="DCE2EF"/>
          </w:tcPr>
          <w:p>
            <w:pPr>
              <w:spacing w:after="0"/>
              <w:rPr>
                <w:sz w:val="2"/>
                <w:szCs w:val="2"/>
                <w:color w:val="auto"/>
              </w:rPr>
            </w:pPr>
          </w:p>
        </w:tc>
        <w:tc>
          <w:tcPr>
            <w:tcW w:w="320" w:type="dxa"/>
            <w:vAlign w:val="bottom"/>
            <w:tcBorders>
              <w:top w:val="single" w:sz="8" w:color="0000FF"/>
            </w:tcBorders>
            <w:shd w:val="clear" w:color="auto" w:fill="DCE2EF"/>
          </w:tcPr>
          <w:p>
            <w:pPr>
              <w:spacing w:after="0"/>
              <w:rPr>
                <w:sz w:val="2"/>
                <w:szCs w:val="2"/>
                <w:color w:val="auto"/>
              </w:rPr>
            </w:pPr>
          </w:p>
        </w:tc>
        <w:tc>
          <w:tcPr>
            <w:tcW w:w="80" w:type="dxa"/>
            <w:vAlign w:val="bottom"/>
            <w:tcBorders>
              <w:top w:val="single" w:sz="8" w:color="0000FF"/>
            </w:tcBorders>
            <w:shd w:val="clear" w:color="auto" w:fill="DCE2EF"/>
          </w:tcPr>
          <w:p>
            <w:pPr>
              <w:spacing w:after="0"/>
              <w:rPr>
                <w:sz w:val="2"/>
                <w:szCs w:val="2"/>
                <w:color w:val="auto"/>
              </w:rPr>
            </w:pPr>
          </w:p>
        </w:tc>
        <w:tc>
          <w:tcPr>
            <w:tcW w:w="60" w:type="dxa"/>
            <w:vAlign w:val="bottom"/>
            <w:tcBorders>
              <w:top w:val="single" w:sz="8" w:color="DCE2EF"/>
            </w:tcBorders>
            <w:shd w:val="clear" w:color="auto" w:fill="DCE2EF"/>
          </w:tcPr>
          <w:p>
            <w:pPr>
              <w:spacing w:after="0"/>
              <w:rPr>
                <w:sz w:val="2"/>
                <w:szCs w:val="2"/>
                <w:color w:val="auto"/>
              </w:rPr>
            </w:pPr>
          </w:p>
        </w:tc>
        <w:tc>
          <w:tcPr>
            <w:tcW w:w="12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660" w:type="dxa"/>
            <w:vAlign w:val="bottom"/>
            <w:tcBorders>
              <w:top w:val="single" w:sz="8" w:color="DCE2EF"/>
            </w:tcBorders>
            <w:shd w:val="clear" w:color="auto" w:fill="DCE2EF"/>
          </w:tcPr>
          <w:p>
            <w:pPr>
              <w:spacing w:after="0"/>
              <w:rPr>
                <w:sz w:val="2"/>
                <w:szCs w:val="2"/>
                <w:color w:val="auto"/>
              </w:rPr>
            </w:pPr>
          </w:p>
        </w:tc>
        <w:tc>
          <w:tcPr>
            <w:tcW w:w="140" w:type="dxa"/>
            <w:vAlign w:val="bottom"/>
            <w:tcBorders>
              <w:top w:val="single" w:sz="8" w:color="DCE2EF"/>
            </w:tcBorders>
            <w:shd w:val="clear" w:color="auto" w:fill="DCE2EF"/>
          </w:tcPr>
          <w:p>
            <w:pPr>
              <w:spacing w:after="0"/>
              <w:rPr>
                <w:sz w:val="2"/>
                <w:szCs w:val="2"/>
                <w:color w:val="auto"/>
              </w:rPr>
            </w:pPr>
          </w:p>
        </w:tc>
        <w:tc>
          <w:tcPr>
            <w:tcW w:w="76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240" w:type="dxa"/>
            <w:vAlign w:val="bottom"/>
            <w:tcBorders>
              <w:top w:val="single" w:sz="8" w:color="DCE2EF"/>
            </w:tcBorders>
            <w:shd w:val="clear" w:color="auto" w:fill="DCE2EF"/>
          </w:tcPr>
          <w:p>
            <w:pPr>
              <w:spacing w:after="0"/>
              <w:rPr>
                <w:sz w:val="2"/>
                <w:szCs w:val="2"/>
                <w:color w:val="auto"/>
              </w:rPr>
            </w:pPr>
          </w:p>
        </w:tc>
        <w:tc>
          <w:tcPr>
            <w:tcW w:w="20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6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180" w:type="dxa"/>
            <w:vAlign w:val="bottom"/>
            <w:tcBorders>
              <w:top w:val="single" w:sz="8" w:color="DCE2EF"/>
            </w:tcBorders>
            <w:shd w:val="clear" w:color="auto" w:fill="DCE2EF"/>
          </w:tcPr>
          <w:p>
            <w:pPr>
              <w:spacing w:after="0"/>
              <w:rPr>
                <w:sz w:val="2"/>
                <w:szCs w:val="2"/>
                <w:color w:val="auto"/>
              </w:rPr>
            </w:pPr>
          </w:p>
        </w:tc>
        <w:tc>
          <w:tcPr>
            <w:tcW w:w="100" w:type="dxa"/>
            <w:vAlign w:val="bottom"/>
            <w:tcBorders>
              <w:top w:val="single" w:sz="8" w:color="DCE2EF"/>
            </w:tcBorders>
            <w:shd w:val="clear" w:color="auto" w:fill="DCE2EF"/>
          </w:tcPr>
          <w:p>
            <w:pPr>
              <w:spacing w:after="0"/>
              <w:rPr>
                <w:sz w:val="2"/>
                <w:szCs w:val="2"/>
                <w:color w:val="auto"/>
              </w:rPr>
            </w:pPr>
          </w:p>
        </w:tc>
        <w:tc>
          <w:tcPr>
            <w:tcW w:w="6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120" w:type="dxa"/>
            <w:vAlign w:val="bottom"/>
            <w:tcBorders>
              <w:top w:val="single" w:sz="8" w:color="DCE2EF"/>
            </w:tcBorders>
            <w:shd w:val="clear" w:color="auto" w:fill="DCE2EF"/>
          </w:tcPr>
          <w:p>
            <w:pPr>
              <w:spacing w:after="0"/>
              <w:rPr>
                <w:sz w:val="2"/>
                <w:szCs w:val="2"/>
                <w:color w:val="auto"/>
              </w:rPr>
            </w:pPr>
          </w:p>
        </w:tc>
        <w:tc>
          <w:tcPr>
            <w:tcW w:w="780" w:type="dxa"/>
            <w:vAlign w:val="bottom"/>
            <w:tcBorders>
              <w:top w:val="single" w:sz="8" w:color="DCE2EF"/>
            </w:tcBorders>
            <w:shd w:val="clear" w:color="auto" w:fill="DCE2EF"/>
          </w:tcPr>
          <w:p>
            <w:pPr>
              <w:spacing w:after="0"/>
              <w:rPr>
                <w:sz w:val="2"/>
                <w:szCs w:val="2"/>
                <w:color w:val="auto"/>
              </w:rPr>
            </w:pPr>
          </w:p>
        </w:tc>
        <w:tc>
          <w:tcPr>
            <w:tcW w:w="1360" w:type="dxa"/>
            <w:vAlign w:val="bottom"/>
            <w:tcBorders>
              <w:top w:val="single" w:sz="8" w:color="DCE2EF"/>
            </w:tcBorders>
            <w:shd w:val="clear" w:color="auto" w:fill="DCE2EF"/>
          </w:tcPr>
          <w:p>
            <w:pPr>
              <w:spacing w:after="0"/>
              <w:rPr>
                <w:sz w:val="2"/>
                <w:szCs w:val="2"/>
                <w:color w:val="auto"/>
              </w:rPr>
            </w:pPr>
          </w:p>
        </w:tc>
        <w:tc>
          <w:tcPr>
            <w:tcW w:w="1020" w:type="dxa"/>
            <w:vAlign w:val="bottom"/>
            <w:tcBorders>
              <w:top w:val="single" w:sz="8" w:color="DCE2EF"/>
            </w:tcBorders>
            <w:shd w:val="clear" w:color="auto" w:fill="DCE2EF"/>
          </w:tcPr>
          <w:p>
            <w:pPr>
              <w:spacing w:after="0"/>
              <w:rPr>
                <w:sz w:val="2"/>
                <w:szCs w:val="2"/>
                <w:color w:val="auto"/>
              </w:rPr>
            </w:pPr>
          </w:p>
        </w:tc>
        <w:tc>
          <w:tcPr>
            <w:tcW w:w="2180" w:type="dxa"/>
            <w:vAlign w:val="bottom"/>
            <w:tcBorders>
              <w:top w:val="single" w:sz="8" w:color="DCE2EF"/>
            </w:tcBorders>
            <w:shd w:val="clear" w:color="auto" w:fill="DCE2EF"/>
          </w:tcPr>
          <w:p>
            <w:pPr>
              <w:spacing w:after="0"/>
              <w:rPr>
                <w:sz w:val="2"/>
                <w:szCs w:val="2"/>
                <w:color w:val="auto"/>
              </w:rPr>
            </w:pPr>
          </w:p>
        </w:tc>
      </w:tr>
      <w:tr>
        <w:trPr>
          <w:trHeight w:val="203"/>
        </w:trPr>
        <w:tc>
          <w:tcPr>
            <w:tcW w:w="1300" w:type="dxa"/>
            <w:vAlign w:val="bottom"/>
          </w:tcPr>
          <w:p>
            <w:pPr>
              <w:ind w:left="40"/>
              <w:spacing w:after="0" w:line="202" w:lineRule="exact"/>
              <w:rPr>
                <w:sz w:val="20"/>
                <w:szCs w:val="20"/>
                <w:color w:val="auto"/>
              </w:rPr>
            </w:pPr>
            <w:r>
              <w:rPr>
                <w:rFonts w:ascii="Arial" w:cs="Arial" w:eastAsia="Arial" w:hAnsi="Arial"/>
                <w:sz w:val="18"/>
                <w:szCs w:val="18"/>
                <w:color w:val="auto"/>
              </w:rPr>
              <w:t>10.14*</w:t>
            </w:r>
          </w:p>
        </w:tc>
        <w:tc>
          <w:tcPr>
            <w:tcW w:w="4780" w:type="dxa"/>
            <w:vAlign w:val="bottom"/>
            <w:gridSpan w:val="42"/>
          </w:tcPr>
          <w:p>
            <w:pPr>
              <w:spacing w:after="0" w:line="202" w:lineRule="exact"/>
              <w:rPr>
                <w:rFonts w:ascii="Arial" w:cs="Arial" w:eastAsia="Arial" w:hAnsi="Arial"/>
                <w:sz w:val="18"/>
                <w:szCs w:val="18"/>
                <w:color w:val="0000FF"/>
              </w:rPr>
            </w:pPr>
            <w:hyperlink r:id="rId111">
              <w:r>
                <w:rPr>
                  <w:rFonts w:ascii="Arial" w:cs="Arial" w:eastAsia="Arial" w:hAnsi="Arial"/>
                  <w:sz w:val="18"/>
                  <w:szCs w:val="18"/>
                  <w:color w:val="0000FF"/>
                </w:rPr>
                <w:t>Statement of Terms and Conditions Applicable to Options,</w:t>
              </w:r>
            </w:hyperlink>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99"/>
              </w:rPr>
              <w:t>10-K</w:t>
            </w:r>
          </w:p>
        </w:tc>
        <w:tc>
          <w:tcPr>
            <w:tcW w:w="13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97"/>
              </w:rPr>
              <w:t>10.16</w:t>
            </w:r>
          </w:p>
        </w:tc>
        <w:tc>
          <w:tcPr>
            <w:tcW w:w="2180" w:type="dxa"/>
            <w:vAlign w:val="bottom"/>
          </w:tcPr>
          <w:p>
            <w:pPr>
              <w:jc w:val="center"/>
              <w:spacing w:after="0" w:line="202" w:lineRule="exact"/>
              <w:rPr>
                <w:sz w:val="20"/>
                <w:szCs w:val="20"/>
                <w:color w:val="auto"/>
              </w:rPr>
            </w:pPr>
            <w:r>
              <w:rPr>
                <w:rFonts w:ascii="Arial" w:cs="Arial" w:eastAsia="Arial" w:hAnsi="Arial"/>
                <w:sz w:val="18"/>
                <w:szCs w:val="18"/>
                <w:color w:val="auto"/>
              </w:rPr>
              <w:t>December 18, 2013</w:t>
            </w:r>
          </w:p>
        </w:tc>
      </w:tr>
      <w:tr>
        <w:trPr>
          <w:trHeight w:val="183"/>
        </w:trPr>
        <w:tc>
          <w:tcPr>
            <w:tcW w:w="1300" w:type="dxa"/>
            <w:vAlign w:val="bottom"/>
          </w:tcPr>
          <w:p>
            <w:pPr>
              <w:spacing w:after="0"/>
              <w:rPr>
                <w:sz w:val="15"/>
                <w:szCs w:val="15"/>
                <w:color w:val="auto"/>
              </w:rPr>
            </w:pPr>
          </w:p>
        </w:tc>
        <w:tc>
          <w:tcPr>
            <w:tcW w:w="4400" w:type="dxa"/>
            <w:vAlign w:val="bottom"/>
            <w:tcBorders>
              <w:top w:val="single" w:sz="8" w:color="0000FF"/>
              <w:bottom w:val="single" w:sz="8" w:color="0000FF"/>
            </w:tcBorders>
            <w:gridSpan w:val="28"/>
          </w:tcPr>
          <w:p>
            <w:pPr>
              <w:spacing w:after="0" w:line="182" w:lineRule="exact"/>
              <w:rPr>
                <w:rFonts w:ascii="Arial" w:cs="Arial" w:eastAsia="Arial" w:hAnsi="Arial"/>
                <w:sz w:val="18"/>
                <w:szCs w:val="18"/>
                <w:color w:val="0000FF"/>
                <w:w w:val="99"/>
              </w:rPr>
            </w:pPr>
            <w:hyperlink r:id="rId111">
              <w:r>
                <w:rPr>
                  <w:rFonts w:ascii="Arial" w:cs="Arial" w:eastAsia="Arial" w:hAnsi="Arial"/>
                  <w:sz w:val="18"/>
                  <w:szCs w:val="18"/>
                  <w:color w:val="0000FF"/>
                  <w:w w:val="99"/>
                </w:rPr>
                <w:t>Restricted Stock and Restricted Stock Units Granted to</w:t>
              </w:r>
            </w:hyperlink>
          </w:p>
        </w:tc>
        <w:tc>
          <w:tcPr>
            <w:tcW w:w="260" w:type="dxa"/>
            <w:vAlign w:val="bottom"/>
            <w:tcBorders>
              <w:top w:val="single" w:sz="8" w:color="0000FF"/>
            </w:tcBorders>
            <w:gridSpan w:val="13"/>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83"/>
        </w:trPr>
        <w:tc>
          <w:tcPr>
            <w:tcW w:w="1300" w:type="dxa"/>
            <w:vAlign w:val="bottom"/>
          </w:tcPr>
          <w:p>
            <w:pPr>
              <w:spacing w:after="0"/>
              <w:rPr>
                <w:sz w:val="15"/>
                <w:szCs w:val="15"/>
                <w:color w:val="auto"/>
              </w:rPr>
            </w:pPr>
          </w:p>
        </w:tc>
        <w:tc>
          <w:tcPr>
            <w:tcW w:w="4780" w:type="dxa"/>
            <w:vAlign w:val="bottom"/>
            <w:gridSpan w:val="42"/>
          </w:tcPr>
          <w:p>
            <w:pPr>
              <w:spacing w:after="0" w:line="182" w:lineRule="exact"/>
              <w:rPr>
                <w:rFonts w:ascii="Arial" w:cs="Arial" w:eastAsia="Arial" w:hAnsi="Arial"/>
                <w:sz w:val="18"/>
                <w:szCs w:val="18"/>
                <w:color w:val="0000FF"/>
              </w:rPr>
            </w:pPr>
            <w:hyperlink r:id="rId111">
              <w:r>
                <w:rPr>
                  <w:rFonts w:ascii="Arial" w:cs="Arial" w:eastAsia="Arial" w:hAnsi="Arial"/>
                  <w:sz w:val="18"/>
                  <w:szCs w:val="18"/>
                  <w:color w:val="0000FF"/>
                </w:rPr>
                <w:t>Directors Pursuant to the 2006 Equity Incentive Plan, as</w:t>
              </w:r>
            </w:hyperlink>
          </w:p>
        </w:tc>
        <w:tc>
          <w:tcPr>
            <w:tcW w:w="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83"/>
        </w:trPr>
        <w:tc>
          <w:tcPr>
            <w:tcW w:w="1300" w:type="dxa"/>
            <w:vAlign w:val="bottom"/>
          </w:tcPr>
          <w:p>
            <w:pPr>
              <w:spacing w:after="0"/>
              <w:rPr>
                <w:sz w:val="15"/>
                <w:szCs w:val="15"/>
                <w:color w:val="auto"/>
              </w:rPr>
            </w:pPr>
          </w:p>
        </w:tc>
        <w:tc>
          <w:tcPr>
            <w:tcW w:w="4520" w:type="dxa"/>
            <w:vAlign w:val="bottom"/>
            <w:tcBorders>
              <w:top w:val="single" w:sz="8" w:color="0000FF"/>
            </w:tcBorders>
            <w:gridSpan w:val="34"/>
          </w:tcPr>
          <w:p>
            <w:pPr>
              <w:spacing w:after="0" w:line="182" w:lineRule="exact"/>
              <w:rPr>
                <w:rFonts w:ascii="Arial" w:cs="Arial" w:eastAsia="Arial" w:hAnsi="Arial"/>
                <w:sz w:val="18"/>
                <w:szCs w:val="18"/>
                <w:color w:val="0000FF"/>
              </w:rPr>
            </w:pPr>
            <w:hyperlink r:id="rId111">
              <w:r>
                <w:rPr>
                  <w:rFonts w:ascii="Arial" w:cs="Arial" w:eastAsia="Arial" w:hAnsi="Arial"/>
                  <w:sz w:val="18"/>
                  <w:szCs w:val="18"/>
                  <w:color w:val="0000FF"/>
                </w:rPr>
                <w:t>amended and restated December 9, 2013</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140" w:type="dxa"/>
            <w:vAlign w:val="bottom"/>
            <w:gridSpan w:val="2"/>
          </w:tcPr>
          <w:p>
            <w:pPr>
              <w:spacing w:after="0"/>
              <w:rPr>
                <w:sz w:val="15"/>
                <w:szCs w:val="15"/>
                <w:color w:val="auto"/>
              </w:rPr>
            </w:pPr>
          </w:p>
        </w:tc>
        <w:tc>
          <w:tcPr>
            <w:tcW w:w="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34"/>
        </w:trPr>
        <w:tc>
          <w:tcPr>
            <w:tcW w:w="130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03"/>
        </w:trPr>
        <w:tc>
          <w:tcPr>
            <w:tcW w:w="1300" w:type="dxa"/>
            <w:vAlign w:val="bottom"/>
            <w:shd w:val="clear" w:color="auto" w:fill="DCE2EF"/>
          </w:tcPr>
          <w:p>
            <w:pPr>
              <w:ind w:left="40"/>
              <w:spacing w:after="0" w:line="202" w:lineRule="exact"/>
              <w:rPr>
                <w:sz w:val="20"/>
                <w:szCs w:val="20"/>
                <w:color w:val="auto"/>
              </w:rPr>
            </w:pPr>
            <w:r>
              <w:rPr>
                <w:rFonts w:ascii="Arial" w:cs="Arial" w:eastAsia="Arial" w:hAnsi="Arial"/>
                <w:sz w:val="18"/>
                <w:szCs w:val="18"/>
                <w:color w:val="auto"/>
              </w:rPr>
              <w:t>10.15*</w:t>
            </w:r>
          </w:p>
        </w:tc>
        <w:tc>
          <w:tcPr>
            <w:tcW w:w="4780" w:type="dxa"/>
            <w:vAlign w:val="bottom"/>
            <w:gridSpan w:val="42"/>
            <w:shd w:val="clear" w:color="auto" w:fill="DCE2EF"/>
          </w:tcPr>
          <w:p>
            <w:pPr>
              <w:spacing w:after="0" w:line="202" w:lineRule="exact"/>
              <w:rPr>
                <w:rFonts w:ascii="Arial" w:cs="Arial" w:eastAsia="Arial" w:hAnsi="Arial"/>
                <w:sz w:val="18"/>
                <w:szCs w:val="18"/>
                <w:color w:val="0000FF"/>
              </w:rPr>
            </w:pPr>
            <w:hyperlink r:id="rId112">
              <w:r>
                <w:rPr>
                  <w:rFonts w:ascii="Arial" w:cs="Arial" w:eastAsia="Arial" w:hAnsi="Arial"/>
                  <w:sz w:val="18"/>
                  <w:szCs w:val="18"/>
                  <w:color w:val="0000FF"/>
                </w:rPr>
                <w:t>Statement of Terms and Conditions Applicable to Options,</w:t>
              </w:r>
            </w:hyperlink>
          </w:p>
        </w:tc>
        <w:tc>
          <w:tcPr>
            <w:tcW w:w="780" w:type="dxa"/>
            <w:vAlign w:val="bottom"/>
            <w:shd w:val="clear" w:color="auto" w:fill="DCE2EF"/>
          </w:tcPr>
          <w:p>
            <w:pPr>
              <w:jc w:val="center"/>
              <w:spacing w:after="0" w:line="202" w:lineRule="exact"/>
              <w:rPr>
                <w:sz w:val="20"/>
                <w:szCs w:val="20"/>
                <w:color w:val="auto"/>
              </w:rPr>
            </w:pPr>
            <w:r>
              <w:rPr>
                <w:rFonts w:ascii="Arial" w:cs="Arial" w:eastAsia="Arial" w:hAnsi="Arial"/>
                <w:sz w:val="18"/>
                <w:szCs w:val="18"/>
                <w:color w:val="auto"/>
              </w:rPr>
              <w:t>10-Q</w:t>
            </w:r>
          </w:p>
        </w:tc>
        <w:tc>
          <w:tcPr>
            <w:tcW w:w="1360" w:type="dxa"/>
            <w:vAlign w:val="bottom"/>
            <w:shd w:val="clear" w:color="auto" w:fill="DCE2EF"/>
          </w:tcPr>
          <w:p>
            <w:pPr>
              <w:jc w:val="right"/>
              <w:ind w:right="190"/>
              <w:spacing w:after="0" w:line="202" w:lineRule="exact"/>
              <w:rPr>
                <w:sz w:val="20"/>
                <w:szCs w:val="20"/>
                <w:color w:val="auto"/>
              </w:rPr>
            </w:pPr>
            <w:r>
              <w:rPr>
                <w:rFonts w:ascii="Arial" w:cs="Arial" w:eastAsia="Arial" w:hAnsi="Arial"/>
                <w:sz w:val="18"/>
                <w:szCs w:val="18"/>
                <w:color w:val="auto"/>
              </w:rPr>
              <w:t>001-08929</w:t>
            </w:r>
          </w:p>
        </w:tc>
        <w:tc>
          <w:tcPr>
            <w:tcW w:w="1020" w:type="dxa"/>
            <w:vAlign w:val="bottom"/>
            <w:shd w:val="clear" w:color="auto" w:fill="DCE2EF"/>
          </w:tcPr>
          <w:p>
            <w:pPr>
              <w:jc w:val="center"/>
              <w:spacing w:after="0" w:line="202" w:lineRule="exact"/>
              <w:rPr>
                <w:sz w:val="20"/>
                <w:szCs w:val="20"/>
                <w:color w:val="auto"/>
              </w:rPr>
            </w:pPr>
            <w:r>
              <w:rPr>
                <w:rFonts w:ascii="Arial" w:cs="Arial" w:eastAsia="Arial" w:hAnsi="Arial"/>
                <w:sz w:val="18"/>
                <w:szCs w:val="18"/>
                <w:color w:val="auto"/>
              </w:rPr>
              <w:t>10.3</w:t>
            </w:r>
          </w:p>
        </w:tc>
        <w:tc>
          <w:tcPr>
            <w:tcW w:w="2180" w:type="dxa"/>
            <w:vAlign w:val="bottom"/>
            <w:shd w:val="clear" w:color="auto" w:fill="DCE2EF"/>
          </w:tcPr>
          <w:p>
            <w:pPr>
              <w:jc w:val="center"/>
              <w:spacing w:after="0" w:line="202" w:lineRule="exact"/>
              <w:rPr>
                <w:sz w:val="20"/>
                <w:szCs w:val="20"/>
                <w:color w:val="auto"/>
              </w:rPr>
            </w:pPr>
            <w:r>
              <w:rPr>
                <w:rFonts w:ascii="Arial" w:cs="Arial" w:eastAsia="Arial" w:hAnsi="Arial"/>
                <w:sz w:val="18"/>
                <w:szCs w:val="18"/>
                <w:color w:val="auto"/>
                <w:w w:val="99"/>
              </w:rPr>
              <w:t>June 3, 2015</w:t>
            </w:r>
          </w:p>
        </w:tc>
      </w:tr>
      <w:tr>
        <w:trPr>
          <w:trHeight w:val="183"/>
        </w:trPr>
        <w:tc>
          <w:tcPr>
            <w:tcW w:w="1300" w:type="dxa"/>
            <w:vAlign w:val="bottom"/>
            <w:tcBorders>
              <w:top w:val="single" w:sz="8" w:color="DCE2EF"/>
              <w:bottom w:val="single" w:sz="8" w:color="DCE2EF"/>
            </w:tcBorders>
            <w:shd w:val="clear" w:color="auto" w:fill="DCE2EF"/>
          </w:tcPr>
          <w:p>
            <w:pPr>
              <w:spacing w:after="0"/>
              <w:rPr>
                <w:sz w:val="15"/>
                <w:szCs w:val="15"/>
                <w:color w:val="auto"/>
              </w:rPr>
            </w:pPr>
          </w:p>
        </w:tc>
        <w:tc>
          <w:tcPr>
            <w:tcW w:w="4400" w:type="dxa"/>
            <w:vAlign w:val="bottom"/>
            <w:tcBorders>
              <w:top w:val="single" w:sz="8" w:color="0000FF"/>
              <w:bottom w:val="single" w:sz="8" w:color="0000FF"/>
            </w:tcBorders>
            <w:gridSpan w:val="28"/>
            <w:shd w:val="clear" w:color="auto" w:fill="DCE2EF"/>
          </w:tcPr>
          <w:p>
            <w:pPr>
              <w:spacing w:after="0" w:line="182" w:lineRule="exact"/>
              <w:rPr>
                <w:rFonts w:ascii="Arial" w:cs="Arial" w:eastAsia="Arial" w:hAnsi="Arial"/>
                <w:sz w:val="18"/>
                <w:szCs w:val="18"/>
                <w:color w:val="0000FF"/>
                <w:w w:val="99"/>
              </w:rPr>
            </w:pPr>
            <w:hyperlink r:id="rId112">
              <w:r>
                <w:rPr>
                  <w:rFonts w:ascii="Arial" w:cs="Arial" w:eastAsia="Arial" w:hAnsi="Arial"/>
                  <w:sz w:val="18"/>
                  <w:szCs w:val="18"/>
                  <w:color w:val="0000FF"/>
                  <w:w w:val="99"/>
                </w:rPr>
                <w:t>Restricted Stock and Restricted Stock Units Granted to</w:t>
              </w:r>
            </w:hyperlink>
          </w:p>
        </w:tc>
        <w:tc>
          <w:tcPr>
            <w:tcW w:w="260" w:type="dxa"/>
            <w:vAlign w:val="bottom"/>
            <w:tcBorders>
              <w:top w:val="single" w:sz="8" w:color="0000FF"/>
              <w:bottom w:val="single" w:sz="8" w:color="DCE2EF"/>
            </w:tcBorders>
            <w:gridSpan w:val="13"/>
            <w:shd w:val="clear" w:color="auto" w:fill="DCE2EF"/>
          </w:tcPr>
          <w:p>
            <w:pPr>
              <w:spacing w:after="0"/>
              <w:rPr>
                <w:sz w:val="15"/>
                <w:szCs w:val="15"/>
                <w:color w:val="auto"/>
              </w:rPr>
            </w:pPr>
          </w:p>
        </w:tc>
        <w:tc>
          <w:tcPr>
            <w:tcW w:w="120" w:type="dxa"/>
            <w:vAlign w:val="bottom"/>
            <w:tcBorders>
              <w:top w:val="single" w:sz="8" w:color="DCE2EF"/>
              <w:bottom w:val="single" w:sz="8" w:color="DCE2EF"/>
            </w:tcBorders>
            <w:shd w:val="clear" w:color="auto" w:fill="DCE2EF"/>
          </w:tcPr>
          <w:p>
            <w:pPr>
              <w:spacing w:after="0"/>
              <w:rPr>
                <w:sz w:val="15"/>
                <w:szCs w:val="15"/>
                <w:color w:val="auto"/>
              </w:rPr>
            </w:pPr>
          </w:p>
        </w:tc>
        <w:tc>
          <w:tcPr>
            <w:tcW w:w="780" w:type="dxa"/>
            <w:vAlign w:val="bottom"/>
            <w:tcBorders>
              <w:top w:val="single" w:sz="8" w:color="DCE2EF"/>
              <w:bottom w:val="single" w:sz="8" w:color="DCE2EF"/>
            </w:tcBorders>
            <w:shd w:val="clear" w:color="auto" w:fill="DCE2EF"/>
          </w:tcPr>
          <w:p>
            <w:pPr>
              <w:spacing w:after="0"/>
              <w:rPr>
                <w:sz w:val="15"/>
                <w:szCs w:val="15"/>
                <w:color w:val="auto"/>
              </w:rPr>
            </w:pPr>
          </w:p>
        </w:tc>
        <w:tc>
          <w:tcPr>
            <w:tcW w:w="1360" w:type="dxa"/>
            <w:vAlign w:val="bottom"/>
            <w:tcBorders>
              <w:top w:val="single" w:sz="8" w:color="DCE2EF"/>
              <w:bottom w:val="single" w:sz="8" w:color="DCE2EF"/>
            </w:tcBorders>
            <w:shd w:val="clear" w:color="auto" w:fill="DCE2EF"/>
          </w:tcPr>
          <w:p>
            <w:pPr>
              <w:spacing w:after="0"/>
              <w:rPr>
                <w:sz w:val="15"/>
                <w:szCs w:val="15"/>
                <w:color w:val="auto"/>
              </w:rPr>
            </w:pPr>
          </w:p>
        </w:tc>
        <w:tc>
          <w:tcPr>
            <w:tcW w:w="1020" w:type="dxa"/>
            <w:vAlign w:val="bottom"/>
            <w:tcBorders>
              <w:top w:val="single" w:sz="8" w:color="DCE2EF"/>
              <w:bottom w:val="single" w:sz="8" w:color="DCE2EF"/>
            </w:tcBorders>
            <w:shd w:val="clear" w:color="auto" w:fill="DCE2EF"/>
          </w:tcPr>
          <w:p>
            <w:pPr>
              <w:spacing w:after="0"/>
              <w:rPr>
                <w:sz w:val="15"/>
                <w:szCs w:val="15"/>
                <w:color w:val="auto"/>
              </w:rPr>
            </w:pPr>
          </w:p>
        </w:tc>
        <w:tc>
          <w:tcPr>
            <w:tcW w:w="2180" w:type="dxa"/>
            <w:vAlign w:val="bottom"/>
            <w:tcBorders>
              <w:top w:val="single" w:sz="8" w:color="DCE2EF"/>
              <w:bottom w:val="single" w:sz="8" w:color="DCE2EF"/>
            </w:tcBorders>
            <w:shd w:val="clear" w:color="auto" w:fill="DCE2EF"/>
          </w:tcPr>
          <w:p>
            <w:pPr>
              <w:spacing w:after="0"/>
              <w:rPr>
                <w:sz w:val="15"/>
                <w:szCs w:val="15"/>
                <w:color w:val="auto"/>
              </w:rPr>
            </w:pPr>
          </w:p>
        </w:tc>
      </w:tr>
      <w:tr>
        <w:trPr>
          <w:trHeight w:val="183"/>
        </w:trPr>
        <w:tc>
          <w:tcPr>
            <w:tcW w:w="1300" w:type="dxa"/>
            <w:vAlign w:val="bottom"/>
            <w:shd w:val="clear" w:color="auto" w:fill="DCE2EF"/>
          </w:tcPr>
          <w:p>
            <w:pPr>
              <w:spacing w:after="0"/>
              <w:rPr>
                <w:sz w:val="15"/>
                <w:szCs w:val="15"/>
                <w:color w:val="auto"/>
              </w:rPr>
            </w:pPr>
          </w:p>
        </w:tc>
        <w:tc>
          <w:tcPr>
            <w:tcW w:w="4780" w:type="dxa"/>
            <w:vAlign w:val="bottom"/>
            <w:gridSpan w:val="42"/>
            <w:shd w:val="clear" w:color="auto" w:fill="DCE2EF"/>
          </w:tcPr>
          <w:p>
            <w:pPr>
              <w:spacing w:after="0" w:line="182" w:lineRule="exact"/>
              <w:rPr>
                <w:rFonts w:ascii="Arial" w:cs="Arial" w:eastAsia="Arial" w:hAnsi="Arial"/>
                <w:sz w:val="18"/>
                <w:szCs w:val="18"/>
                <w:color w:val="0000FF"/>
              </w:rPr>
            </w:pPr>
            <w:hyperlink r:id="rId112">
              <w:r>
                <w:rPr>
                  <w:rFonts w:ascii="Arial" w:cs="Arial" w:eastAsia="Arial" w:hAnsi="Arial"/>
                  <w:sz w:val="18"/>
                  <w:szCs w:val="18"/>
                  <w:color w:val="0000FF"/>
                </w:rPr>
                <w:t>Directors Pursuant to the 2006 Equity Incentive Plan, for</w:t>
              </w:r>
            </w:hyperlink>
          </w:p>
        </w:tc>
        <w:tc>
          <w:tcPr>
            <w:tcW w:w="780" w:type="dxa"/>
            <w:vAlign w:val="bottom"/>
            <w:shd w:val="clear" w:color="auto" w:fill="DCE2EF"/>
          </w:tcPr>
          <w:p>
            <w:pPr>
              <w:spacing w:after="0"/>
              <w:rPr>
                <w:sz w:val="15"/>
                <w:szCs w:val="15"/>
                <w:color w:val="auto"/>
              </w:rPr>
            </w:pPr>
          </w:p>
        </w:tc>
        <w:tc>
          <w:tcPr>
            <w:tcW w:w="1360" w:type="dxa"/>
            <w:vAlign w:val="bottom"/>
            <w:shd w:val="clear" w:color="auto" w:fill="DCE2EF"/>
          </w:tcPr>
          <w:p>
            <w:pPr>
              <w:spacing w:after="0"/>
              <w:rPr>
                <w:sz w:val="15"/>
                <w:szCs w:val="15"/>
                <w:color w:val="auto"/>
              </w:rPr>
            </w:pPr>
          </w:p>
        </w:tc>
        <w:tc>
          <w:tcPr>
            <w:tcW w:w="1020" w:type="dxa"/>
            <w:vAlign w:val="bottom"/>
            <w:shd w:val="clear" w:color="auto" w:fill="DCE2EF"/>
          </w:tcPr>
          <w:p>
            <w:pPr>
              <w:spacing w:after="0"/>
              <w:rPr>
                <w:sz w:val="15"/>
                <w:szCs w:val="15"/>
                <w:color w:val="auto"/>
              </w:rPr>
            </w:pPr>
          </w:p>
        </w:tc>
        <w:tc>
          <w:tcPr>
            <w:tcW w:w="2180" w:type="dxa"/>
            <w:vAlign w:val="bottom"/>
            <w:shd w:val="clear" w:color="auto" w:fill="DCE2EF"/>
          </w:tcPr>
          <w:p>
            <w:pPr>
              <w:spacing w:after="0"/>
              <w:rPr>
                <w:sz w:val="15"/>
                <w:szCs w:val="15"/>
                <w:color w:val="auto"/>
              </w:rPr>
            </w:pPr>
          </w:p>
        </w:tc>
      </w:tr>
      <w:tr>
        <w:trPr>
          <w:trHeight w:val="217"/>
        </w:trPr>
        <w:tc>
          <w:tcPr>
            <w:tcW w:w="1300" w:type="dxa"/>
            <w:vAlign w:val="bottom"/>
            <w:tcBorders>
              <w:top w:val="single" w:sz="8" w:color="DCE2EF"/>
              <w:bottom w:val="single" w:sz="8" w:color="DCE2EF"/>
            </w:tcBorders>
            <w:shd w:val="clear" w:color="auto" w:fill="DCE2EF"/>
          </w:tcPr>
          <w:p>
            <w:pPr>
              <w:spacing w:after="0"/>
              <w:rPr>
                <w:sz w:val="18"/>
                <w:szCs w:val="18"/>
                <w:color w:val="auto"/>
              </w:rPr>
            </w:pPr>
          </w:p>
        </w:tc>
        <w:tc>
          <w:tcPr>
            <w:tcW w:w="3380" w:type="dxa"/>
            <w:vAlign w:val="bottom"/>
            <w:tcBorders>
              <w:top w:val="single" w:sz="8" w:color="0000FF"/>
              <w:bottom w:val="single" w:sz="8" w:color="0000FF"/>
            </w:tcBorders>
            <w:gridSpan w:val="13"/>
            <w:shd w:val="clear" w:color="auto" w:fill="DCE2EF"/>
          </w:tcPr>
          <w:p>
            <w:pPr>
              <w:spacing w:after="0" w:line="182" w:lineRule="exact"/>
              <w:rPr>
                <w:rFonts w:ascii="Arial" w:cs="Arial" w:eastAsia="Arial" w:hAnsi="Arial"/>
                <w:sz w:val="18"/>
                <w:szCs w:val="18"/>
                <w:color w:val="0000FF"/>
                <w:w w:val="99"/>
              </w:rPr>
            </w:pPr>
            <w:hyperlink r:id="rId112">
              <w:r>
                <w:rPr>
                  <w:rFonts w:ascii="Arial" w:cs="Arial" w:eastAsia="Arial" w:hAnsi="Arial"/>
                  <w:sz w:val="18"/>
                  <w:szCs w:val="18"/>
                  <w:color w:val="0000FF"/>
                  <w:w w:val="99"/>
                </w:rPr>
                <w:t>Awards Granted on or after March 4, 2015</w:t>
              </w:r>
            </w:hyperlink>
          </w:p>
        </w:tc>
        <w:tc>
          <w:tcPr>
            <w:tcW w:w="1180" w:type="dxa"/>
            <w:vAlign w:val="bottom"/>
            <w:tcBorders>
              <w:top w:val="single" w:sz="8" w:color="0000FF"/>
              <w:bottom w:val="single" w:sz="8" w:color="DCE2EF"/>
            </w:tcBorders>
            <w:gridSpan w:val="23"/>
            <w:shd w:val="clear" w:color="auto" w:fill="DCE2EF"/>
          </w:tcPr>
          <w:p>
            <w:pPr>
              <w:spacing w:after="0"/>
              <w:rPr>
                <w:sz w:val="18"/>
                <w:szCs w:val="18"/>
                <w:color w:val="auto"/>
              </w:rPr>
            </w:pPr>
          </w:p>
        </w:tc>
        <w:tc>
          <w:tcPr>
            <w:tcW w:w="80" w:type="dxa"/>
            <w:vAlign w:val="bottom"/>
            <w:tcBorders>
              <w:top w:val="single" w:sz="8" w:color="DCE2EF"/>
              <w:bottom w:val="single" w:sz="8" w:color="DCE2EF"/>
            </w:tcBorders>
            <w:gridSpan w:val="4"/>
            <w:shd w:val="clear" w:color="auto" w:fill="DCE2EF"/>
          </w:tcPr>
          <w:p>
            <w:pPr>
              <w:spacing w:after="0"/>
              <w:rPr>
                <w:sz w:val="18"/>
                <w:szCs w:val="18"/>
                <w:color w:val="auto"/>
              </w:rPr>
            </w:pPr>
          </w:p>
        </w:tc>
        <w:tc>
          <w:tcPr>
            <w:tcW w:w="140" w:type="dxa"/>
            <w:vAlign w:val="bottom"/>
            <w:tcBorders>
              <w:top w:val="single" w:sz="8" w:color="DCE2EF"/>
              <w:bottom w:val="single" w:sz="8" w:color="DCE2EF"/>
            </w:tcBorders>
            <w:gridSpan w:val="2"/>
            <w:shd w:val="clear" w:color="auto" w:fill="DCE2EF"/>
          </w:tcPr>
          <w:p>
            <w:pPr>
              <w:spacing w:after="0"/>
              <w:rPr>
                <w:sz w:val="18"/>
                <w:szCs w:val="18"/>
                <w:color w:val="auto"/>
              </w:rPr>
            </w:pPr>
          </w:p>
        </w:tc>
        <w:tc>
          <w:tcPr>
            <w:tcW w:w="780" w:type="dxa"/>
            <w:vAlign w:val="bottom"/>
            <w:tcBorders>
              <w:top w:val="single" w:sz="8" w:color="DCE2EF"/>
              <w:bottom w:val="single" w:sz="8" w:color="DCE2EF"/>
            </w:tcBorders>
            <w:shd w:val="clear" w:color="auto" w:fill="DCE2EF"/>
          </w:tcPr>
          <w:p>
            <w:pPr>
              <w:spacing w:after="0"/>
              <w:rPr>
                <w:sz w:val="18"/>
                <w:szCs w:val="18"/>
                <w:color w:val="auto"/>
              </w:rPr>
            </w:pPr>
          </w:p>
        </w:tc>
        <w:tc>
          <w:tcPr>
            <w:tcW w:w="1360" w:type="dxa"/>
            <w:vAlign w:val="bottom"/>
            <w:tcBorders>
              <w:top w:val="single" w:sz="8" w:color="DCE2EF"/>
              <w:bottom w:val="single" w:sz="8" w:color="DCE2EF"/>
            </w:tcBorders>
            <w:shd w:val="clear" w:color="auto" w:fill="DCE2EF"/>
          </w:tcPr>
          <w:p>
            <w:pPr>
              <w:spacing w:after="0"/>
              <w:rPr>
                <w:sz w:val="18"/>
                <w:szCs w:val="18"/>
                <w:color w:val="auto"/>
              </w:rPr>
            </w:pPr>
          </w:p>
        </w:tc>
        <w:tc>
          <w:tcPr>
            <w:tcW w:w="1020" w:type="dxa"/>
            <w:vAlign w:val="bottom"/>
            <w:tcBorders>
              <w:top w:val="single" w:sz="8" w:color="DCE2EF"/>
              <w:bottom w:val="single" w:sz="8" w:color="DCE2EF"/>
            </w:tcBorders>
            <w:shd w:val="clear" w:color="auto" w:fill="DCE2EF"/>
          </w:tcPr>
          <w:p>
            <w:pPr>
              <w:spacing w:after="0"/>
              <w:rPr>
                <w:sz w:val="18"/>
                <w:szCs w:val="18"/>
                <w:color w:val="auto"/>
              </w:rPr>
            </w:pPr>
          </w:p>
        </w:tc>
        <w:tc>
          <w:tcPr>
            <w:tcW w:w="2180" w:type="dxa"/>
            <w:vAlign w:val="bottom"/>
            <w:tcBorders>
              <w:top w:val="single" w:sz="8" w:color="DCE2EF"/>
              <w:bottom w:val="single" w:sz="8" w:color="DCE2EF"/>
            </w:tcBorders>
            <w:shd w:val="clear" w:color="auto" w:fill="DCE2EF"/>
          </w:tcPr>
          <w:p>
            <w:pPr>
              <w:spacing w:after="0"/>
              <w:rPr>
                <w:sz w:val="18"/>
                <w:szCs w:val="18"/>
                <w:color w:val="auto"/>
              </w:rPr>
            </w:pPr>
          </w:p>
        </w:tc>
      </w:tr>
      <w:tr>
        <w:trPr>
          <w:trHeight w:val="203"/>
        </w:trPr>
        <w:tc>
          <w:tcPr>
            <w:tcW w:w="1300" w:type="dxa"/>
            <w:vAlign w:val="bottom"/>
          </w:tcPr>
          <w:p>
            <w:pPr>
              <w:ind w:left="40"/>
              <w:spacing w:after="0" w:line="202" w:lineRule="exact"/>
              <w:rPr>
                <w:sz w:val="20"/>
                <w:szCs w:val="20"/>
                <w:color w:val="auto"/>
              </w:rPr>
            </w:pPr>
            <w:r>
              <w:rPr>
                <w:rFonts w:ascii="Arial" w:cs="Arial" w:eastAsia="Arial" w:hAnsi="Arial"/>
                <w:sz w:val="18"/>
                <w:szCs w:val="18"/>
                <w:color w:val="auto"/>
              </w:rPr>
              <w:t>10.16*</w:t>
            </w:r>
          </w:p>
        </w:tc>
        <w:tc>
          <w:tcPr>
            <w:tcW w:w="3920" w:type="dxa"/>
            <w:vAlign w:val="bottom"/>
            <w:tcBorders>
              <w:bottom w:val="single" w:sz="8" w:color="0000FF"/>
            </w:tcBorders>
            <w:gridSpan w:val="18"/>
          </w:tcPr>
          <w:p>
            <w:pPr>
              <w:spacing w:after="0" w:line="202" w:lineRule="exact"/>
              <w:rPr>
                <w:rFonts w:ascii="Arial" w:cs="Arial" w:eastAsia="Arial" w:hAnsi="Arial"/>
                <w:sz w:val="18"/>
                <w:szCs w:val="18"/>
                <w:color w:val="0000FF"/>
                <w:w w:val="99"/>
              </w:rPr>
            </w:pPr>
            <w:hyperlink r:id="rId113">
              <w:r>
                <w:rPr>
                  <w:rFonts w:ascii="Arial" w:cs="Arial" w:eastAsia="Arial" w:hAnsi="Arial"/>
                  <w:sz w:val="18"/>
                  <w:szCs w:val="18"/>
                  <w:color w:val="0000FF"/>
                  <w:w w:val="99"/>
                </w:rPr>
                <w:t>Statement of Terms and Conditions Applicable to</w:t>
              </w:r>
            </w:hyperlink>
          </w:p>
        </w:tc>
        <w:tc>
          <w:tcPr>
            <w:tcW w:w="860" w:type="dxa"/>
            <w:vAlign w:val="bottom"/>
            <w:gridSpan w:val="24"/>
          </w:tcPr>
          <w:p>
            <w:pPr>
              <w:spacing w:after="0"/>
              <w:rPr>
                <w:sz w:val="17"/>
                <w:szCs w:val="17"/>
                <w:color w:val="auto"/>
              </w:rPr>
            </w:pP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99"/>
              </w:rPr>
              <w:t>10-K</w:t>
            </w:r>
          </w:p>
        </w:tc>
        <w:tc>
          <w:tcPr>
            <w:tcW w:w="13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97"/>
              </w:rPr>
              <w:t>10.13</w:t>
            </w:r>
          </w:p>
        </w:tc>
        <w:tc>
          <w:tcPr>
            <w:tcW w:w="2180" w:type="dxa"/>
            <w:vAlign w:val="bottom"/>
          </w:tcPr>
          <w:p>
            <w:pPr>
              <w:jc w:val="center"/>
              <w:spacing w:after="0" w:line="202" w:lineRule="exact"/>
              <w:rPr>
                <w:sz w:val="20"/>
                <w:szCs w:val="20"/>
                <w:color w:val="auto"/>
              </w:rPr>
            </w:pPr>
            <w:r>
              <w:rPr>
                <w:rFonts w:ascii="Arial" w:cs="Arial" w:eastAsia="Arial" w:hAnsi="Arial"/>
                <w:sz w:val="18"/>
                <w:szCs w:val="18"/>
                <w:color w:val="auto"/>
              </w:rPr>
              <w:t>December 23, 2010</w:t>
            </w:r>
          </w:p>
        </w:tc>
      </w:tr>
      <w:tr>
        <w:trPr>
          <w:trHeight w:val="183"/>
        </w:trPr>
        <w:tc>
          <w:tcPr>
            <w:tcW w:w="1300" w:type="dxa"/>
            <w:vAlign w:val="bottom"/>
          </w:tcPr>
          <w:p>
            <w:pPr>
              <w:spacing w:after="0"/>
              <w:rPr>
                <w:sz w:val="15"/>
                <w:szCs w:val="15"/>
                <w:color w:val="auto"/>
              </w:rPr>
            </w:pPr>
          </w:p>
        </w:tc>
        <w:tc>
          <w:tcPr>
            <w:tcW w:w="4200" w:type="dxa"/>
            <w:vAlign w:val="bottom"/>
            <w:tcBorders>
              <w:bottom w:val="single" w:sz="8" w:color="0000FF"/>
            </w:tcBorders>
            <w:gridSpan w:val="20"/>
          </w:tcPr>
          <w:p>
            <w:pPr>
              <w:spacing w:after="0" w:line="182" w:lineRule="exact"/>
              <w:rPr>
                <w:rFonts w:ascii="Arial" w:cs="Arial" w:eastAsia="Arial" w:hAnsi="Arial"/>
                <w:sz w:val="18"/>
                <w:szCs w:val="18"/>
                <w:color w:val="0000FF"/>
                <w:w w:val="99"/>
              </w:rPr>
            </w:pPr>
            <w:hyperlink r:id="rId113">
              <w:r>
                <w:rPr>
                  <w:rFonts w:ascii="Arial" w:cs="Arial" w:eastAsia="Arial" w:hAnsi="Arial"/>
                  <w:sz w:val="18"/>
                  <w:szCs w:val="18"/>
                  <w:color w:val="0000FF"/>
                  <w:w w:val="99"/>
                </w:rPr>
                <w:t>Restricted Stock Units Granted Pursuant to the 2006</w:t>
              </w:r>
            </w:hyperlink>
          </w:p>
        </w:tc>
        <w:tc>
          <w:tcPr>
            <w:tcW w:w="580" w:type="dxa"/>
            <w:vAlign w:val="bottom"/>
            <w:gridSpan w:val="22"/>
          </w:tcPr>
          <w:p>
            <w:pPr>
              <w:spacing w:after="0"/>
              <w:rPr>
                <w:sz w:val="15"/>
                <w:szCs w:val="15"/>
                <w:color w:val="auto"/>
              </w:rPr>
            </w:pPr>
          </w:p>
        </w:tc>
        <w:tc>
          <w:tcPr>
            <w:tcW w:w="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83"/>
        </w:trPr>
        <w:tc>
          <w:tcPr>
            <w:tcW w:w="1300" w:type="dxa"/>
            <w:vAlign w:val="bottom"/>
          </w:tcPr>
          <w:p>
            <w:pPr>
              <w:spacing w:after="0"/>
              <w:rPr>
                <w:sz w:val="15"/>
                <w:szCs w:val="15"/>
                <w:color w:val="auto"/>
              </w:rPr>
            </w:pPr>
          </w:p>
        </w:tc>
        <w:tc>
          <w:tcPr>
            <w:tcW w:w="4780" w:type="dxa"/>
            <w:vAlign w:val="bottom"/>
            <w:gridSpan w:val="42"/>
          </w:tcPr>
          <w:p>
            <w:pPr>
              <w:spacing w:after="0" w:line="182" w:lineRule="exact"/>
              <w:rPr>
                <w:rFonts w:ascii="Arial" w:cs="Arial" w:eastAsia="Arial" w:hAnsi="Arial"/>
                <w:sz w:val="18"/>
                <w:szCs w:val="18"/>
                <w:color w:val="0000FF"/>
              </w:rPr>
            </w:pPr>
            <w:hyperlink r:id="rId113">
              <w:r>
                <w:rPr>
                  <w:rFonts w:ascii="Arial" w:cs="Arial" w:eastAsia="Arial" w:hAnsi="Arial"/>
                  <w:sz w:val="18"/>
                  <w:szCs w:val="18"/>
                  <w:color w:val="0000FF"/>
                </w:rPr>
                <w:t>Equity Incentive Plan to Directors Who Elect to Relinquish</w:t>
              </w:r>
            </w:hyperlink>
          </w:p>
        </w:tc>
        <w:tc>
          <w:tcPr>
            <w:tcW w:w="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83"/>
        </w:trPr>
        <w:tc>
          <w:tcPr>
            <w:tcW w:w="1300" w:type="dxa"/>
            <w:vAlign w:val="bottom"/>
          </w:tcPr>
          <w:p>
            <w:pPr>
              <w:spacing w:after="0"/>
              <w:rPr>
                <w:sz w:val="15"/>
                <w:szCs w:val="15"/>
                <w:color w:val="auto"/>
              </w:rPr>
            </w:pPr>
          </w:p>
        </w:tc>
        <w:tc>
          <w:tcPr>
            <w:tcW w:w="4640" w:type="dxa"/>
            <w:vAlign w:val="bottom"/>
            <w:tcBorders>
              <w:top w:val="single" w:sz="8" w:color="0000FF"/>
            </w:tcBorders>
            <w:gridSpan w:val="40"/>
          </w:tcPr>
          <w:p>
            <w:pPr>
              <w:spacing w:after="0" w:line="182" w:lineRule="exact"/>
              <w:rPr>
                <w:rFonts w:ascii="Arial" w:cs="Arial" w:eastAsia="Arial" w:hAnsi="Arial"/>
                <w:sz w:val="18"/>
                <w:szCs w:val="18"/>
                <w:color w:val="0000FF"/>
              </w:rPr>
            </w:pPr>
            <w:hyperlink r:id="rId113">
              <w:r>
                <w:rPr>
                  <w:rFonts w:ascii="Arial" w:cs="Arial" w:eastAsia="Arial" w:hAnsi="Arial"/>
                  <w:sz w:val="18"/>
                  <w:szCs w:val="18"/>
                  <w:color w:val="0000FF"/>
                </w:rPr>
                <w:t>Their Benefits Effective November 1, 2006, as amended</w:t>
              </w:r>
            </w:hyperlink>
          </w:p>
        </w:tc>
        <w:tc>
          <w:tcPr>
            <w:tcW w:w="140" w:type="dxa"/>
            <w:vAlign w:val="bottom"/>
            <w:gridSpan w:val="2"/>
          </w:tcPr>
          <w:p>
            <w:pPr>
              <w:spacing w:after="0"/>
              <w:rPr>
                <w:sz w:val="15"/>
                <w:szCs w:val="15"/>
                <w:color w:val="auto"/>
              </w:rPr>
            </w:pPr>
          </w:p>
        </w:tc>
        <w:tc>
          <w:tcPr>
            <w:tcW w:w="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83"/>
        </w:trPr>
        <w:tc>
          <w:tcPr>
            <w:tcW w:w="1300" w:type="dxa"/>
            <w:vAlign w:val="bottom"/>
          </w:tcPr>
          <w:p>
            <w:pPr>
              <w:spacing w:after="0"/>
              <w:rPr>
                <w:sz w:val="15"/>
                <w:szCs w:val="15"/>
                <w:color w:val="auto"/>
              </w:rPr>
            </w:pPr>
          </w:p>
        </w:tc>
        <w:tc>
          <w:tcPr>
            <w:tcW w:w="4540" w:type="dxa"/>
            <w:vAlign w:val="bottom"/>
            <w:tcBorders>
              <w:top w:val="single" w:sz="8" w:color="0000FF"/>
            </w:tcBorders>
            <w:gridSpan w:val="35"/>
          </w:tcPr>
          <w:p>
            <w:pPr>
              <w:spacing w:after="0" w:line="182" w:lineRule="exact"/>
              <w:rPr>
                <w:rFonts w:ascii="Arial" w:cs="Arial" w:eastAsia="Arial" w:hAnsi="Arial"/>
                <w:sz w:val="18"/>
                <w:szCs w:val="18"/>
                <w:color w:val="0000FF"/>
              </w:rPr>
            </w:pPr>
            <w:hyperlink r:id="rId113">
              <w:r>
                <w:rPr>
                  <w:rFonts w:ascii="Arial" w:cs="Arial" w:eastAsia="Arial" w:hAnsi="Arial"/>
                  <w:sz w:val="18"/>
                  <w:szCs w:val="18"/>
                  <w:color w:val="0000FF"/>
                </w:rPr>
                <w:t>and restated September 8, 2010</w:t>
              </w:r>
            </w:hyperlink>
          </w:p>
        </w:tc>
        <w:tc>
          <w:tcPr>
            <w:tcW w:w="240" w:type="dxa"/>
            <w:vAlign w:val="bottom"/>
            <w:gridSpan w:val="7"/>
          </w:tcPr>
          <w:p>
            <w:pPr>
              <w:spacing w:after="0"/>
              <w:rPr>
                <w:sz w:val="15"/>
                <w:szCs w:val="15"/>
                <w:color w:val="auto"/>
              </w:rPr>
            </w:pPr>
          </w:p>
        </w:tc>
        <w:tc>
          <w:tcPr>
            <w:tcW w:w="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34"/>
        </w:trPr>
        <w:tc>
          <w:tcPr>
            <w:tcW w:w="130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03"/>
        </w:trPr>
        <w:tc>
          <w:tcPr>
            <w:tcW w:w="1300" w:type="dxa"/>
            <w:vAlign w:val="bottom"/>
            <w:shd w:val="clear" w:color="auto" w:fill="DCE2EF"/>
          </w:tcPr>
          <w:p>
            <w:pPr>
              <w:ind w:left="40"/>
              <w:spacing w:after="0" w:line="202" w:lineRule="exact"/>
              <w:rPr>
                <w:sz w:val="20"/>
                <w:szCs w:val="20"/>
                <w:color w:val="auto"/>
              </w:rPr>
            </w:pPr>
            <w:r>
              <w:rPr>
                <w:rFonts w:ascii="Arial" w:cs="Arial" w:eastAsia="Arial" w:hAnsi="Arial"/>
                <w:sz w:val="18"/>
                <w:szCs w:val="18"/>
                <w:color w:val="auto"/>
              </w:rPr>
              <w:t>10.17*</w:t>
            </w:r>
          </w:p>
        </w:tc>
        <w:tc>
          <w:tcPr>
            <w:tcW w:w="4780" w:type="dxa"/>
            <w:vAlign w:val="bottom"/>
            <w:gridSpan w:val="42"/>
            <w:shd w:val="clear" w:color="auto" w:fill="DCE2EF"/>
          </w:tcPr>
          <w:p>
            <w:pPr>
              <w:spacing w:after="0" w:line="202" w:lineRule="exact"/>
              <w:rPr>
                <w:rFonts w:ascii="Arial" w:cs="Arial" w:eastAsia="Arial" w:hAnsi="Arial"/>
                <w:sz w:val="18"/>
                <w:szCs w:val="18"/>
                <w:color w:val="0000FF"/>
              </w:rPr>
            </w:pPr>
            <w:hyperlink r:id="rId114">
              <w:r>
                <w:rPr>
                  <w:rFonts w:ascii="Arial" w:cs="Arial" w:eastAsia="Arial" w:hAnsi="Arial"/>
                  <w:sz w:val="18"/>
                  <w:szCs w:val="18"/>
                  <w:color w:val="0000FF"/>
                </w:rPr>
                <w:t>Form of Non-Qualified Stock Option Agreement - 2006</w:t>
              </w:r>
            </w:hyperlink>
          </w:p>
        </w:tc>
        <w:tc>
          <w:tcPr>
            <w:tcW w:w="780" w:type="dxa"/>
            <w:vAlign w:val="bottom"/>
            <w:shd w:val="clear" w:color="auto" w:fill="DCE2EF"/>
          </w:tcPr>
          <w:p>
            <w:pPr>
              <w:jc w:val="center"/>
              <w:spacing w:after="0" w:line="202" w:lineRule="exact"/>
              <w:rPr>
                <w:sz w:val="20"/>
                <w:szCs w:val="20"/>
                <w:color w:val="auto"/>
              </w:rPr>
            </w:pPr>
            <w:r>
              <w:rPr>
                <w:rFonts w:ascii="Arial" w:cs="Arial" w:eastAsia="Arial" w:hAnsi="Arial"/>
                <w:sz w:val="18"/>
                <w:szCs w:val="18"/>
                <w:color w:val="auto"/>
              </w:rPr>
              <w:t>10-Q</w:t>
            </w:r>
          </w:p>
        </w:tc>
        <w:tc>
          <w:tcPr>
            <w:tcW w:w="1360" w:type="dxa"/>
            <w:vAlign w:val="bottom"/>
            <w:shd w:val="clear" w:color="auto" w:fill="DCE2EF"/>
          </w:tcPr>
          <w:p>
            <w:pPr>
              <w:jc w:val="right"/>
              <w:ind w:right="190"/>
              <w:spacing w:after="0" w:line="202" w:lineRule="exact"/>
              <w:rPr>
                <w:sz w:val="20"/>
                <w:szCs w:val="20"/>
                <w:color w:val="auto"/>
              </w:rPr>
            </w:pPr>
            <w:r>
              <w:rPr>
                <w:rFonts w:ascii="Arial" w:cs="Arial" w:eastAsia="Arial" w:hAnsi="Arial"/>
                <w:sz w:val="18"/>
                <w:szCs w:val="18"/>
                <w:color w:val="auto"/>
              </w:rPr>
              <w:t>001-08929</w:t>
            </w:r>
          </w:p>
        </w:tc>
        <w:tc>
          <w:tcPr>
            <w:tcW w:w="1020" w:type="dxa"/>
            <w:vAlign w:val="bottom"/>
            <w:shd w:val="clear" w:color="auto" w:fill="DCE2EF"/>
          </w:tcPr>
          <w:p>
            <w:pPr>
              <w:jc w:val="center"/>
              <w:spacing w:after="0" w:line="202" w:lineRule="exact"/>
              <w:rPr>
                <w:sz w:val="20"/>
                <w:szCs w:val="20"/>
                <w:color w:val="auto"/>
              </w:rPr>
            </w:pPr>
            <w:r>
              <w:rPr>
                <w:rFonts w:ascii="Arial" w:cs="Arial" w:eastAsia="Arial" w:hAnsi="Arial"/>
                <w:sz w:val="18"/>
                <w:szCs w:val="18"/>
                <w:color w:val="auto"/>
              </w:rPr>
              <w:t>10.4</w:t>
            </w:r>
          </w:p>
        </w:tc>
        <w:tc>
          <w:tcPr>
            <w:tcW w:w="2180" w:type="dxa"/>
            <w:vAlign w:val="bottom"/>
            <w:shd w:val="clear" w:color="auto" w:fill="DCE2EF"/>
          </w:tcPr>
          <w:p>
            <w:pPr>
              <w:jc w:val="center"/>
              <w:spacing w:after="0" w:line="202" w:lineRule="exact"/>
              <w:rPr>
                <w:sz w:val="20"/>
                <w:szCs w:val="20"/>
                <w:color w:val="auto"/>
              </w:rPr>
            </w:pPr>
            <w:r>
              <w:rPr>
                <w:rFonts w:ascii="Arial" w:cs="Arial" w:eastAsia="Arial" w:hAnsi="Arial"/>
                <w:sz w:val="18"/>
                <w:szCs w:val="18"/>
                <w:color w:val="auto"/>
                <w:w w:val="99"/>
              </w:rPr>
              <w:t>June 4, 2010</w:t>
            </w:r>
          </w:p>
        </w:tc>
      </w:tr>
      <w:tr>
        <w:trPr>
          <w:trHeight w:val="217"/>
        </w:trPr>
        <w:tc>
          <w:tcPr>
            <w:tcW w:w="1300" w:type="dxa"/>
            <w:vAlign w:val="bottom"/>
            <w:tcBorders>
              <w:top w:val="single" w:sz="8" w:color="DCE2EF"/>
              <w:bottom w:val="single" w:sz="8" w:color="DCE2EF"/>
            </w:tcBorders>
            <w:shd w:val="clear" w:color="auto" w:fill="DCE2EF"/>
          </w:tcPr>
          <w:p>
            <w:pPr>
              <w:spacing w:after="0"/>
              <w:rPr>
                <w:sz w:val="18"/>
                <w:szCs w:val="18"/>
                <w:color w:val="auto"/>
              </w:rPr>
            </w:pPr>
          </w:p>
        </w:tc>
        <w:tc>
          <w:tcPr>
            <w:tcW w:w="920" w:type="dxa"/>
            <w:vAlign w:val="bottom"/>
            <w:tcBorders>
              <w:top w:val="single" w:sz="8" w:color="0000FF"/>
              <w:bottom w:val="single" w:sz="8" w:color="0000FF"/>
            </w:tcBorders>
            <w:gridSpan w:val="3"/>
            <w:shd w:val="clear" w:color="auto" w:fill="DCE2EF"/>
          </w:tcPr>
          <w:p>
            <w:pPr>
              <w:spacing w:after="0" w:line="182" w:lineRule="exact"/>
              <w:rPr>
                <w:rFonts w:ascii="Arial" w:cs="Arial" w:eastAsia="Arial" w:hAnsi="Arial"/>
                <w:sz w:val="18"/>
                <w:szCs w:val="18"/>
                <w:color w:val="0000FF"/>
                <w:w w:val="98"/>
              </w:rPr>
            </w:pPr>
            <w:hyperlink r:id="rId114">
              <w:r>
                <w:rPr>
                  <w:rFonts w:ascii="Arial" w:cs="Arial" w:eastAsia="Arial" w:hAnsi="Arial"/>
                  <w:sz w:val="18"/>
                  <w:szCs w:val="18"/>
                  <w:color w:val="0000FF"/>
                  <w:w w:val="98"/>
                </w:rPr>
                <w:t>Equity Plan</w:t>
              </w:r>
            </w:hyperlink>
          </w:p>
        </w:tc>
        <w:tc>
          <w:tcPr>
            <w:tcW w:w="3420" w:type="dxa"/>
            <w:vAlign w:val="bottom"/>
            <w:tcBorders>
              <w:top w:val="single" w:sz="8" w:color="0000FF"/>
              <w:bottom w:val="single" w:sz="8" w:color="DCE2EF"/>
            </w:tcBorders>
            <w:gridSpan w:val="22"/>
            <w:shd w:val="clear" w:color="auto" w:fill="DCE2EF"/>
          </w:tcPr>
          <w:p>
            <w:pPr>
              <w:spacing w:after="0"/>
              <w:rPr>
                <w:sz w:val="18"/>
                <w:szCs w:val="18"/>
                <w:color w:val="auto"/>
              </w:rPr>
            </w:pPr>
          </w:p>
        </w:tc>
        <w:tc>
          <w:tcPr>
            <w:tcW w:w="20" w:type="dxa"/>
            <w:vAlign w:val="bottom"/>
            <w:tcBorders>
              <w:top w:val="single" w:sz="8" w:color="DCE2EF"/>
              <w:bottom w:val="single" w:sz="8" w:color="DCE2EF"/>
            </w:tcBorders>
            <w:shd w:val="clear" w:color="auto" w:fill="DCE2EF"/>
          </w:tcPr>
          <w:p>
            <w:pPr>
              <w:spacing w:after="0"/>
              <w:rPr>
                <w:sz w:val="18"/>
                <w:szCs w:val="18"/>
                <w:color w:val="auto"/>
              </w:rPr>
            </w:pPr>
          </w:p>
        </w:tc>
        <w:tc>
          <w:tcPr>
            <w:tcW w:w="40" w:type="dxa"/>
            <w:vAlign w:val="bottom"/>
            <w:tcBorders>
              <w:top w:val="single" w:sz="8" w:color="DCE2EF"/>
              <w:bottom w:val="single" w:sz="8" w:color="DCE2EF"/>
            </w:tcBorders>
            <w:gridSpan w:val="2"/>
            <w:shd w:val="clear" w:color="auto" w:fill="DCE2EF"/>
          </w:tcPr>
          <w:p>
            <w:pPr>
              <w:spacing w:after="0"/>
              <w:rPr>
                <w:sz w:val="18"/>
                <w:szCs w:val="18"/>
                <w:color w:val="auto"/>
              </w:rPr>
            </w:pPr>
          </w:p>
        </w:tc>
        <w:tc>
          <w:tcPr>
            <w:tcW w:w="380" w:type="dxa"/>
            <w:vAlign w:val="bottom"/>
            <w:tcBorders>
              <w:top w:val="single" w:sz="8" w:color="DCE2EF"/>
              <w:bottom w:val="single" w:sz="8" w:color="DCE2EF"/>
            </w:tcBorders>
            <w:gridSpan w:val="14"/>
            <w:shd w:val="clear" w:color="auto" w:fill="DCE2EF"/>
          </w:tcPr>
          <w:p>
            <w:pPr>
              <w:spacing w:after="0"/>
              <w:rPr>
                <w:sz w:val="18"/>
                <w:szCs w:val="18"/>
                <w:color w:val="auto"/>
              </w:rPr>
            </w:pPr>
          </w:p>
        </w:tc>
        <w:tc>
          <w:tcPr>
            <w:tcW w:w="780" w:type="dxa"/>
            <w:vAlign w:val="bottom"/>
            <w:tcBorders>
              <w:top w:val="single" w:sz="8" w:color="DCE2EF"/>
              <w:bottom w:val="single" w:sz="8" w:color="DCE2EF"/>
            </w:tcBorders>
            <w:shd w:val="clear" w:color="auto" w:fill="DCE2EF"/>
          </w:tcPr>
          <w:p>
            <w:pPr>
              <w:spacing w:after="0"/>
              <w:rPr>
                <w:sz w:val="18"/>
                <w:szCs w:val="18"/>
                <w:color w:val="auto"/>
              </w:rPr>
            </w:pPr>
          </w:p>
        </w:tc>
        <w:tc>
          <w:tcPr>
            <w:tcW w:w="1360" w:type="dxa"/>
            <w:vAlign w:val="bottom"/>
            <w:tcBorders>
              <w:top w:val="single" w:sz="8" w:color="DCE2EF"/>
              <w:bottom w:val="single" w:sz="8" w:color="DCE2EF"/>
            </w:tcBorders>
            <w:shd w:val="clear" w:color="auto" w:fill="DCE2EF"/>
          </w:tcPr>
          <w:p>
            <w:pPr>
              <w:spacing w:after="0"/>
              <w:rPr>
                <w:sz w:val="18"/>
                <w:szCs w:val="18"/>
                <w:color w:val="auto"/>
              </w:rPr>
            </w:pPr>
          </w:p>
        </w:tc>
        <w:tc>
          <w:tcPr>
            <w:tcW w:w="1020" w:type="dxa"/>
            <w:vAlign w:val="bottom"/>
            <w:tcBorders>
              <w:top w:val="single" w:sz="8" w:color="DCE2EF"/>
              <w:bottom w:val="single" w:sz="8" w:color="DCE2EF"/>
            </w:tcBorders>
            <w:shd w:val="clear" w:color="auto" w:fill="DCE2EF"/>
          </w:tcPr>
          <w:p>
            <w:pPr>
              <w:spacing w:after="0"/>
              <w:rPr>
                <w:sz w:val="18"/>
                <w:szCs w:val="18"/>
                <w:color w:val="auto"/>
              </w:rPr>
            </w:pPr>
          </w:p>
        </w:tc>
        <w:tc>
          <w:tcPr>
            <w:tcW w:w="2180" w:type="dxa"/>
            <w:vAlign w:val="bottom"/>
            <w:tcBorders>
              <w:top w:val="single" w:sz="8" w:color="DCE2EF"/>
              <w:bottom w:val="single" w:sz="8" w:color="DCE2EF"/>
            </w:tcBorders>
            <w:shd w:val="clear" w:color="auto" w:fill="DCE2EF"/>
          </w:tcPr>
          <w:p>
            <w:pPr>
              <w:spacing w:after="0"/>
              <w:rPr>
                <w:sz w:val="18"/>
                <w:szCs w:val="18"/>
                <w:color w:val="auto"/>
              </w:rPr>
            </w:pPr>
          </w:p>
        </w:tc>
      </w:tr>
      <w:tr>
        <w:trPr>
          <w:trHeight w:val="203"/>
        </w:trPr>
        <w:tc>
          <w:tcPr>
            <w:tcW w:w="1300" w:type="dxa"/>
            <w:vAlign w:val="bottom"/>
          </w:tcPr>
          <w:p>
            <w:pPr>
              <w:ind w:left="40"/>
              <w:spacing w:after="0" w:line="202" w:lineRule="exact"/>
              <w:rPr>
                <w:sz w:val="20"/>
                <w:szCs w:val="20"/>
                <w:color w:val="auto"/>
              </w:rPr>
            </w:pPr>
            <w:r>
              <w:rPr>
                <w:rFonts w:ascii="Arial" w:cs="Arial" w:eastAsia="Arial" w:hAnsi="Arial"/>
                <w:sz w:val="18"/>
                <w:szCs w:val="18"/>
                <w:color w:val="auto"/>
              </w:rPr>
              <w:t>10.18*‡</w:t>
            </w:r>
          </w:p>
        </w:tc>
        <w:tc>
          <w:tcPr>
            <w:tcW w:w="4780" w:type="dxa"/>
            <w:vAlign w:val="bottom"/>
            <w:gridSpan w:val="42"/>
          </w:tcPr>
          <w:p>
            <w:pPr>
              <w:spacing w:after="0" w:line="202" w:lineRule="exact"/>
              <w:rPr>
                <w:rFonts w:ascii="Arial" w:cs="Arial" w:eastAsia="Arial" w:hAnsi="Arial"/>
                <w:sz w:val="18"/>
                <w:szCs w:val="18"/>
                <w:color w:val="0000FF"/>
              </w:rPr>
            </w:pPr>
            <w:hyperlink w:anchor="page109">
              <w:r>
                <w:rPr>
                  <w:rFonts w:ascii="Arial" w:cs="Arial" w:eastAsia="Arial" w:hAnsi="Arial"/>
                  <w:sz w:val="18"/>
                  <w:szCs w:val="18"/>
                  <w:color w:val="0000FF"/>
                </w:rPr>
                <w:t>Form of Restricted Stock Unit Agreement - 2006 Equity</w:t>
              </w:r>
            </w:hyperlink>
          </w:p>
        </w:tc>
        <w:tc>
          <w:tcPr>
            <w:tcW w:w="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183"/>
        </w:trPr>
        <w:tc>
          <w:tcPr>
            <w:tcW w:w="1300" w:type="dxa"/>
            <w:vAlign w:val="bottom"/>
          </w:tcPr>
          <w:p>
            <w:pPr>
              <w:spacing w:after="0"/>
              <w:rPr>
                <w:sz w:val="15"/>
                <w:szCs w:val="15"/>
                <w:color w:val="auto"/>
              </w:rPr>
            </w:pPr>
          </w:p>
        </w:tc>
        <w:tc>
          <w:tcPr>
            <w:tcW w:w="4400" w:type="dxa"/>
            <w:vAlign w:val="bottom"/>
            <w:tcBorders>
              <w:top w:val="single" w:sz="8" w:color="0000FF"/>
            </w:tcBorders>
            <w:gridSpan w:val="28"/>
          </w:tcPr>
          <w:p>
            <w:pPr>
              <w:spacing w:after="0" w:line="182" w:lineRule="exact"/>
              <w:rPr>
                <w:rFonts w:ascii="Arial" w:cs="Arial" w:eastAsia="Arial" w:hAnsi="Arial"/>
                <w:sz w:val="18"/>
                <w:szCs w:val="18"/>
                <w:color w:val="0000FF"/>
              </w:rPr>
            </w:pPr>
            <w:hyperlink w:anchor="page109">
              <w:r>
                <w:rPr>
                  <w:rFonts w:ascii="Arial" w:cs="Arial" w:eastAsia="Arial" w:hAnsi="Arial"/>
                  <w:sz w:val="18"/>
                  <w:szCs w:val="18"/>
                  <w:color w:val="0000FF"/>
                </w:rPr>
                <w:t>Plan</w:t>
              </w:r>
            </w:hyperlink>
          </w:p>
        </w:tc>
        <w:tc>
          <w:tcPr>
            <w:tcW w:w="380" w:type="dxa"/>
            <w:vAlign w:val="bottom"/>
            <w:gridSpan w:val="14"/>
          </w:tcPr>
          <w:p>
            <w:pPr>
              <w:spacing w:after="0"/>
              <w:rPr>
                <w:sz w:val="15"/>
                <w:szCs w:val="15"/>
                <w:color w:val="auto"/>
              </w:rPr>
            </w:pPr>
          </w:p>
        </w:tc>
        <w:tc>
          <w:tcPr>
            <w:tcW w:w="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34"/>
        </w:trPr>
        <w:tc>
          <w:tcPr>
            <w:tcW w:w="130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03"/>
        </w:trPr>
        <w:tc>
          <w:tcPr>
            <w:tcW w:w="1300" w:type="dxa"/>
            <w:vAlign w:val="bottom"/>
            <w:shd w:val="clear" w:color="auto" w:fill="DCE2EF"/>
          </w:tcPr>
          <w:p>
            <w:pPr>
              <w:ind w:left="40"/>
              <w:spacing w:after="0" w:line="202" w:lineRule="exact"/>
              <w:rPr>
                <w:sz w:val="20"/>
                <w:szCs w:val="20"/>
                <w:color w:val="auto"/>
              </w:rPr>
            </w:pPr>
            <w:r>
              <w:rPr>
                <w:rFonts w:ascii="Arial" w:cs="Arial" w:eastAsia="Arial" w:hAnsi="Arial"/>
                <w:sz w:val="18"/>
                <w:szCs w:val="18"/>
                <w:color w:val="auto"/>
              </w:rPr>
              <w:t>10.19*‡</w:t>
            </w:r>
          </w:p>
        </w:tc>
        <w:tc>
          <w:tcPr>
            <w:tcW w:w="4780" w:type="dxa"/>
            <w:vAlign w:val="bottom"/>
            <w:gridSpan w:val="42"/>
            <w:shd w:val="clear" w:color="auto" w:fill="DCE2EF"/>
          </w:tcPr>
          <w:p>
            <w:pPr>
              <w:spacing w:after="0" w:line="202" w:lineRule="exact"/>
              <w:rPr>
                <w:rFonts w:ascii="Arial" w:cs="Arial" w:eastAsia="Arial" w:hAnsi="Arial"/>
                <w:sz w:val="18"/>
                <w:szCs w:val="18"/>
                <w:color w:val="0000FF"/>
              </w:rPr>
            </w:pPr>
            <w:hyperlink w:anchor="page110">
              <w:r>
                <w:rPr>
                  <w:rFonts w:ascii="Arial" w:cs="Arial" w:eastAsia="Arial" w:hAnsi="Arial"/>
                  <w:sz w:val="18"/>
                  <w:szCs w:val="18"/>
                  <w:color w:val="0000FF"/>
                </w:rPr>
                <w:t>Form of Performance Share Agreement - 2006 Equity</w:t>
              </w:r>
            </w:hyperlink>
          </w:p>
        </w:tc>
        <w:tc>
          <w:tcPr>
            <w:tcW w:w="780" w:type="dxa"/>
            <w:vAlign w:val="bottom"/>
            <w:shd w:val="clear" w:color="auto" w:fill="DCE2EF"/>
          </w:tcPr>
          <w:p>
            <w:pPr>
              <w:spacing w:after="0"/>
              <w:rPr>
                <w:sz w:val="17"/>
                <w:szCs w:val="17"/>
                <w:color w:val="auto"/>
              </w:rPr>
            </w:pPr>
          </w:p>
        </w:tc>
        <w:tc>
          <w:tcPr>
            <w:tcW w:w="1360" w:type="dxa"/>
            <w:vAlign w:val="bottom"/>
            <w:shd w:val="clear" w:color="auto" w:fill="DCE2EF"/>
          </w:tcPr>
          <w:p>
            <w:pPr>
              <w:spacing w:after="0"/>
              <w:rPr>
                <w:sz w:val="17"/>
                <w:szCs w:val="17"/>
                <w:color w:val="auto"/>
              </w:rPr>
            </w:pPr>
          </w:p>
        </w:tc>
        <w:tc>
          <w:tcPr>
            <w:tcW w:w="1020" w:type="dxa"/>
            <w:vAlign w:val="bottom"/>
            <w:shd w:val="clear" w:color="auto" w:fill="DCE2EF"/>
          </w:tcPr>
          <w:p>
            <w:pPr>
              <w:spacing w:after="0"/>
              <w:rPr>
                <w:sz w:val="17"/>
                <w:szCs w:val="17"/>
                <w:color w:val="auto"/>
              </w:rPr>
            </w:pPr>
          </w:p>
        </w:tc>
        <w:tc>
          <w:tcPr>
            <w:tcW w:w="2180" w:type="dxa"/>
            <w:vAlign w:val="bottom"/>
            <w:shd w:val="clear" w:color="auto" w:fill="DCE2EF"/>
          </w:tcPr>
          <w:p>
            <w:pPr>
              <w:spacing w:after="0"/>
              <w:rPr>
                <w:sz w:val="17"/>
                <w:szCs w:val="17"/>
                <w:color w:val="auto"/>
              </w:rPr>
            </w:pPr>
          </w:p>
        </w:tc>
      </w:tr>
      <w:tr>
        <w:trPr>
          <w:trHeight w:val="183"/>
        </w:trPr>
        <w:tc>
          <w:tcPr>
            <w:tcW w:w="1300" w:type="dxa"/>
            <w:vAlign w:val="bottom"/>
            <w:tcBorders>
              <w:top w:val="single" w:sz="8" w:color="DCE2EF"/>
            </w:tcBorders>
            <w:shd w:val="clear" w:color="auto" w:fill="DCE2EF"/>
          </w:tcPr>
          <w:p>
            <w:pPr>
              <w:spacing w:after="0"/>
              <w:rPr>
                <w:sz w:val="15"/>
                <w:szCs w:val="15"/>
                <w:color w:val="auto"/>
              </w:rPr>
            </w:pPr>
          </w:p>
        </w:tc>
        <w:tc>
          <w:tcPr>
            <w:tcW w:w="4280" w:type="dxa"/>
            <w:vAlign w:val="bottom"/>
            <w:tcBorders>
              <w:top w:val="single" w:sz="8" w:color="0000FF"/>
            </w:tcBorders>
            <w:gridSpan w:val="22"/>
            <w:shd w:val="clear" w:color="auto" w:fill="DCE2EF"/>
          </w:tcPr>
          <w:p>
            <w:pPr>
              <w:spacing w:after="0" w:line="182" w:lineRule="exact"/>
              <w:rPr>
                <w:rFonts w:ascii="Arial" w:cs="Arial" w:eastAsia="Arial" w:hAnsi="Arial"/>
                <w:sz w:val="18"/>
                <w:szCs w:val="18"/>
                <w:color w:val="0000FF"/>
              </w:rPr>
            </w:pPr>
            <w:hyperlink w:anchor="page110">
              <w:r>
                <w:rPr>
                  <w:rFonts w:ascii="Arial" w:cs="Arial" w:eastAsia="Arial" w:hAnsi="Arial"/>
                  <w:sz w:val="18"/>
                  <w:szCs w:val="18"/>
                  <w:color w:val="0000FF"/>
                </w:rPr>
                <w:t>Plan</w:t>
              </w:r>
            </w:hyperlink>
          </w:p>
        </w:tc>
        <w:tc>
          <w:tcPr>
            <w:tcW w:w="40" w:type="dxa"/>
            <w:vAlign w:val="bottom"/>
            <w:tcBorders>
              <w:top w:val="single" w:sz="8" w:color="DCE2EF"/>
            </w:tcBorders>
            <w:gridSpan w:val="2"/>
            <w:shd w:val="clear" w:color="auto" w:fill="DCE2EF"/>
          </w:tcPr>
          <w:p>
            <w:pPr>
              <w:spacing w:after="0"/>
              <w:rPr>
                <w:sz w:val="15"/>
                <w:szCs w:val="15"/>
                <w:color w:val="auto"/>
              </w:rPr>
            </w:pPr>
          </w:p>
        </w:tc>
        <w:tc>
          <w:tcPr>
            <w:tcW w:w="40" w:type="dxa"/>
            <w:vAlign w:val="bottom"/>
            <w:tcBorders>
              <w:top w:val="single" w:sz="8" w:color="DCE2EF"/>
            </w:tcBorders>
            <w:gridSpan w:val="2"/>
            <w:shd w:val="clear" w:color="auto" w:fill="DCE2EF"/>
          </w:tcPr>
          <w:p>
            <w:pPr>
              <w:spacing w:after="0"/>
              <w:rPr>
                <w:sz w:val="15"/>
                <w:szCs w:val="15"/>
                <w:color w:val="auto"/>
              </w:rPr>
            </w:pPr>
          </w:p>
        </w:tc>
        <w:tc>
          <w:tcPr>
            <w:tcW w:w="420" w:type="dxa"/>
            <w:vAlign w:val="bottom"/>
            <w:tcBorders>
              <w:top w:val="single" w:sz="8" w:color="DCE2EF"/>
            </w:tcBorders>
            <w:gridSpan w:val="16"/>
            <w:shd w:val="clear" w:color="auto" w:fill="DCE2EF"/>
          </w:tcPr>
          <w:p>
            <w:pPr>
              <w:spacing w:after="0"/>
              <w:rPr>
                <w:sz w:val="15"/>
                <w:szCs w:val="15"/>
                <w:color w:val="auto"/>
              </w:rPr>
            </w:pPr>
          </w:p>
        </w:tc>
        <w:tc>
          <w:tcPr>
            <w:tcW w:w="780" w:type="dxa"/>
            <w:vAlign w:val="bottom"/>
            <w:tcBorders>
              <w:top w:val="single" w:sz="8" w:color="DCE2EF"/>
            </w:tcBorders>
            <w:shd w:val="clear" w:color="auto" w:fill="DCE2EF"/>
          </w:tcPr>
          <w:p>
            <w:pPr>
              <w:spacing w:after="0"/>
              <w:rPr>
                <w:sz w:val="15"/>
                <w:szCs w:val="15"/>
                <w:color w:val="auto"/>
              </w:rPr>
            </w:pPr>
          </w:p>
        </w:tc>
        <w:tc>
          <w:tcPr>
            <w:tcW w:w="1360" w:type="dxa"/>
            <w:vAlign w:val="bottom"/>
            <w:tcBorders>
              <w:top w:val="single" w:sz="8" w:color="DCE2EF"/>
            </w:tcBorders>
            <w:shd w:val="clear" w:color="auto" w:fill="DCE2EF"/>
          </w:tcPr>
          <w:p>
            <w:pPr>
              <w:spacing w:after="0"/>
              <w:rPr>
                <w:sz w:val="15"/>
                <w:szCs w:val="15"/>
                <w:color w:val="auto"/>
              </w:rPr>
            </w:pPr>
          </w:p>
        </w:tc>
        <w:tc>
          <w:tcPr>
            <w:tcW w:w="1020" w:type="dxa"/>
            <w:vAlign w:val="bottom"/>
            <w:tcBorders>
              <w:top w:val="single" w:sz="8" w:color="DCE2EF"/>
            </w:tcBorders>
            <w:shd w:val="clear" w:color="auto" w:fill="DCE2EF"/>
          </w:tcPr>
          <w:p>
            <w:pPr>
              <w:spacing w:after="0"/>
              <w:rPr>
                <w:sz w:val="15"/>
                <w:szCs w:val="15"/>
                <w:color w:val="auto"/>
              </w:rPr>
            </w:pPr>
          </w:p>
        </w:tc>
        <w:tc>
          <w:tcPr>
            <w:tcW w:w="2180" w:type="dxa"/>
            <w:vAlign w:val="bottom"/>
            <w:tcBorders>
              <w:top w:val="single" w:sz="8" w:color="DCE2EF"/>
            </w:tcBorders>
            <w:shd w:val="clear" w:color="auto" w:fill="DCE2EF"/>
          </w:tcPr>
          <w:p>
            <w:pPr>
              <w:spacing w:after="0"/>
              <w:rPr>
                <w:sz w:val="15"/>
                <w:szCs w:val="15"/>
                <w:color w:val="auto"/>
              </w:rPr>
            </w:pPr>
          </w:p>
        </w:tc>
      </w:tr>
      <w:tr>
        <w:trPr>
          <w:trHeight w:val="34"/>
        </w:trPr>
        <w:tc>
          <w:tcPr>
            <w:tcW w:w="1300" w:type="dxa"/>
            <w:vAlign w:val="bottom"/>
            <w:tcBorders>
              <w:top w:val="single" w:sz="8" w:color="DCE2EF"/>
            </w:tcBorders>
            <w:shd w:val="clear" w:color="auto" w:fill="DCE2EF"/>
          </w:tcPr>
          <w:p>
            <w:pPr>
              <w:spacing w:after="0"/>
              <w:rPr>
                <w:sz w:val="2"/>
                <w:szCs w:val="2"/>
                <w:color w:val="auto"/>
              </w:rPr>
            </w:pPr>
          </w:p>
        </w:tc>
        <w:tc>
          <w:tcPr>
            <w:tcW w:w="360" w:type="dxa"/>
            <w:vAlign w:val="bottom"/>
            <w:tcBorders>
              <w:top w:val="single" w:sz="8" w:color="0000F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520" w:type="dxa"/>
            <w:vAlign w:val="bottom"/>
            <w:tcBorders>
              <w:top w:val="single" w:sz="8" w:color="DCE2EF"/>
            </w:tcBorders>
            <w:shd w:val="clear" w:color="auto" w:fill="DCE2EF"/>
          </w:tcPr>
          <w:p>
            <w:pPr>
              <w:spacing w:after="0"/>
              <w:rPr>
                <w:sz w:val="2"/>
                <w:szCs w:val="2"/>
                <w:color w:val="auto"/>
              </w:rPr>
            </w:pPr>
          </w:p>
        </w:tc>
        <w:tc>
          <w:tcPr>
            <w:tcW w:w="240" w:type="dxa"/>
            <w:vAlign w:val="bottom"/>
            <w:tcBorders>
              <w:top w:val="single" w:sz="8" w:color="DCE2EF"/>
            </w:tcBorders>
            <w:shd w:val="clear" w:color="auto" w:fill="DCE2EF"/>
          </w:tcPr>
          <w:p>
            <w:pPr>
              <w:spacing w:after="0"/>
              <w:rPr>
                <w:sz w:val="2"/>
                <w:szCs w:val="2"/>
                <w:color w:val="auto"/>
              </w:rPr>
            </w:pPr>
          </w:p>
        </w:tc>
        <w:tc>
          <w:tcPr>
            <w:tcW w:w="320" w:type="dxa"/>
            <w:vAlign w:val="bottom"/>
            <w:tcBorders>
              <w:top w:val="single" w:sz="8" w:color="DCE2EF"/>
            </w:tcBorders>
            <w:shd w:val="clear" w:color="auto" w:fill="DCE2EF"/>
          </w:tcPr>
          <w:p>
            <w:pPr>
              <w:spacing w:after="0"/>
              <w:rPr>
                <w:sz w:val="2"/>
                <w:szCs w:val="2"/>
                <w:color w:val="auto"/>
              </w:rPr>
            </w:pPr>
          </w:p>
        </w:tc>
        <w:tc>
          <w:tcPr>
            <w:tcW w:w="80" w:type="dxa"/>
            <w:vAlign w:val="bottom"/>
            <w:tcBorders>
              <w:top w:val="single" w:sz="8" w:color="DCE2EF"/>
            </w:tcBorders>
            <w:shd w:val="clear" w:color="auto" w:fill="DCE2EF"/>
          </w:tcPr>
          <w:p>
            <w:pPr>
              <w:spacing w:after="0"/>
              <w:rPr>
                <w:sz w:val="2"/>
                <w:szCs w:val="2"/>
                <w:color w:val="auto"/>
              </w:rPr>
            </w:pPr>
          </w:p>
        </w:tc>
        <w:tc>
          <w:tcPr>
            <w:tcW w:w="60" w:type="dxa"/>
            <w:vAlign w:val="bottom"/>
            <w:tcBorders>
              <w:top w:val="single" w:sz="8" w:color="DCE2EF"/>
            </w:tcBorders>
            <w:shd w:val="clear" w:color="auto" w:fill="DCE2EF"/>
          </w:tcPr>
          <w:p>
            <w:pPr>
              <w:spacing w:after="0"/>
              <w:rPr>
                <w:sz w:val="2"/>
                <w:szCs w:val="2"/>
                <w:color w:val="auto"/>
              </w:rPr>
            </w:pPr>
          </w:p>
        </w:tc>
        <w:tc>
          <w:tcPr>
            <w:tcW w:w="12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660" w:type="dxa"/>
            <w:vAlign w:val="bottom"/>
            <w:tcBorders>
              <w:top w:val="single" w:sz="8" w:color="DCE2EF"/>
            </w:tcBorders>
            <w:shd w:val="clear" w:color="auto" w:fill="DCE2EF"/>
          </w:tcPr>
          <w:p>
            <w:pPr>
              <w:spacing w:after="0"/>
              <w:rPr>
                <w:sz w:val="2"/>
                <w:szCs w:val="2"/>
                <w:color w:val="auto"/>
              </w:rPr>
            </w:pPr>
          </w:p>
        </w:tc>
        <w:tc>
          <w:tcPr>
            <w:tcW w:w="140" w:type="dxa"/>
            <w:vAlign w:val="bottom"/>
            <w:tcBorders>
              <w:top w:val="single" w:sz="8" w:color="DCE2EF"/>
            </w:tcBorders>
            <w:shd w:val="clear" w:color="auto" w:fill="DCE2EF"/>
          </w:tcPr>
          <w:p>
            <w:pPr>
              <w:spacing w:after="0"/>
              <w:rPr>
                <w:sz w:val="2"/>
                <w:szCs w:val="2"/>
                <w:color w:val="auto"/>
              </w:rPr>
            </w:pPr>
          </w:p>
        </w:tc>
        <w:tc>
          <w:tcPr>
            <w:tcW w:w="76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240" w:type="dxa"/>
            <w:vAlign w:val="bottom"/>
            <w:tcBorders>
              <w:top w:val="single" w:sz="8" w:color="DCE2EF"/>
            </w:tcBorders>
            <w:shd w:val="clear" w:color="auto" w:fill="DCE2EF"/>
          </w:tcPr>
          <w:p>
            <w:pPr>
              <w:spacing w:after="0"/>
              <w:rPr>
                <w:sz w:val="2"/>
                <w:szCs w:val="2"/>
                <w:color w:val="auto"/>
              </w:rPr>
            </w:pPr>
          </w:p>
        </w:tc>
        <w:tc>
          <w:tcPr>
            <w:tcW w:w="20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6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180" w:type="dxa"/>
            <w:vAlign w:val="bottom"/>
            <w:tcBorders>
              <w:top w:val="single" w:sz="8" w:color="DCE2EF"/>
            </w:tcBorders>
            <w:shd w:val="clear" w:color="auto" w:fill="DCE2EF"/>
          </w:tcPr>
          <w:p>
            <w:pPr>
              <w:spacing w:after="0"/>
              <w:rPr>
                <w:sz w:val="2"/>
                <w:szCs w:val="2"/>
                <w:color w:val="auto"/>
              </w:rPr>
            </w:pPr>
          </w:p>
        </w:tc>
        <w:tc>
          <w:tcPr>
            <w:tcW w:w="100" w:type="dxa"/>
            <w:vAlign w:val="bottom"/>
            <w:tcBorders>
              <w:top w:val="single" w:sz="8" w:color="DCE2EF"/>
            </w:tcBorders>
            <w:shd w:val="clear" w:color="auto" w:fill="DCE2EF"/>
          </w:tcPr>
          <w:p>
            <w:pPr>
              <w:spacing w:after="0"/>
              <w:rPr>
                <w:sz w:val="2"/>
                <w:szCs w:val="2"/>
                <w:color w:val="auto"/>
              </w:rPr>
            </w:pPr>
          </w:p>
        </w:tc>
        <w:tc>
          <w:tcPr>
            <w:tcW w:w="6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120" w:type="dxa"/>
            <w:vAlign w:val="bottom"/>
            <w:tcBorders>
              <w:top w:val="single" w:sz="8" w:color="DCE2EF"/>
            </w:tcBorders>
            <w:shd w:val="clear" w:color="auto" w:fill="DCE2EF"/>
          </w:tcPr>
          <w:p>
            <w:pPr>
              <w:spacing w:after="0"/>
              <w:rPr>
                <w:sz w:val="2"/>
                <w:szCs w:val="2"/>
                <w:color w:val="auto"/>
              </w:rPr>
            </w:pPr>
          </w:p>
        </w:tc>
        <w:tc>
          <w:tcPr>
            <w:tcW w:w="780" w:type="dxa"/>
            <w:vAlign w:val="bottom"/>
            <w:tcBorders>
              <w:top w:val="single" w:sz="8" w:color="DCE2EF"/>
            </w:tcBorders>
            <w:shd w:val="clear" w:color="auto" w:fill="DCE2EF"/>
          </w:tcPr>
          <w:p>
            <w:pPr>
              <w:spacing w:after="0"/>
              <w:rPr>
                <w:sz w:val="2"/>
                <w:szCs w:val="2"/>
                <w:color w:val="auto"/>
              </w:rPr>
            </w:pPr>
          </w:p>
        </w:tc>
        <w:tc>
          <w:tcPr>
            <w:tcW w:w="1360" w:type="dxa"/>
            <w:vAlign w:val="bottom"/>
            <w:tcBorders>
              <w:top w:val="single" w:sz="8" w:color="DCE2EF"/>
            </w:tcBorders>
            <w:shd w:val="clear" w:color="auto" w:fill="DCE2EF"/>
          </w:tcPr>
          <w:p>
            <w:pPr>
              <w:spacing w:after="0"/>
              <w:rPr>
                <w:sz w:val="2"/>
                <w:szCs w:val="2"/>
                <w:color w:val="auto"/>
              </w:rPr>
            </w:pPr>
          </w:p>
        </w:tc>
        <w:tc>
          <w:tcPr>
            <w:tcW w:w="1020" w:type="dxa"/>
            <w:vAlign w:val="bottom"/>
            <w:tcBorders>
              <w:top w:val="single" w:sz="8" w:color="DCE2EF"/>
            </w:tcBorders>
            <w:shd w:val="clear" w:color="auto" w:fill="DCE2EF"/>
          </w:tcPr>
          <w:p>
            <w:pPr>
              <w:spacing w:after="0"/>
              <w:rPr>
                <w:sz w:val="2"/>
                <w:szCs w:val="2"/>
                <w:color w:val="auto"/>
              </w:rPr>
            </w:pPr>
          </w:p>
        </w:tc>
        <w:tc>
          <w:tcPr>
            <w:tcW w:w="2180" w:type="dxa"/>
            <w:vAlign w:val="bottom"/>
            <w:tcBorders>
              <w:top w:val="single" w:sz="8" w:color="DCE2EF"/>
            </w:tcBorders>
            <w:shd w:val="clear" w:color="auto" w:fill="DCE2EF"/>
          </w:tcPr>
          <w:p>
            <w:pPr>
              <w:spacing w:after="0"/>
              <w:rPr>
                <w:sz w:val="2"/>
                <w:szCs w:val="2"/>
                <w:color w:val="auto"/>
              </w:rPr>
            </w:pPr>
          </w:p>
        </w:tc>
      </w:tr>
      <w:tr>
        <w:trPr>
          <w:trHeight w:val="203"/>
        </w:trPr>
        <w:tc>
          <w:tcPr>
            <w:tcW w:w="1300" w:type="dxa"/>
            <w:vAlign w:val="bottom"/>
          </w:tcPr>
          <w:p>
            <w:pPr>
              <w:ind w:left="40"/>
              <w:spacing w:after="0" w:line="202" w:lineRule="exact"/>
              <w:rPr>
                <w:sz w:val="20"/>
                <w:szCs w:val="20"/>
                <w:color w:val="auto"/>
              </w:rPr>
            </w:pPr>
            <w:r>
              <w:rPr>
                <w:rFonts w:ascii="Arial" w:cs="Arial" w:eastAsia="Arial" w:hAnsi="Arial"/>
                <w:sz w:val="18"/>
                <w:szCs w:val="18"/>
                <w:color w:val="auto"/>
              </w:rPr>
              <w:t>10.20*</w:t>
            </w:r>
          </w:p>
        </w:tc>
        <w:tc>
          <w:tcPr>
            <w:tcW w:w="4780" w:type="dxa"/>
            <w:vAlign w:val="bottom"/>
            <w:gridSpan w:val="42"/>
          </w:tcPr>
          <w:p>
            <w:pPr>
              <w:spacing w:after="0" w:line="202" w:lineRule="exact"/>
              <w:rPr>
                <w:rFonts w:ascii="Arial" w:cs="Arial" w:eastAsia="Arial" w:hAnsi="Arial"/>
                <w:sz w:val="18"/>
                <w:szCs w:val="18"/>
                <w:color w:val="0000FF"/>
              </w:rPr>
            </w:pPr>
            <w:hyperlink r:id="rId115">
              <w:r>
                <w:rPr>
                  <w:rFonts w:ascii="Arial" w:cs="Arial" w:eastAsia="Arial" w:hAnsi="Arial"/>
                  <w:sz w:val="18"/>
                  <w:szCs w:val="18"/>
                  <w:color w:val="0000FF"/>
                </w:rPr>
                <w:t>Executive Stock Option Plan (aka Age-Vested Career</w:t>
              </w:r>
            </w:hyperlink>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rPr>
              <w:t>10.1</w:t>
            </w:r>
          </w:p>
        </w:tc>
        <w:tc>
          <w:tcPr>
            <w:tcW w:w="2180" w:type="dxa"/>
            <w:vAlign w:val="bottom"/>
          </w:tcPr>
          <w:p>
            <w:pPr>
              <w:jc w:val="center"/>
              <w:spacing w:after="0" w:line="202" w:lineRule="exact"/>
              <w:rPr>
                <w:sz w:val="20"/>
                <w:szCs w:val="20"/>
                <w:color w:val="auto"/>
              </w:rPr>
            </w:pPr>
            <w:r>
              <w:rPr>
                <w:rFonts w:ascii="Arial" w:cs="Arial" w:eastAsia="Arial" w:hAnsi="Arial"/>
                <w:sz w:val="18"/>
                <w:szCs w:val="18"/>
                <w:color w:val="auto"/>
                <w:w w:val="99"/>
              </w:rPr>
              <w:t>September 6, 2012</w:t>
            </w:r>
          </w:p>
        </w:tc>
      </w:tr>
      <w:tr>
        <w:trPr>
          <w:trHeight w:val="183"/>
        </w:trPr>
        <w:tc>
          <w:tcPr>
            <w:tcW w:w="1300" w:type="dxa"/>
            <w:vAlign w:val="bottom"/>
          </w:tcPr>
          <w:p>
            <w:pPr>
              <w:spacing w:after="0"/>
              <w:rPr>
                <w:sz w:val="15"/>
                <w:szCs w:val="15"/>
                <w:color w:val="auto"/>
              </w:rPr>
            </w:pPr>
          </w:p>
        </w:tc>
        <w:tc>
          <w:tcPr>
            <w:tcW w:w="4260" w:type="dxa"/>
            <w:vAlign w:val="bottom"/>
            <w:tcBorders>
              <w:top w:val="single" w:sz="8" w:color="0000FF"/>
              <w:bottom w:val="single" w:sz="8" w:color="0000FF"/>
            </w:tcBorders>
            <w:gridSpan w:val="21"/>
          </w:tcPr>
          <w:p>
            <w:pPr>
              <w:spacing w:after="0" w:line="182" w:lineRule="exact"/>
              <w:rPr>
                <w:rFonts w:ascii="Arial" w:cs="Arial" w:eastAsia="Arial" w:hAnsi="Arial"/>
                <w:sz w:val="18"/>
                <w:szCs w:val="18"/>
                <w:color w:val="0000FF"/>
                <w:w w:val="98"/>
              </w:rPr>
            </w:pPr>
            <w:hyperlink r:id="rId115">
              <w:r>
                <w:rPr>
                  <w:rFonts w:ascii="Arial" w:cs="Arial" w:eastAsia="Arial" w:hAnsi="Arial"/>
                  <w:sz w:val="18"/>
                  <w:szCs w:val="18"/>
                  <w:color w:val="0000FF"/>
                  <w:w w:val="98"/>
                </w:rPr>
                <w:t>Stock Option Plan), as amended and restated June 4,</w:t>
              </w:r>
            </w:hyperlink>
          </w:p>
        </w:tc>
        <w:tc>
          <w:tcPr>
            <w:tcW w:w="60" w:type="dxa"/>
            <w:vAlign w:val="bottom"/>
            <w:tcBorders>
              <w:bottom w:val="single" w:sz="8" w:color="0000FF"/>
            </w:tcBorders>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420" w:type="dxa"/>
            <w:vAlign w:val="bottom"/>
            <w:gridSpan w:val="16"/>
          </w:tcPr>
          <w:p>
            <w:pPr>
              <w:spacing w:after="0"/>
              <w:rPr>
                <w:sz w:val="15"/>
                <w:szCs w:val="15"/>
                <w:color w:val="auto"/>
              </w:rPr>
            </w:pPr>
          </w:p>
        </w:tc>
        <w:tc>
          <w:tcPr>
            <w:tcW w:w="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83"/>
        </w:trPr>
        <w:tc>
          <w:tcPr>
            <w:tcW w:w="1300" w:type="dxa"/>
            <w:vAlign w:val="bottom"/>
          </w:tcPr>
          <w:p>
            <w:pPr>
              <w:spacing w:after="0"/>
              <w:rPr>
                <w:sz w:val="15"/>
                <w:szCs w:val="15"/>
                <w:color w:val="auto"/>
              </w:rPr>
            </w:pPr>
          </w:p>
        </w:tc>
        <w:tc>
          <w:tcPr>
            <w:tcW w:w="920" w:type="dxa"/>
            <w:vAlign w:val="bottom"/>
            <w:gridSpan w:val="3"/>
          </w:tcPr>
          <w:p>
            <w:pPr>
              <w:spacing w:after="0" w:line="182" w:lineRule="exact"/>
              <w:rPr>
                <w:rFonts w:ascii="Arial" w:cs="Arial" w:eastAsia="Arial" w:hAnsi="Arial"/>
                <w:sz w:val="18"/>
                <w:szCs w:val="18"/>
                <w:color w:val="0000FF"/>
              </w:rPr>
            </w:pPr>
            <w:hyperlink r:id="rId115">
              <w:r>
                <w:rPr>
                  <w:rFonts w:ascii="Arial" w:cs="Arial" w:eastAsia="Arial" w:hAnsi="Arial"/>
                  <w:sz w:val="18"/>
                  <w:szCs w:val="18"/>
                  <w:color w:val="0000FF"/>
                </w:rPr>
                <w:t>2012</w:t>
              </w:r>
            </w:hyperlink>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34"/>
        </w:trPr>
        <w:tc>
          <w:tcPr>
            <w:tcW w:w="130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03"/>
        </w:trPr>
        <w:tc>
          <w:tcPr>
            <w:tcW w:w="1300" w:type="dxa"/>
            <w:vAlign w:val="bottom"/>
            <w:shd w:val="clear" w:color="auto" w:fill="DCE2EF"/>
          </w:tcPr>
          <w:p>
            <w:pPr>
              <w:ind w:left="40"/>
              <w:spacing w:after="0" w:line="202" w:lineRule="exact"/>
              <w:rPr>
                <w:sz w:val="20"/>
                <w:szCs w:val="20"/>
                <w:color w:val="auto"/>
              </w:rPr>
            </w:pPr>
            <w:r>
              <w:rPr>
                <w:rFonts w:ascii="Arial" w:cs="Arial" w:eastAsia="Arial" w:hAnsi="Arial"/>
                <w:sz w:val="18"/>
                <w:szCs w:val="18"/>
                <w:color w:val="auto"/>
              </w:rPr>
              <w:t>10.21*</w:t>
            </w:r>
          </w:p>
        </w:tc>
        <w:tc>
          <w:tcPr>
            <w:tcW w:w="4780" w:type="dxa"/>
            <w:vAlign w:val="bottom"/>
            <w:gridSpan w:val="42"/>
            <w:shd w:val="clear" w:color="auto" w:fill="DCE2EF"/>
          </w:tcPr>
          <w:p>
            <w:pPr>
              <w:spacing w:after="0" w:line="202" w:lineRule="exact"/>
              <w:rPr>
                <w:rFonts w:ascii="Arial" w:cs="Arial" w:eastAsia="Arial" w:hAnsi="Arial"/>
                <w:sz w:val="18"/>
                <w:szCs w:val="18"/>
                <w:color w:val="0000FF"/>
              </w:rPr>
            </w:pPr>
            <w:hyperlink r:id="rId116">
              <w:r>
                <w:rPr>
                  <w:rFonts w:ascii="Arial" w:cs="Arial" w:eastAsia="Arial" w:hAnsi="Arial"/>
                  <w:sz w:val="18"/>
                  <w:szCs w:val="18"/>
                  <w:color w:val="0000FF"/>
                </w:rPr>
                <w:t>Deferred Compensation Plan for Executives, amended</w:t>
              </w:r>
            </w:hyperlink>
          </w:p>
        </w:tc>
        <w:tc>
          <w:tcPr>
            <w:tcW w:w="780" w:type="dxa"/>
            <w:vAlign w:val="bottom"/>
            <w:shd w:val="clear" w:color="auto" w:fill="DCE2EF"/>
          </w:tcPr>
          <w:p>
            <w:pPr>
              <w:jc w:val="center"/>
              <w:spacing w:after="0" w:line="202" w:lineRule="exact"/>
              <w:rPr>
                <w:sz w:val="20"/>
                <w:szCs w:val="20"/>
                <w:color w:val="auto"/>
              </w:rPr>
            </w:pPr>
            <w:r>
              <w:rPr>
                <w:rFonts w:ascii="Arial" w:cs="Arial" w:eastAsia="Arial" w:hAnsi="Arial"/>
                <w:sz w:val="18"/>
                <w:szCs w:val="18"/>
                <w:color w:val="auto"/>
                <w:w w:val="99"/>
              </w:rPr>
              <w:t>10-K</w:t>
            </w:r>
          </w:p>
        </w:tc>
        <w:tc>
          <w:tcPr>
            <w:tcW w:w="1360" w:type="dxa"/>
            <w:vAlign w:val="bottom"/>
            <w:shd w:val="clear" w:color="auto" w:fill="DCE2EF"/>
          </w:tcPr>
          <w:p>
            <w:pPr>
              <w:jc w:val="right"/>
              <w:ind w:right="190"/>
              <w:spacing w:after="0" w:line="202" w:lineRule="exact"/>
              <w:rPr>
                <w:sz w:val="20"/>
                <w:szCs w:val="20"/>
                <w:color w:val="auto"/>
              </w:rPr>
            </w:pPr>
            <w:r>
              <w:rPr>
                <w:rFonts w:ascii="Arial" w:cs="Arial" w:eastAsia="Arial" w:hAnsi="Arial"/>
                <w:sz w:val="18"/>
                <w:szCs w:val="18"/>
                <w:color w:val="auto"/>
              </w:rPr>
              <w:t>001-08929</w:t>
            </w:r>
          </w:p>
        </w:tc>
        <w:tc>
          <w:tcPr>
            <w:tcW w:w="1020" w:type="dxa"/>
            <w:vAlign w:val="bottom"/>
            <w:shd w:val="clear" w:color="auto" w:fill="DCE2EF"/>
          </w:tcPr>
          <w:p>
            <w:pPr>
              <w:jc w:val="center"/>
              <w:spacing w:after="0" w:line="202" w:lineRule="exact"/>
              <w:rPr>
                <w:sz w:val="20"/>
                <w:szCs w:val="20"/>
                <w:color w:val="auto"/>
              </w:rPr>
            </w:pPr>
            <w:r>
              <w:rPr>
                <w:rFonts w:ascii="Arial" w:cs="Arial" w:eastAsia="Arial" w:hAnsi="Arial"/>
                <w:sz w:val="18"/>
                <w:szCs w:val="18"/>
                <w:color w:val="auto"/>
                <w:w w:val="97"/>
              </w:rPr>
              <w:t>10.22</w:t>
            </w:r>
          </w:p>
        </w:tc>
        <w:tc>
          <w:tcPr>
            <w:tcW w:w="2180" w:type="dxa"/>
            <w:vAlign w:val="bottom"/>
            <w:shd w:val="clear" w:color="auto" w:fill="DCE2EF"/>
          </w:tcPr>
          <w:p>
            <w:pPr>
              <w:jc w:val="center"/>
              <w:spacing w:after="0" w:line="202" w:lineRule="exact"/>
              <w:rPr>
                <w:sz w:val="20"/>
                <w:szCs w:val="20"/>
                <w:color w:val="auto"/>
              </w:rPr>
            </w:pPr>
            <w:r>
              <w:rPr>
                <w:rFonts w:ascii="Arial" w:cs="Arial" w:eastAsia="Arial" w:hAnsi="Arial"/>
                <w:sz w:val="18"/>
                <w:szCs w:val="18"/>
                <w:color w:val="auto"/>
              </w:rPr>
              <w:t>December 23, 2010</w:t>
            </w:r>
          </w:p>
        </w:tc>
      </w:tr>
      <w:tr>
        <w:trPr>
          <w:trHeight w:val="217"/>
        </w:trPr>
        <w:tc>
          <w:tcPr>
            <w:tcW w:w="1300" w:type="dxa"/>
            <w:vAlign w:val="bottom"/>
            <w:tcBorders>
              <w:top w:val="single" w:sz="8" w:color="DCE2EF"/>
            </w:tcBorders>
            <w:shd w:val="clear" w:color="auto" w:fill="DCE2EF"/>
          </w:tcPr>
          <w:p>
            <w:pPr>
              <w:spacing w:after="0"/>
              <w:rPr>
                <w:sz w:val="18"/>
                <w:szCs w:val="18"/>
                <w:color w:val="auto"/>
              </w:rPr>
            </w:pPr>
          </w:p>
        </w:tc>
        <w:tc>
          <w:tcPr>
            <w:tcW w:w="4360" w:type="dxa"/>
            <w:vAlign w:val="bottom"/>
            <w:tcBorders>
              <w:top w:val="single" w:sz="8" w:color="0000FF"/>
            </w:tcBorders>
            <w:gridSpan w:val="26"/>
            <w:shd w:val="clear" w:color="auto" w:fill="DCE2EF"/>
          </w:tcPr>
          <w:p>
            <w:pPr>
              <w:spacing w:after="0" w:line="182" w:lineRule="exact"/>
              <w:rPr>
                <w:rFonts w:ascii="Arial" w:cs="Arial" w:eastAsia="Arial" w:hAnsi="Arial"/>
                <w:sz w:val="18"/>
                <w:szCs w:val="18"/>
                <w:color w:val="0000FF"/>
              </w:rPr>
            </w:pPr>
            <w:hyperlink r:id="rId116">
              <w:r>
                <w:rPr>
                  <w:rFonts w:ascii="Arial" w:cs="Arial" w:eastAsia="Arial" w:hAnsi="Arial"/>
                  <w:sz w:val="18"/>
                  <w:szCs w:val="18"/>
                  <w:color w:val="0000FF"/>
                </w:rPr>
                <w:t>and restated October 25, 2010</w:t>
              </w:r>
            </w:hyperlink>
          </w:p>
        </w:tc>
        <w:tc>
          <w:tcPr>
            <w:tcW w:w="420" w:type="dxa"/>
            <w:vAlign w:val="bottom"/>
            <w:tcBorders>
              <w:top w:val="single" w:sz="8" w:color="DCE2EF"/>
            </w:tcBorders>
            <w:gridSpan w:val="16"/>
            <w:shd w:val="clear" w:color="auto" w:fill="DCE2EF"/>
          </w:tcPr>
          <w:p>
            <w:pPr>
              <w:spacing w:after="0"/>
              <w:rPr>
                <w:sz w:val="18"/>
                <w:szCs w:val="18"/>
                <w:color w:val="auto"/>
              </w:rPr>
            </w:pPr>
          </w:p>
        </w:tc>
        <w:tc>
          <w:tcPr>
            <w:tcW w:w="780" w:type="dxa"/>
            <w:vAlign w:val="bottom"/>
            <w:tcBorders>
              <w:top w:val="single" w:sz="8" w:color="DCE2EF"/>
            </w:tcBorders>
            <w:shd w:val="clear" w:color="auto" w:fill="DCE2EF"/>
          </w:tcPr>
          <w:p>
            <w:pPr>
              <w:spacing w:after="0"/>
              <w:rPr>
                <w:sz w:val="18"/>
                <w:szCs w:val="18"/>
                <w:color w:val="auto"/>
              </w:rPr>
            </w:pPr>
          </w:p>
        </w:tc>
        <w:tc>
          <w:tcPr>
            <w:tcW w:w="1360" w:type="dxa"/>
            <w:vAlign w:val="bottom"/>
            <w:tcBorders>
              <w:top w:val="single" w:sz="8" w:color="DCE2EF"/>
            </w:tcBorders>
            <w:shd w:val="clear" w:color="auto" w:fill="DCE2EF"/>
          </w:tcPr>
          <w:p>
            <w:pPr>
              <w:spacing w:after="0"/>
              <w:rPr>
                <w:sz w:val="18"/>
                <w:szCs w:val="18"/>
                <w:color w:val="auto"/>
              </w:rPr>
            </w:pPr>
          </w:p>
        </w:tc>
        <w:tc>
          <w:tcPr>
            <w:tcW w:w="1020" w:type="dxa"/>
            <w:vAlign w:val="bottom"/>
            <w:tcBorders>
              <w:top w:val="single" w:sz="8" w:color="DCE2EF"/>
            </w:tcBorders>
            <w:shd w:val="clear" w:color="auto" w:fill="DCE2EF"/>
          </w:tcPr>
          <w:p>
            <w:pPr>
              <w:spacing w:after="0"/>
              <w:rPr>
                <w:sz w:val="18"/>
                <w:szCs w:val="18"/>
                <w:color w:val="auto"/>
              </w:rPr>
            </w:pPr>
          </w:p>
        </w:tc>
        <w:tc>
          <w:tcPr>
            <w:tcW w:w="2180" w:type="dxa"/>
            <w:vAlign w:val="bottom"/>
            <w:tcBorders>
              <w:top w:val="single" w:sz="8" w:color="DCE2EF"/>
            </w:tcBorders>
            <w:shd w:val="clear" w:color="auto" w:fill="DCE2EF"/>
          </w:tcPr>
          <w:p>
            <w:pPr>
              <w:spacing w:after="0"/>
              <w:rPr>
                <w:sz w:val="18"/>
                <w:szCs w:val="18"/>
                <w:color w:val="auto"/>
              </w:rPr>
            </w:pPr>
          </w:p>
        </w:tc>
      </w:tr>
      <w:tr>
        <w:trPr>
          <w:trHeight w:val="598"/>
        </w:trPr>
        <w:tc>
          <w:tcPr>
            <w:tcW w:w="1300" w:type="dxa"/>
            <w:vAlign w:val="bottom"/>
            <w:tcBorders>
              <w:top w:val="single" w:sz="8" w:color="DCE2EF"/>
            </w:tcBorders>
          </w:tcPr>
          <w:p>
            <w:pPr>
              <w:spacing w:after="0"/>
              <w:rPr>
                <w:sz w:val="24"/>
                <w:szCs w:val="24"/>
                <w:color w:val="auto"/>
              </w:rPr>
            </w:pPr>
          </w:p>
        </w:tc>
        <w:tc>
          <w:tcPr>
            <w:tcW w:w="2440" w:type="dxa"/>
            <w:vAlign w:val="bottom"/>
            <w:tcBorders>
              <w:top w:val="single" w:sz="8" w:color="0000FF"/>
            </w:tcBorders>
            <w:gridSpan w:val="10"/>
          </w:tcPr>
          <w:p>
            <w:pPr>
              <w:spacing w:after="0"/>
              <w:rPr>
                <w:sz w:val="24"/>
                <w:szCs w:val="24"/>
                <w:color w:val="auto"/>
              </w:rPr>
            </w:pPr>
          </w:p>
        </w:tc>
        <w:tc>
          <w:tcPr>
            <w:tcW w:w="2180" w:type="dxa"/>
            <w:vAlign w:val="bottom"/>
            <w:tcBorders>
              <w:top w:val="single" w:sz="8" w:color="DCE2EF"/>
            </w:tcBorders>
            <w:gridSpan w:val="29"/>
          </w:tcPr>
          <w:p>
            <w:pPr>
              <w:jc w:val="right"/>
              <w:ind w:right="60"/>
              <w:spacing w:after="0"/>
              <w:rPr>
                <w:sz w:val="20"/>
                <w:szCs w:val="20"/>
                <w:color w:val="auto"/>
              </w:rPr>
            </w:pPr>
            <w:r>
              <w:rPr>
                <w:rFonts w:ascii="Arial" w:cs="Arial" w:eastAsia="Arial" w:hAnsi="Arial"/>
                <w:sz w:val="18"/>
                <w:szCs w:val="18"/>
                <w:color w:val="auto"/>
              </w:rPr>
              <w:t>102</w:t>
            </w:r>
          </w:p>
        </w:tc>
        <w:tc>
          <w:tcPr>
            <w:tcW w:w="20" w:type="dxa"/>
            <w:vAlign w:val="bottom"/>
            <w:tcBorders>
              <w:top w:val="single" w:sz="8" w:color="DCE2EF"/>
            </w:tcBorders>
          </w:tcPr>
          <w:p>
            <w:pPr>
              <w:spacing w:after="0"/>
              <w:rPr>
                <w:sz w:val="24"/>
                <w:szCs w:val="24"/>
                <w:color w:val="auto"/>
              </w:rPr>
            </w:pPr>
          </w:p>
        </w:tc>
        <w:tc>
          <w:tcPr>
            <w:tcW w:w="20" w:type="dxa"/>
            <w:vAlign w:val="bottom"/>
            <w:tcBorders>
              <w:top w:val="single" w:sz="8" w:color="DCE2EF"/>
            </w:tcBorders>
          </w:tcPr>
          <w:p>
            <w:pPr>
              <w:spacing w:after="0"/>
              <w:rPr>
                <w:sz w:val="24"/>
                <w:szCs w:val="24"/>
                <w:color w:val="auto"/>
              </w:rPr>
            </w:pPr>
          </w:p>
        </w:tc>
        <w:tc>
          <w:tcPr>
            <w:tcW w:w="120" w:type="dxa"/>
            <w:vAlign w:val="bottom"/>
            <w:tcBorders>
              <w:top w:val="single" w:sz="8" w:color="DCE2EF"/>
            </w:tcBorders>
          </w:tcPr>
          <w:p>
            <w:pPr>
              <w:spacing w:after="0"/>
              <w:rPr>
                <w:sz w:val="24"/>
                <w:szCs w:val="24"/>
                <w:color w:val="auto"/>
              </w:rPr>
            </w:pPr>
          </w:p>
        </w:tc>
        <w:tc>
          <w:tcPr>
            <w:tcW w:w="780" w:type="dxa"/>
            <w:vAlign w:val="bottom"/>
            <w:tcBorders>
              <w:top w:val="single" w:sz="8" w:color="DCE2EF"/>
            </w:tcBorders>
          </w:tcPr>
          <w:p>
            <w:pPr>
              <w:spacing w:after="0"/>
              <w:rPr>
                <w:sz w:val="24"/>
                <w:szCs w:val="24"/>
                <w:color w:val="auto"/>
              </w:rPr>
            </w:pPr>
          </w:p>
        </w:tc>
        <w:tc>
          <w:tcPr>
            <w:tcW w:w="1360" w:type="dxa"/>
            <w:vAlign w:val="bottom"/>
            <w:tcBorders>
              <w:top w:val="single" w:sz="8" w:color="DCE2EF"/>
            </w:tcBorders>
          </w:tcPr>
          <w:p>
            <w:pPr>
              <w:spacing w:after="0"/>
              <w:rPr>
                <w:sz w:val="24"/>
                <w:szCs w:val="24"/>
                <w:color w:val="auto"/>
              </w:rPr>
            </w:pPr>
          </w:p>
        </w:tc>
        <w:tc>
          <w:tcPr>
            <w:tcW w:w="1020" w:type="dxa"/>
            <w:vAlign w:val="bottom"/>
            <w:tcBorders>
              <w:top w:val="single" w:sz="8" w:color="DCE2EF"/>
            </w:tcBorders>
          </w:tcPr>
          <w:p>
            <w:pPr>
              <w:spacing w:after="0"/>
              <w:rPr>
                <w:sz w:val="24"/>
                <w:szCs w:val="24"/>
                <w:color w:val="auto"/>
              </w:rPr>
            </w:pPr>
          </w:p>
        </w:tc>
        <w:tc>
          <w:tcPr>
            <w:tcW w:w="2180" w:type="dxa"/>
            <w:vAlign w:val="bottom"/>
            <w:tcBorders>
              <w:top w:val="single" w:sz="8" w:color="DCE2EF"/>
            </w:tcBorders>
          </w:tcPr>
          <w:p>
            <w:pPr>
              <w:spacing w:after="0"/>
              <w:rPr>
                <w:sz w:val="24"/>
                <w:szCs w:val="24"/>
                <w:color w:val="auto"/>
              </w:rPr>
            </w:pPr>
          </w:p>
        </w:tc>
      </w:tr>
    </w:tbl>
    <w:p>
      <w:pPr>
        <w:sectPr>
          <w:pgSz w:w="11900" w:h="16838" w:orient="portrait"/>
          <w:cols w:equalWidth="0" w:num="1">
            <w:col w:w="11420"/>
          </w:cols>
          <w:pgMar w:left="240" w:top="648" w:right="239" w:bottom="1440" w:gutter="0" w:footer="0" w:header="0"/>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ind w:left="40"/>
              <w:spacing w:after="0"/>
              <w:rPr>
                <w:sz w:val="20"/>
                <w:szCs w:val="20"/>
                <w:color w:val="auto"/>
              </w:rPr>
            </w:pPr>
            <w:r>
              <w:rPr>
                <w:rFonts w:ascii="Arial" w:cs="Arial" w:eastAsia="Arial" w:hAnsi="Arial"/>
                <w:sz w:val="18"/>
                <w:szCs w:val="18"/>
                <w:color w:val="auto"/>
              </w:rPr>
              <w:t>10.22*</w:t>
            </w:r>
          </w:p>
        </w:tc>
        <w:tc>
          <w:tcPr>
            <w:tcW w:w="4780" w:type="dxa"/>
            <w:vAlign w:val="bottom"/>
            <w:gridSpan w:val="37"/>
          </w:tcPr>
          <w:p>
            <w:pPr>
              <w:spacing w:after="0"/>
              <w:rPr>
                <w:rFonts w:ascii="Arial" w:cs="Arial" w:eastAsia="Arial" w:hAnsi="Arial"/>
                <w:sz w:val="18"/>
                <w:szCs w:val="18"/>
                <w:color w:val="0000FF"/>
              </w:rPr>
            </w:pPr>
            <w:hyperlink r:id="rId117">
              <w:r>
                <w:rPr>
                  <w:rFonts w:ascii="Arial" w:cs="Arial" w:eastAsia="Arial" w:hAnsi="Arial"/>
                  <w:sz w:val="18"/>
                  <w:szCs w:val="18"/>
                  <w:color w:val="0000FF"/>
                </w:rPr>
                <w:t>Supplemental Executive Retirement Plan, as amended</w:t>
              </w:r>
            </w:hyperlink>
          </w:p>
        </w:tc>
        <w:tc>
          <w:tcPr>
            <w:tcW w:w="780" w:type="dxa"/>
            <w:vAlign w:val="bottom"/>
          </w:tcPr>
          <w:p>
            <w:pPr>
              <w:ind w:left="140"/>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10.4</w:t>
            </w: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September 8, 2008</w:t>
            </w:r>
          </w:p>
        </w:tc>
      </w:tr>
      <w:tr>
        <w:trPr>
          <w:trHeight w:val="183"/>
        </w:trPr>
        <w:tc>
          <w:tcPr>
            <w:tcW w:w="1300" w:type="dxa"/>
            <w:vAlign w:val="bottom"/>
          </w:tcPr>
          <w:p>
            <w:pPr>
              <w:spacing w:after="0"/>
              <w:rPr>
                <w:sz w:val="15"/>
                <w:szCs w:val="15"/>
                <w:color w:val="auto"/>
              </w:rPr>
            </w:pPr>
          </w:p>
        </w:tc>
        <w:tc>
          <w:tcPr>
            <w:tcW w:w="4360" w:type="dxa"/>
            <w:vAlign w:val="bottom"/>
            <w:tcBorders>
              <w:top w:val="single" w:sz="8" w:color="0000FF"/>
            </w:tcBorders>
            <w:gridSpan w:val="25"/>
          </w:tcPr>
          <w:p>
            <w:pPr>
              <w:spacing w:after="0" w:line="182" w:lineRule="exact"/>
              <w:rPr>
                <w:rFonts w:ascii="Arial" w:cs="Arial" w:eastAsia="Arial" w:hAnsi="Arial"/>
                <w:sz w:val="18"/>
                <w:szCs w:val="18"/>
                <w:color w:val="0000FF"/>
              </w:rPr>
            </w:pPr>
            <w:hyperlink r:id="rId117">
              <w:r>
                <w:rPr>
                  <w:rFonts w:ascii="Arial" w:cs="Arial" w:eastAsia="Arial" w:hAnsi="Arial"/>
                  <w:sz w:val="18"/>
                  <w:szCs w:val="18"/>
                  <w:color w:val="0000FF"/>
                </w:rPr>
                <w:t>and restated June 3, 2008</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34"/>
        </w:trPr>
        <w:tc>
          <w:tcPr>
            <w:tcW w:w="130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03"/>
        </w:trPr>
        <w:tc>
          <w:tcPr>
            <w:tcW w:w="1300" w:type="dxa"/>
            <w:vAlign w:val="bottom"/>
            <w:shd w:val="clear" w:color="auto" w:fill="DCE2EF"/>
          </w:tcPr>
          <w:p>
            <w:pPr>
              <w:ind w:left="40"/>
              <w:spacing w:after="0" w:line="202" w:lineRule="exact"/>
              <w:rPr>
                <w:sz w:val="20"/>
                <w:szCs w:val="20"/>
                <w:color w:val="auto"/>
              </w:rPr>
            </w:pPr>
            <w:r>
              <w:rPr>
                <w:rFonts w:ascii="Arial" w:cs="Arial" w:eastAsia="Arial" w:hAnsi="Arial"/>
                <w:sz w:val="18"/>
                <w:szCs w:val="18"/>
                <w:color w:val="auto"/>
              </w:rPr>
              <w:t>10.23*</w:t>
            </w:r>
          </w:p>
        </w:tc>
        <w:tc>
          <w:tcPr>
            <w:tcW w:w="4780" w:type="dxa"/>
            <w:vAlign w:val="bottom"/>
            <w:gridSpan w:val="37"/>
            <w:shd w:val="clear" w:color="auto" w:fill="DCE2EF"/>
          </w:tcPr>
          <w:p>
            <w:pPr>
              <w:spacing w:after="0" w:line="202" w:lineRule="exact"/>
              <w:rPr>
                <w:rFonts w:ascii="Arial" w:cs="Arial" w:eastAsia="Arial" w:hAnsi="Arial"/>
                <w:sz w:val="18"/>
                <w:szCs w:val="18"/>
                <w:color w:val="0000FF"/>
              </w:rPr>
            </w:pPr>
            <w:hyperlink r:id="rId118">
              <w:r>
                <w:rPr>
                  <w:rFonts w:ascii="Arial" w:cs="Arial" w:eastAsia="Arial" w:hAnsi="Arial"/>
                  <w:sz w:val="18"/>
                  <w:szCs w:val="18"/>
                  <w:color w:val="0000FF"/>
                </w:rPr>
                <w:t>Service Award Benefit Plan, as amended and restated</w:t>
              </w:r>
            </w:hyperlink>
          </w:p>
        </w:tc>
        <w:tc>
          <w:tcPr>
            <w:tcW w:w="780" w:type="dxa"/>
            <w:vAlign w:val="bottom"/>
            <w:shd w:val="clear" w:color="auto" w:fill="DCE2EF"/>
          </w:tcPr>
          <w:p>
            <w:pPr>
              <w:ind w:left="140"/>
              <w:spacing w:after="0" w:line="202" w:lineRule="exact"/>
              <w:rPr>
                <w:sz w:val="20"/>
                <w:szCs w:val="20"/>
                <w:color w:val="auto"/>
              </w:rPr>
            </w:pPr>
            <w:r>
              <w:rPr>
                <w:rFonts w:ascii="Arial" w:cs="Arial" w:eastAsia="Arial" w:hAnsi="Arial"/>
                <w:sz w:val="18"/>
                <w:szCs w:val="18"/>
                <w:color w:val="auto"/>
              </w:rPr>
              <w:t>10-Q</w:t>
            </w:r>
          </w:p>
        </w:tc>
        <w:tc>
          <w:tcPr>
            <w:tcW w:w="1360" w:type="dxa"/>
            <w:vAlign w:val="bottom"/>
            <w:shd w:val="clear" w:color="auto" w:fill="DCE2EF"/>
          </w:tcPr>
          <w:p>
            <w:pPr>
              <w:jc w:val="right"/>
              <w:ind w:right="190"/>
              <w:spacing w:after="0" w:line="202" w:lineRule="exact"/>
              <w:rPr>
                <w:sz w:val="20"/>
                <w:szCs w:val="20"/>
                <w:color w:val="auto"/>
              </w:rPr>
            </w:pPr>
            <w:r>
              <w:rPr>
                <w:rFonts w:ascii="Arial" w:cs="Arial" w:eastAsia="Arial" w:hAnsi="Arial"/>
                <w:sz w:val="18"/>
                <w:szCs w:val="18"/>
                <w:color w:val="auto"/>
              </w:rPr>
              <w:t>001-08929</w:t>
            </w:r>
          </w:p>
        </w:tc>
        <w:tc>
          <w:tcPr>
            <w:tcW w:w="1020" w:type="dxa"/>
            <w:vAlign w:val="bottom"/>
            <w:shd w:val="clear" w:color="auto" w:fill="DCE2EF"/>
          </w:tcPr>
          <w:p>
            <w:pPr>
              <w:jc w:val="center"/>
              <w:spacing w:after="0" w:line="202" w:lineRule="exact"/>
              <w:rPr>
                <w:sz w:val="20"/>
                <w:szCs w:val="20"/>
                <w:color w:val="auto"/>
              </w:rPr>
            </w:pPr>
            <w:r>
              <w:rPr>
                <w:rFonts w:ascii="Arial" w:cs="Arial" w:eastAsia="Arial" w:hAnsi="Arial"/>
                <w:sz w:val="18"/>
                <w:szCs w:val="18"/>
                <w:color w:val="auto"/>
              </w:rPr>
              <w:t>10.5</w:t>
            </w:r>
          </w:p>
        </w:tc>
        <w:tc>
          <w:tcPr>
            <w:tcW w:w="2180" w:type="dxa"/>
            <w:vAlign w:val="bottom"/>
            <w:shd w:val="clear" w:color="auto" w:fill="DCE2EF"/>
          </w:tcPr>
          <w:p>
            <w:pPr>
              <w:jc w:val="center"/>
              <w:spacing w:after="0" w:line="202" w:lineRule="exact"/>
              <w:rPr>
                <w:sz w:val="20"/>
                <w:szCs w:val="20"/>
                <w:color w:val="auto"/>
              </w:rPr>
            </w:pPr>
            <w:r>
              <w:rPr>
                <w:rFonts w:ascii="Arial" w:cs="Arial" w:eastAsia="Arial" w:hAnsi="Arial"/>
                <w:sz w:val="18"/>
                <w:szCs w:val="18"/>
                <w:color w:val="auto"/>
                <w:w w:val="99"/>
              </w:rPr>
              <w:t>September 8, 2008</w:t>
            </w:r>
          </w:p>
        </w:tc>
      </w:tr>
      <w:tr>
        <w:trPr>
          <w:trHeight w:val="183"/>
        </w:trPr>
        <w:tc>
          <w:tcPr>
            <w:tcW w:w="1300" w:type="dxa"/>
            <w:vAlign w:val="bottom"/>
            <w:tcBorders>
              <w:top w:val="single" w:sz="8" w:color="DCE2EF"/>
            </w:tcBorders>
            <w:shd w:val="clear" w:color="auto" w:fill="DCE2EF"/>
          </w:tcPr>
          <w:p>
            <w:pPr>
              <w:spacing w:after="0"/>
              <w:rPr>
                <w:sz w:val="15"/>
                <w:szCs w:val="15"/>
                <w:color w:val="auto"/>
              </w:rPr>
            </w:pPr>
          </w:p>
        </w:tc>
        <w:tc>
          <w:tcPr>
            <w:tcW w:w="4320" w:type="dxa"/>
            <w:vAlign w:val="bottom"/>
            <w:tcBorders>
              <w:top w:val="single" w:sz="8" w:color="0000FF"/>
            </w:tcBorders>
            <w:gridSpan w:val="23"/>
            <w:shd w:val="clear" w:color="auto" w:fill="DCE2EF"/>
          </w:tcPr>
          <w:p>
            <w:pPr>
              <w:spacing w:after="0" w:line="182" w:lineRule="exact"/>
              <w:rPr>
                <w:rFonts w:ascii="Arial" w:cs="Arial" w:eastAsia="Arial" w:hAnsi="Arial"/>
                <w:sz w:val="18"/>
                <w:szCs w:val="18"/>
                <w:color w:val="0000FF"/>
              </w:rPr>
            </w:pPr>
            <w:hyperlink r:id="rId118">
              <w:r>
                <w:rPr>
                  <w:rFonts w:ascii="Arial" w:cs="Arial" w:eastAsia="Arial" w:hAnsi="Arial"/>
                  <w:sz w:val="18"/>
                  <w:szCs w:val="18"/>
                  <w:color w:val="0000FF"/>
                </w:rPr>
                <w:t>June 3, 2008</w:t>
              </w:r>
            </w:hyperlink>
          </w:p>
        </w:tc>
        <w:tc>
          <w:tcPr>
            <w:tcW w:w="20" w:type="dxa"/>
            <w:vAlign w:val="bottom"/>
            <w:tcBorders>
              <w:top w:val="single" w:sz="8" w:color="DCE2EF"/>
            </w:tcBorders>
            <w:shd w:val="clear" w:color="auto" w:fill="DCE2EF"/>
          </w:tcPr>
          <w:p>
            <w:pPr>
              <w:spacing w:after="0"/>
              <w:rPr>
                <w:sz w:val="15"/>
                <w:szCs w:val="15"/>
                <w:color w:val="auto"/>
              </w:rPr>
            </w:pPr>
          </w:p>
        </w:tc>
        <w:tc>
          <w:tcPr>
            <w:tcW w:w="40" w:type="dxa"/>
            <w:vAlign w:val="bottom"/>
            <w:tcBorders>
              <w:top w:val="single" w:sz="8" w:color="DCE2EF"/>
            </w:tcBorders>
            <w:gridSpan w:val="2"/>
            <w:shd w:val="clear" w:color="auto" w:fill="DCE2EF"/>
          </w:tcPr>
          <w:p>
            <w:pPr>
              <w:spacing w:after="0"/>
              <w:rPr>
                <w:sz w:val="15"/>
                <w:szCs w:val="15"/>
                <w:color w:val="auto"/>
              </w:rPr>
            </w:pPr>
          </w:p>
        </w:tc>
        <w:tc>
          <w:tcPr>
            <w:tcW w:w="20" w:type="dxa"/>
            <w:vAlign w:val="bottom"/>
            <w:tcBorders>
              <w:top w:val="single" w:sz="8" w:color="DCE2EF"/>
            </w:tcBorders>
            <w:shd w:val="clear" w:color="auto" w:fill="DCE2EF"/>
          </w:tcPr>
          <w:p>
            <w:pPr>
              <w:spacing w:after="0"/>
              <w:rPr>
                <w:sz w:val="15"/>
                <w:szCs w:val="15"/>
                <w:color w:val="auto"/>
              </w:rPr>
            </w:pPr>
          </w:p>
        </w:tc>
        <w:tc>
          <w:tcPr>
            <w:tcW w:w="20" w:type="dxa"/>
            <w:vAlign w:val="bottom"/>
            <w:tcBorders>
              <w:top w:val="single" w:sz="8" w:color="DCE2EF"/>
            </w:tcBorders>
            <w:shd w:val="clear" w:color="auto" w:fill="DCE2EF"/>
          </w:tcPr>
          <w:p>
            <w:pPr>
              <w:spacing w:after="0"/>
              <w:rPr>
                <w:sz w:val="15"/>
                <w:szCs w:val="15"/>
                <w:color w:val="auto"/>
              </w:rPr>
            </w:pPr>
          </w:p>
        </w:tc>
        <w:tc>
          <w:tcPr>
            <w:tcW w:w="20" w:type="dxa"/>
            <w:vAlign w:val="bottom"/>
            <w:tcBorders>
              <w:top w:val="single" w:sz="8" w:color="DCE2EF"/>
            </w:tcBorders>
            <w:shd w:val="clear" w:color="auto" w:fill="DCE2EF"/>
          </w:tcPr>
          <w:p>
            <w:pPr>
              <w:spacing w:after="0"/>
              <w:rPr>
                <w:sz w:val="15"/>
                <w:szCs w:val="15"/>
                <w:color w:val="auto"/>
              </w:rPr>
            </w:pPr>
          </w:p>
        </w:tc>
        <w:tc>
          <w:tcPr>
            <w:tcW w:w="20" w:type="dxa"/>
            <w:vAlign w:val="bottom"/>
            <w:tcBorders>
              <w:top w:val="single" w:sz="8" w:color="DCE2EF"/>
            </w:tcBorders>
            <w:shd w:val="clear" w:color="auto" w:fill="DCE2EF"/>
          </w:tcPr>
          <w:p>
            <w:pPr>
              <w:spacing w:after="0"/>
              <w:rPr>
                <w:sz w:val="15"/>
                <w:szCs w:val="15"/>
                <w:color w:val="auto"/>
              </w:rPr>
            </w:pPr>
          </w:p>
        </w:tc>
        <w:tc>
          <w:tcPr>
            <w:tcW w:w="20" w:type="dxa"/>
            <w:vAlign w:val="bottom"/>
            <w:tcBorders>
              <w:top w:val="single" w:sz="8" w:color="DCE2EF"/>
            </w:tcBorders>
            <w:shd w:val="clear" w:color="auto" w:fill="DCE2EF"/>
          </w:tcPr>
          <w:p>
            <w:pPr>
              <w:spacing w:after="0"/>
              <w:rPr>
                <w:sz w:val="15"/>
                <w:szCs w:val="15"/>
                <w:color w:val="auto"/>
              </w:rPr>
            </w:pPr>
          </w:p>
        </w:tc>
        <w:tc>
          <w:tcPr>
            <w:tcW w:w="20" w:type="dxa"/>
            <w:vAlign w:val="bottom"/>
            <w:tcBorders>
              <w:top w:val="single" w:sz="8" w:color="DCE2EF"/>
            </w:tcBorders>
            <w:shd w:val="clear" w:color="auto" w:fill="DCE2EF"/>
          </w:tcPr>
          <w:p>
            <w:pPr>
              <w:spacing w:after="0"/>
              <w:rPr>
                <w:sz w:val="15"/>
                <w:szCs w:val="15"/>
                <w:color w:val="auto"/>
              </w:rPr>
            </w:pPr>
          </w:p>
        </w:tc>
        <w:tc>
          <w:tcPr>
            <w:tcW w:w="20" w:type="dxa"/>
            <w:vAlign w:val="bottom"/>
            <w:tcBorders>
              <w:top w:val="single" w:sz="8" w:color="DCE2EF"/>
            </w:tcBorders>
            <w:shd w:val="clear" w:color="auto" w:fill="DCE2EF"/>
          </w:tcPr>
          <w:p>
            <w:pPr>
              <w:spacing w:after="0"/>
              <w:rPr>
                <w:sz w:val="15"/>
                <w:szCs w:val="15"/>
                <w:color w:val="auto"/>
              </w:rPr>
            </w:pPr>
          </w:p>
        </w:tc>
        <w:tc>
          <w:tcPr>
            <w:tcW w:w="60" w:type="dxa"/>
            <w:vAlign w:val="bottom"/>
            <w:tcBorders>
              <w:top w:val="single" w:sz="8" w:color="DCE2EF"/>
            </w:tcBorders>
            <w:shd w:val="clear" w:color="auto" w:fill="DCE2EF"/>
          </w:tcPr>
          <w:p>
            <w:pPr>
              <w:spacing w:after="0"/>
              <w:rPr>
                <w:sz w:val="15"/>
                <w:szCs w:val="15"/>
                <w:color w:val="auto"/>
              </w:rPr>
            </w:pPr>
          </w:p>
        </w:tc>
        <w:tc>
          <w:tcPr>
            <w:tcW w:w="40" w:type="dxa"/>
            <w:vAlign w:val="bottom"/>
            <w:tcBorders>
              <w:top w:val="single" w:sz="8" w:color="DCE2EF"/>
            </w:tcBorders>
            <w:shd w:val="clear" w:color="auto" w:fill="DCE2EF"/>
          </w:tcPr>
          <w:p>
            <w:pPr>
              <w:spacing w:after="0"/>
              <w:rPr>
                <w:sz w:val="15"/>
                <w:szCs w:val="15"/>
                <w:color w:val="auto"/>
              </w:rPr>
            </w:pPr>
          </w:p>
        </w:tc>
        <w:tc>
          <w:tcPr>
            <w:tcW w:w="20" w:type="dxa"/>
            <w:vAlign w:val="bottom"/>
            <w:tcBorders>
              <w:top w:val="single" w:sz="8" w:color="DCE2EF"/>
            </w:tcBorders>
            <w:shd w:val="clear" w:color="auto" w:fill="DCE2EF"/>
          </w:tcPr>
          <w:p>
            <w:pPr>
              <w:spacing w:after="0"/>
              <w:rPr>
                <w:sz w:val="15"/>
                <w:szCs w:val="15"/>
                <w:color w:val="auto"/>
              </w:rPr>
            </w:pPr>
          </w:p>
        </w:tc>
        <w:tc>
          <w:tcPr>
            <w:tcW w:w="140" w:type="dxa"/>
            <w:vAlign w:val="bottom"/>
            <w:tcBorders>
              <w:top w:val="single" w:sz="8" w:color="DCE2EF"/>
            </w:tcBorders>
            <w:shd w:val="clear" w:color="auto" w:fill="DCE2EF"/>
          </w:tcPr>
          <w:p>
            <w:pPr>
              <w:spacing w:after="0"/>
              <w:rPr>
                <w:sz w:val="15"/>
                <w:szCs w:val="15"/>
                <w:color w:val="auto"/>
              </w:rPr>
            </w:pPr>
          </w:p>
        </w:tc>
        <w:tc>
          <w:tcPr>
            <w:tcW w:w="780" w:type="dxa"/>
            <w:vAlign w:val="bottom"/>
            <w:tcBorders>
              <w:top w:val="single" w:sz="8" w:color="DCE2EF"/>
            </w:tcBorders>
            <w:shd w:val="clear" w:color="auto" w:fill="DCE2EF"/>
          </w:tcPr>
          <w:p>
            <w:pPr>
              <w:spacing w:after="0"/>
              <w:rPr>
                <w:sz w:val="15"/>
                <w:szCs w:val="15"/>
                <w:color w:val="auto"/>
              </w:rPr>
            </w:pPr>
          </w:p>
        </w:tc>
        <w:tc>
          <w:tcPr>
            <w:tcW w:w="1360" w:type="dxa"/>
            <w:vAlign w:val="bottom"/>
            <w:tcBorders>
              <w:top w:val="single" w:sz="8" w:color="DCE2EF"/>
            </w:tcBorders>
            <w:shd w:val="clear" w:color="auto" w:fill="DCE2EF"/>
          </w:tcPr>
          <w:p>
            <w:pPr>
              <w:spacing w:after="0"/>
              <w:rPr>
                <w:sz w:val="15"/>
                <w:szCs w:val="15"/>
                <w:color w:val="auto"/>
              </w:rPr>
            </w:pPr>
          </w:p>
        </w:tc>
        <w:tc>
          <w:tcPr>
            <w:tcW w:w="1020" w:type="dxa"/>
            <w:vAlign w:val="bottom"/>
            <w:tcBorders>
              <w:top w:val="single" w:sz="8" w:color="DCE2EF"/>
            </w:tcBorders>
            <w:shd w:val="clear" w:color="auto" w:fill="DCE2EF"/>
          </w:tcPr>
          <w:p>
            <w:pPr>
              <w:spacing w:after="0"/>
              <w:rPr>
                <w:sz w:val="15"/>
                <w:szCs w:val="15"/>
                <w:color w:val="auto"/>
              </w:rPr>
            </w:pPr>
          </w:p>
        </w:tc>
        <w:tc>
          <w:tcPr>
            <w:tcW w:w="2180" w:type="dxa"/>
            <w:vAlign w:val="bottom"/>
            <w:tcBorders>
              <w:top w:val="single" w:sz="8" w:color="DCE2EF"/>
            </w:tcBorders>
            <w:shd w:val="clear" w:color="auto" w:fill="DCE2EF"/>
          </w:tcPr>
          <w:p>
            <w:pPr>
              <w:spacing w:after="0"/>
              <w:rPr>
                <w:sz w:val="15"/>
                <w:szCs w:val="15"/>
                <w:color w:val="auto"/>
              </w:rPr>
            </w:pPr>
          </w:p>
        </w:tc>
      </w:tr>
      <w:tr>
        <w:trPr>
          <w:trHeight w:val="34"/>
        </w:trPr>
        <w:tc>
          <w:tcPr>
            <w:tcW w:w="1300" w:type="dxa"/>
            <w:vAlign w:val="bottom"/>
            <w:tcBorders>
              <w:top w:val="single" w:sz="8" w:color="DCE2EF"/>
            </w:tcBorders>
            <w:shd w:val="clear" w:color="auto" w:fill="DCE2EF"/>
          </w:tcPr>
          <w:p>
            <w:pPr>
              <w:spacing w:after="0"/>
              <w:rPr>
                <w:sz w:val="2"/>
                <w:szCs w:val="2"/>
                <w:color w:val="auto"/>
              </w:rPr>
            </w:pPr>
          </w:p>
        </w:tc>
        <w:tc>
          <w:tcPr>
            <w:tcW w:w="360" w:type="dxa"/>
            <w:vAlign w:val="bottom"/>
            <w:tcBorders>
              <w:top w:val="single" w:sz="8" w:color="0000FF"/>
            </w:tcBorders>
            <w:shd w:val="clear" w:color="auto" w:fill="DCE2EF"/>
          </w:tcPr>
          <w:p>
            <w:pPr>
              <w:spacing w:after="0"/>
              <w:rPr>
                <w:sz w:val="2"/>
                <w:szCs w:val="2"/>
                <w:color w:val="auto"/>
              </w:rPr>
            </w:pPr>
          </w:p>
        </w:tc>
        <w:tc>
          <w:tcPr>
            <w:tcW w:w="360" w:type="dxa"/>
            <w:vAlign w:val="bottom"/>
            <w:tcBorders>
              <w:top w:val="single" w:sz="8" w:color="0000FF"/>
            </w:tcBorders>
            <w:shd w:val="clear" w:color="auto" w:fill="DCE2EF"/>
          </w:tcPr>
          <w:p>
            <w:pPr>
              <w:spacing w:after="0"/>
              <w:rPr>
                <w:sz w:val="2"/>
                <w:szCs w:val="2"/>
                <w:color w:val="auto"/>
              </w:rPr>
            </w:pPr>
          </w:p>
        </w:tc>
        <w:tc>
          <w:tcPr>
            <w:tcW w:w="80" w:type="dxa"/>
            <w:vAlign w:val="bottom"/>
            <w:tcBorders>
              <w:top w:val="single" w:sz="8" w:color="0000FF"/>
            </w:tcBorders>
            <w:shd w:val="clear" w:color="auto" w:fill="DCE2EF"/>
          </w:tcPr>
          <w:p>
            <w:pPr>
              <w:spacing w:after="0"/>
              <w:rPr>
                <w:sz w:val="2"/>
                <w:szCs w:val="2"/>
                <w:color w:val="auto"/>
              </w:rPr>
            </w:pPr>
          </w:p>
        </w:tc>
        <w:tc>
          <w:tcPr>
            <w:tcW w:w="240" w:type="dxa"/>
            <w:vAlign w:val="bottom"/>
            <w:tcBorders>
              <w:top w:val="single" w:sz="8" w:color="0000FF"/>
            </w:tcBorders>
            <w:shd w:val="clear" w:color="auto" w:fill="DCE2EF"/>
          </w:tcPr>
          <w:p>
            <w:pPr>
              <w:spacing w:after="0"/>
              <w:rPr>
                <w:sz w:val="2"/>
                <w:szCs w:val="2"/>
                <w:color w:val="auto"/>
              </w:rPr>
            </w:pPr>
          </w:p>
        </w:tc>
        <w:tc>
          <w:tcPr>
            <w:tcW w:w="20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100" w:type="dxa"/>
            <w:vAlign w:val="bottom"/>
            <w:tcBorders>
              <w:top w:val="single" w:sz="8" w:color="DCE2EF"/>
            </w:tcBorders>
            <w:shd w:val="clear" w:color="auto" w:fill="DCE2EF"/>
          </w:tcPr>
          <w:p>
            <w:pPr>
              <w:spacing w:after="0"/>
              <w:rPr>
                <w:sz w:val="2"/>
                <w:szCs w:val="2"/>
                <w:color w:val="auto"/>
              </w:rPr>
            </w:pPr>
          </w:p>
        </w:tc>
        <w:tc>
          <w:tcPr>
            <w:tcW w:w="2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40" w:type="dxa"/>
            <w:vAlign w:val="bottom"/>
            <w:tcBorders>
              <w:top w:val="single" w:sz="8" w:color="DCE2EF"/>
            </w:tcBorders>
            <w:shd w:val="clear" w:color="auto" w:fill="DCE2EF"/>
          </w:tcPr>
          <w:p>
            <w:pPr>
              <w:spacing w:after="0"/>
              <w:rPr>
                <w:sz w:val="2"/>
                <w:szCs w:val="2"/>
                <w:color w:val="auto"/>
              </w:rPr>
            </w:pPr>
          </w:p>
        </w:tc>
        <w:tc>
          <w:tcPr>
            <w:tcW w:w="80" w:type="dxa"/>
            <w:vAlign w:val="bottom"/>
            <w:tcBorders>
              <w:top w:val="single" w:sz="8" w:color="DCE2EF"/>
            </w:tcBorders>
            <w:shd w:val="clear" w:color="auto" w:fill="DCE2EF"/>
          </w:tcPr>
          <w:p>
            <w:pPr>
              <w:spacing w:after="0"/>
              <w:rPr>
                <w:sz w:val="2"/>
                <w:szCs w:val="2"/>
                <w:color w:val="auto"/>
              </w:rPr>
            </w:pPr>
          </w:p>
        </w:tc>
        <w:tc>
          <w:tcPr>
            <w:tcW w:w="180" w:type="dxa"/>
            <w:vAlign w:val="bottom"/>
            <w:tcBorders>
              <w:top w:val="single" w:sz="8" w:color="DCE2EF"/>
            </w:tcBorders>
            <w:shd w:val="clear" w:color="auto" w:fill="DCE2EF"/>
          </w:tcPr>
          <w:p>
            <w:pPr>
              <w:spacing w:after="0"/>
              <w:rPr>
                <w:sz w:val="2"/>
                <w:szCs w:val="2"/>
                <w:color w:val="auto"/>
              </w:rPr>
            </w:pPr>
          </w:p>
        </w:tc>
        <w:tc>
          <w:tcPr>
            <w:tcW w:w="160" w:type="dxa"/>
            <w:vAlign w:val="bottom"/>
            <w:tcBorders>
              <w:top w:val="single" w:sz="8" w:color="DCE2EF"/>
            </w:tcBorders>
            <w:shd w:val="clear" w:color="auto" w:fill="DCE2EF"/>
          </w:tcPr>
          <w:p>
            <w:pPr>
              <w:spacing w:after="0"/>
              <w:rPr>
                <w:sz w:val="2"/>
                <w:szCs w:val="2"/>
                <w:color w:val="auto"/>
              </w:rPr>
            </w:pPr>
          </w:p>
        </w:tc>
        <w:tc>
          <w:tcPr>
            <w:tcW w:w="100" w:type="dxa"/>
            <w:vAlign w:val="bottom"/>
            <w:tcBorders>
              <w:top w:val="single" w:sz="8" w:color="DCE2EF"/>
            </w:tcBorders>
            <w:shd w:val="clear" w:color="auto" w:fill="DCE2EF"/>
          </w:tcPr>
          <w:p>
            <w:pPr>
              <w:spacing w:after="0"/>
              <w:rPr>
                <w:sz w:val="2"/>
                <w:szCs w:val="2"/>
                <w:color w:val="auto"/>
              </w:rPr>
            </w:pPr>
          </w:p>
        </w:tc>
        <w:tc>
          <w:tcPr>
            <w:tcW w:w="940" w:type="dxa"/>
            <w:vAlign w:val="bottom"/>
            <w:tcBorders>
              <w:top w:val="single" w:sz="8" w:color="DCE2EF"/>
            </w:tcBorders>
            <w:shd w:val="clear" w:color="auto" w:fill="DCE2EF"/>
          </w:tcPr>
          <w:p>
            <w:pPr>
              <w:spacing w:after="0"/>
              <w:rPr>
                <w:sz w:val="2"/>
                <w:szCs w:val="2"/>
                <w:color w:val="auto"/>
              </w:rPr>
            </w:pPr>
          </w:p>
        </w:tc>
        <w:tc>
          <w:tcPr>
            <w:tcW w:w="480" w:type="dxa"/>
            <w:vAlign w:val="bottom"/>
            <w:tcBorders>
              <w:top w:val="single" w:sz="8" w:color="DCE2EF"/>
            </w:tcBorders>
            <w:shd w:val="clear" w:color="auto" w:fill="DCE2EF"/>
          </w:tcPr>
          <w:p>
            <w:pPr>
              <w:spacing w:after="0"/>
              <w:rPr>
                <w:sz w:val="2"/>
                <w:szCs w:val="2"/>
                <w:color w:val="auto"/>
              </w:rPr>
            </w:pPr>
          </w:p>
        </w:tc>
        <w:tc>
          <w:tcPr>
            <w:tcW w:w="80" w:type="dxa"/>
            <w:vAlign w:val="bottom"/>
            <w:tcBorders>
              <w:top w:val="single" w:sz="8" w:color="DCE2EF"/>
            </w:tcBorders>
            <w:shd w:val="clear" w:color="auto" w:fill="DCE2EF"/>
          </w:tcPr>
          <w:p>
            <w:pPr>
              <w:spacing w:after="0"/>
              <w:rPr>
                <w:sz w:val="2"/>
                <w:szCs w:val="2"/>
                <w:color w:val="auto"/>
              </w:rPr>
            </w:pPr>
          </w:p>
        </w:tc>
        <w:tc>
          <w:tcPr>
            <w:tcW w:w="120" w:type="dxa"/>
            <w:vAlign w:val="bottom"/>
            <w:tcBorders>
              <w:top w:val="single" w:sz="8" w:color="DCE2EF"/>
              <w:right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180" w:type="dxa"/>
            <w:vAlign w:val="bottom"/>
            <w:tcBorders>
              <w:top w:val="single" w:sz="8" w:color="DCE2EF"/>
            </w:tcBorders>
            <w:shd w:val="clear" w:color="auto" w:fill="DCE2EF"/>
          </w:tcPr>
          <w:p>
            <w:pPr>
              <w:spacing w:after="0"/>
              <w:rPr>
                <w:sz w:val="2"/>
                <w:szCs w:val="2"/>
                <w:color w:val="auto"/>
              </w:rPr>
            </w:pPr>
          </w:p>
        </w:tc>
        <w:tc>
          <w:tcPr>
            <w:tcW w:w="6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6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140" w:type="dxa"/>
            <w:vAlign w:val="bottom"/>
            <w:tcBorders>
              <w:top w:val="single" w:sz="8" w:color="DCE2EF"/>
            </w:tcBorders>
            <w:shd w:val="clear" w:color="auto" w:fill="DCE2EF"/>
          </w:tcPr>
          <w:p>
            <w:pPr>
              <w:spacing w:after="0"/>
              <w:rPr>
                <w:sz w:val="2"/>
                <w:szCs w:val="2"/>
                <w:color w:val="auto"/>
              </w:rPr>
            </w:pPr>
          </w:p>
        </w:tc>
        <w:tc>
          <w:tcPr>
            <w:tcW w:w="780" w:type="dxa"/>
            <w:vAlign w:val="bottom"/>
            <w:tcBorders>
              <w:top w:val="single" w:sz="8" w:color="DCE2EF"/>
            </w:tcBorders>
            <w:shd w:val="clear" w:color="auto" w:fill="DCE2EF"/>
          </w:tcPr>
          <w:p>
            <w:pPr>
              <w:spacing w:after="0"/>
              <w:rPr>
                <w:sz w:val="2"/>
                <w:szCs w:val="2"/>
                <w:color w:val="auto"/>
              </w:rPr>
            </w:pPr>
          </w:p>
        </w:tc>
        <w:tc>
          <w:tcPr>
            <w:tcW w:w="1360" w:type="dxa"/>
            <w:vAlign w:val="bottom"/>
            <w:tcBorders>
              <w:top w:val="single" w:sz="8" w:color="DCE2EF"/>
            </w:tcBorders>
            <w:shd w:val="clear" w:color="auto" w:fill="DCE2EF"/>
          </w:tcPr>
          <w:p>
            <w:pPr>
              <w:spacing w:after="0"/>
              <w:rPr>
                <w:sz w:val="2"/>
                <w:szCs w:val="2"/>
                <w:color w:val="auto"/>
              </w:rPr>
            </w:pPr>
          </w:p>
        </w:tc>
        <w:tc>
          <w:tcPr>
            <w:tcW w:w="1020" w:type="dxa"/>
            <w:vAlign w:val="bottom"/>
            <w:tcBorders>
              <w:top w:val="single" w:sz="8" w:color="DCE2EF"/>
            </w:tcBorders>
            <w:shd w:val="clear" w:color="auto" w:fill="DCE2EF"/>
          </w:tcPr>
          <w:p>
            <w:pPr>
              <w:spacing w:after="0"/>
              <w:rPr>
                <w:sz w:val="2"/>
                <w:szCs w:val="2"/>
                <w:color w:val="auto"/>
              </w:rPr>
            </w:pPr>
          </w:p>
        </w:tc>
        <w:tc>
          <w:tcPr>
            <w:tcW w:w="2180" w:type="dxa"/>
            <w:vAlign w:val="bottom"/>
            <w:tcBorders>
              <w:top w:val="single" w:sz="8" w:color="DCE2EF"/>
            </w:tcBorders>
            <w:shd w:val="clear" w:color="auto" w:fill="DCE2EF"/>
          </w:tcPr>
          <w:p>
            <w:pPr>
              <w:spacing w:after="0"/>
              <w:rPr>
                <w:sz w:val="2"/>
                <w:szCs w:val="2"/>
                <w:color w:val="auto"/>
              </w:rPr>
            </w:pPr>
          </w:p>
        </w:tc>
      </w:tr>
      <w:tr>
        <w:trPr>
          <w:trHeight w:val="203"/>
        </w:trPr>
        <w:tc>
          <w:tcPr>
            <w:tcW w:w="1300" w:type="dxa"/>
            <w:vAlign w:val="bottom"/>
          </w:tcPr>
          <w:p>
            <w:pPr>
              <w:ind w:left="40"/>
              <w:spacing w:after="0" w:line="202" w:lineRule="exact"/>
              <w:rPr>
                <w:sz w:val="20"/>
                <w:szCs w:val="20"/>
                <w:color w:val="auto"/>
              </w:rPr>
            </w:pPr>
            <w:r>
              <w:rPr>
                <w:rFonts w:ascii="Arial" w:cs="Arial" w:eastAsia="Arial" w:hAnsi="Arial"/>
                <w:sz w:val="18"/>
                <w:szCs w:val="18"/>
                <w:color w:val="auto"/>
              </w:rPr>
              <w:t>10.24*</w:t>
            </w:r>
          </w:p>
        </w:tc>
        <w:tc>
          <w:tcPr>
            <w:tcW w:w="4780" w:type="dxa"/>
            <w:vAlign w:val="bottom"/>
            <w:gridSpan w:val="37"/>
          </w:tcPr>
          <w:p>
            <w:pPr>
              <w:spacing w:after="0" w:line="202" w:lineRule="exact"/>
              <w:rPr>
                <w:rFonts w:ascii="Arial" w:cs="Arial" w:eastAsia="Arial" w:hAnsi="Arial"/>
                <w:sz w:val="18"/>
                <w:szCs w:val="18"/>
                <w:color w:val="0000FF"/>
              </w:rPr>
            </w:pPr>
            <w:hyperlink r:id="rId119">
              <w:r>
                <w:rPr>
                  <w:rFonts w:ascii="Arial" w:cs="Arial" w:eastAsia="Arial" w:hAnsi="Arial"/>
                  <w:sz w:val="18"/>
                  <w:szCs w:val="18"/>
                  <w:color w:val="0000FF"/>
                </w:rPr>
                <w:t>Executive Severance Pay Policy, as amended and</w:t>
              </w:r>
            </w:hyperlink>
          </w:p>
        </w:tc>
        <w:tc>
          <w:tcPr>
            <w:tcW w:w="780" w:type="dxa"/>
            <w:vAlign w:val="bottom"/>
          </w:tcPr>
          <w:p>
            <w:pPr>
              <w:ind w:left="140"/>
              <w:spacing w:after="0" w:line="202" w:lineRule="exact"/>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rPr>
              <w:t>10.1</w:t>
            </w:r>
          </w:p>
        </w:tc>
        <w:tc>
          <w:tcPr>
            <w:tcW w:w="2180" w:type="dxa"/>
            <w:vAlign w:val="bottom"/>
          </w:tcPr>
          <w:p>
            <w:pPr>
              <w:jc w:val="center"/>
              <w:spacing w:after="0" w:line="202" w:lineRule="exact"/>
              <w:rPr>
                <w:sz w:val="20"/>
                <w:szCs w:val="20"/>
                <w:color w:val="auto"/>
              </w:rPr>
            </w:pPr>
            <w:r>
              <w:rPr>
                <w:rFonts w:ascii="Arial" w:cs="Arial" w:eastAsia="Arial" w:hAnsi="Arial"/>
                <w:sz w:val="18"/>
                <w:szCs w:val="18"/>
                <w:color w:val="auto"/>
                <w:w w:val="99"/>
              </w:rPr>
              <w:t>March 10, 2011</w:t>
            </w:r>
          </w:p>
        </w:tc>
      </w:tr>
      <w:tr>
        <w:trPr>
          <w:trHeight w:val="183"/>
        </w:trPr>
        <w:tc>
          <w:tcPr>
            <w:tcW w:w="1300" w:type="dxa"/>
            <w:vAlign w:val="bottom"/>
          </w:tcPr>
          <w:p>
            <w:pPr>
              <w:spacing w:after="0"/>
              <w:rPr>
                <w:sz w:val="15"/>
                <w:szCs w:val="15"/>
                <w:color w:val="auto"/>
              </w:rPr>
            </w:pPr>
          </w:p>
        </w:tc>
        <w:tc>
          <w:tcPr>
            <w:tcW w:w="4020" w:type="dxa"/>
            <w:vAlign w:val="bottom"/>
            <w:tcBorders>
              <w:top w:val="single" w:sz="8" w:color="0000FF"/>
            </w:tcBorders>
            <w:gridSpan w:val="19"/>
          </w:tcPr>
          <w:p>
            <w:pPr>
              <w:spacing w:after="0" w:line="182" w:lineRule="exact"/>
              <w:rPr>
                <w:rFonts w:ascii="Arial" w:cs="Arial" w:eastAsia="Arial" w:hAnsi="Arial"/>
                <w:sz w:val="18"/>
                <w:szCs w:val="18"/>
                <w:color w:val="0000FF"/>
              </w:rPr>
            </w:pPr>
            <w:hyperlink r:id="rId119">
              <w:r>
                <w:rPr>
                  <w:rFonts w:ascii="Arial" w:cs="Arial" w:eastAsia="Arial" w:hAnsi="Arial"/>
                  <w:sz w:val="18"/>
                  <w:szCs w:val="18"/>
                  <w:color w:val="0000FF"/>
                </w:rPr>
                <w:t>restated March 7, 2011</w:t>
              </w:r>
            </w:hyperlink>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34"/>
        </w:trPr>
        <w:tc>
          <w:tcPr>
            <w:tcW w:w="130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03"/>
        </w:trPr>
        <w:tc>
          <w:tcPr>
            <w:tcW w:w="1300" w:type="dxa"/>
            <w:vAlign w:val="bottom"/>
            <w:tcBorders>
              <w:bottom w:val="single" w:sz="8" w:color="DCE2EF"/>
            </w:tcBorders>
            <w:shd w:val="clear" w:color="auto" w:fill="DCE2EF"/>
          </w:tcPr>
          <w:p>
            <w:pPr>
              <w:ind w:left="40"/>
              <w:spacing w:after="0" w:line="202" w:lineRule="exact"/>
              <w:rPr>
                <w:sz w:val="20"/>
                <w:szCs w:val="20"/>
                <w:color w:val="auto"/>
              </w:rPr>
            </w:pPr>
            <w:r>
              <w:rPr>
                <w:rFonts w:ascii="Arial" w:cs="Arial" w:eastAsia="Arial" w:hAnsi="Arial"/>
                <w:sz w:val="18"/>
                <w:szCs w:val="18"/>
                <w:color w:val="auto"/>
              </w:rPr>
              <w:t>10.25*</w:t>
            </w:r>
          </w:p>
        </w:tc>
        <w:tc>
          <w:tcPr>
            <w:tcW w:w="3780" w:type="dxa"/>
            <w:vAlign w:val="bottom"/>
            <w:tcBorders>
              <w:bottom w:val="single" w:sz="8" w:color="0000FF"/>
            </w:tcBorders>
            <w:gridSpan w:val="16"/>
            <w:shd w:val="clear" w:color="auto" w:fill="DCE2EF"/>
          </w:tcPr>
          <w:p>
            <w:pPr>
              <w:spacing w:after="0" w:line="202" w:lineRule="exact"/>
              <w:rPr>
                <w:rFonts w:ascii="Arial" w:cs="Arial" w:eastAsia="Arial" w:hAnsi="Arial"/>
                <w:sz w:val="18"/>
                <w:szCs w:val="18"/>
                <w:color w:val="0000FF"/>
                <w:w w:val="99"/>
              </w:rPr>
            </w:pPr>
            <w:hyperlink r:id="rId120">
              <w:r>
                <w:rPr>
                  <w:rFonts w:ascii="Arial" w:cs="Arial" w:eastAsia="Arial" w:hAnsi="Arial"/>
                  <w:sz w:val="18"/>
                  <w:szCs w:val="18"/>
                  <w:color w:val="0000FF"/>
                  <w:w w:val="99"/>
                </w:rPr>
                <w:t>Amended and Restated Executive Employment</w:t>
              </w:r>
            </w:hyperlink>
          </w:p>
        </w:tc>
        <w:tc>
          <w:tcPr>
            <w:tcW w:w="1000" w:type="dxa"/>
            <w:vAlign w:val="bottom"/>
            <w:tcBorders>
              <w:bottom w:val="single" w:sz="8" w:color="DCE2EF"/>
            </w:tcBorders>
            <w:gridSpan w:val="21"/>
            <w:shd w:val="clear" w:color="auto" w:fill="DCE2EF"/>
          </w:tcPr>
          <w:p>
            <w:pPr>
              <w:spacing w:after="0"/>
              <w:rPr>
                <w:sz w:val="17"/>
                <w:szCs w:val="17"/>
                <w:color w:val="auto"/>
              </w:rPr>
            </w:pPr>
          </w:p>
        </w:tc>
        <w:tc>
          <w:tcPr>
            <w:tcW w:w="780" w:type="dxa"/>
            <w:vAlign w:val="bottom"/>
            <w:tcBorders>
              <w:bottom w:val="single" w:sz="8" w:color="DCE2EF"/>
            </w:tcBorders>
            <w:shd w:val="clear" w:color="auto" w:fill="DCE2EF"/>
          </w:tcPr>
          <w:p>
            <w:pPr>
              <w:ind w:left="160"/>
              <w:spacing w:after="0" w:line="202" w:lineRule="exact"/>
              <w:rPr>
                <w:sz w:val="20"/>
                <w:szCs w:val="20"/>
                <w:color w:val="auto"/>
              </w:rPr>
            </w:pPr>
            <w:r>
              <w:rPr>
                <w:rFonts w:ascii="Arial" w:cs="Arial" w:eastAsia="Arial" w:hAnsi="Arial"/>
                <w:sz w:val="18"/>
                <w:szCs w:val="18"/>
                <w:color w:val="auto"/>
              </w:rPr>
              <w:t>10-K</w:t>
            </w:r>
          </w:p>
        </w:tc>
        <w:tc>
          <w:tcPr>
            <w:tcW w:w="1360" w:type="dxa"/>
            <w:vAlign w:val="bottom"/>
            <w:tcBorders>
              <w:bottom w:val="single" w:sz="8" w:color="DCE2EF"/>
            </w:tcBorders>
            <w:shd w:val="clear" w:color="auto" w:fill="DCE2EF"/>
          </w:tcPr>
          <w:p>
            <w:pPr>
              <w:jc w:val="right"/>
              <w:ind w:right="190"/>
              <w:spacing w:after="0" w:line="202" w:lineRule="exact"/>
              <w:rPr>
                <w:sz w:val="20"/>
                <w:szCs w:val="20"/>
                <w:color w:val="auto"/>
              </w:rPr>
            </w:pPr>
            <w:r>
              <w:rPr>
                <w:rFonts w:ascii="Arial" w:cs="Arial" w:eastAsia="Arial" w:hAnsi="Arial"/>
                <w:sz w:val="18"/>
                <w:szCs w:val="18"/>
                <w:color w:val="auto"/>
              </w:rPr>
              <w:t>001-08929</w:t>
            </w:r>
          </w:p>
        </w:tc>
        <w:tc>
          <w:tcPr>
            <w:tcW w:w="1020" w:type="dxa"/>
            <w:vAlign w:val="bottom"/>
            <w:tcBorders>
              <w:bottom w:val="single" w:sz="8" w:color="DCE2EF"/>
            </w:tcBorders>
            <w:shd w:val="clear" w:color="auto" w:fill="DCE2EF"/>
          </w:tcPr>
          <w:p>
            <w:pPr>
              <w:jc w:val="center"/>
              <w:spacing w:after="0" w:line="202" w:lineRule="exact"/>
              <w:rPr>
                <w:sz w:val="20"/>
                <w:szCs w:val="20"/>
                <w:color w:val="auto"/>
              </w:rPr>
            </w:pPr>
            <w:r>
              <w:rPr>
                <w:rFonts w:ascii="Arial" w:cs="Arial" w:eastAsia="Arial" w:hAnsi="Arial"/>
                <w:sz w:val="18"/>
                <w:szCs w:val="18"/>
                <w:color w:val="auto"/>
                <w:w w:val="97"/>
              </w:rPr>
              <w:t>10.28</w:t>
            </w:r>
          </w:p>
        </w:tc>
        <w:tc>
          <w:tcPr>
            <w:tcW w:w="2180" w:type="dxa"/>
            <w:vAlign w:val="bottom"/>
            <w:tcBorders>
              <w:bottom w:val="single" w:sz="8" w:color="DCE2EF"/>
            </w:tcBorders>
            <w:shd w:val="clear" w:color="auto" w:fill="DCE2EF"/>
          </w:tcPr>
          <w:p>
            <w:pPr>
              <w:jc w:val="center"/>
              <w:spacing w:after="0" w:line="202" w:lineRule="exact"/>
              <w:rPr>
                <w:sz w:val="20"/>
                <w:szCs w:val="20"/>
                <w:color w:val="auto"/>
              </w:rPr>
            </w:pPr>
            <w:r>
              <w:rPr>
                <w:rFonts w:ascii="Arial" w:cs="Arial" w:eastAsia="Arial" w:hAnsi="Arial"/>
                <w:sz w:val="18"/>
                <w:szCs w:val="18"/>
                <w:color w:val="auto"/>
              </w:rPr>
              <w:t>December 22, 2017</w:t>
            </w:r>
          </w:p>
        </w:tc>
      </w:tr>
      <w:tr>
        <w:trPr>
          <w:trHeight w:val="183"/>
        </w:trPr>
        <w:tc>
          <w:tcPr>
            <w:tcW w:w="1300" w:type="dxa"/>
            <w:vAlign w:val="bottom"/>
            <w:tcBorders>
              <w:bottom w:val="single" w:sz="8" w:color="DCE2EF"/>
            </w:tcBorders>
            <w:shd w:val="clear" w:color="auto" w:fill="DCE2EF"/>
          </w:tcPr>
          <w:p>
            <w:pPr>
              <w:spacing w:after="0"/>
              <w:rPr>
                <w:sz w:val="15"/>
                <w:szCs w:val="15"/>
                <w:color w:val="auto"/>
              </w:rPr>
            </w:pPr>
          </w:p>
        </w:tc>
        <w:tc>
          <w:tcPr>
            <w:tcW w:w="4200" w:type="dxa"/>
            <w:vAlign w:val="bottom"/>
            <w:tcBorders>
              <w:bottom w:val="single" w:sz="8" w:color="0000FF"/>
            </w:tcBorders>
            <w:gridSpan w:val="20"/>
            <w:shd w:val="clear" w:color="auto" w:fill="DCE2EF"/>
          </w:tcPr>
          <w:p>
            <w:pPr>
              <w:spacing w:after="0" w:line="182" w:lineRule="exact"/>
              <w:rPr>
                <w:rFonts w:ascii="Arial" w:cs="Arial" w:eastAsia="Arial" w:hAnsi="Arial"/>
                <w:sz w:val="18"/>
                <w:szCs w:val="18"/>
                <w:color w:val="0000FF"/>
                <w:w w:val="99"/>
              </w:rPr>
            </w:pPr>
            <w:hyperlink r:id="rId120">
              <w:r>
                <w:rPr>
                  <w:rFonts w:ascii="Arial" w:cs="Arial" w:eastAsia="Arial" w:hAnsi="Arial"/>
                  <w:sz w:val="18"/>
                  <w:szCs w:val="18"/>
                  <w:color w:val="0000FF"/>
                  <w:w w:val="99"/>
                </w:rPr>
                <w:t>Agreement, dated as of September 22, 2017, by and</w:t>
              </w:r>
            </w:hyperlink>
          </w:p>
        </w:tc>
        <w:tc>
          <w:tcPr>
            <w:tcW w:w="580" w:type="dxa"/>
            <w:vAlign w:val="bottom"/>
            <w:tcBorders>
              <w:bottom w:val="single" w:sz="8" w:color="DCE2EF"/>
            </w:tcBorders>
            <w:gridSpan w:val="17"/>
            <w:shd w:val="clear" w:color="auto" w:fill="DCE2EF"/>
          </w:tcPr>
          <w:p>
            <w:pPr>
              <w:spacing w:after="0"/>
              <w:rPr>
                <w:sz w:val="15"/>
                <w:szCs w:val="15"/>
                <w:color w:val="auto"/>
              </w:rPr>
            </w:pPr>
          </w:p>
        </w:tc>
        <w:tc>
          <w:tcPr>
            <w:tcW w:w="780" w:type="dxa"/>
            <w:vAlign w:val="bottom"/>
            <w:tcBorders>
              <w:bottom w:val="single" w:sz="8" w:color="DCE2EF"/>
            </w:tcBorders>
            <w:shd w:val="clear" w:color="auto" w:fill="DCE2EF"/>
          </w:tcPr>
          <w:p>
            <w:pPr>
              <w:spacing w:after="0"/>
              <w:rPr>
                <w:sz w:val="15"/>
                <w:szCs w:val="15"/>
                <w:color w:val="auto"/>
              </w:rPr>
            </w:pPr>
          </w:p>
        </w:tc>
        <w:tc>
          <w:tcPr>
            <w:tcW w:w="1360" w:type="dxa"/>
            <w:vAlign w:val="bottom"/>
            <w:tcBorders>
              <w:bottom w:val="single" w:sz="8" w:color="DCE2EF"/>
            </w:tcBorders>
            <w:shd w:val="clear" w:color="auto" w:fill="DCE2EF"/>
          </w:tcPr>
          <w:p>
            <w:pPr>
              <w:spacing w:after="0"/>
              <w:rPr>
                <w:sz w:val="15"/>
                <w:szCs w:val="15"/>
                <w:color w:val="auto"/>
              </w:rPr>
            </w:pPr>
          </w:p>
        </w:tc>
        <w:tc>
          <w:tcPr>
            <w:tcW w:w="1020" w:type="dxa"/>
            <w:vAlign w:val="bottom"/>
            <w:tcBorders>
              <w:bottom w:val="single" w:sz="8" w:color="DCE2EF"/>
            </w:tcBorders>
            <w:shd w:val="clear" w:color="auto" w:fill="DCE2EF"/>
          </w:tcPr>
          <w:p>
            <w:pPr>
              <w:spacing w:after="0"/>
              <w:rPr>
                <w:sz w:val="15"/>
                <w:szCs w:val="15"/>
                <w:color w:val="auto"/>
              </w:rPr>
            </w:pPr>
          </w:p>
        </w:tc>
        <w:tc>
          <w:tcPr>
            <w:tcW w:w="2180" w:type="dxa"/>
            <w:vAlign w:val="bottom"/>
            <w:tcBorders>
              <w:bottom w:val="single" w:sz="8" w:color="DCE2EF"/>
            </w:tcBorders>
            <w:shd w:val="clear" w:color="auto" w:fill="DCE2EF"/>
          </w:tcPr>
          <w:p>
            <w:pPr>
              <w:spacing w:after="0"/>
              <w:rPr>
                <w:sz w:val="15"/>
                <w:szCs w:val="15"/>
                <w:color w:val="auto"/>
              </w:rPr>
            </w:pPr>
          </w:p>
        </w:tc>
      </w:tr>
      <w:tr>
        <w:trPr>
          <w:trHeight w:val="217"/>
        </w:trPr>
        <w:tc>
          <w:tcPr>
            <w:tcW w:w="1300" w:type="dxa"/>
            <w:vAlign w:val="bottom"/>
            <w:tcBorders>
              <w:bottom w:val="single" w:sz="8" w:color="DCE2EF"/>
            </w:tcBorders>
            <w:shd w:val="clear" w:color="auto" w:fill="DCE2EF"/>
          </w:tcPr>
          <w:p>
            <w:pPr>
              <w:spacing w:after="0"/>
              <w:rPr>
                <w:sz w:val="18"/>
                <w:szCs w:val="18"/>
                <w:color w:val="auto"/>
              </w:rPr>
            </w:pPr>
          </w:p>
        </w:tc>
        <w:tc>
          <w:tcPr>
            <w:tcW w:w="4500" w:type="dxa"/>
            <w:vAlign w:val="bottom"/>
            <w:tcBorders>
              <w:bottom w:val="single" w:sz="8" w:color="0000FF"/>
            </w:tcBorders>
            <w:gridSpan w:val="32"/>
            <w:shd w:val="clear" w:color="auto" w:fill="DCE2EF"/>
          </w:tcPr>
          <w:p>
            <w:pPr>
              <w:spacing w:after="0" w:line="182" w:lineRule="exact"/>
              <w:rPr>
                <w:rFonts w:ascii="Arial" w:cs="Arial" w:eastAsia="Arial" w:hAnsi="Arial"/>
                <w:sz w:val="18"/>
                <w:szCs w:val="18"/>
                <w:color w:val="0000FF"/>
              </w:rPr>
            </w:pPr>
            <w:hyperlink r:id="rId120">
              <w:r>
                <w:rPr>
                  <w:rFonts w:ascii="Arial" w:cs="Arial" w:eastAsia="Arial" w:hAnsi="Arial"/>
                  <w:sz w:val="18"/>
                  <w:szCs w:val="18"/>
                  <w:color w:val="0000FF"/>
                </w:rPr>
                <w:t>between ABM Industries Incorporated and Scott Salmirs</w:t>
              </w:r>
            </w:hyperlink>
          </w:p>
        </w:tc>
        <w:tc>
          <w:tcPr>
            <w:tcW w:w="280" w:type="dxa"/>
            <w:vAlign w:val="bottom"/>
            <w:tcBorders>
              <w:bottom w:val="single" w:sz="8" w:color="DCE2EF"/>
            </w:tcBorders>
            <w:gridSpan w:val="5"/>
            <w:shd w:val="clear" w:color="auto" w:fill="DCE2EF"/>
          </w:tcPr>
          <w:p>
            <w:pPr>
              <w:spacing w:after="0"/>
              <w:rPr>
                <w:sz w:val="18"/>
                <w:szCs w:val="18"/>
                <w:color w:val="auto"/>
              </w:rPr>
            </w:pPr>
          </w:p>
        </w:tc>
        <w:tc>
          <w:tcPr>
            <w:tcW w:w="780" w:type="dxa"/>
            <w:vAlign w:val="bottom"/>
            <w:tcBorders>
              <w:bottom w:val="single" w:sz="8" w:color="DCE2EF"/>
            </w:tcBorders>
            <w:shd w:val="clear" w:color="auto" w:fill="DCE2EF"/>
          </w:tcPr>
          <w:p>
            <w:pPr>
              <w:spacing w:after="0"/>
              <w:rPr>
                <w:sz w:val="18"/>
                <w:szCs w:val="18"/>
                <w:color w:val="auto"/>
              </w:rPr>
            </w:pPr>
          </w:p>
        </w:tc>
        <w:tc>
          <w:tcPr>
            <w:tcW w:w="1360" w:type="dxa"/>
            <w:vAlign w:val="bottom"/>
            <w:tcBorders>
              <w:bottom w:val="single" w:sz="8" w:color="DCE2EF"/>
            </w:tcBorders>
            <w:shd w:val="clear" w:color="auto" w:fill="DCE2EF"/>
          </w:tcPr>
          <w:p>
            <w:pPr>
              <w:spacing w:after="0"/>
              <w:rPr>
                <w:sz w:val="18"/>
                <w:szCs w:val="18"/>
                <w:color w:val="auto"/>
              </w:rPr>
            </w:pPr>
          </w:p>
        </w:tc>
        <w:tc>
          <w:tcPr>
            <w:tcW w:w="1020" w:type="dxa"/>
            <w:vAlign w:val="bottom"/>
            <w:tcBorders>
              <w:bottom w:val="single" w:sz="8" w:color="DCE2EF"/>
            </w:tcBorders>
            <w:shd w:val="clear" w:color="auto" w:fill="DCE2EF"/>
          </w:tcPr>
          <w:p>
            <w:pPr>
              <w:spacing w:after="0"/>
              <w:rPr>
                <w:sz w:val="18"/>
                <w:szCs w:val="18"/>
                <w:color w:val="auto"/>
              </w:rPr>
            </w:pPr>
          </w:p>
        </w:tc>
        <w:tc>
          <w:tcPr>
            <w:tcW w:w="2180" w:type="dxa"/>
            <w:vAlign w:val="bottom"/>
            <w:tcBorders>
              <w:bottom w:val="single" w:sz="8" w:color="DCE2EF"/>
            </w:tcBorders>
            <w:shd w:val="clear" w:color="auto" w:fill="DCE2EF"/>
          </w:tcPr>
          <w:p>
            <w:pPr>
              <w:spacing w:after="0"/>
              <w:rPr>
                <w:sz w:val="18"/>
                <w:szCs w:val="18"/>
                <w:color w:val="auto"/>
              </w:rPr>
            </w:pPr>
          </w:p>
        </w:tc>
      </w:tr>
      <w:tr>
        <w:trPr>
          <w:trHeight w:val="203"/>
        </w:trPr>
        <w:tc>
          <w:tcPr>
            <w:tcW w:w="1300" w:type="dxa"/>
            <w:vAlign w:val="bottom"/>
          </w:tcPr>
          <w:p>
            <w:pPr>
              <w:ind w:left="40"/>
              <w:spacing w:after="0" w:line="202" w:lineRule="exact"/>
              <w:rPr>
                <w:sz w:val="20"/>
                <w:szCs w:val="20"/>
                <w:color w:val="auto"/>
              </w:rPr>
            </w:pPr>
            <w:r>
              <w:rPr>
                <w:rFonts w:ascii="Arial" w:cs="Arial" w:eastAsia="Arial" w:hAnsi="Arial"/>
                <w:sz w:val="18"/>
                <w:szCs w:val="18"/>
                <w:color w:val="auto"/>
              </w:rPr>
              <w:t>10.26*</w:t>
            </w:r>
          </w:p>
        </w:tc>
        <w:tc>
          <w:tcPr>
            <w:tcW w:w="4780" w:type="dxa"/>
            <w:vAlign w:val="bottom"/>
            <w:gridSpan w:val="37"/>
          </w:tcPr>
          <w:p>
            <w:pPr>
              <w:spacing w:after="0" w:line="202" w:lineRule="exact"/>
              <w:rPr>
                <w:rFonts w:ascii="Arial" w:cs="Arial" w:eastAsia="Arial" w:hAnsi="Arial"/>
                <w:sz w:val="18"/>
                <w:szCs w:val="18"/>
                <w:color w:val="0000FF"/>
              </w:rPr>
            </w:pPr>
            <w:hyperlink r:id="rId121">
              <w:r>
                <w:rPr>
                  <w:rFonts w:ascii="Arial" w:cs="Arial" w:eastAsia="Arial" w:hAnsi="Arial"/>
                  <w:sz w:val="18"/>
                  <w:szCs w:val="18"/>
                  <w:color w:val="0000FF"/>
                </w:rPr>
                <w:t>Amended and Restated Change in Control Agreement,</w:t>
              </w:r>
            </w:hyperlink>
          </w:p>
        </w:tc>
        <w:tc>
          <w:tcPr>
            <w:tcW w:w="780" w:type="dxa"/>
            <w:vAlign w:val="bottom"/>
          </w:tcPr>
          <w:p>
            <w:pPr>
              <w:ind w:left="160"/>
              <w:spacing w:after="0" w:line="202" w:lineRule="exact"/>
              <w:rPr>
                <w:sz w:val="20"/>
                <w:szCs w:val="20"/>
                <w:color w:val="auto"/>
              </w:rPr>
            </w:pPr>
            <w:r>
              <w:rPr>
                <w:rFonts w:ascii="Arial" w:cs="Arial" w:eastAsia="Arial" w:hAnsi="Arial"/>
                <w:sz w:val="18"/>
                <w:szCs w:val="18"/>
                <w:color w:val="auto"/>
              </w:rPr>
              <w:t>10-K</w:t>
            </w:r>
          </w:p>
        </w:tc>
        <w:tc>
          <w:tcPr>
            <w:tcW w:w="13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97"/>
              </w:rPr>
              <w:t>10.29</w:t>
            </w:r>
          </w:p>
        </w:tc>
        <w:tc>
          <w:tcPr>
            <w:tcW w:w="2180" w:type="dxa"/>
            <w:vAlign w:val="bottom"/>
          </w:tcPr>
          <w:p>
            <w:pPr>
              <w:jc w:val="center"/>
              <w:spacing w:after="0" w:line="202" w:lineRule="exact"/>
              <w:rPr>
                <w:sz w:val="20"/>
                <w:szCs w:val="20"/>
                <w:color w:val="auto"/>
              </w:rPr>
            </w:pPr>
            <w:r>
              <w:rPr>
                <w:rFonts w:ascii="Arial" w:cs="Arial" w:eastAsia="Arial" w:hAnsi="Arial"/>
                <w:sz w:val="18"/>
                <w:szCs w:val="18"/>
                <w:color w:val="auto"/>
              </w:rPr>
              <w:t>December 22, 2017</w:t>
            </w:r>
          </w:p>
        </w:tc>
      </w:tr>
      <w:tr>
        <w:trPr>
          <w:trHeight w:val="183"/>
        </w:trPr>
        <w:tc>
          <w:tcPr>
            <w:tcW w:w="1300" w:type="dxa"/>
            <w:vAlign w:val="bottom"/>
          </w:tcPr>
          <w:p>
            <w:pPr>
              <w:spacing w:after="0"/>
              <w:rPr>
                <w:sz w:val="15"/>
                <w:szCs w:val="15"/>
                <w:color w:val="auto"/>
              </w:rPr>
            </w:pPr>
          </w:p>
        </w:tc>
        <w:tc>
          <w:tcPr>
            <w:tcW w:w="4380" w:type="dxa"/>
            <w:vAlign w:val="bottom"/>
            <w:tcBorders>
              <w:top w:val="single" w:sz="8" w:color="0000FF"/>
              <w:bottom w:val="single" w:sz="8" w:color="0000FF"/>
            </w:tcBorders>
            <w:gridSpan w:val="26"/>
          </w:tcPr>
          <w:p>
            <w:pPr>
              <w:spacing w:after="0" w:line="182" w:lineRule="exact"/>
              <w:rPr>
                <w:rFonts w:ascii="Arial" w:cs="Arial" w:eastAsia="Arial" w:hAnsi="Arial"/>
                <w:sz w:val="18"/>
                <w:szCs w:val="18"/>
                <w:color w:val="0000FF"/>
                <w:w w:val="99"/>
              </w:rPr>
            </w:pPr>
            <w:hyperlink r:id="rId121">
              <w:r>
                <w:rPr>
                  <w:rFonts w:ascii="Arial" w:cs="Arial" w:eastAsia="Arial" w:hAnsi="Arial"/>
                  <w:sz w:val="18"/>
                  <w:szCs w:val="18"/>
                  <w:color w:val="0000FF"/>
                  <w:w w:val="99"/>
                </w:rPr>
                <w:t>dated as of September 22, 2017, by and between ABM</w:t>
              </w:r>
            </w:hyperlink>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83"/>
        </w:trPr>
        <w:tc>
          <w:tcPr>
            <w:tcW w:w="1300" w:type="dxa"/>
            <w:vAlign w:val="bottom"/>
          </w:tcPr>
          <w:p>
            <w:pPr>
              <w:spacing w:after="0"/>
              <w:rPr>
                <w:sz w:val="15"/>
                <w:szCs w:val="15"/>
                <w:color w:val="auto"/>
              </w:rPr>
            </w:pPr>
          </w:p>
        </w:tc>
        <w:tc>
          <w:tcPr>
            <w:tcW w:w="4400" w:type="dxa"/>
            <w:vAlign w:val="bottom"/>
            <w:gridSpan w:val="27"/>
          </w:tcPr>
          <w:p>
            <w:pPr>
              <w:spacing w:after="0" w:line="182" w:lineRule="exact"/>
              <w:rPr>
                <w:rFonts w:ascii="Arial" w:cs="Arial" w:eastAsia="Arial" w:hAnsi="Arial"/>
                <w:sz w:val="18"/>
                <w:szCs w:val="18"/>
                <w:color w:val="0000FF"/>
              </w:rPr>
            </w:pPr>
            <w:hyperlink r:id="rId121">
              <w:r>
                <w:rPr>
                  <w:rFonts w:ascii="Arial" w:cs="Arial" w:eastAsia="Arial" w:hAnsi="Arial"/>
                  <w:sz w:val="18"/>
                  <w:szCs w:val="18"/>
                  <w:color w:val="0000FF"/>
                </w:rPr>
                <w:t>Industries Incorporated and Scott Salmirs</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34"/>
        </w:trPr>
        <w:tc>
          <w:tcPr>
            <w:tcW w:w="130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03"/>
        </w:trPr>
        <w:tc>
          <w:tcPr>
            <w:tcW w:w="1300" w:type="dxa"/>
            <w:vAlign w:val="bottom"/>
            <w:shd w:val="clear" w:color="auto" w:fill="DCE2EF"/>
          </w:tcPr>
          <w:p>
            <w:pPr>
              <w:ind w:left="40"/>
              <w:spacing w:after="0" w:line="202" w:lineRule="exact"/>
              <w:rPr>
                <w:sz w:val="20"/>
                <w:szCs w:val="20"/>
                <w:color w:val="auto"/>
              </w:rPr>
            </w:pPr>
            <w:r>
              <w:rPr>
                <w:rFonts w:ascii="Arial" w:cs="Arial" w:eastAsia="Arial" w:hAnsi="Arial"/>
                <w:sz w:val="18"/>
                <w:szCs w:val="18"/>
                <w:color w:val="auto"/>
              </w:rPr>
              <w:t>10.27*</w:t>
            </w:r>
          </w:p>
        </w:tc>
        <w:tc>
          <w:tcPr>
            <w:tcW w:w="4780" w:type="dxa"/>
            <w:vAlign w:val="bottom"/>
            <w:gridSpan w:val="37"/>
            <w:shd w:val="clear" w:color="auto" w:fill="DCE2EF"/>
          </w:tcPr>
          <w:p>
            <w:pPr>
              <w:spacing w:after="0" w:line="202" w:lineRule="exact"/>
              <w:rPr>
                <w:rFonts w:ascii="Arial" w:cs="Arial" w:eastAsia="Arial" w:hAnsi="Arial"/>
                <w:sz w:val="18"/>
                <w:szCs w:val="18"/>
                <w:color w:val="0000FF"/>
              </w:rPr>
            </w:pPr>
            <w:hyperlink r:id="rId122">
              <w:r>
                <w:rPr>
                  <w:rFonts w:ascii="Arial" w:cs="Arial" w:eastAsia="Arial" w:hAnsi="Arial"/>
                  <w:sz w:val="18"/>
                  <w:szCs w:val="18"/>
                  <w:color w:val="0000FF"/>
                </w:rPr>
                <w:t>Executive Employment Agreement, dated as of November</w:t>
              </w:r>
            </w:hyperlink>
          </w:p>
        </w:tc>
        <w:tc>
          <w:tcPr>
            <w:tcW w:w="780" w:type="dxa"/>
            <w:vAlign w:val="bottom"/>
            <w:shd w:val="clear" w:color="auto" w:fill="DCE2EF"/>
          </w:tcPr>
          <w:p>
            <w:pPr>
              <w:ind w:left="140"/>
              <w:spacing w:after="0" w:line="202" w:lineRule="exact"/>
              <w:rPr>
                <w:sz w:val="20"/>
                <w:szCs w:val="20"/>
                <w:color w:val="auto"/>
              </w:rPr>
            </w:pPr>
            <w:r>
              <w:rPr>
                <w:rFonts w:ascii="Arial" w:cs="Arial" w:eastAsia="Arial" w:hAnsi="Arial"/>
                <w:sz w:val="18"/>
                <w:szCs w:val="18"/>
                <w:color w:val="auto"/>
              </w:rPr>
              <w:t>10-Q</w:t>
            </w:r>
          </w:p>
        </w:tc>
        <w:tc>
          <w:tcPr>
            <w:tcW w:w="1360" w:type="dxa"/>
            <w:vAlign w:val="bottom"/>
            <w:shd w:val="clear" w:color="auto" w:fill="DCE2EF"/>
          </w:tcPr>
          <w:p>
            <w:pPr>
              <w:jc w:val="right"/>
              <w:ind w:right="190"/>
              <w:spacing w:after="0" w:line="202" w:lineRule="exact"/>
              <w:rPr>
                <w:sz w:val="20"/>
                <w:szCs w:val="20"/>
                <w:color w:val="auto"/>
              </w:rPr>
            </w:pPr>
            <w:r>
              <w:rPr>
                <w:rFonts w:ascii="Arial" w:cs="Arial" w:eastAsia="Arial" w:hAnsi="Arial"/>
                <w:sz w:val="18"/>
                <w:szCs w:val="18"/>
                <w:color w:val="auto"/>
              </w:rPr>
              <w:t>001-08929</w:t>
            </w:r>
          </w:p>
        </w:tc>
        <w:tc>
          <w:tcPr>
            <w:tcW w:w="1020" w:type="dxa"/>
            <w:vAlign w:val="bottom"/>
            <w:shd w:val="clear" w:color="auto" w:fill="DCE2EF"/>
          </w:tcPr>
          <w:p>
            <w:pPr>
              <w:jc w:val="center"/>
              <w:spacing w:after="0" w:line="202" w:lineRule="exact"/>
              <w:rPr>
                <w:sz w:val="20"/>
                <w:szCs w:val="20"/>
                <w:color w:val="auto"/>
              </w:rPr>
            </w:pPr>
            <w:r>
              <w:rPr>
                <w:rFonts w:ascii="Arial" w:cs="Arial" w:eastAsia="Arial" w:hAnsi="Arial"/>
                <w:sz w:val="18"/>
                <w:szCs w:val="18"/>
                <w:color w:val="auto"/>
              </w:rPr>
              <w:t>10.1</w:t>
            </w:r>
          </w:p>
        </w:tc>
        <w:tc>
          <w:tcPr>
            <w:tcW w:w="2180" w:type="dxa"/>
            <w:vAlign w:val="bottom"/>
            <w:shd w:val="clear" w:color="auto" w:fill="DCE2EF"/>
          </w:tcPr>
          <w:p>
            <w:pPr>
              <w:jc w:val="center"/>
              <w:spacing w:after="0" w:line="202" w:lineRule="exact"/>
              <w:rPr>
                <w:sz w:val="20"/>
                <w:szCs w:val="20"/>
                <w:color w:val="auto"/>
              </w:rPr>
            </w:pPr>
            <w:r>
              <w:rPr>
                <w:rFonts w:ascii="Arial" w:cs="Arial" w:eastAsia="Arial" w:hAnsi="Arial"/>
                <w:sz w:val="18"/>
                <w:szCs w:val="18"/>
                <w:color w:val="auto"/>
              </w:rPr>
              <w:t>March 7, 2018</w:t>
            </w:r>
          </w:p>
        </w:tc>
      </w:tr>
      <w:tr>
        <w:trPr>
          <w:trHeight w:val="183"/>
        </w:trPr>
        <w:tc>
          <w:tcPr>
            <w:tcW w:w="1300" w:type="dxa"/>
            <w:vAlign w:val="bottom"/>
            <w:tcBorders>
              <w:top w:val="single" w:sz="8" w:color="DCE2EF"/>
            </w:tcBorders>
            <w:shd w:val="clear" w:color="auto" w:fill="DCE2EF"/>
          </w:tcPr>
          <w:p>
            <w:pPr>
              <w:spacing w:after="0"/>
              <w:rPr>
                <w:sz w:val="15"/>
                <w:szCs w:val="15"/>
                <w:color w:val="auto"/>
              </w:rPr>
            </w:pPr>
          </w:p>
        </w:tc>
        <w:tc>
          <w:tcPr>
            <w:tcW w:w="4640" w:type="dxa"/>
            <w:vAlign w:val="bottom"/>
            <w:tcBorders>
              <w:top w:val="single" w:sz="8" w:color="0000FF"/>
            </w:tcBorders>
            <w:gridSpan w:val="36"/>
            <w:shd w:val="clear" w:color="auto" w:fill="DCE2EF"/>
          </w:tcPr>
          <w:p>
            <w:pPr>
              <w:spacing w:after="0" w:line="182" w:lineRule="exact"/>
              <w:rPr>
                <w:rFonts w:ascii="Arial" w:cs="Arial" w:eastAsia="Arial" w:hAnsi="Arial"/>
                <w:sz w:val="18"/>
                <w:szCs w:val="18"/>
                <w:color w:val="0000FF"/>
              </w:rPr>
            </w:pPr>
            <w:hyperlink r:id="rId122">
              <w:r>
                <w:rPr>
                  <w:rFonts w:ascii="Arial" w:cs="Arial" w:eastAsia="Arial" w:hAnsi="Arial"/>
                  <w:sz w:val="18"/>
                  <w:szCs w:val="18"/>
                  <w:color w:val="0000FF"/>
                </w:rPr>
                <w:t>1, 2017, by and between ABM Industries Incorporated</w:t>
              </w:r>
            </w:hyperlink>
          </w:p>
        </w:tc>
        <w:tc>
          <w:tcPr>
            <w:tcW w:w="140" w:type="dxa"/>
            <w:vAlign w:val="bottom"/>
            <w:tcBorders>
              <w:top w:val="single" w:sz="8" w:color="DCE2EF"/>
            </w:tcBorders>
            <w:shd w:val="clear" w:color="auto" w:fill="DCE2EF"/>
          </w:tcPr>
          <w:p>
            <w:pPr>
              <w:spacing w:after="0"/>
              <w:rPr>
                <w:sz w:val="15"/>
                <w:szCs w:val="15"/>
                <w:color w:val="auto"/>
              </w:rPr>
            </w:pPr>
          </w:p>
        </w:tc>
        <w:tc>
          <w:tcPr>
            <w:tcW w:w="780" w:type="dxa"/>
            <w:vAlign w:val="bottom"/>
            <w:tcBorders>
              <w:top w:val="single" w:sz="8" w:color="DCE2EF"/>
            </w:tcBorders>
            <w:shd w:val="clear" w:color="auto" w:fill="DCE2EF"/>
          </w:tcPr>
          <w:p>
            <w:pPr>
              <w:spacing w:after="0"/>
              <w:rPr>
                <w:sz w:val="15"/>
                <w:szCs w:val="15"/>
                <w:color w:val="auto"/>
              </w:rPr>
            </w:pPr>
          </w:p>
        </w:tc>
        <w:tc>
          <w:tcPr>
            <w:tcW w:w="1360" w:type="dxa"/>
            <w:vAlign w:val="bottom"/>
            <w:tcBorders>
              <w:top w:val="single" w:sz="8" w:color="DCE2EF"/>
            </w:tcBorders>
            <w:shd w:val="clear" w:color="auto" w:fill="DCE2EF"/>
          </w:tcPr>
          <w:p>
            <w:pPr>
              <w:spacing w:after="0"/>
              <w:rPr>
                <w:sz w:val="15"/>
                <w:szCs w:val="15"/>
                <w:color w:val="auto"/>
              </w:rPr>
            </w:pPr>
          </w:p>
        </w:tc>
        <w:tc>
          <w:tcPr>
            <w:tcW w:w="1020" w:type="dxa"/>
            <w:vAlign w:val="bottom"/>
            <w:tcBorders>
              <w:top w:val="single" w:sz="8" w:color="DCE2EF"/>
            </w:tcBorders>
            <w:shd w:val="clear" w:color="auto" w:fill="DCE2EF"/>
          </w:tcPr>
          <w:p>
            <w:pPr>
              <w:spacing w:after="0"/>
              <w:rPr>
                <w:sz w:val="15"/>
                <w:szCs w:val="15"/>
                <w:color w:val="auto"/>
              </w:rPr>
            </w:pPr>
          </w:p>
        </w:tc>
        <w:tc>
          <w:tcPr>
            <w:tcW w:w="2180" w:type="dxa"/>
            <w:vAlign w:val="bottom"/>
            <w:tcBorders>
              <w:top w:val="single" w:sz="8" w:color="DCE2EF"/>
            </w:tcBorders>
            <w:shd w:val="clear" w:color="auto" w:fill="DCE2EF"/>
          </w:tcPr>
          <w:p>
            <w:pPr>
              <w:spacing w:after="0"/>
              <w:rPr>
                <w:sz w:val="15"/>
                <w:szCs w:val="15"/>
                <w:color w:val="auto"/>
              </w:rPr>
            </w:pPr>
          </w:p>
        </w:tc>
      </w:tr>
      <w:tr>
        <w:trPr>
          <w:trHeight w:val="183"/>
        </w:trPr>
        <w:tc>
          <w:tcPr>
            <w:tcW w:w="1300" w:type="dxa"/>
            <w:vAlign w:val="bottom"/>
            <w:tcBorders>
              <w:top w:val="single" w:sz="8" w:color="DCE2EF"/>
            </w:tcBorders>
            <w:shd w:val="clear" w:color="auto" w:fill="DCE2EF"/>
          </w:tcPr>
          <w:p>
            <w:pPr>
              <w:spacing w:after="0"/>
              <w:rPr>
                <w:sz w:val="15"/>
                <w:szCs w:val="15"/>
                <w:color w:val="auto"/>
              </w:rPr>
            </w:pPr>
          </w:p>
        </w:tc>
        <w:tc>
          <w:tcPr>
            <w:tcW w:w="4300" w:type="dxa"/>
            <w:vAlign w:val="bottom"/>
            <w:tcBorders>
              <w:top w:val="single" w:sz="8" w:color="0000FF"/>
            </w:tcBorders>
            <w:gridSpan w:val="22"/>
            <w:shd w:val="clear" w:color="auto" w:fill="DCE2EF"/>
          </w:tcPr>
          <w:p>
            <w:pPr>
              <w:spacing w:after="0" w:line="182" w:lineRule="exact"/>
              <w:rPr>
                <w:rFonts w:ascii="Arial" w:cs="Arial" w:eastAsia="Arial" w:hAnsi="Arial"/>
                <w:sz w:val="18"/>
                <w:szCs w:val="18"/>
                <w:color w:val="0000FF"/>
              </w:rPr>
            </w:pPr>
            <w:hyperlink r:id="rId122">
              <w:r>
                <w:rPr>
                  <w:rFonts w:ascii="Arial" w:cs="Arial" w:eastAsia="Arial" w:hAnsi="Arial"/>
                  <w:sz w:val="18"/>
                  <w:szCs w:val="18"/>
                  <w:color w:val="0000FF"/>
                </w:rPr>
                <w:t>and Scott Giacobbe</w:t>
              </w:r>
            </w:hyperlink>
          </w:p>
        </w:tc>
        <w:tc>
          <w:tcPr>
            <w:tcW w:w="40" w:type="dxa"/>
            <w:vAlign w:val="bottom"/>
            <w:tcBorders>
              <w:top w:val="single" w:sz="8" w:color="DCE2EF"/>
            </w:tcBorders>
            <w:gridSpan w:val="2"/>
            <w:shd w:val="clear" w:color="auto" w:fill="DCE2EF"/>
          </w:tcPr>
          <w:p>
            <w:pPr>
              <w:spacing w:after="0"/>
              <w:rPr>
                <w:sz w:val="15"/>
                <w:szCs w:val="15"/>
                <w:color w:val="auto"/>
              </w:rPr>
            </w:pPr>
          </w:p>
        </w:tc>
        <w:tc>
          <w:tcPr>
            <w:tcW w:w="80" w:type="dxa"/>
            <w:vAlign w:val="bottom"/>
            <w:tcBorders>
              <w:top w:val="single" w:sz="8" w:color="DCE2EF"/>
            </w:tcBorders>
            <w:gridSpan w:val="4"/>
            <w:shd w:val="clear" w:color="auto" w:fill="DCE2EF"/>
          </w:tcPr>
          <w:p>
            <w:pPr>
              <w:spacing w:after="0"/>
              <w:rPr>
                <w:sz w:val="15"/>
                <w:szCs w:val="15"/>
                <w:color w:val="auto"/>
              </w:rPr>
            </w:pPr>
          </w:p>
        </w:tc>
        <w:tc>
          <w:tcPr>
            <w:tcW w:w="20" w:type="dxa"/>
            <w:vAlign w:val="bottom"/>
            <w:tcBorders>
              <w:top w:val="single" w:sz="8" w:color="DCE2EF"/>
            </w:tcBorders>
            <w:shd w:val="clear" w:color="auto" w:fill="DCE2EF"/>
          </w:tcPr>
          <w:p>
            <w:pPr>
              <w:spacing w:after="0"/>
              <w:rPr>
                <w:sz w:val="15"/>
                <w:szCs w:val="15"/>
                <w:color w:val="auto"/>
              </w:rPr>
            </w:pPr>
          </w:p>
        </w:tc>
        <w:tc>
          <w:tcPr>
            <w:tcW w:w="20" w:type="dxa"/>
            <w:vAlign w:val="bottom"/>
            <w:tcBorders>
              <w:top w:val="single" w:sz="8" w:color="DCE2EF"/>
            </w:tcBorders>
            <w:shd w:val="clear" w:color="auto" w:fill="DCE2EF"/>
          </w:tcPr>
          <w:p>
            <w:pPr>
              <w:spacing w:after="0"/>
              <w:rPr>
                <w:sz w:val="15"/>
                <w:szCs w:val="15"/>
                <w:color w:val="auto"/>
              </w:rPr>
            </w:pPr>
          </w:p>
        </w:tc>
        <w:tc>
          <w:tcPr>
            <w:tcW w:w="20" w:type="dxa"/>
            <w:vAlign w:val="bottom"/>
            <w:tcBorders>
              <w:top w:val="single" w:sz="8" w:color="DCE2EF"/>
            </w:tcBorders>
            <w:shd w:val="clear" w:color="auto" w:fill="DCE2EF"/>
          </w:tcPr>
          <w:p>
            <w:pPr>
              <w:spacing w:after="0"/>
              <w:rPr>
                <w:sz w:val="15"/>
                <w:szCs w:val="15"/>
                <w:color w:val="auto"/>
              </w:rPr>
            </w:pPr>
          </w:p>
        </w:tc>
        <w:tc>
          <w:tcPr>
            <w:tcW w:w="20" w:type="dxa"/>
            <w:vAlign w:val="bottom"/>
            <w:tcBorders>
              <w:top w:val="single" w:sz="8" w:color="DCE2EF"/>
            </w:tcBorders>
            <w:shd w:val="clear" w:color="auto" w:fill="DCE2EF"/>
          </w:tcPr>
          <w:p>
            <w:pPr>
              <w:spacing w:after="0"/>
              <w:rPr>
                <w:sz w:val="15"/>
                <w:szCs w:val="15"/>
                <w:color w:val="auto"/>
              </w:rPr>
            </w:pPr>
          </w:p>
        </w:tc>
        <w:tc>
          <w:tcPr>
            <w:tcW w:w="20" w:type="dxa"/>
            <w:vAlign w:val="bottom"/>
            <w:tcBorders>
              <w:top w:val="single" w:sz="8" w:color="DCE2EF"/>
            </w:tcBorders>
            <w:shd w:val="clear" w:color="auto" w:fill="DCE2EF"/>
          </w:tcPr>
          <w:p>
            <w:pPr>
              <w:spacing w:after="0"/>
              <w:rPr>
                <w:sz w:val="15"/>
                <w:szCs w:val="15"/>
                <w:color w:val="auto"/>
              </w:rPr>
            </w:pPr>
          </w:p>
        </w:tc>
        <w:tc>
          <w:tcPr>
            <w:tcW w:w="60" w:type="dxa"/>
            <w:vAlign w:val="bottom"/>
            <w:tcBorders>
              <w:top w:val="single" w:sz="8" w:color="DCE2EF"/>
            </w:tcBorders>
            <w:shd w:val="clear" w:color="auto" w:fill="DCE2EF"/>
          </w:tcPr>
          <w:p>
            <w:pPr>
              <w:spacing w:after="0"/>
              <w:rPr>
                <w:sz w:val="15"/>
                <w:szCs w:val="15"/>
                <w:color w:val="auto"/>
              </w:rPr>
            </w:pPr>
          </w:p>
        </w:tc>
        <w:tc>
          <w:tcPr>
            <w:tcW w:w="40" w:type="dxa"/>
            <w:vAlign w:val="bottom"/>
            <w:tcBorders>
              <w:top w:val="single" w:sz="8" w:color="DCE2EF"/>
            </w:tcBorders>
            <w:shd w:val="clear" w:color="auto" w:fill="DCE2EF"/>
          </w:tcPr>
          <w:p>
            <w:pPr>
              <w:spacing w:after="0"/>
              <w:rPr>
                <w:sz w:val="15"/>
                <w:szCs w:val="15"/>
                <w:color w:val="auto"/>
              </w:rPr>
            </w:pPr>
          </w:p>
        </w:tc>
        <w:tc>
          <w:tcPr>
            <w:tcW w:w="160" w:type="dxa"/>
            <w:vAlign w:val="bottom"/>
            <w:tcBorders>
              <w:top w:val="single" w:sz="8" w:color="DCE2EF"/>
            </w:tcBorders>
            <w:gridSpan w:val="2"/>
            <w:shd w:val="clear" w:color="auto" w:fill="DCE2EF"/>
          </w:tcPr>
          <w:p>
            <w:pPr>
              <w:spacing w:after="0"/>
              <w:rPr>
                <w:sz w:val="15"/>
                <w:szCs w:val="15"/>
                <w:color w:val="auto"/>
              </w:rPr>
            </w:pPr>
          </w:p>
        </w:tc>
        <w:tc>
          <w:tcPr>
            <w:tcW w:w="780" w:type="dxa"/>
            <w:vAlign w:val="bottom"/>
            <w:tcBorders>
              <w:top w:val="single" w:sz="8" w:color="DCE2EF"/>
            </w:tcBorders>
            <w:shd w:val="clear" w:color="auto" w:fill="DCE2EF"/>
          </w:tcPr>
          <w:p>
            <w:pPr>
              <w:spacing w:after="0"/>
              <w:rPr>
                <w:sz w:val="15"/>
                <w:szCs w:val="15"/>
                <w:color w:val="auto"/>
              </w:rPr>
            </w:pPr>
          </w:p>
        </w:tc>
        <w:tc>
          <w:tcPr>
            <w:tcW w:w="1360" w:type="dxa"/>
            <w:vAlign w:val="bottom"/>
            <w:tcBorders>
              <w:top w:val="single" w:sz="8" w:color="DCE2EF"/>
            </w:tcBorders>
            <w:shd w:val="clear" w:color="auto" w:fill="DCE2EF"/>
          </w:tcPr>
          <w:p>
            <w:pPr>
              <w:spacing w:after="0"/>
              <w:rPr>
                <w:sz w:val="15"/>
                <w:szCs w:val="15"/>
                <w:color w:val="auto"/>
              </w:rPr>
            </w:pPr>
          </w:p>
        </w:tc>
        <w:tc>
          <w:tcPr>
            <w:tcW w:w="1020" w:type="dxa"/>
            <w:vAlign w:val="bottom"/>
            <w:tcBorders>
              <w:top w:val="single" w:sz="8" w:color="DCE2EF"/>
            </w:tcBorders>
            <w:shd w:val="clear" w:color="auto" w:fill="DCE2EF"/>
          </w:tcPr>
          <w:p>
            <w:pPr>
              <w:spacing w:after="0"/>
              <w:rPr>
                <w:sz w:val="15"/>
                <w:szCs w:val="15"/>
                <w:color w:val="auto"/>
              </w:rPr>
            </w:pPr>
          </w:p>
        </w:tc>
        <w:tc>
          <w:tcPr>
            <w:tcW w:w="2180" w:type="dxa"/>
            <w:vAlign w:val="bottom"/>
            <w:tcBorders>
              <w:top w:val="single" w:sz="8" w:color="DCE2EF"/>
            </w:tcBorders>
            <w:shd w:val="clear" w:color="auto" w:fill="DCE2EF"/>
          </w:tcPr>
          <w:p>
            <w:pPr>
              <w:spacing w:after="0"/>
              <w:rPr>
                <w:sz w:val="15"/>
                <w:szCs w:val="15"/>
                <w:color w:val="auto"/>
              </w:rPr>
            </w:pPr>
          </w:p>
        </w:tc>
      </w:tr>
      <w:tr>
        <w:trPr>
          <w:trHeight w:val="34"/>
        </w:trPr>
        <w:tc>
          <w:tcPr>
            <w:tcW w:w="1300" w:type="dxa"/>
            <w:vAlign w:val="bottom"/>
            <w:tcBorders>
              <w:top w:val="single" w:sz="8" w:color="DCE2EF"/>
            </w:tcBorders>
            <w:shd w:val="clear" w:color="auto" w:fill="DCE2EF"/>
          </w:tcPr>
          <w:p>
            <w:pPr>
              <w:spacing w:after="0"/>
              <w:rPr>
                <w:sz w:val="2"/>
                <w:szCs w:val="2"/>
                <w:color w:val="auto"/>
              </w:rPr>
            </w:pPr>
          </w:p>
        </w:tc>
        <w:tc>
          <w:tcPr>
            <w:tcW w:w="360" w:type="dxa"/>
            <w:vAlign w:val="bottom"/>
            <w:tcBorders>
              <w:top w:val="single" w:sz="8" w:color="0000FF"/>
            </w:tcBorders>
            <w:shd w:val="clear" w:color="auto" w:fill="DCE2EF"/>
          </w:tcPr>
          <w:p>
            <w:pPr>
              <w:spacing w:after="0"/>
              <w:rPr>
                <w:sz w:val="2"/>
                <w:szCs w:val="2"/>
                <w:color w:val="auto"/>
              </w:rPr>
            </w:pPr>
          </w:p>
        </w:tc>
        <w:tc>
          <w:tcPr>
            <w:tcW w:w="360" w:type="dxa"/>
            <w:vAlign w:val="bottom"/>
            <w:tcBorders>
              <w:top w:val="single" w:sz="8" w:color="0000FF"/>
            </w:tcBorders>
            <w:shd w:val="clear" w:color="auto" w:fill="DCE2EF"/>
          </w:tcPr>
          <w:p>
            <w:pPr>
              <w:spacing w:after="0"/>
              <w:rPr>
                <w:sz w:val="2"/>
                <w:szCs w:val="2"/>
                <w:color w:val="auto"/>
              </w:rPr>
            </w:pPr>
          </w:p>
        </w:tc>
        <w:tc>
          <w:tcPr>
            <w:tcW w:w="80" w:type="dxa"/>
            <w:vAlign w:val="bottom"/>
            <w:tcBorders>
              <w:top w:val="single" w:sz="8" w:color="0000FF"/>
            </w:tcBorders>
            <w:shd w:val="clear" w:color="auto" w:fill="DCE2EF"/>
          </w:tcPr>
          <w:p>
            <w:pPr>
              <w:spacing w:after="0"/>
              <w:rPr>
                <w:sz w:val="2"/>
                <w:szCs w:val="2"/>
                <w:color w:val="auto"/>
              </w:rPr>
            </w:pPr>
          </w:p>
        </w:tc>
        <w:tc>
          <w:tcPr>
            <w:tcW w:w="240" w:type="dxa"/>
            <w:vAlign w:val="bottom"/>
            <w:tcBorders>
              <w:top w:val="single" w:sz="8" w:color="0000FF"/>
            </w:tcBorders>
            <w:shd w:val="clear" w:color="auto" w:fill="DCE2EF"/>
          </w:tcPr>
          <w:p>
            <w:pPr>
              <w:spacing w:after="0"/>
              <w:rPr>
                <w:sz w:val="2"/>
                <w:szCs w:val="2"/>
                <w:color w:val="auto"/>
              </w:rPr>
            </w:pPr>
          </w:p>
        </w:tc>
        <w:tc>
          <w:tcPr>
            <w:tcW w:w="200" w:type="dxa"/>
            <w:vAlign w:val="bottom"/>
            <w:tcBorders>
              <w:top w:val="single" w:sz="8" w:color="0000FF"/>
            </w:tcBorders>
            <w:shd w:val="clear" w:color="auto" w:fill="DCE2EF"/>
          </w:tcPr>
          <w:p>
            <w:pPr>
              <w:spacing w:after="0"/>
              <w:rPr>
                <w:sz w:val="2"/>
                <w:szCs w:val="2"/>
                <w:color w:val="auto"/>
              </w:rPr>
            </w:pPr>
          </w:p>
        </w:tc>
        <w:tc>
          <w:tcPr>
            <w:tcW w:w="20" w:type="dxa"/>
            <w:vAlign w:val="bottom"/>
            <w:tcBorders>
              <w:top w:val="single" w:sz="8" w:color="0000FF"/>
            </w:tcBorders>
            <w:shd w:val="clear" w:color="auto" w:fill="DCE2EF"/>
          </w:tcPr>
          <w:p>
            <w:pPr>
              <w:spacing w:after="0"/>
              <w:rPr>
                <w:sz w:val="2"/>
                <w:szCs w:val="2"/>
                <w:color w:val="auto"/>
              </w:rPr>
            </w:pPr>
          </w:p>
        </w:tc>
        <w:tc>
          <w:tcPr>
            <w:tcW w:w="100" w:type="dxa"/>
            <w:vAlign w:val="bottom"/>
            <w:tcBorders>
              <w:top w:val="single" w:sz="8" w:color="0000FF"/>
            </w:tcBorders>
            <w:shd w:val="clear" w:color="auto" w:fill="DCE2EF"/>
          </w:tcPr>
          <w:p>
            <w:pPr>
              <w:spacing w:after="0"/>
              <w:rPr>
                <w:sz w:val="2"/>
                <w:szCs w:val="2"/>
                <w:color w:val="auto"/>
              </w:rPr>
            </w:pPr>
          </w:p>
        </w:tc>
        <w:tc>
          <w:tcPr>
            <w:tcW w:w="220" w:type="dxa"/>
            <w:vAlign w:val="bottom"/>
            <w:tcBorders>
              <w:top w:val="single" w:sz="8" w:color="0000F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40" w:type="dxa"/>
            <w:vAlign w:val="bottom"/>
            <w:tcBorders>
              <w:top w:val="single" w:sz="8" w:color="DCE2EF"/>
            </w:tcBorders>
            <w:shd w:val="clear" w:color="auto" w:fill="DCE2EF"/>
          </w:tcPr>
          <w:p>
            <w:pPr>
              <w:spacing w:after="0"/>
              <w:rPr>
                <w:sz w:val="2"/>
                <w:szCs w:val="2"/>
                <w:color w:val="auto"/>
              </w:rPr>
            </w:pPr>
          </w:p>
        </w:tc>
        <w:tc>
          <w:tcPr>
            <w:tcW w:w="80" w:type="dxa"/>
            <w:vAlign w:val="bottom"/>
            <w:tcBorders>
              <w:top w:val="single" w:sz="8" w:color="DCE2EF"/>
            </w:tcBorders>
            <w:shd w:val="clear" w:color="auto" w:fill="DCE2EF"/>
          </w:tcPr>
          <w:p>
            <w:pPr>
              <w:spacing w:after="0"/>
              <w:rPr>
                <w:sz w:val="2"/>
                <w:szCs w:val="2"/>
                <w:color w:val="auto"/>
              </w:rPr>
            </w:pPr>
          </w:p>
        </w:tc>
        <w:tc>
          <w:tcPr>
            <w:tcW w:w="180" w:type="dxa"/>
            <w:vAlign w:val="bottom"/>
            <w:tcBorders>
              <w:top w:val="single" w:sz="8" w:color="DCE2EF"/>
            </w:tcBorders>
            <w:shd w:val="clear" w:color="auto" w:fill="DCE2EF"/>
          </w:tcPr>
          <w:p>
            <w:pPr>
              <w:spacing w:after="0"/>
              <w:rPr>
                <w:sz w:val="2"/>
                <w:szCs w:val="2"/>
                <w:color w:val="auto"/>
              </w:rPr>
            </w:pPr>
          </w:p>
        </w:tc>
        <w:tc>
          <w:tcPr>
            <w:tcW w:w="160" w:type="dxa"/>
            <w:vAlign w:val="bottom"/>
            <w:tcBorders>
              <w:top w:val="single" w:sz="8" w:color="DCE2EF"/>
            </w:tcBorders>
            <w:shd w:val="clear" w:color="auto" w:fill="DCE2EF"/>
          </w:tcPr>
          <w:p>
            <w:pPr>
              <w:spacing w:after="0"/>
              <w:rPr>
                <w:sz w:val="2"/>
                <w:szCs w:val="2"/>
                <w:color w:val="auto"/>
              </w:rPr>
            </w:pPr>
          </w:p>
        </w:tc>
        <w:tc>
          <w:tcPr>
            <w:tcW w:w="100" w:type="dxa"/>
            <w:vAlign w:val="bottom"/>
            <w:tcBorders>
              <w:top w:val="single" w:sz="8" w:color="DCE2EF"/>
            </w:tcBorders>
            <w:shd w:val="clear" w:color="auto" w:fill="DCE2EF"/>
          </w:tcPr>
          <w:p>
            <w:pPr>
              <w:spacing w:after="0"/>
              <w:rPr>
                <w:sz w:val="2"/>
                <w:szCs w:val="2"/>
                <w:color w:val="auto"/>
              </w:rPr>
            </w:pPr>
          </w:p>
        </w:tc>
        <w:tc>
          <w:tcPr>
            <w:tcW w:w="940" w:type="dxa"/>
            <w:vAlign w:val="bottom"/>
            <w:tcBorders>
              <w:top w:val="single" w:sz="8" w:color="DCE2EF"/>
            </w:tcBorders>
            <w:shd w:val="clear" w:color="auto" w:fill="DCE2EF"/>
          </w:tcPr>
          <w:p>
            <w:pPr>
              <w:spacing w:after="0"/>
              <w:rPr>
                <w:sz w:val="2"/>
                <w:szCs w:val="2"/>
                <w:color w:val="auto"/>
              </w:rPr>
            </w:pPr>
          </w:p>
        </w:tc>
        <w:tc>
          <w:tcPr>
            <w:tcW w:w="480" w:type="dxa"/>
            <w:vAlign w:val="bottom"/>
            <w:tcBorders>
              <w:top w:val="single" w:sz="8" w:color="DCE2EF"/>
            </w:tcBorders>
            <w:shd w:val="clear" w:color="auto" w:fill="DCE2EF"/>
          </w:tcPr>
          <w:p>
            <w:pPr>
              <w:spacing w:after="0"/>
              <w:rPr>
                <w:sz w:val="2"/>
                <w:szCs w:val="2"/>
                <w:color w:val="auto"/>
              </w:rPr>
            </w:pPr>
          </w:p>
        </w:tc>
        <w:tc>
          <w:tcPr>
            <w:tcW w:w="80" w:type="dxa"/>
            <w:vAlign w:val="bottom"/>
            <w:tcBorders>
              <w:top w:val="single" w:sz="8" w:color="DCE2EF"/>
            </w:tcBorders>
            <w:shd w:val="clear" w:color="auto" w:fill="DCE2EF"/>
          </w:tcPr>
          <w:p>
            <w:pPr>
              <w:spacing w:after="0"/>
              <w:rPr>
                <w:sz w:val="2"/>
                <w:szCs w:val="2"/>
                <w:color w:val="auto"/>
              </w:rPr>
            </w:pPr>
          </w:p>
        </w:tc>
        <w:tc>
          <w:tcPr>
            <w:tcW w:w="120" w:type="dxa"/>
            <w:vAlign w:val="bottom"/>
            <w:tcBorders>
              <w:top w:val="single" w:sz="8" w:color="DCE2EF"/>
              <w:right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180" w:type="dxa"/>
            <w:vAlign w:val="bottom"/>
            <w:tcBorders>
              <w:top w:val="single" w:sz="8" w:color="DCE2EF"/>
            </w:tcBorders>
            <w:shd w:val="clear" w:color="auto" w:fill="DCE2EF"/>
          </w:tcPr>
          <w:p>
            <w:pPr>
              <w:spacing w:after="0"/>
              <w:rPr>
                <w:sz w:val="2"/>
                <w:szCs w:val="2"/>
                <w:color w:val="auto"/>
              </w:rPr>
            </w:pPr>
          </w:p>
        </w:tc>
        <w:tc>
          <w:tcPr>
            <w:tcW w:w="6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6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140" w:type="dxa"/>
            <w:vAlign w:val="bottom"/>
            <w:tcBorders>
              <w:top w:val="single" w:sz="8" w:color="DCE2EF"/>
            </w:tcBorders>
            <w:shd w:val="clear" w:color="auto" w:fill="DCE2EF"/>
          </w:tcPr>
          <w:p>
            <w:pPr>
              <w:spacing w:after="0"/>
              <w:rPr>
                <w:sz w:val="2"/>
                <w:szCs w:val="2"/>
                <w:color w:val="auto"/>
              </w:rPr>
            </w:pPr>
          </w:p>
        </w:tc>
        <w:tc>
          <w:tcPr>
            <w:tcW w:w="780" w:type="dxa"/>
            <w:vAlign w:val="bottom"/>
            <w:tcBorders>
              <w:top w:val="single" w:sz="8" w:color="DCE2EF"/>
            </w:tcBorders>
            <w:shd w:val="clear" w:color="auto" w:fill="DCE2EF"/>
          </w:tcPr>
          <w:p>
            <w:pPr>
              <w:spacing w:after="0"/>
              <w:rPr>
                <w:sz w:val="2"/>
                <w:szCs w:val="2"/>
                <w:color w:val="auto"/>
              </w:rPr>
            </w:pPr>
          </w:p>
        </w:tc>
        <w:tc>
          <w:tcPr>
            <w:tcW w:w="1360" w:type="dxa"/>
            <w:vAlign w:val="bottom"/>
            <w:tcBorders>
              <w:top w:val="single" w:sz="8" w:color="DCE2EF"/>
            </w:tcBorders>
            <w:shd w:val="clear" w:color="auto" w:fill="DCE2EF"/>
          </w:tcPr>
          <w:p>
            <w:pPr>
              <w:spacing w:after="0"/>
              <w:rPr>
                <w:sz w:val="2"/>
                <w:szCs w:val="2"/>
                <w:color w:val="auto"/>
              </w:rPr>
            </w:pPr>
          </w:p>
        </w:tc>
        <w:tc>
          <w:tcPr>
            <w:tcW w:w="1020" w:type="dxa"/>
            <w:vAlign w:val="bottom"/>
            <w:tcBorders>
              <w:top w:val="single" w:sz="8" w:color="DCE2EF"/>
            </w:tcBorders>
            <w:shd w:val="clear" w:color="auto" w:fill="DCE2EF"/>
          </w:tcPr>
          <w:p>
            <w:pPr>
              <w:spacing w:after="0"/>
              <w:rPr>
                <w:sz w:val="2"/>
                <w:szCs w:val="2"/>
                <w:color w:val="auto"/>
              </w:rPr>
            </w:pPr>
          </w:p>
        </w:tc>
        <w:tc>
          <w:tcPr>
            <w:tcW w:w="2180" w:type="dxa"/>
            <w:vAlign w:val="bottom"/>
            <w:tcBorders>
              <w:top w:val="single" w:sz="8" w:color="DCE2EF"/>
            </w:tcBorders>
            <w:shd w:val="clear" w:color="auto" w:fill="DCE2EF"/>
          </w:tcPr>
          <w:p>
            <w:pPr>
              <w:spacing w:after="0"/>
              <w:rPr>
                <w:sz w:val="2"/>
                <w:szCs w:val="2"/>
                <w:color w:val="auto"/>
              </w:rPr>
            </w:pPr>
          </w:p>
        </w:tc>
      </w:tr>
      <w:tr>
        <w:trPr>
          <w:trHeight w:val="203"/>
        </w:trPr>
        <w:tc>
          <w:tcPr>
            <w:tcW w:w="1300" w:type="dxa"/>
            <w:vAlign w:val="bottom"/>
          </w:tcPr>
          <w:p>
            <w:pPr>
              <w:ind w:left="40"/>
              <w:spacing w:after="0" w:line="202" w:lineRule="exact"/>
              <w:rPr>
                <w:sz w:val="20"/>
                <w:szCs w:val="20"/>
                <w:color w:val="auto"/>
              </w:rPr>
            </w:pPr>
            <w:r>
              <w:rPr>
                <w:rFonts w:ascii="Arial" w:cs="Arial" w:eastAsia="Arial" w:hAnsi="Arial"/>
                <w:sz w:val="18"/>
                <w:szCs w:val="18"/>
                <w:color w:val="auto"/>
              </w:rPr>
              <w:t>10.28*</w:t>
            </w:r>
          </w:p>
        </w:tc>
        <w:tc>
          <w:tcPr>
            <w:tcW w:w="4780" w:type="dxa"/>
            <w:vAlign w:val="bottom"/>
            <w:gridSpan w:val="37"/>
          </w:tcPr>
          <w:p>
            <w:pPr>
              <w:spacing w:after="0" w:line="202" w:lineRule="exact"/>
              <w:rPr>
                <w:rFonts w:ascii="Arial" w:cs="Arial" w:eastAsia="Arial" w:hAnsi="Arial"/>
                <w:sz w:val="18"/>
                <w:szCs w:val="18"/>
                <w:color w:val="0000FF"/>
              </w:rPr>
            </w:pPr>
            <w:hyperlink r:id="rId123">
              <w:r>
                <w:rPr>
                  <w:rFonts w:ascii="Arial" w:cs="Arial" w:eastAsia="Arial" w:hAnsi="Arial"/>
                  <w:sz w:val="18"/>
                  <w:szCs w:val="18"/>
                  <w:color w:val="0000FF"/>
                </w:rPr>
                <w:t>Change in Control Agreement, dated as of November 1,</w:t>
              </w:r>
            </w:hyperlink>
          </w:p>
        </w:tc>
        <w:tc>
          <w:tcPr>
            <w:tcW w:w="780" w:type="dxa"/>
            <w:vAlign w:val="bottom"/>
          </w:tcPr>
          <w:p>
            <w:pPr>
              <w:ind w:left="140"/>
              <w:spacing w:after="0" w:line="202" w:lineRule="exact"/>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rPr>
              <w:t>10.2</w:t>
            </w:r>
          </w:p>
        </w:tc>
        <w:tc>
          <w:tcPr>
            <w:tcW w:w="2180" w:type="dxa"/>
            <w:vAlign w:val="bottom"/>
          </w:tcPr>
          <w:p>
            <w:pPr>
              <w:jc w:val="center"/>
              <w:spacing w:after="0" w:line="202" w:lineRule="exact"/>
              <w:rPr>
                <w:sz w:val="20"/>
                <w:szCs w:val="20"/>
                <w:color w:val="auto"/>
              </w:rPr>
            </w:pPr>
            <w:r>
              <w:rPr>
                <w:rFonts w:ascii="Arial" w:cs="Arial" w:eastAsia="Arial" w:hAnsi="Arial"/>
                <w:sz w:val="18"/>
                <w:szCs w:val="18"/>
                <w:color w:val="auto"/>
              </w:rPr>
              <w:t>March 7, 2018</w:t>
            </w:r>
          </w:p>
        </w:tc>
      </w:tr>
      <w:tr>
        <w:trPr>
          <w:trHeight w:val="183"/>
        </w:trPr>
        <w:tc>
          <w:tcPr>
            <w:tcW w:w="1300" w:type="dxa"/>
            <w:vAlign w:val="bottom"/>
          </w:tcPr>
          <w:p>
            <w:pPr>
              <w:spacing w:after="0"/>
              <w:rPr>
                <w:sz w:val="15"/>
                <w:szCs w:val="15"/>
                <w:color w:val="auto"/>
              </w:rPr>
            </w:pPr>
          </w:p>
        </w:tc>
        <w:tc>
          <w:tcPr>
            <w:tcW w:w="4460" w:type="dxa"/>
            <w:vAlign w:val="bottom"/>
            <w:tcBorders>
              <w:top w:val="single" w:sz="8" w:color="0000FF"/>
              <w:bottom w:val="single" w:sz="8" w:color="0000FF"/>
            </w:tcBorders>
            <w:gridSpan w:val="30"/>
          </w:tcPr>
          <w:p>
            <w:pPr>
              <w:spacing w:after="0" w:line="182" w:lineRule="exact"/>
              <w:rPr>
                <w:rFonts w:ascii="Arial" w:cs="Arial" w:eastAsia="Arial" w:hAnsi="Arial"/>
                <w:sz w:val="18"/>
                <w:szCs w:val="18"/>
                <w:color w:val="0000FF"/>
                <w:w w:val="99"/>
              </w:rPr>
            </w:pPr>
            <w:hyperlink r:id="rId123">
              <w:r>
                <w:rPr>
                  <w:rFonts w:ascii="Arial" w:cs="Arial" w:eastAsia="Arial" w:hAnsi="Arial"/>
                  <w:sz w:val="18"/>
                  <w:szCs w:val="18"/>
                  <w:color w:val="0000FF"/>
                  <w:w w:val="99"/>
                </w:rPr>
                <w:t>2017, by and between ABM Industries Incorporated and</w:t>
              </w:r>
            </w:hyperlink>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83"/>
        </w:trPr>
        <w:tc>
          <w:tcPr>
            <w:tcW w:w="1300" w:type="dxa"/>
            <w:vAlign w:val="bottom"/>
          </w:tcPr>
          <w:p>
            <w:pPr>
              <w:spacing w:after="0"/>
              <w:rPr>
                <w:sz w:val="15"/>
                <w:szCs w:val="15"/>
                <w:color w:val="auto"/>
              </w:rPr>
            </w:pPr>
          </w:p>
        </w:tc>
        <w:tc>
          <w:tcPr>
            <w:tcW w:w="4480" w:type="dxa"/>
            <w:vAlign w:val="bottom"/>
            <w:gridSpan w:val="31"/>
          </w:tcPr>
          <w:p>
            <w:pPr>
              <w:spacing w:after="0" w:line="182" w:lineRule="exact"/>
              <w:rPr>
                <w:rFonts w:ascii="Arial" w:cs="Arial" w:eastAsia="Arial" w:hAnsi="Arial"/>
                <w:sz w:val="18"/>
                <w:szCs w:val="18"/>
                <w:color w:val="0000FF"/>
              </w:rPr>
            </w:pPr>
            <w:hyperlink r:id="rId123">
              <w:r>
                <w:rPr>
                  <w:rFonts w:ascii="Arial" w:cs="Arial" w:eastAsia="Arial" w:hAnsi="Arial"/>
                  <w:sz w:val="18"/>
                  <w:szCs w:val="18"/>
                  <w:color w:val="0000FF"/>
                </w:rPr>
                <w:t>Scott Giacobbe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34"/>
        </w:trPr>
        <w:tc>
          <w:tcPr>
            <w:tcW w:w="130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03"/>
        </w:trPr>
        <w:tc>
          <w:tcPr>
            <w:tcW w:w="1300" w:type="dxa"/>
            <w:vAlign w:val="bottom"/>
            <w:tcBorders>
              <w:bottom w:val="single" w:sz="8" w:color="DCE2EF"/>
            </w:tcBorders>
            <w:shd w:val="clear" w:color="auto" w:fill="DCE2EF"/>
          </w:tcPr>
          <w:p>
            <w:pPr>
              <w:ind w:left="40"/>
              <w:spacing w:after="0" w:line="202" w:lineRule="exact"/>
              <w:rPr>
                <w:sz w:val="20"/>
                <w:szCs w:val="20"/>
                <w:color w:val="auto"/>
              </w:rPr>
            </w:pPr>
            <w:r>
              <w:rPr>
                <w:rFonts w:ascii="Arial" w:cs="Arial" w:eastAsia="Arial" w:hAnsi="Arial"/>
                <w:sz w:val="18"/>
                <w:szCs w:val="18"/>
                <w:color w:val="auto"/>
              </w:rPr>
              <w:t>10.29*</w:t>
            </w:r>
          </w:p>
        </w:tc>
        <w:tc>
          <w:tcPr>
            <w:tcW w:w="3780" w:type="dxa"/>
            <w:vAlign w:val="bottom"/>
            <w:tcBorders>
              <w:bottom w:val="single" w:sz="8" w:color="0000FF"/>
            </w:tcBorders>
            <w:gridSpan w:val="16"/>
            <w:shd w:val="clear" w:color="auto" w:fill="DCE2EF"/>
          </w:tcPr>
          <w:p>
            <w:pPr>
              <w:spacing w:after="0" w:line="202" w:lineRule="exact"/>
              <w:rPr>
                <w:rFonts w:ascii="Arial" w:cs="Arial" w:eastAsia="Arial" w:hAnsi="Arial"/>
                <w:sz w:val="18"/>
                <w:szCs w:val="18"/>
                <w:color w:val="0000FF"/>
                <w:w w:val="99"/>
              </w:rPr>
            </w:pPr>
            <w:hyperlink r:id="rId124">
              <w:r>
                <w:rPr>
                  <w:rFonts w:ascii="Arial" w:cs="Arial" w:eastAsia="Arial" w:hAnsi="Arial"/>
                  <w:sz w:val="18"/>
                  <w:szCs w:val="18"/>
                  <w:color w:val="0000FF"/>
                  <w:w w:val="99"/>
                </w:rPr>
                <w:t>Amended and Restated Executive Employment</w:t>
              </w:r>
            </w:hyperlink>
          </w:p>
        </w:tc>
        <w:tc>
          <w:tcPr>
            <w:tcW w:w="1000" w:type="dxa"/>
            <w:vAlign w:val="bottom"/>
            <w:tcBorders>
              <w:bottom w:val="single" w:sz="8" w:color="DCE2EF"/>
            </w:tcBorders>
            <w:gridSpan w:val="21"/>
            <w:shd w:val="clear" w:color="auto" w:fill="DCE2EF"/>
          </w:tcPr>
          <w:p>
            <w:pPr>
              <w:spacing w:after="0"/>
              <w:rPr>
                <w:sz w:val="17"/>
                <w:szCs w:val="17"/>
                <w:color w:val="auto"/>
              </w:rPr>
            </w:pPr>
          </w:p>
        </w:tc>
        <w:tc>
          <w:tcPr>
            <w:tcW w:w="780" w:type="dxa"/>
            <w:vAlign w:val="bottom"/>
            <w:tcBorders>
              <w:bottom w:val="single" w:sz="8" w:color="DCE2EF"/>
            </w:tcBorders>
            <w:shd w:val="clear" w:color="auto" w:fill="DCE2EF"/>
          </w:tcPr>
          <w:p>
            <w:pPr>
              <w:ind w:left="160"/>
              <w:spacing w:after="0" w:line="202" w:lineRule="exact"/>
              <w:rPr>
                <w:sz w:val="20"/>
                <w:szCs w:val="20"/>
                <w:color w:val="auto"/>
              </w:rPr>
            </w:pPr>
            <w:r>
              <w:rPr>
                <w:rFonts w:ascii="Arial" w:cs="Arial" w:eastAsia="Arial" w:hAnsi="Arial"/>
                <w:sz w:val="18"/>
                <w:szCs w:val="18"/>
                <w:color w:val="auto"/>
              </w:rPr>
              <w:t>10-K</w:t>
            </w:r>
          </w:p>
        </w:tc>
        <w:tc>
          <w:tcPr>
            <w:tcW w:w="1360" w:type="dxa"/>
            <w:vAlign w:val="bottom"/>
            <w:tcBorders>
              <w:bottom w:val="single" w:sz="8" w:color="DCE2EF"/>
            </w:tcBorders>
            <w:shd w:val="clear" w:color="auto" w:fill="DCE2EF"/>
          </w:tcPr>
          <w:p>
            <w:pPr>
              <w:jc w:val="right"/>
              <w:ind w:right="190"/>
              <w:spacing w:after="0" w:line="202" w:lineRule="exact"/>
              <w:rPr>
                <w:sz w:val="20"/>
                <w:szCs w:val="20"/>
                <w:color w:val="auto"/>
              </w:rPr>
            </w:pPr>
            <w:r>
              <w:rPr>
                <w:rFonts w:ascii="Arial" w:cs="Arial" w:eastAsia="Arial" w:hAnsi="Arial"/>
                <w:sz w:val="18"/>
                <w:szCs w:val="18"/>
                <w:color w:val="auto"/>
              </w:rPr>
              <w:t>001-08929</w:t>
            </w:r>
          </w:p>
        </w:tc>
        <w:tc>
          <w:tcPr>
            <w:tcW w:w="1020" w:type="dxa"/>
            <w:vAlign w:val="bottom"/>
            <w:tcBorders>
              <w:bottom w:val="single" w:sz="8" w:color="DCE2EF"/>
            </w:tcBorders>
            <w:shd w:val="clear" w:color="auto" w:fill="DCE2EF"/>
          </w:tcPr>
          <w:p>
            <w:pPr>
              <w:jc w:val="center"/>
              <w:spacing w:after="0" w:line="202" w:lineRule="exact"/>
              <w:rPr>
                <w:sz w:val="20"/>
                <w:szCs w:val="20"/>
                <w:color w:val="auto"/>
              </w:rPr>
            </w:pPr>
            <w:r>
              <w:rPr>
                <w:rFonts w:ascii="Arial" w:cs="Arial" w:eastAsia="Arial" w:hAnsi="Arial"/>
                <w:sz w:val="18"/>
                <w:szCs w:val="18"/>
                <w:color w:val="auto"/>
                <w:w w:val="97"/>
              </w:rPr>
              <w:t>10.33</w:t>
            </w:r>
          </w:p>
        </w:tc>
        <w:tc>
          <w:tcPr>
            <w:tcW w:w="2180" w:type="dxa"/>
            <w:vAlign w:val="bottom"/>
            <w:tcBorders>
              <w:bottom w:val="single" w:sz="8" w:color="DCE2EF"/>
            </w:tcBorders>
            <w:shd w:val="clear" w:color="auto" w:fill="DCE2EF"/>
          </w:tcPr>
          <w:p>
            <w:pPr>
              <w:jc w:val="center"/>
              <w:spacing w:after="0" w:line="202" w:lineRule="exact"/>
              <w:rPr>
                <w:sz w:val="20"/>
                <w:szCs w:val="20"/>
                <w:color w:val="auto"/>
              </w:rPr>
            </w:pPr>
            <w:r>
              <w:rPr>
                <w:rFonts w:ascii="Arial" w:cs="Arial" w:eastAsia="Arial" w:hAnsi="Arial"/>
                <w:sz w:val="18"/>
                <w:szCs w:val="18"/>
                <w:color w:val="auto"/>
              </w:rPr>
              <w:t>December 22, 2017</w:t>
            </w:r>
          </w:p>
        </w:tc>
      </w:tr>
      <w:tr>
        <w:trPr>
          <w:trHeight w:val="183"/>
        </w:trPr>
        <w:tc>
          <w:tcPr>
            <w:tcW w:w="1300" w:type="dxa"/>
            <w:vAlign w:val="bottom"/>
            <w:shd w:val="clear" w:color="auto" w:fill="DCE2EF"/>
          </w:tcPr>
          <w:p>
            <w:pPr>
              <w:spacing w:after="0"/>
              <w:rPr>
                <w:sz w:val="15"/>
                <w:szCs w:val="15"/>
                <w:color w:val="auto"/>
              </w:rPr>
            </w:pPr>
          </w:p>
        </w:tc>
        <w:tc>
          <w:tcPr>
            <w:tcW w:w="4780" w:type="dxa"/>
            <w:vAlign w:val="bottom"/>
            <w:gridSpan w:val="37"/>
            <w:shd w:val="clear" w:color="auto" w:fill="DCE2EF"/>
          </w:tcPr>
          <w:p>
            <w:pPr>
              <w:spacing w:after="0" w:line="182" w:lineRule="exact"/>
              <w:rPr>
                <w:rFonts w:ascii="Arial" w:cs="Arial" w:eastAsia="Arial" w:hAnsi="Arial"/>
                <w:sz w:val="18"/>
                <w:szCs w:val="18"/>
                <w:color w:val="0000FF"/>
              </w:rPr>
            </w:pPr>
            <w:hyperlink r:id="rId124">
              <w:r>
                <w:rPr>
                  <w:rFonts w:ascii="Arial" w:cs="Arial" w:eastAsia="Arial" w:hAnsi="Arial"/>
                  <w:sz w:val="18"/>
                  <w:szCs w:val="18"/>
                  <w:color w:val="0000FF"/>
                </w:rPr>
                <w:t>Agreement, dated as of September 22, 2017, by and</w:t>
              </w:r>
            </w:hyperlink>
          </w:p>
        </w:tc>
        <w:tc>
          <w:tcPr>
            <w:tcW w:w="780" w:type="dxa"/>
            <w:vAlign w:val="bottom"/>
            <w:shd w:val="clear" w:color="auto" w:fill="DCE2EF"/>
          </w:tcPr>
          <w:p>
            <w:pPr>
              <w:spacing w:after="0"/>
              <w:rPr>
                <w:sz w:val="15"/>
                <w:szCs w:val="15"/>
                <w:color w:val="auto"/>
              </w:rPr>
            </w:pPr>
          </w:p>
        </w:tc>
        <w:tc>
          <w:tcPr>
            <w:tcW w:w="1360" w:type="dxa"/>
            <w:vAlign w:val="bottom"/>
            <w:shd w:val="clear" w:color="auto" w:fill="DCE2EF"/>
          </w:tcPr>
          <w:p>
            <w:pPr>
              <w:spacing w:after="0"/>
              <w:rPr>
                <w:sz w:val="15"/>
                <w:szCs w:val="15"/>
                <w:color w:val="auto"/>
              </w:rPr>
            </w:pPr>
          </w:p>
        </w:tc>
        <w:tc>
          <w:tcPr>
            <w:tcW w:w="1020" w:type="dxa"/>
            <w:vAlign w:val="bottom"/>
            <w:shd w:val="clear" w:color="auto" w:fill="DCE2EF"/>
          </w:tcPr>
          <w:p>
            <w:pPr>
              <w:spacing w:after="0"/>
              <w:rPr>
                <w:sz w:val="15"/>
                <w:szCs w:val="15"/>
                <w:color w:val="auto"/>
              </w:rPr>
            </w:pPr>
          </w:p>
        </w:tc>
        <w:tc>
          <w:tcPr>
            <w:tcW w:w="2180" w:type="dxa"/>
            <w:vAlign w:val="bottom"/>
            <w:shd w:val="clear" w:color="auto" w:fill="DCE2EF"/>
          </w:tcPr>
          <w:p>
            <w:pPr>
              <w:spacing w:after="0"/>
              <w:rPr>
                <w:sz w:val="15"/>
                <w:szCs w:val="15"/>
                <w:color w:val="auto"/>
              </w:rPr>
            </w:pPr>
          </w:p>
        </w:tc>
      </w:tr>
      <w:tr>
        <w:trPr>
          <w:trHeight w:val="183"/>
        </w:trPr>
        <w:tc>
          <w:tcPr>
            <w:tcW w:w="1300" w:type="dxa"/>
            <w:vAlign w:val="bottom"/>
            <w:tcBorders>
              <w:top w:val="single" w:sz="8" w:color="DCE2EF"/>
            </w:tcBorders>
            <w:shd w:val="clear" w:color="auto" w:fill="DCE2EF"/>
          </w:tcPr>
          <w:p>
            <w:pPr>
              <w:spacing w:after="0"/>
              <w:rPr>
                <w:sz w:val="15"/>
                <w:szCs w:val="15"/>
                <w:color w:val="auto"/>
              </w:rPr>
            </w:pPr>
          </w:p>
        </w:tc>
        <w:tc>
          <w:tcPr>
            <w:tcW w:w="4200" w:type="dxa"/>
            <w:vAlign w:val="bottom"/>
            <w:tcBorders>
              <w:top w:val="single" w:sz="8" w:color="0000FF"/>
            </w:tcBorders>
            <w:gridSpan w:val="20"/>
            <w:shd w:val="clear" w:color="auto" w:fill="DCE2EF"/>
          </w:tcPr>
          <w:p>
            <w:pPr>
              <w:spacing w:after="0" w:line="182" w:lineRule="exact"/>
              <w:rPr>
                <w:rFonts w:ascii="Arial" w:cs="Arial" w:eastAsia="Arial" w:hAnsi="Arial"/>
                <w:sz w:val="18"/>
                <w:szCs w:val="18"/>
                <w:color w:val="0000FF"/>
                <w:w w:val="97"/>
              </w:rPr>
            </w:pPr>
            <w:hyperlink r:id="rId124">
              <w:r>
                <w:rPr>
                  <w:rFonts w:ascii="Arial" w:cs="Arial" w:eastAsia="Arial" w:hAnsi="Arial"/>
                  <w:sz w:val="18"/>
                  <w:szCs w:val="18"/>
                  <w:color w:val="0000FF"/>
                  <w:w w:val="97"/>
                </w:rPr>
                <w:t>between ABM Industries Incorporated and D. Anthony</w:t>
              </w:r>
            </w:hyperlink>
          </w:p>
        </w:tc>
        <w:tc>
          <w:tcPr>
            <w:tcW w:w="60" w:type="dxa"/>
            <w:vAlign w:val="bottom"/>
            <w:tcBorders>
              <w:top w:val="single" w:sz="8" w:color="DCE2EF"/>
            </w:tcBorders>
            <w:shd w:val="clear" w:color="auto" w:fill="DCE2EF"/>
          </w:tcPr>
          <w:p>
            <w:pPr>
              <w:spacing w:after="0"/>
              <w:rPr>
                <w:sz w:val="15"/>
                <w:szCs w:val="15"/>
                <w:color w:val="auto"/>
              </w:rPr>
            </w:pPr>
          </w:p>
        </w:tc>
        <w:tc>
          <w:tcPr>
            <w:tcW w:w="80" w:type="dxa"/>
            <w:vAlign w:val="bottom"/>
            <w:tcBorders>
              <w:top w:val="single" w:sz="8" w:color="DCE2EF"/>
            </w:tcBorders>
            <w:gridSpan w:val="3"/>
            <w:shd w:val="clear" w:color="auto" w:fill="DCE2EF"/>
          </w:tcPr>
          <w:p>
            <w:pPr>
              <w:spacing w:after="0"/>
              <w:rPr>
                <w:sz w:val="15"/>
                <w:szCs w:val="15"/>
                <w:color w:val="auto"/>
              </w:rPr>
            </w:pPr>
          </w:p>
        </w:tc>
        <w:tc>
          <w:tcPr>
            <w:tcW w:w="80" w:type="dxa"/>
            <w:vAlign w:val="bottom"/>
            <w:tcBorders>
              <w:top w:val="single" w:sz="8" w:color="DCE2EF"/>
            </w:tcBorders>
            <w:gridSpan w:val="4"/>
            <w:shd w:val="clear" w:color="auto" w:fill="DCE2EF"/>
          </w:tcPr>
          <w:p>
            <w:pPr>
              <w:spacing w:after="0"/>
              <w:rPr>
                <w:sz w:val="15"/>
                <w:szCs w:val="15"/>
                <w:color w:val="auto"/>
              </w:rPr>
            </w:pPr>
          </w:p>
        </w:tc>
        <w:tc>
          <w:tcPr>
            <w:tcW w:w="20" w:type="dxa"/>
            <w:vAlign w:val="bottom"/>
            <w:tcBorders>
              <w:top w:val="single" w:sz="8" w:color="DCE2EF"/>
            </w:tcBorders>
            <w:shd w:val="clear" w:color="auto" w:fill="DCE2EF"/>
          </w:tcPr>
          <w:p>
            <w:pPr>
              <w:spacing w:after="0"/>
              <w:rPr>
                <w:sz w:val="15"/>
                <w:szCs w:val="15"/>
                <w:color w:val="auto"/>
              </w:rPr>
            </w:pPr>
          </w:p>
        </w:tc>
        <w:tc>
          <w:tcPr>
            <w:tcW w:w="60" w:type="dxa"/>
            <w:vAlign w:val="bottom"/>
            <w:tcBorders>
              <w:top w:val="single" w:sz="8" w:color="DCE2EF"/>
            </w:tcBorders>
            <w:gridSpan w:val="3"/>
            <w:shd w:val="clear" w:color="auto" w:fill="DCE2EF"/>
          </w:tcPr>
          <w:p>
            <w:pPr>
              <w:spacing w:after="0"/>
              <w:rPr>
                <w:sz w:val="15"/>
                <w:szCs w:val="15"/>
                <w:color w:val="auto"/>
              </w:rPr>
            </w:pPr>
          </w:p>
        </w:tc>
        <w:tc>
          <w:tcPr>
            <w:tcW w:w="20" w:type="dxa"/>
            <w:vAlign w:val="bottom"/>
            <w:tcBorders>
              <w:top w:val="single" w:sz="8" w:color="DCE2EF"/>
            </w:tcBorders>
            <w:shd w:val="clear" w:color="auto" w:fill="DCE2EF"/>
          </w:tcPr>
          <w:p>
            <w:pPr>
              <w:spacing w:after="0"/>
              <w:rPr>
                <w:sz w:val="15"/>
                <w:szCs w:val="15"/>
                <w:color w:val="auto"/>
              </w:rPr>
            </w:pPr>
          </w:p>
        </w:tc>
        <w:tc>
          <w:tcPr>
            <w:tcW w:w="60" w:type="dxa"/>
            <w:vAlign w:val="bottom"/>
            <w:tcBorders>
              <w:top w:val="single" w:sz="8" w:color="DCE2EF"/>
            </w:tcBorders>
            <w:shd w:val="clear" w:color="auto" w:fill="DCE2EF"/>
          </w:tcPr>
          <w:p>
            <w:pPr>
              <w:spacing w:after="0"/>
              <w:rPr>
                <w:sz w:val="15"/>
                <w:szCs w:val="15"/>
                <w:color w:val="auto"/>
              </w:rPr>
            </w:pPr>
          </w:p>
        </w:tc>
        <w:tc>
          <w:tcPr>
            <w:tcW w:w="40" w:type="dxa"/>
            <w:vAlign w:val="bottom"/>
            <w:tcBorders>
              <w:top w:val="single" w:sz="8" w:color="DCE2EF"/>
            </w:tcBorders>
            <w:shd w:val="clear" w:color="auto" w:fill="DCE2EF"/>
          </w:tcPr>
          <w:p>
            <w:pPr>
              <w:spacing w:after="0"/>
              <w:rPr>
                <w:sz w:val="15"/>
                <w:szCs w:val="15"/>
                <w:color w:val="auto"/>
              </w:rPr>
            </w:pPr>
          </w:p>
        </w:tc>
        <w:tc>
          <w:tcPr>
            <w:tcW w:w="160" w:type="dxa"/>
            <w:vAlign w:val="bottom"/>
            <w:tcBorders>
              <w:top w:val="single" w:sz="8" w:color="DCE2EF"/>
            </w:tcBorders>
            <w:gridSpan w:val="2"/>
            <w:shd w:val="clear" w:color="auto" w:fill="DCE2EF"/>
          </w:tcPr>
          <w:p>
            <w:pPr>
              <w:spacing w:after="0"/>
              <w:rPr>
                <w:sz w:val="15"/>
                <w:szCs w:val="15"/>
                <w:color w:val="auto"/>
              </w:rPr>
            </w:pPr>
          </w:p>
        </w:tc>
        <w:tc>
          <w:tcPr>
            <w:tcW w:w="780" w:type="dxa"/>
            <w:vAlign w:val="bottom"/>
            <w:tcBorders>
              <w:top w:val="single" w:sz="8" w:color="DCE2EF"/>
            </w:tcBorders>
            <w:shd w:val="clear" w:color="auto" w:fill="DCE2EF"/>
          </w:tcPr>
          <w:p>
            <w:pPr>
              <w:spacing w:after="0"/>
              <w:rPr>
                <w:sz w:val="15"/>
                <w:szCs w:val="15"/>
                <w:color w:val="auto"/>
              </w:rPr>
            </w:pPr>
          </w:p>
        </w:tc>
        <w:tc>
          <w:tcPr>
            <w:tcW w:w="1360" w:type="dxa"/>
            <w:vAlign w:val="bottom"/>
            <w:tcBorders>
              <w:top w:val="single" w:sz="8" w:color="DCE2EF"/>
            </w:tcBorders>
            <w:shd w:val="clear" w:color="auto" w:fill="DCE2EF"/>
          </w:tcPr>
          <w:p>
            <w:pPr>
              <w:spacing w:after="0"/>
              <w:rPr>
                <w:sz w:val="15"/>
                <w:szCs w:val="15"/>
                <w:color w:val="auto"/>
              </w:rPr>
            </w:pPr>
          </w:p>
        </w:tc>
        <w:tc>
          <w:tcPr>
            <w:tcW w:w="1020" w:type="dxa"/>
            <w:vAlign w:val="bottom"/>
            <w:tcBorders>
              <w:top w:val="single" w:sz="8" w:color="DCE2EF"/>
            </w:tcBorders>
            <w:shd w:val="clear" w:color="auto" w:fill="DCE2EF"/>
          </w:tcPr>
          <w:p>
            <w:pPr>
              <w:spacing w:after="0"/>
              <w:rPr>
                <w:sz w:val="15"/>
                <w:szCs w:val="15"/>
                <w:color w:val="auto"/>
              </w:rPr>
            </w:pPr>
          </w:p>
        </w:tc>
        <w:tc>
          <w:tcPr>
            <w:tcW w:w="2180" w:type="dxa"/>
            <w:vAlign w:val="bottom"/>
            <w:tcBorders>
              <w:top w:val="single" w:sz="8" w:color="DCE2EF"/>
            </w:tcBorders>
            <w:shd w:val="clear" w:color="auto" w:fill="DCE2EF"/>
          </w:tcPr>
          <w:p>
            <w:pPr>
              <w:spacing w:after="0"/>
              <w:rPr>
                <w:sz w:val="15"/>
                <w:szCs w:val="15"/>
                <w:color w:val="auto"/>
              </w:rPr>
            </w:pPr>
          </w:p>
        </w:tc>
      </w:tr>
      <w:tr>
        <w:trPr>
          <w:trHeight w:val="217"/>
        </w:trPr>
        <w:tc>
          <w:tcPr>
            <w:tcW w:w="1300" w:type="dxa"/>
            <w:vAlign w:val="bottom"/>
            <w:tcBorders>
              <w:top w:val="single" w:sz="8" w:color="DCE2EF"/>
              <w:bottom w:val="single" w:sz="8" w:color="DCE2EF"/>
            </w:tcBorders>
            <w:shd w:val="clear" w:color="auto" w:fill="DCE2EF"/>
          </w:tcPr>
          <w:p>
            <w:pPr>
              <w:spacing w:after="0"/>
              <w:rPr>
                <w:sz w:val="18"/>
                <w:szCs w:val="18"/>
                <w:color w:val="auto"/>
              </w:rPr>
            </w:pPr>
          </w:p>
        </w:tc>
        <w:tc>
          <w:tcPr>
            <w:tcW w:w="800" w:type="dxa"/>
            <w:vAlign w:val="bottom"/>
            <w:tcBorders>
              <w:top w:val="single" w:sz="8" w:color="0000FF"/>
              <w:bottom w:val="single" w:sz="8" w:color="0000FF"/>
            </w:tcBorders>
            <w:gridSpan w:val="3"/>
            <w:shd w:val="clear" w:color="auto" w:fill="DCE2EF"/>
          </w:tcPr>
          <w:p>
            <w:pPr>
              <w:spacing w:after="0" w:line="182" w:lineRule="exact"/>
              <w:rPr>
                <w:rFonts w:ascii="Arial" w:cs="Arial" w:eastAsia="Arial" w:hAnsi="Arial"/>
                <w:sz w:val="18"/>
                <w:szCs w:val="18"/>
                <w:color w:val="0000FF"/>
                <w:w w:val="98"/>
              </w:rPr>
            </w:pPr>
            <w:hyperlink r:id="rId124">
              <w:r>
                <w:rPr>
                  <w:rFonts w:ascii="Arial" w:cs="Arial" w:eastAsia="Arial" w:hAnsi="Arial"/>
                  <w:sz w:val="18"/>
                  <w:szCs w:val="18"/>
                  <w:color w:val="0000FF"/>
                  <w:w w:val="98"/>
                </w:rPr>
                <w:t>Scaglione</w:t>
              </w:r>
            </w:hyperlink>
          </w:p>
        </w:tc>
        <w:tc>
          <w:tcPr>
            <w:tcW w:w="3500" w:type="dxa"/>
            <w:vAlign w:val="bottom"/>
            <w:tcBorders>
              <w:top w:val="single" w:sz="8" w:color="0000FF"/>
              <w:bottom w:val="single" w:sz="8" w:color="DCE2EF"/>
            </w:tcBorders>
            <w:gridSpan w:val="19"/>
            <w:shd w:val="clear" w:color="auto" w:fill="DCE2EF"/>
          </w:tcPr>
          <w:p>
            <w:pPr>
              <w:spacing w:after="0"/>
              <w:rPr>
                <w:sz w:val="18"/>
                <w:szCs w:val="18"/>
                <w:color w:val="auto"/>
              </w:rPr>
            </w:pPr>
          </w:p>
        </w:tc>
        <w:tc>
          <w:tcPr>
            <w:tcW w:w="40" w:type="dxa"/>
            <w:vAlign w:val="bottom"/>
            <w:tcBorders>
              <w:top w:val="single" w:sz="8" w:color="DCE2EF"/>
              <w:bottom w:val="single" w:sz="8" w:color="DCE2EF"/>
            </w:tcBorders>
            <w:gridSpan w:val="2"/>
            <w:shd w:val="clear" w:color="auto" w:fill="DCE2EF"/>
          </w:tcPr>
          <w:p>
            <w:pPr>
              <w:spacing w:after="0"/>
              <w:rPr>
                <w:sz w:val="18"/>
                <w:szCs w:val="18"/>
                <w:color w:val="auto"/>
              </w:rPr>
            </w:pPr>
          </w:p>
        </w:tc>
        <w:tc>
          <w:tcPr>
            <w:tcW w:w="80" w:type="dxa"/>
            <w:vAlign w:val="bottom"/>
            <w:tcBorders>
              <w:top w:val="single" w:sz="8" w:color="DCE2EF"/>
              <w:bottom w:val="single" w:sz="8" w:color="DCE2EF"/>
            </w:tcBorders>
            <w:gridSpan w:val="4"/>
            <w:shd w:val="clear" w:color="auto" w:fill="DCE2EF"/>
          </w:tcPr>
          <w:p>
            <w:pPr>
              <w:spacing w:after="0"/>
              <w:rPr>
                <w:sz w:val="18"/>
                <w:szCs w:val="18"/>
                <w:color w:val="auto"/>
              </w:rPr>
            </w:pPr>
          </w:p>
        </w:tc>
        <w:tc>
          <w:tcPr>
            <w:tcW w:w="20" w:type="dxa"/>
            <w:vAlign w:val="bottom"/>
            <w:tcBorders>
              <w:top w:val="single" w:sz="8" w:color="DCE2EF"/>
              <w:bottom w:val="single" w:sz="8" w:color="DCE2EF"/>
            </w:tcBorders>
            <w:shd w:val="clear" w:color="auto" w:fill="DCE2EF"/>
          </w:tcPr>
          <w:p>
            <w:pPr>
              <w:spacing w:after="0"/>
              <w:rPr>
                <w:sz w:val="18"/>
                <w:szCs w:val="18"/>
                <w:color w:val="auto"/>
              </w:rPr>
            </w:pPr>
          </w:p>
        </w:tc>
        <w:tc>
          <w:tcPr>
            <w:tcW w:w="60" w:type="dxa"/>
            <w:vAlign w:val="bottom"/>
            <w:tcBorders>
              <w:top w:val="single" w:sz="8" w:color="DCE2EF"/>
              <w:bottom w:val="single" w:sz="8" w:color="DCE2EF"/>
            </w:tcBorders>
            <w:gridSpan w:val="3"/>
            <w:shd w:val="clear" w:color="auto" w:fill="DCE2EF"/>
          </w:tcPr>
          <w:p>
            <w:pPr>
              <w:spacing w:after="0"/>
              <w:rPr>
                <w:sz w:val="18"/>
                <w:szCs w:val="18"/>
                <w:color w:val="auto"/>
              </w:rPr>
            </w:pPr>
          </w:p>
        </w:tc>
        <w:tc>
          <w:tcPr>
            <w:tcW w:w="20" w:type="dxa"/>
            <w:vAlign w:val="bottom"/>
            <w:tcBorders>
              <w:top w:val="single" w:sz="8" w:color="DCE2EF"/>
              <w:bottom w:val="single" w:sz="8" w:color="DCE2EF"/>
            </w:tcBorders>
            <w:shd w:val="clear" w:color="auto" w:fill="DCE2EF"/>
          </w:tcPr>
          <w:p>
            <w:pPr>
              <w:spacing w:after="0"/>
              <w:rPr>
                <w:sz w:val="18"/>
                <w:szCs w:val="18"/>
                <w:color w:val="auto"/>
              </w:rPr>
            </w:pPr>
          </w:p>
        </w:tc>
        <w:tc>
          <w:tcPr>
            <w:tcW w:w="60" w:type="dxa"/>
            <w:vAlign w:val="bottom"/>
            <w:tcBorders>
              <w:top w:val="single" w:sz="8" w:color="DCE2EF"/>
              <w:bottom w:val="single" w:sz="8" w:color="DCE2EF"/>
            </w:tcBorders>
            <w:shd w:val="clear" w:color="auto" w:fill="DCE2EF"/>
          </w:tcPr>
          <w:p>
            <w:pPr>
              <w:spacing w:after="0"/>
              <w:rPr>
                <w:sz w:val="18"/>
                <w:szCs w:val="18"/>
                <w:color w:val="auto"/>
              </w:rPr>
            </w:pPr>
          </w:p>
        </w:tc>
        <w:tc>
          <w:tcPr>
            <w:tcW w:w="40" w:type="dxa"/>
            <w:vAlign w:val="bottom"/>
            <w:tcBorders>
              <w:top w:val="single" w:sz="8" w:color="DCE2EF"/>
              <w:bottom w:val="single" w:sz="8" w:color="DCE2EF"/>
            </w:tcBorders>
            <w:shd w:val="clear" w:color="auto" w:fill="DCE2EF"/>
          </w:tcPr>
          <w:p>
            <w:pPr>
              <w:spacing w:after="0"/>
              <w:rPr>
                <w:sz w:val="18"/>
                <w:szCs w:val="18"/>
                <w:color w:val="auto"/>
              </w:rPr>
            </w:pPr>
          </w:p>
        </w:tc>
        <w:tc>
          <w:tcPr>
            <w:tcW w:w="160" w:type="dxa"/>
            <w:vAlign w:val="bottom"/>
            <w:tcBorders>
              <w:top w:val="single" w:sz="8" w:color="DCE2EF"/>
              <w:bottom w:val="single" w:sz="8" w:color="DCE2EF"/>
            </w:tcBorders>
            <w:gridSpan w:val="2"/>
            <w:shd w:val="clear" w:color="auto" w:fill="DCE2EF"/>
          </w:tcPr>
          <w:p>
            <w:pPr>
              <w:spacing w:after="0"/>
              <w:rPr>
                <w:sz w:val="18"/>
                <w:szCs w:val="18"/>
                <w:color w:val="auto"/>
              </w:rPr>
            </w:pPr>
          </w:p>
        </w:tc>
        <w:tc>
          <w:tcPr>
            <w:tcW w:w="780" w:type="dxa"/>
            <w:vAlign w:val="bottom"/>
            <w:tcBorders>
              <w:top w:val="single" w:sz="8" w:color="DCE2EF"/>
              <w:bottom w:val="single" w:sz="8" w:color="DCE2EF"/>
            </w:tcBorders>
            <w:shd w:val="clear" w:color="auto" w:fill="DCE2EF"/>
          </w:tcPr>
          <w:p>
            <w:pPr>
              <w:spacing w:after="0"/>
              <w:rPr>
                <w:sz w:val="18"/>
                <w:szCs w:val="18"/>
                <w:color w:val="auto"/>
              </w:rPr>
            </w:pPr>
          </w:p>
        </w:tc>
        <w:tc>
          <w:tcPr>
            <w:tcW w:w="1360" w:type="dxa"/>
            <w:vAlign w:val="bottom"/>
            <w:tcBorders>
              <w:top w:val="single" w:sz="8" w:color="DCE2EF"/>
              <w:bottom w:val="single" w:sz="8" w:color="DCE2EF"/>
            </w:tcBorders>
            <w:shd w:val="clear" w:color="auto" w:fill="DCE2EF"/>
          </w:tcPr>
          <w:p>
            <w:pPr>
              <w:spacing w:after="0"/>
              <w:rPr>
                <w:sz w:val="18"/>
                <w:szCs w:val="18"/>
                <w:color w:val="auto"/>
              </w:rPr>
            </w:pPr>
          </w:p>
        </w:tc>
        <w:tc>
          <w:tcPr>
            <w:tcW w:w="1020" w:type="dxa"/>
            <w:vAlign w:val="bottom"/>
            <w:tcBorders>
              <w:top w:val="single" w:sz="8" w:color="DCE2EF"/>
              <w:bottom w:val="single" w:sz="8" w:color="DCE2EF"/>
            </w:tcBorders>
            <w:shd w:val="clear" w:color="auto" w:fill="DCE2EF"/>
          </w:tcPr>
          <w:p>
            <w:pPr>
              <w:spacing w:after="0"/>
              <w:rPr>
                <w:sz w:val="18"/>
                <w:szCs w:val="18"/>
                <w:color w:val="auto"/>
              </w:rPr>
            </w:pPr>
          </w:p>
        </w:tc>
        <w:tc>
          <w:tcPr>
            <w:tcW w:w="2180" w:type="dxa"/>
            <w:vAlign w:val="bottom"/>
            <w:tcBorders>
              <w:top w:val="single" w:sz="8" w:color="DCE2EF"/>
              <w:bottom w:val="single" w:sz="8" w:color="DCE2EF"/>
            </w:tcBorders>
            <w:shd w:val="clear" w:color="auto" w:fill="DCE2EF"/>
          </w:tcPr>
          <w:p>
            <w:pPr>
              <w:spacing w:after="0"/>
              <w:rPr>
                <w:sz w:val="18"/>
                <w:szCs w:val="18"/>
                <w:color w:val="auto"/>
              </w:rPr>
            </w:pPr>
          </w:p>
        </w:tc>
      </w:tr>
      <w:tr>
        <w:trPr>
          <w:trHeight w:val="203"/>
        </w:trPr>
        <w:tc>
          <w:tcPr>
            <w:tcW w:w="1300" w:type="dxa"/>
            <w:vAlign w:val="bottom"/>
          </w:tcPr>
          <w:p>
            <w:pPr>
              <w:ind w:left="40"/>
              <w:spacing w:after="0" w:line="202" w:lineRule="exact"/>
              <w:rPr>
                <w:sz w:val="20"/>
                <w:szCs w:val="20"/>
                <w:color w:val="auto"/>
              </w:rPr>
            </w:pPr>
            <w:r>
              <w:rPr>
                <w:rFonts w:ascii="Arial" w:cs="Arial" w:eastAsia="Arial" w:hAnsi="Arial"/>
                <w:sz w:val="18"/>
                <w:szCs w:val="18"/>
                <w:color w:val="auto"/>
              </w:rPr>
              <w:t>10.30*</w:t>
            </w:r>
          </w:p>
        </w:tc>
        <w:tc>
          <w:tcPr>
            <w:tcW w:w="4780" w:type="dxa"/>
            <w:vAlign w:val="bottom"/>
            <w:gridSpan w:val="37"/>
          </w:tcPr>
          <w:p>
            <w:pPr>
              <w:spacing w:after="0" w:line="202" w:lineRule="exact"/>
              <w:rPr>
                <w:rFonts w:ascii="Arial" w:cs="Arial" w:eastAsia="Arial" w:hAnsi="Arial"/>
                <w:sz w:val="18"/>
                <w:szCs w:val="18"/>
                <w:color w:val="0000FF"/>
              </w:rPr>
            </w:pPr>
            <w:hyperlink r:id="rId125">
              <w:r>
                <w:rPr>
                  <w:rFonts w:ascii="Arial" w:cs="Arial" w:eastAsia="Arial" w:hAnsi="Arial"/>
                  <w:sz w:val="18"/>
                  <w:szCs w:val="18"/>
                  <w:color w:val="0000FF"/>
                </w:rPr>
                <w:t>Amended and Restated Change in Control Agreement,</w:t>
              </w:r>
            </w:hyperlink>
          </w:p>
        </w:tc>
        <w:tc>
          <w:tcPr>
            <w:tcW w:w="780" w:type="dxa"/>
            <w:vAlign w:val="bottom"/>
          </w:tcPr>
          <w:p>
            <w:pPr>
              <w:ind w:left="160"/>
              <w:spacing w:after="0" w:line="202" w:lineRule="exact"/>
              <w:rPr>
                <w:sz w:val="20"/>
                <w:szCs w:val="20"/>
                <w:color w:val="auto"/>
              </w:rPr>
            </w:pPr>
            <w:r>
              <w:rPr>
                <w:rFonts w:ascii="Arial" w:cs="Arial" w:eastAsia="Arial" w:hAnsi="Arial"/>
                <w:sz w:val="18"/>
                <w:szCs w:val="18"/>
                <w:color w:val="auto"/>
              </w:rPr>
              <w:t>10-K</w:t>
            </w:r>
          </w:p>
        </w:tc>
        <w:tc>
          <w:tcPr>
            <w:tcW w:w="13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97"/>
              </w:rPr>
              <w:t>10.34</w:t>
            </w:r>
          </w:p>
        </w:tc>
        <w:tc>
          <w:tcPr>
            <w:tcW w:w="2180" w:type="dxa"/>
            <w:vAlign w:val="bottom"/>
          </w:tcPr>
          <w:p>
            <w:pPr>
              <w:jc w:val="center"/>
              <w:spacing w:after="0" w:line="202" w:lineRule="exact"/>
              <w:rPr>
                <w:sz w:val="20"/>
                <w:szCs w:val="20"/>
                <w:color w:val="auto"/>
              </w:rPr>
            </w:pPr>
            <w:r>
              <w:rPr>
                <w:rFonts w:ascii="Arial" w:cs="Arial" w:eastAsia="Arial" w:hAnsi="Arial"/>
                <w:sz w:val="18"/>
                <w:szCs w:val="18"/>
                <w:color w:val="auto"/>
              </w:rPr>
              <w:t>December 22, 2017</w:t>
            </w:r>
          </w:p>
        </w:tc>
      </w:tr>
      <w:tr>
        <w:trPr>
          <w:trHeight w:val="183"/>
        </w:trPr>
        <w:tc>
          <w:tcPr>
            <w:tcW w:w="1300" w:type="dxa"/>
            <w:vAlign w:val="bottom"/>
          </w:tcPr>
          <w:p>
            <w:pPr>
              <w:spacing w:after="0"/>
              <w:rPr>
                <w:sz w:val="15"/>
                <w:szCs w:val="15"/>
                <w:color w:val="auto"/>
              </w:rPr>
            </w:pPr>
          </w:p>
        </w:tc>
        <w:tc>
          <w:tcPr>
            <w:tcW w:w="4380" w:type="dxa"/>
            <w:vAlign w:val="bottom"/>
            <w:tcBorders>
              <w:top w:val="single" w:sz="8" w:color="0000FF"/>
            </w:tcBorders>
            <w:gridSpan w:val="26"/>
          </w:tcPr>
          <w:p>
            <w:pPr>
              <w:spacing w:after="0" w:line="182" w:lineRule="exact"/>
              <w:rPr>
                <w:rFonts w:ascii="Arial" w:cs="Arial" w:eastAsia="Arial" w:hAnsi="Arial"/>
                <w:sz w:val="18"/>
                <w:szCs w:val="18"/>
                <w:color w:val="0000FF"/>
                <w:w w:val="99"/>
              </w:rPr>
            </w:pPr>
            <w:hyperlink r:id="rId125">
              <w:r>
                <w:rPr>
                  <w:rFonts w:ascii="Arial" w:cs="Arial" w:eastAsia="Arial" w:hAnsi="Arial"/>
                  <w:sz w:val="18"/>
                  <w:szCs w:val="18"/>
                  <w:color w:val="0000FF"/>
                  <w:w w:val="99"/>
                </w:rPr>
                <w:t>dated as of September 22, 2017, by and between ABM</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83"/>
        </w:trPr>
        <w:tc>
          <w:tcPr>
            <w:tcW w:w="1300" w:type="dxa"/>
            <w:vAlign w:val="bottom"/>
          </w:tcPr>
          <w:p>
            <w:pPr>
              <w:spacing w:after="0"/>
              <w:rPr>
                <w:sz w:val="15"/>
                <w:szCs w:val="15"/>
                <w:color w:val="auto"/>
              </w:rPr>
            </w:pPr>
          </w:p>
        </w:tc>
        <w:tc>
          <w:tcPr>
            <w:tcW w:w="4400" w:type="dxa"/>
            <w:vAlign w:val="bottom"/>
            <w:tcBorders>
              <w:top w:val="single" w:sz="8" w:color="0000FF"/>
            </w:tcBorders>
            <w:gridSpan w:val="27"/>
          </w:tcPr>
          <w:p>
            <w:pPr>
              <w:spacing w:after="0" w:line="182" w:lineRule="exact"/>
              <w:rPr>
                <w:rFonts w:ascii="Arial" w:cs="Arial" w:eastAsia="Arial" w:hAnsi="Arial"/>
                <w:sz w:val="18"/>
                <w:szCs w:val="18"/>
                <w:color w:val="0000FF"/>
              </w:rPr>
            </w:pPr>
            <w:hyperlink r:id="rId125">
              <w:r>
                <w:rPr>
                  <w:rFonts w:ascii="Arial" w:cs="Arial" w:eastAsia="Arial" w:hAnsi="Arial"/>
                  <w:sz w:val="18"/>
                  <w:szCs w:val="18"/>
                  <w:color w:val="0000FF"/>
                </w:rPr>
                <w:t>Industries Incorporated and D. Anthony Scaglione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34"/>
        </w:trPr>
        <w:tc>
          <w:tcPr>
            <w:tcW w:w="130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03"/>
        </w:trPr>
        <w:tc>
          <w:tcPr>
            <w:tcW w:w="1300" w:type="dxa"/>
            <w:vAlign w:val="bottom"/>
            <w:shd w:val="clear" w:color="auto" w:fill="DCE2EF"/>
          </w:tcPr>
          <w:p>
            <w:pPr>
              <w:ind w:left="40"/>
              <w:spacing w:after="0" w:line="202" w:lineRule="exact"/>
              <w:rPr>
                <w:sz w:val="20"/>
                <w:szCs w:val="20"/>
                <w:color w:val="auto"/>
              </w:rPr>
            </w:pPr>
            <w:r>
              <w:rPr>
                <w:rFonts w:ascii="Arial" w:cs="Arial" w:eastAsia="Arial" w:hAnsi="Arial"/>
                <w:sz w:val="18"/>
                <w:szCs w:val="18"/>
                <w:color w:val="auto"/>
              </w:rPr>
              <w:t>10.31*</w:t>
            </w:r>
          </w:p>
        </w:tc>
        <w:tc>
          <w:tcPr>
            <w:tcW w:w="4780" w:type="dxa"/>
            <w:vAlign w:val="bottom"/>
            <w:gridSpan w:val="37"/>
            <w:shd w:val="clear" w:color="auto" w:fill="DCE2EF"/>
          </w:tcPr>
          <w:p>
            <w:pPr>
              <w:spacing w:after="0" w:line="202" w:lineRule="exact"/>
              <w:rPr>
                <w:rFonts w:ascii="Arial" w:cs="Arial" w:eastAsia="Arial" w:hAnsi="Arial"/>
                <w:sz w:val="18"/>
                <w:szCs w:val="18"/>
                <w:color w:val="0000FF"/>
              </w:rPr>
            </w:pPr>
            <w:hyperlink r:id="rId126">
              <w:r>
                <w:rPr>
                  <w:rFonts w:ascii="Arial" w:cs="Arial" w:eastAsia="Arial" w:hAnsi="Arial"/>
                  <w:sz w:val="18"/>
                  <w:szCs w:val="18"/>
                  <w:color w:val="0000FF"/>
                </w:rPr>
                <w:t>Executive Employment Agreement, dated as of January</w:t>
              </w:r>
            </w:hyperlink>
          </w:p>
        </w:tc>
        <w:tc>
          <w:tcPr>
            <w:tcW w:w="780" w:type="dxa"/>
            <w:vAlign w:val="bottom"/>
            <w:shd w:val="clear" w:color="auto" w:fill="DCE2EF"/>
          </w:tcPr>
          <w:p>
            <w:pPr>
              <w:ind w:left="140"/>
              <w:spacing w:after="0" w:line="202" w:lineRule="exact"/>
              <w:rPr>
                <w:sz w:val="20"/>
                <w:szCs w:val="20"/>
                <w:color w:val="auto"/>
              </w:rPr>
            </w:pPr>
            <w:r>
              <w:rPr>
                <w:rFonts w:ascii="Arial" w:cs="Arial" w:eastAsia="Arial" w:hAnsi="Arial"/>
                <w:sz w:val="18"/>
                <w:szCs w:val="18"/>
                <w:color w:val="auto"/>
              </w:rPr>
              <w:t>10-Q</w:t>
            </w:r>
          </w:p>
        </w:tc>
        <w:tc>
          <w:tcPr>
            <w:tcW w:w="1360" w:type="dxa"/>
            <w:vAlign w:val="bottom"/>
            <w:shd w:val="clear" w:color="auto" w:fill="DCE2EF"/>
          </w:tcPr>
          <w:p>
            <w:pPr>
              <w:jc w:val="right"/>
              <w:ind w:right="190"/>
              <w:spacing w:after="0" w:line="202" w:lineRule="exact"/>
              <w:rPr>
                <w:sz w:val="20"/>
                <w:szCs w:val="20"/>
                <w:color w:val="auto"/>
              </w:rPr>
            </w:pPr>
            <w:r>
              <w:rPr>
                <w:rFonts w:ascii="Arial" w:cs="Arial" w:eastAsia="Arial" w:hAnsi="Arial"/>
                <w:sz w:val="18"/>
                <w:szCs w:val="18"/>
                <w:color w:val="auto"/>
              </w:rPr>
              <w:t>001-08929</w:t>
            </w:r>
          </w:p>
        </w:tc>
        <w:tc>
          <w:tcPr>
            <w:tcW w:w="1020" w:type="dxa"/>
            <w:vAlign w:val="bottom"/>
            <w:shd w:val="clear" w:color="auto" w:fill="DCE2EF"/>
          </w:tcPr>
          <w:p>
            <w:pPr>
              <w:jc w:val="center"/>
              <w:spacing w:after="0" w:line="202" w:lineRule="exact"/>
              <w:rPr>
                <w:sz w:val="20"/>
                <w:szCs w:val="20"/>
                <w:color w:val="auto"/>
              </w:rPr>
            </w:pPr>
            <w:r>
              <w:rPr>
                <w:rFonts w:ascii="Arial" w:cs="Arial" w:eastAsia="Arial" w:hAnsi="Arial"/>
                <w:sz w:val="18"/>
                <w:szCs w:val="18"/>
                <w:color w:val="auto"/>
              </w:rPr>
              <w:t>10.3</w:t>
            </w:r>
          </w:p>
        </w:tc>
        <w:tc>
          <w:tcPr>
            <w:tcW w:w="2180" w:type="dxa"/>
            <w:vAlign w:val="bottom"/>
            <w:shd w:val="clear" w:color="auto" w:fill="DCE2EF"/>
          </w:tcPr>
          <w:p>
            <w:pPr>
              <w:jc w:val="center"/>
              <w:spacing w:after="0" w:line="202" w:lineRule="exact"/>
              <w:rPr>
                <w:sz w:val="20"/>
                <w:szCs w:val="20"/>
                <w:color w:val="auto"/>
              </w:rPr>
            </w:pPr>
            <w:r>
              <w:rPr>
                <w:rFonts w:ascii="Arial" w:cs="Arial" w:eastAsia="Arial" w:hAnsi="Arial"/>
                <w:sz w:val="18"/>
                <w:szCs w:val="18"/>
                <w:color w:val="auto"/>
              </w:rPr>
              <w:t>March 7, 2018</w:t>
            </w:r>
          </w:p>
        </w:tc>
      </w:tr>
      <w:tr>
        <w:trPr>
          <w:trHeight w:val="183"/>
        </w:trPr>
        <w:tc>
          <w:tcPr>
            <w:tcW w:w="1300" w:type="dxa"/>
            <w:vAlign w:val="bottom"/>
            <w:tcBorders>
              <w:top w:val="single" w:sz="8" w:color="DCE2EF"/>
            </w:tcBorders>
            <w:shd w:val="clear" w:color="auto" w:fill="DCE2EF"/>
          </w:tcPr>
          <w:p>
            <w:pPr>
              <w:spacing w:after="0"/>
              <w:rPr>
                <w:sz w:val="15"/>
                <w:szCs w:val="15"/>
                <w:color w:val="auto"/>
              </w:rPr>
            </w:pPr>
          </w:p>
        </w:tc>
        <w:tc>
          <w:tcPr>
            <w:tcW w:w="4440" w:type="dxa"/>
            <w:vAlign w:val="bottom"/>
            <w:tcBorders>
              <w:top w:val="single" w:sz="8" w:color="0000FF"/>
            </w:tcBorders>
            <w:gridSpan w:val="29"/>
            <w:shd w:val="clear" w:color="auto" w:fill="DCE2EF"/>
          </w:tcPr>
          <w:p>
            <w:pPr>
              <w:spacing w:after="0" w:line="182" w:lineRule="exact"/>
              <w:rPr>
                <w:rFonts w:ascii="Arial" w:cs="Arial" w:eastAsia="Arial" w:hAnsi="Arial"/>
                <w:sz w:val="18"/>
                <w:szCs w:val="18"/>
                <w:color w:val="0000FF"/>
              </w:rPr>
            </w:pPr>
            <w:hyperlink r:id="rId126">
              <w:r>
                <w:rPr>
                  <w:rFonts w:ascii="Arial" w:cs="Arial" w:eastAsia="Arial" w:hAnsi="Arial"/>
                  <w:sz w:val="18"/>
                  <w:szCs w:val="18"/>
                  <w:color w:val="0000FF"/>
                </w:rPr>
                <w:t>1, 2018, by and between ABM Industries Incorporated</w:t>
              </w:r>
            </w:hyperlink>
          </w:p>
        </w:tc>
        <w:tc>
          <w:tcPr>
            <w:tcW w:w="60" w:type="dxa"/>
            <w:vAlign w:val="bottom"/>
            <w:tcBorders>
              <w:top w:val="single" w:sz="8" w:color="DCE2EF"/>
            </w:tcBorders>
            <w:gridSpan w:val="3"/>
            <w:shd w:val="clear" w:color="auto" w:fill="DCE2EF"/>
          </w:tcPr>
          <w:p>
            <w:pPr>
              <w:spacing w:after="0"/>
              <w:rPr>
                <w:sz w:val="15"/>
                <w:szCs w:val="15"/>
                <w:color w:val="auto"/>
              </w:rPr>
            </w:pPr>
          </w:p>
        </w:tc>
        <w:tc>
          <w:tcPr>
            <w:tcW w:w="20" w:type="dxa"/>
            <w:vAlign w:val="bottom"/>
            <w:tcBorders>
              <w:top w:val="single" w:sz="8" w:color="DCE2EF"/>
            </w:tcBorders>
            <w:shd w:val="clear" w:color="auto" w:fill="DCE2EF"/>
          </w:tcPr>
          <w:p>
            <w:pPr>
              <w:spacing w:after="0"/>
              <w:rPr>
                <w:sz w:val="15"/>
                <w:szCs w:val="15"/>
                <w:color w:val="auto"/>
              </w:rPr>
            </w:pPr>
          </w:p>
        </w:tc>
        <w:tc>
          <w:tcPr>
            <w:tcW w:w="60" w:type="dxa"/>
            <w:vAlign w:val="bottom"/>
            <w:tcBorders>
              <w:top w:val="single" w:sz="8" w:color="DCE2EF"/>
            </w:tcBorders>
            <w:shd w:val="clear" w:color="auto" w:fill="DCE2EF"/>
          </w:tcPr>
          <w:p>
            <w:pPr>
              <w:spacing w:after="0"/>
              <w:rPr>
                <w:sz w:val="15"/>
                <w:szCs w:val="15"/>
                <w:color w:val="auto"/>
              </w:rPr>
            </w:pPr>
          </w:p>
        </w:tc>
        <w:tc>
          <w:tcPr>
            <w:tcW w:w="40" w:type="dxa"/>
            <w:vAlign w:val="bottom"/>
            <w:tcBorders>
              <w:top w:val="single" w:sz="8" w:color="DCE2EF"/>
            </w:tcBorders>
            <w:shd w:val="clear" w:color="auto" w:fill="DCE2EF"/>
          </w:tcPr>
          <w:p>
            <w:pPr>
              <w:spacing w:after="0"/>
              <w:rPr>
                <w:sz w:val="15"/>
                <w:szCs w:val="15"/>
                <w:color w:val="auto"/>
              </w:rPr>
            </w:pPr>
          </w:p>
        </w:tc>
        <w:tc>
          <w:tcPr>
            <w:tcW w:w="160" w:type="dxa"/>
            <w:vAlign w:val="bottom"/>
            <w:tcBorders>
              <w:top w:val="single" w:sz="8" w:color="DCE2EF"/>
            </w:tcBorders>
            <w:gridSpan w:val="2"/>
            <w:shd w:val="clear" w:color="auto" w:fill="DCE2EF"/>
          </w:tcPr>
          <w:p>
            <w:pPr>
              <w:spacing w:after="0"/>
              <w:rPr>
                <w:sz w:val="15"/>
                <w:szCs w:val="15"/>
                <w:color w:val="auto"/>
              </w:rPr>
            </w:pPr>
          </w:p>
        </w:tc>
        <w:tc>
          <w:tcPr>
            <w:tcW w:w="780" w:type="dxa"/>
            <w:vAlign w:val="bottom"/>
            <w:tcBorders>
              <w:top w:val="single" w:sz="8" w:color="DCE2EF"/>
            </w:tcBorders>
            <w:shd w:val="clear" w:color="auto" w:fill="DCE2EF"/>
          </w:tcPr>
          <w:p>
            <w:pPr>
              <w:spacing w:after="0"/>
              <w:rPr>
                <w:sz w:val="15"/>
                <w:szCs w:val="15"/>
                <w:color w:val="auto"/>
              </w:rPr>
            </w:pPr>
          </w:p>
        </w:tc>
        <w:tc>
          <w:tcPr>
            <w:tcW w:w="1360" w:type="dxa"/>
            <w:vAlign w:val="bottom"/>
            <w:tcBorders>
              <w:top w:val="single" w:sz="8" w:color="DCE2EF"/>
            </w:tcBorders>
            <w:shd w:val="clear" w:color="auto" w:fill="DCE2EF"/>
          </w:tcPr>
          <w:p>
            <w:pPr>
              <w:spacing w:after="0"/>
              <w:rPr>
                <w:sz w:val="15"/>
                <w:szCs w:val="15"/>
                <w:color w:val="auto"/>
              </w:rPr>
            </w:pPr>
          </w:p>
        </w:tc>
        <w:tc>
          <w:tcPr>
            <w:tcW w:w="1020" w:type="dxa"/>
            <w:vAlign w:val="bottom"/>
            <w:tcBorders>
              <w:top w:val="single" w:sz="8" w:color="DCE2EF"/>
            </w:tcBorders>
            <w:shd w:val="clear" w:color="auto" w:fill="DCE2EF"/>
          </w:tcPr>
          <w:p>
            <w:pPr>
              <w:spacing w:after="0"/>
              <w:rPr>
                <w:sz w:val="15"/>
                <w:szCs w:val="15"/>
                <w:color w:val="auto"/>
              </w:rPr>
            </w:pPr>
          </w:p>
        </w:tc>
        <w:tc>
          <w:tcPr>
            <w:tcW w:w="2180" w:type="dxa"/>
            <w:vAlign w:val="bottom"/>
            <w:tcBorders>
              <w:top w:val="single" w:sz="8" w:color="DCE2EF"/>
            </w:tcBorders>
            <w:shd w:val="clear" w:color="auto" w:fill="DCE2EF"/>
          </w:tcPr>
          <w:p>
            <w:pPr>
              <w:spacing w:after="0"/>
              <w:rPr>
                <w:sz w:val="15"/>
                <w:szCs w:val="15"/>
                <w:color w:val="auto"/>
              </w:rPr>
            </w:pPr>
          </w:p>
        </w:tc>
      </w:tr>
      <w:tr>
        <w:trPr>
          <w:trHeight w:val="183"/>
        </w:trPr>
        <w:tc>
          <w:tcPr>
            <w:tcW w:w="1300" w:type="dxa"/>
            <w:vAlign w:val="bottom"/>
            <w:tcBorders>
              <w:top w:val="single" w:sz="8" w:color="DCE2EF"/>
            </w:tcBorders>
            <w:shd w:val="clear" w:color="auto" w:fill="DCE2EF"/>
          </w:tcPr>
          <w:p>
            <w:pPr>
              <w:spacing w:after="0"/>
              <w:rPr>
                <w:sz w:val="15"/>
                <w:szCs w:val="15"/>
                <w:color w:val="auto"/>
              </w:rPr>
            </w:pPr>
          </w:p>
        </w:tc>
        <w:tc>
          <w:tcPr>
            <w:tcW w:w="4300" w:type="dxa"/>
            <w:vAlign w:val="bottom"/>
            <w:tcBorders>
              <w:top w:val="single" w:sz="8" w:color="0000FF"/>
            </w:tcBorders>
            <w:gridSpan w:val="22"/>
            <w:shd w:val="clear" w:color="auto" w:fill="DCE2EF"/>
          </w:tcPr>
          <w:p>
            <w:pPr>
              <w:spacing w:after="0" w:line="182" w:lineRule="exact"/>
              <w:rPr>
                <w:rFonts w:ascii="Arial" w:cs="Arial" w:eastAsia="Arial" w:hAnsi="Arial"/>
                <w:sz w:val="18"/>
                <w:szCs w:val="18"/>
                <w:color w:val="0000FF"/>
              </w:rPr>
            </w:pPr>
            <w:hyperlink r:id="rId126">
              <w:r>
                <w:rPr>
                  <w:rFonts w:ascii="Arial" w:cs="Arial" w:eastAsia="Arial" w:hAnsi="Arial"/>
                  <w:sz w:val="18"/>
                  <w:szCs w:val="18"/>
                  <w:color w:val="0000FF"/>
                </w:rPr>
                <w:t>and Rene Jacobsen</w:t>
              </w:r>
            </w:hyperlink>
          </w:p>
        </w:tc>
        <w:tc>
          <w:tcPr>
            <w:tcW w:w="40" w:type="dxa"/>
            <w:vAlign w:val="bottom"/>
            <w:tcBorders>
              <w:top w:val="single" w:sz="8" w:color="DCE2EF"/>
            </w:tcBorders>
            <w:gridSpan w:val="2"/>
            <w:shd w:val="clear" w:color="auto" w:fill="DCE2EF"/>
          </w:tcPr>
          <w:p>
            <w:pPr>
              <w:spacing w:after="0"/>
              <w:rPr>
                <w:sz w:val="15"/>
                <w:szCs w:val="15"/>
                <w:color w:val="auto"/>
              </w:rPr>
            </w:pPr>
          </w:p>
        </w:tc>
        <w:tc>
          <w:tcPr>
            <w:tcW w:w="80" w:type="dxa"/>
            <w:vAlign w:val="bottom"/>
            <w:tcBorders>
              <w:top w:val="single" w:sz="8" w:color="DCE2EF"/>
            </w:tcBorders>
            <w:gridSpan w:val="4"/>
            <w:shd w:val="clear" w:color="auto" w:fill="DCE2EF"/>
          </w:tcPr>
          <w:p>
            <w:pPr>
              <w:spacing w:after="0"/>
              <w:rPr>
                <w:sz w:val="15"/>
                <w:szCs w:val="15"/>
                <w:color w:val="auto"/>
              </w:rPr>
            </w:pPr>
          </w:p>
        </w:tc>
        <w:tc>
          <w:tcPr>
            <w:tcW w:w="80" w:type="dxa"/>
            <w:vAlign w:val="bottom"/>
            <w:tcBorders>
              <w:top w:val="single" w:sz="8" w:color="DCE2EF"/>
            </w:tcBorders>
            <w:gridSpan w:val="4"/>
            <w:shd w:val="clear" w:color="auto" w:fill="DCE2EF"/>
          </w:tcPr>
          <w:p>
            <w:pPr>
              <w:spacing w:after="0"/>
              <w:rPr>
                <w:sz w:val="15"/>
                <w:szCs w:val="15"/>
                <w:color w:val="auto"/>
              </w:rPr>
            </w:pPr>
          </w:p>
        </w:tc>
        <w:tc>
          <w:tcPr>
            <w:tcW w:w="20" w:type="dxa"/>
            <w:vAlign w:val="bottom"/>
            <w:tcBorders>
              <w:top w:val="single" w:sz="8" w:color="DCE2EF"/>
            </w:tcBorders>
            <w:shd w:val="clear" w:color="auto" w:fill="DCE2EF"/>
          </w:tcPr>
          <w:p>
            <w:pPr>
              <w:spacing w:after="0"/>
              <w:rPr>
                <w:sz w:val="15"/>
                <w:szCs w:val="15"/>
                <w:color w:val="auto"/>
              </w:rPr>
            </w:pPr>
          </w:p>
        </w:tc>
        <w:tc>
          <w:tcPr>
            <w:tcW w:w="60" w:type="dxa"/>
            <w:vAlign w:val="bottom"/>
            <w:tcBorders>
              <w:top w:val="single" w:sz="8" w:color="DCE2EF"/>
            </w:tcBorders>
            <w:shd w:val="clear" w:color="auto" w:fill="DCE2EF"/>
          </w:tcPr>
          <w:p>
            <w:pPr>
              <w:spacing w:after="0"/>
              <w:rPr>
                <w:sz w:val="15"/>
                <w:szCs w:val="15"/>
                <w:color w:val="auto"/>
              </w:rPr>
            </w:pPr>
          </w:p>
        </w:tc>
        <w:tc>
          <w:tcPr>
            <w:tcW w:w="40" w:type="dxa"/>
            <w:vAlign w:val="bottom"/>
            <w:tcBorders>
              <w:top w:val="single" w:sz="8" w:color="DCE2EF"/>
            </w:tcBorders>
            <w:shd w:val="clear" w:color="auto" w:fill="DCE2EF"/>
          </w:tcPr>
          <w:p>
            <w:pPr>
              <w:spacing w:after="0"/>
              <w:rPr>
                <w:sz w:val="15"/>
                <w:szCs w:val="15"/>
                <w:color w:val="auto"/>
              </w:rPr>
            </w:pPr>
          </w:p>
        </w:tc>
        <w:tc>
          <w:tcPr>
            <w:tcW w:w="160" w:type="dxa"/>
            <w:vAlign w:val="bottom"/>
            <w:tcBorders>
              <w:top w:val="single" w:sz="8" w:color="DCE2EF"/>
            </w:tcBorders>
            <w:gridSpan w:val="2"/>
            <w:shd w:val="clear" w:color="auto" w:fill="DCE2EF"/>
          </w:tcPr>
          <w:p>
            <w:pPr>
              <w:spacing w:after="0"/>
              <w:rPr>
                <w:sz w:val="15"/>
                <w:szCs w:val="15"/>
                <w:color w:val="auto"/>
              </w:rPr>
            </w:pPr>
          </w:p>
        </w:tc>
        <w:tc>
          <w:tcPr>
            <w:tcW w:w="780" w:type="dxa"/>
            <w:vAlign w:val="bottom"/>
            <w:tcBorders>
              <w:top w:val="single" w:sz="8" w:color="DCE2EF"/>
            </w:tcBorders>
            <w:shd w:val="clear" w:color="auto" w:fill="DCE2EF"/>
          </w:tcPr>
          <w:p>
            <w:pPr>
              <w:spacing w:after="0"/>
              <w:rPr>
                <w:sz w:val="15"/>
                <w:szCs w:val="15"/>
                <w:color w:val="auto"/>
              </w:rPr>
            </w:pPr>
          </w:p>
        </w:tc>
        <w:tc>
          <w:tcPr>
            <w:tcW w:w="1360" w:type="dxa"/>
            <w:vAlign w:val="bottom"/>
            <w:tcBorders>
              <w:top w:val="single" w:sz="8" w:color="DCE2EF"/>
            </w:tcBorders>
            <w:shd w:val="clear" w:color="auto" w:fill="DCE2EF"/>
          </w:tcPr>
          <w:p>
            <w:pPr>
              <w:spacing w:after="0"/>
              <w:rPr>
                <w:sz w:val="15"/>
                <w:szCs w:val="15"/>
                <w:color w:val="auto"/>
              </w:rPr>
            </w:pPr>
          </w:p>
        </w:tc>
        <w:tc>
          <w:tcPr>
            <w:tcW w:w="1020" w:type="dxa"/>
            <w:vAlign w:val="bottom"/>
            <w:tcBorders>
              <w:top w:val="single" w:sz="8" w:color="DCE2EF"/>
            </w:tcBorders>
            <w:shd w:val="clear" w:color="auto" w:fill="DCE2EF"/>
          </w:tcPr>
          <w:p>
            <w:pPr>
              <w:spacing w:after="0"/>
              <w:rPr>
                <w:sz w:val="15"/>
                <w:szCs w:val="15"/>
                <w:color w:val="auto"/>
              </w:rPr>
            </w:pPr>
          </w:p>
        </w:tc>
        <w:tc>
          <w:tcPr>
            <w:tcW w:w="2180" w:type="dxa"/>
            <w:vAlign w:val="bottom"/>
            <w:tcBorders>
              <w:top w:val="single" w:sz="8" w:color="DCE2EF"/>
            </w:tcBorders>
            <w:shd w:val="clear" w:color="auto" w:fill="DCE2EF"/>
          </w:tcPr>
          <w:p>
            <w:pPr>
              <w:spacing w:after="0"/>
              <w:rPr>
                <w:sz w:val="15"/>
                <w:szCs w:val="15"/>
                <w:color w:val="auto"/>
              </w:rPr>
            </w:pPr>
          </w:p>
        </w:tc>
      </w:tr>
      <w:tr>
        <w:trPr>
          <w:trHeight w:val="34"/>
        </w:trPr>
        <w:tc>
          <w:tcPr>
            <w:tcW w:w="1300" w:type="dxa"/>
            <w:vAlign w:val="bottom"/>
            <w:tcBorders>
              <w:top w:val="single" w:sz="8" w:color="DCE2EF"/>
            </w:tcBorders>
            <w:shd w:val="clear" w:color="auto" w:fill="DCE2EF"/>
          </w:tcPr>
          <w:p>
            <w:pPr>
              <w:spacing w:after="0"/>
              <w:rPr>
                <w:sz w:val="2"/>
                <w:szCs w:val="2"/>
                <w:color w:val="auto"/>
              </w:rPr>
            </w:pPr>
          </w:p>
        </w:tc>
        <w:tc>
          <w:tcPr>
            <w:tcW w:w="360" w:type="dxa"/>
            <w:vAlign w:val="bottom"/>
            <w:tcBorders>
              <w:top w:val="single" w:sz="8" w:color="0000FF"/>
            </w:tcBorders>
            <w:shd w:val="clear" w:color="auto" w:fill="DCE2EF"/>
          </w:tcPr>
          <w:p>
            <w:pPr>
              <w:spacing w:after="0"/>
              <w:rPr>
                <w:sz w:val="2"/>
                <w:szCs w:val="2"/>
                <w:color w:val="auto"/>
              </w:rPr>
            </w:pPr>
          </w:p>
        </w:tc>
        <w:tc>
          <w:tcPr>
            <w:tcW w:w="360" w:type="dxa"/>
            <w:vAlign w:val="bottom"/>
            <w:tcBorders>
              <w:top w:val="single" w:sz="8" w:color="0000FF"/>
            </w:tcBorders>
            <w:shd w:val="clear" w:color="auto" w:fill="DCE2EF"/>
          </w:tcPr>
          <w:p>
            <w:pPr>
              <w:spacing w:after="0"/>
              <w:rPr>
                <w:sz w:val="2"/>
                <w:szCs w:val="2"/>
                <w:color w:val="auto"/>
              </w:rPr>
            </w:pPr>
          </w:p>
        </w:tc>
        <w:tc>
          <w:tcPr>
            <w:tcW w:w="80" w:type="dxa"/>
            <w:vAlign w:val="bottom"/>
            <w:tcBorders>
              <w:top w:val="single" w:sz="8" w:color="0000FF"/>
            </w:tcBorders>
            <w:shd w:val="clear" w:color="auto" w:fill="DCE2EF"/>
          </w:tcPr>
          <w:p>
            <w:pPr>
              <w:spacing w:after="0"/>
              <w:rPr>
                <w:sz w:val="2"/>
                <w:szCs w:val="2"/>
                <w:color w:val="auto"/>
              </w:rPr>
            </w:pPr>
          </w:p>
        </w:tc>
        <w:tc>
          <w:tcPr>
            <w:tcW w:w="240" w:type="dxa"/>
            <w:vAlign w:val="bottom"/>
            <w:tcBorders>
              <w:top w:val="single" w:sz="8" w:color="0000FF"/>
            </w:tcBorders>
            <w:shd w:val="clear" w:color="auto" w:fill="DCE2EF"/>
          </w:tcPr>
          <w:p>
            <w:pPr>
              <w:spacing w:after="0"/>
              <w:rPr>
                <w:sz w:val="2"/>
                <w:szCs w:val="2"/>
                <w:color w:val="auto"/>
              </w:rPr>
            </w:pPr>
          </w:p>
        </w:tc>
        <w:tc>
          <w:tcPr>
            <w:tcW w:w="200" w:type="dxa"/>
            <w:vAlign w:val="bottom"/>
            <w:tcBorders>
              <w:top w:val="single" w:sz="8" w:color="0000FF"/>
            </w:tcBorders>
            <w:shd w:val="clear" w:color="auto" w:fill="DCE2EF"/>
          </w:tcPr>
          <w:p>
            <w:pPr>
              <w:spacing w:after="0"/>
              <w:rPr>
                <w:sz w:val="2"/>
                <w:szCs w:val="2"/>
                <w:color w:val="auto"/>
              </w:rPr>
            </w:pPr>
          </w:p>
        </w:tc>
        <w:tc>
          <w:tcPr>
            <w:tcW w:w="20" w:type="dxa"/>
            <w:vAlign w:val="bottom"/>
            <w:tcBorders>
              <w:top w:val="single" w:sz="8" w:color="0000FF"/>
            </w:tcBorders>
            <w:shd w:val="clear" w:color="auto" w:fill="DCE2EF"/>
          </w:tcPr>
          <w:p>
            <w:pPr>
              <w:spacing w:after="0"/>
              <w:rPr>
                <w:sz w:val="2"/>
                <w:szCs w:val="2"/>
                <w:color w:val="auto"/>
              </w:rPr>
            </w:pPr>
          </w:p>
        </w:tc>
        <w:tc>
          <w:tcPr>
            <w:tcW w:w="100" w:type="dxa"/>
            <w:vAlign w:val="bottom"/>
            <w:tcBorders>
              <w:top w:val="single" w:sz="8" w:color="0000FF"/>
            </w:tcBorders>
            <w:shd w:val="clear" w:color="auto" w:fill="DCE2EF"/>
          </w:tcPr>
          <w:p>
            <w:pPr>
              <w:spacing w:after="0"/>
              <w:rPr>
                <w:sz w:val="2"/>
                <w:szCs w:val="2"/>
                <w:color w:val="auto"/>
              </w:rPr>
            </w:pPr>
          </w:p>
        </w:tc>
        <w:tc>
          <w:tcPr>
            <w:tcW w:w="220" w:type="dxa"/>
            <w:vAlign w:val="bottom"/>
            <w:tcBorders>
              <w:top w:val="single" w:sz="8" w:color="0000FF"/>
            </w:tcBorders>
            <w:shd w:val="clear" w:color="auto" w:fill="DCE2EF"/>
          </w:tcPr>
          <w:p>
            <w:pPr>
              <w:spacing w:after="0"/>
              <w:rPr>
                <w:sz w:val="2"/>
                <w:szCs w:val="2"/>
                <w:color w:val="auto"/>
              </w:rPr>
            </w:pPr>
          </w:p>
        </w:tc>
        <w:tc>
          <w:tcPr>
            <w:tcW w:w="20" w:type="dxa"/>
            <w:vAlign w:val="bottom"/>
            <w:tcBorders>
              <w:top w:val="single" w:sz="8" w:color="0000FF"/>
            </w:tcBorders>
            <w:shd w:val="clear" w:color="auto" w:fill="DCE2EF"/>
          </w:tcPr>
          <w:p>
            <w:pPr>
              <w:spacing w:after="0"/>
              <w:rPr>
                <w:sz w:val="2"/>
                <w:szCs w:val="2"/>
                <w:color w:val="auto"/>
              </w:rPr>
            </w:pPr>
          </w:p>
        </w:tc>
        <w:tc>
          <w:tcPr>
            <w:tcW w:w="240" w:type="dxa"/>
            <w:vAlign w:val="bottom"/>
            <w:tcBorders>
              <w:top w:val="single" w:sz="8" w:color="DCE2EF"/>
            </w:tcBorders>
            <w:shd w:val="clear" w:color="auto" w:fill="DCE2EF"/>
          </w:tcPr>
          <w:p>
            <w:pPr>
              <w:spacing w:after="0"/>
              <w:rPr>
                <w:sz w:val="2"/>
                <w:szCs w:val="2"/>
                <w:color w:val="auto"/>
              </w:rPr>
            </w:pPr>
          </w:p>
        </w:tc>
        <w:tc>
          <w:tcPr>
            <w:tcW w:w="80" w:type="dxa"/>
            <w:vAlign w:val="bottom"/>
            <w:tcBorders>
              <w:top w:val="single" w:sz="8" w:color="DCE2EF"/>
            </w:tcBorders>
            <w:shd w:val="clear" w:color="auto" w:fill="DCE2EF"/>
          </w:tcPr>
          <w:p>
            <w:pPr>
              <w:spacing w:after="0"/>
              <w:rPr>
                <w:sz w:val="2"/>
                <w:szCs w:val="2"/>
                <w:color w:val="auto"/>
              </w:rPr>
            </w:pPr>
          </w:p>
        </w:tc>
        <w:tc>
          <w:tcPr>
            <w:tcW w:w="180" w:type="dxa"/>
            <w:vAlign w:val="bottom"/>
            <w:tcBorders>
              <w:top w:val="single" w:sz="8" w:color="DCE2EF"/>
            </w:tcBorders>
            <w:shd w:val="clear" w:color="auto" w:fill="DCE2EF"/>
          </w:tcPr>
          <w:p>
            <w:pPr>
              <w:spacing w:after="0"/>
              <w:rPr>
                <w:sz w:val="2"/>
                <w:szCs w:val="2"/>
                <w:color w:val="auto"/>
              </w:rPr>
            </w:pPr>
          </w:p>
        </w:tc>
        <w:tc>
          <w:tcPr>
            <w:tcW w:w="160" w:type="dxa"/>
            <w:vAlign w:val="bottom"/>
            <w:tcBorders>
              <w:top w:val="single" w:sz="8" w:color="DCE2EF"/>
            </w:tcBorders>
            <w:shd w:val="clear" w:color="auto" w:fill="DCE2EF"/>
          </w:tcPr>
          <w:p>
            <w:pPr>
              <w:spacing w:after="0"/>
              <w:rPr>
                <w:sz w:val="2"/>
                <w:szCs w:val="2"/>
                <w:color w:val="auto"/>
              </w:rPr>
            </w:pPr>
          </w:p>
        </w:tc>
        <w:tc>
          <w:tcPr>
            <w:tcW w:w="100" w:type="dxa"/>
            <w:vAlign w:val="bottom"/>
            <w:tcBorders>
              <w:top w:val="single" w:sz="8" w:color="DCE2EF"/>
            </w:tcBorders>
            <w:shd w:val="clear" w:color="auto" w:fill="DCE2EF"/>
          </w:tcPr>
          <w:p>
            <w:pPr>
              <w:spacing w:after="0"/>
              <w:rPr>
                <w:sz w:val="2"/>
                <w:szCs w:val="2"/>
                <w:color w:val="auto"/>
              </w:rPr>
            </w:pPr>
          </w:p>
        </w:tc>
        <w:tc>
          <w:tcPr>
            <w:tcW w:w="940" w:type="dxa"/>
            <w:vAlign w:val="bottom"/>
            <w:tcBorders>
              <w:top w:val="single" w:sz="8" w:color="DCE2EF"/>
            </w:tcBorders>
            <w:shd w:val="clear" w:color="auto" w:fill="DCE2EF"/>
          </w:tcPr>
          <w:p>
            <w:pPr>
              <w:spacing w:after="0"/>
              <w:rPr>
                <w:sz w:val="2"/>
                <w:szCs w:val="2"/>
                <w:color w:val="auto"/>
              </w:rPr>
            </w:pPr>
          </w:p>
        </w:tc>
        <w:tc>
          <w:tcPr>
            <w:tcW w:w="480" w:type="dxa"/>
            <w:vAlign w:val="bottom"/>
            <w:tcBorders>
              <w:top w:val="single" w:sz="8" w:color="DCE2EF"/>
            </w:tcBorders>
            <w:shd w:val="clear" w:color="auto" w:fill="DCE2EF"/>
          </w:tcPr>
          <w:p>
            <w:pPr>
              <w:spacing w:after="0"/>
              <w:rPr>
                <w:sz w:val="2"/>
                <w:szCs w:val="2"/>
                <w:color w:val="auto"/>
              </w:rPr>
            </w:pPr>
          </w:p>
        </w:tc>
        <w:tc>
          <w:tcPr>
            <w:tcW w:w="80" w:type="dxa"/>
            <w:vAlign w:val="bottom"/>
            <w:tcBorders>
              <w:top w:val="single" w:sz="8" w:color="DCE2EF"/>
            </w:tcBorders>
            <w:shd w:val="clear" w:color="auto" w:fill="DCE2EF"/>
          </w:tcPr>
          <w:p>
            <w:pPr>
              <w:spacing w:after="0"/>
              <w:rPr>
                <w:sz w:val="2"/>
                <w:szCs w:val="2"/>
                <w:color w:val="auto"/>
              </w:rPr>
            </w:pPr>
          </w:p>
        </w:tc>
        <w:tc>
          <w:tcPr>
            <w:tcW w:w="120" w:type="dxa"/>
            <w:vAlign w:val="bottom"/>
            <w:tcBorders>
              <w:top w:val="single" w:sz="8" w:color="DCE2EF"/>
              <w:right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180" w:type="dxa"/>
            <w:vAlign w:val="bottom"/>
            <w:tcBorders>
              <w:top w:val="single" w:sz="8" w:color="DCE2EF"/>
            </w:tcBorders>
            <w:shd w:val="clear" w:color="auto" w:fill="DCE2EF"/>
          </w:tcPr>
          <w:p>
            <w:pPr>
              <w:spacing w:after="0"/>
              <w:rPr>
                <w:sz w:val="2"/>
                <w:szCs w:val="2"/>
                <w:color w:val="auto"/>
              </w:rPr>
            </w:pPr>
          </w:p>
        </w:tc>
        <w:tc>
          <w:tcPr>
            <w:tcW w:w="6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6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140" w:type="dxa"/>
            <w:vAlign w:val="bottom"/>
            <w:tcBorders>
              <w:top w:val="single" w:sz="8" w:color="DCE2EF"/>
            </w:tcBorders>
            <w:shd w:val="clear" w:color="auto" w:fill="DCE2EF"/>
          </w:tcPr>
          <w:p>
            <w:pPr>
              <w:spacing w:after="0"/>
              <w:rPr>
                <w:sz w:val="2"/>
                <w:szCs w:val="2"/>
                <w:color w:val="auto"/>
              </w:rPr>
            </w:pPr>
          </w:p>
        </w:tc>
        <w:tc>
          <w:tcPr>
            <w:tcW w:w="780" w:type="dxa"/>
            <w:vAlign w:val="bottom"/>
            <w:tcBorders>
              <w:top w:val="single" w:sz="8" w:color="DCE2EF"/>
            </w:tcBorders>
            <w:shd w:val="clear" w:color="auto" w:fill="DCE2EF"/>
          </w:tcPr>
          <w:p>
            <w:pPr>
              <w:spacing w:after="0"/>
              <w:rPr>
                <w:sz w:val="2"/>
                <w:szCs w:val="2"/>
                <w:color w:val="auto"/>
              </w:rPr>
            </w:pPr>
          </w:p>
        </w:tc>
        <w:tc>
          <w:tcPr>
            <w:tcW w:w="1360" w:type="dxa"/>
            <w:vAlign w:val="bottom"/>
            <w:tcBorders>
              <w:top w:val="single" w:sz="8" w:color="DCE2EF"/>
            </w:tcBorders>
            <w:shd w:val="clear" w:color="auto" w:fill="DCE2EF"/>
          </w:tcPr>
          <w:p>
            <w:pPr>
              <w:spacing w:after="0"/>
              <w:rPr>
                <w:sz w:val="2"/>
                <w:szCs w:val="2"/>
                <w:color w:val="auto"/>
              </w:rPr>
            </w:pPr>
          </w:p>
        </w:tc>
        <w:tc>
          <w:tcPr>
            <w:tcW w:w="1020" w:type="dxa"/>
            <w:vAlign w:val="bottom"/>
            <w:tcBorders>
              <w:top w:val="single" w:sz="8" w:color="DCE2EF"/>
            </w:tcBorders>
            <w:shd w:val="clear" w:color="auto" w:fill="DCE2EF"/>
          </w:tcPr>
          <w:p>
            <w:pPr>
              <w:spacing w:after="0"/>
              <w:rPr>
                <w:sz w:val="2"/>
                <w:szCs w:val="2"/>
                <w:color w:val="auto"/>
              </w:rPr>
            </w:pPr>
          </w:p>
        </w:tc>
        <w:tc>
          <w:tcPr>
            <w:tcW w:w="2180" w:type="dxa"/>
            <w:vAlign w:val="bottom"/>
            <w:tcBorders>
              <w:top w:val="single" w:sz="8" w:color="DCE2EF"/>
            </w:tcBorders>
            <w:shd w:val="clear" w:color="auto" w:fill="DCE2EF"/>
          </w:tcPr>
          <w:p>
            <w:pPr>
              <w:spacing w:after="0"/>
              <w:rPr>
                <w:sz w:val="2"/>
                <w:szCs w:val="2"/>
                <w:color w:val="auto"/>
              </w:rPr>
            </w:pPr>
          </w:p>
        </w:tc>
      </w:tr>
      <w:tr>
        <w:trPr>
          <w:trHeight w:val="203"/>
        </w:trPr>
        <w:tc>
          <w:tcPr>
            <w:tcW w:w="1300" w:type="dxa"/>
            <w:vAlign w:val="bottom"/>
          </w:tcPr>
          <w:p>
            <w:pPr>
              <w:ind w:left="40"/>
              <w:spacing w:after="0" w:line="202" w:lineRule="exact"/>
              <w:rPr>
                <w:sz w:val="20"/>
                <w:szCs w:val="20"/>
                <w:color w:val="auto"/>
              </w:rPr>
            </w:pPr>
            <w:r>
              <w:rPr>
                <w:rFonts w:ascii="Arial" w:cs="Arial" w:eastAsia="Arial" w:hAnsi="Arial"/>
                <w:sz w:val="18"/>
                <w:szCs w:val="18"/>
                <w:color w:val="auto"/>
              </w:rPr>
              <w:t>10.32*</w:t>
            </w:r>
          </w:p>
        </w:tc>
        <w:tc>
          <w:tcPr>
            <w:tcW w:w="4780" w:type="dxa"/>
            <w:vAlign w:val="bottom"/>
            <w:gridSpan w:val="37"/>
          </w:tcPr>
          <w:p>
            <w:pPr>
              <w:spacing w:after="0" w:line="202" w:lineRule="exact"/>
              <w:rPr>
                <w:rFonts w:ascii="Arial" w:cs="Arial" w:eastAsia="Arial" w:hAnsi="Arial"/>
                <w:sz w:val="18"/>
                <w:szCs w:val="18"/>
                <w:color w:val="0000FF"/>
              </w:rPr>
            </w:pPr>
            <w:hyperlink r:id="rId127">
              <w:r>
                <w:rPr>
                  <w:rFonts w:ascii="Arial" w:cs="Arial" w:eastAsia="Arial" w:hAnsi="Arial"/>
                  <w:sz w:val="18"/>
                  <w:szCs w:val="18"/>
                  <w:color w:val="0000FF"/>
                </w:rPr>
                <w:t>Change in Control Agreement, dated as of January 1,</w:t>
              </w:r>
            </w:hyperlink>
          </w:p>
        </w:tc>
        <w:tc>
          <w:tcPr>
            <w:tcW w:w="780" w:type="dxa"/>
            <w:vAlign w:val="bottom"/>
          </w:tcPr>
          <w:p>
            <w:pPr>
              <w:ind w:left="140"/>
              <w:spacing w:after="0" w:line="202" w:lineRule="exact"/>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rPr>
              <w:t>10.4</w:t>
            </w:r>
          </w:p>
        </w:tc>
        <w:tc>
          <w:tcPr>
            <w:tcW w:w="2180" w:type="dxa"/>
            <w:vAlign w:val="bottom"/>
          </w:tcPr>
          <w:p>
            <w:pPr>
              <w:jc w:val="center"/>
              <w:spacing w:after="0" w:line="202" w:lineRule="exact"/>
              <w:rPr>
                <w:sz w:val="20"/>
                <w:szCs w:val="20"/>
                <w:color w:val="auto"/>
              </w:rPr>
            </w:pPr>
            <w:r>
              <w:rPr>
                <w:rFonts w:ascii="Arial" w:cs="Arial" w:eastAsia="Arial" w:hAnsi="Arial"/>
                <w:sz w:val="18"/>
                <w:szCs w:val="18"/>
                <w:color w:val="auto"/>
              </w:rPr>
              <w:t>March 7, 2018</w:t>
            </w:r>
          </w:p>
        </w:tc>
      </w:tr>
      <w:tr>
        <w:trPr>
          <w:trHeight w:val="20"/>
        </w:trPr>
        <w:tc>
          <w:tcPr>
            <w:tcW w:w="13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83"/>
        </w:trPr>
        <w:tc>
          <w:tcPr>
            <w:tcW w:w="1300" w:type="dxa"/>
            <w:vAlign w:val="bottom"/>
          </w:tcPr>
          <w:p>
            <w:pPr>
              <w:spacing w:after="0"/>
              <w:rPr>
                <w:sz w:val="15"/>
                <w:szCs w:val="15"/>
                <w:color w:val="auto"/>
              </w:rPr>
            </w:pPr>
          </w:p>
        </w:tc>
        <w:tc>
          <w:tcPr>
            <w:tcW w:w="4780" w:type="dxa"/>
            <w:vAlign w:val="bottom"/>
            <w:gridSpan w:val="37"/>
          </w:tcPr>
          <w:p>
            <w:pPr>
              <w:spacing w:after="0" w:line="182" w:lineRule="exact"/>
              <w:rPr>
                <w:rFonts w:ascii="Arial" w:cs="Arial" w:eastAsia="Arial" w:hAnsi="Arial"/>
                <w:sz w:val="18"/>
                <w:szCs w:val="18"/>
                <w:color w:val="0000FF"/>
              </w:rPr>
            </w:pPr>
            <w:hyperlink r:id="rId127">
              <w:r>
                <w:rPr>
                  <w:rFonts w:ascii="Arial" w:cs="Arial" w:eastAsia="Arial" w:hAnsi="Arial"/>
                  <w:sz w:val="18"/>
                  <w:szCs w:val="18"/>
                  <w:color w:val="0000FF"/>
                </w:rPr>
                <w:t>2018, by and between ABM Industries Incorporated and</w:t>
              </w:r>
            </w:hyperlink>
          </w:p>
        </w:tc>
        <w:tc>
          <w:tcPr>
            <w:tcW w:w="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83"/>
        </w:trPr>
        <w:tc>
          <w:tcPr>
            <w:tcW w:w="1300" w:type="dxa"/>
            <w:vAlign w:val="bottom"/>
          </w:tcPr>
          <w:p>
            <w:pPr>
              <w:spacing w:after="0"/>
              <w:rPr>
                <w:sz w:val="15"/>
                <w:szCs w:val="15"/>
                <w:color w:val="auto"/>
              </w:rPr>
            </w:pPr>
          </w:p>
        </w:tc>
        <w:tc>
          <w:tcPr>
            <w:tcW w:w="4480" w:type="dxa"/>
            <w:vAlign w:val="bottom"/>
            <w:tcBorders>
              <w:top w:val="single" w:sz="8" w:color="0000FF"/>
            </w:tcBorders>
            <w:gridSpan w:val="31"/>
          </w:tcPr>
          <w:p>
            <w:pPr>
              <w:spacing w:after="0" w:line="182" w:lineRule="exact"/>
              <w:rPr>
                <w:rFonts w:ascii="Arial" w:cs="Arial" w:eastAsia="Arial" w:hAnsi="Arial"/>
                <w:sz w:val="18"/>
                <w:szCs w:val="18"/>
                <w:color w:val="0000FF"/>
              </w:rPr>
            </w:pPr>
            <w:hyperlink r:id="rId127">
              <w:r>
                <w:rPr>
                  <w:rFonts w:ascii="Arial" w:cs="Arial" w:eastAsia="Arial" w:hAnsi="Arial"/>
                  <w:sz w:val="18"/>
                  <w:szCs w:val="18"/>
                  <w:color w:val="0000FF"/>
                </w:rPr>
                <w:t>Rene Jacobsen</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34"/>
        </w:trPr>
        <w:tc>
          <w:tcPr>
            <w:tcW w:w="130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03"/>
        </w:trPr>
        <w:tc>
          <w:tcPr>
            <w:tcW w:w="1300" w:type="dxa"/>
            <w:vAlign w:val="bottom"/>
            <w:shd w:val="clear" w:color="auto" w:fill="DCE2EF"/>
          </w:tcPr>
          <w:p>
            <w:pPr>
              <w:ind w:left="40"/>
              <w:spacing w:after="0" w:line="202" w:lineRule="exact"/>
              <w:rPr>
                <w:sz w:val="20"/>
                <w:szCs w:val="20"/>
                <w:color w:val="auto"/>
              </w:rPr>
            </w:pPr>
            <w:r>
              <w:rPr>
                <w:rFonts w:ascii="Arial" w:cs="Arial" w:eastAsia="Arial" w:hAnsi="Arial"/>
                <w:sz w:val="18"/>
                <w:szCs w:val="18"/>
                <w:color w:val="auto"/>
              </w:rPr>
              <w:t>10.33*</w:t>
            </w:r>
          </w:p>
        </w:tc>
        <w:tc>
          <w:tcPr>
            <w:tcW w:w="4780" w:type="dxa"/>
            <w:vAlign w:val="bottom"/>
            <w:gridSpan w:val="37"/>
            <w:shd w:val="clear" w:color="auto" w:fill="DCE2EF"/>
          </w:tcPr>
          <w:p>
            <w:pPr>
              <w:spacing w:after="0" w:line="202" w:lineRule="exact"/>
              <w:rPr>
                <w:rFonts w:ascii="Arial" w:cs="Arial" w:eastAsia="Arial" w:hAnsi="Arial"/>
                <w:sz w:val="18"/>
                <w:szCs w:val="18"/>
                <w:color w:val="0000FF"/>
              </w:rPr>
            </w:pPr>
            <w:hyperlink r:id="rId128">
              <w:r>
                <w:rPr>
                  <w:rFonts w:ascii="Arial" w:cs="Arial" w:eastAsia="Arial" w:hAnsi="Arial"/>
                  <w:sz w:val="18"/>
                  <w:szCs w:val="18"/>
                  <w:color w:val="0000FF"/>
                </w:rPr>
                <w:t>Executive Employment Agreement, dated as of March 1,</w:t>
              </w:r>
            </w:hyperlink>
          </w:p>
        </w:tc>
        <w:tc>
          <w:tcPr>
            <w:tcW w:w="780" w:type="dxa"/>
            <w:vAlign w:val="bottom"/>
            <w:shd w:val="clear" w:color="auto" w:fill="DCE2EF"/>
          </w:tcPr>
          <w:p>
            <w:pPr>
              <w:ind w:left="140"/>
              <w:spacing w:after="0" w:line="202" w:lineRule="exact"/>
              <w:rPr>
                <w:sz w:val="20"/>
                <w:szCs w:val="20"/>
                <w:color w:val="auto"/>
              </w:rPr>
            </w:pPr>
            <w:r>
              <w:rPr>
                <w:rFonts w:ascii="Arial" w:cs="Arial" w:eastAsia="Arial" w:hAnsi="Arial"/>
                <w:sz w:val="18"/>
                <w:szCs w:val="18"/>
                <w:color w:val="auto"/>
              </w:rPr>
              <w:t>10-Q</w:t>
            </w:r>
          </w:p>
        </w:tc>
        <w:tc>
          <w:tcPr>
            <w:tcW w:w="1360" w:type="dxa"/>
            <w:vAlign w:val="bottom"/>
            <w:shd w:val="clear" w:color="auto" w:fill="DCE2EF"/>
          </w:tcPr>
          <w:p>
            <w:pPr>
              <w:jc w:val="right"/>
              <w:ind w:right="190"/>
              <w:spacing w:after="0" w:line="202" w:lineRule="exact"/>
              <w:rPr>
                <w:sz w:val="20"/>
                <w:szCs w:val="20"/>
                <w:color w:val="auto"/>
              </w:rPr>
            </w:pPr>
            <w:r>
              <w:rPr>
                <w:rFonts w:ascii="Arial" w:cs="Arial" w:eastAsia="Arial" w:hAnsi="Arial"/>
                <w:sz w:val="18"/>
                <w:szCs w:val="18"/>
                <w:color w:val="auto"/>
              </w:rPr>
              <w:t>001-08929</w:t>
            </w:r>
          </w:p>
        </w:tc>
        <w:tc>
          <w:tcPr>
            <w:tcW w:w="1020" w:type="dxa"/>
            <w:vAlign w:val="bottom"/>
            <w:shd w:val="clear" w:color="auto" w:fill="DCE2EF"/>
          </w:tcPr>
          <w:p>
            <w:pPr>
              <w:jc w:val="center"/>
              <w:spacing w:after="0" w:line="202" w:lineRule="exact"/>
              <w:rPr>
                <w:sz w:val="20"/>
                <w:szCs w:val="20"/>
                <w:color w:val="auto"/>
              </w:rPr>
            </w:pPr>
            <w:r>
              <w:rPr>
                <w:rFonts w:ascii="Arial" w:cs="Arial" w:eastAsia="Arial" w:hAnsi="Arial"/>
                <w:sz w:val="18"/>
                <w:szCs w:val="18"/>
                <w:color w:val="auto"/>
              </w:rPr>
              <w:t>10.1</w:t>
            </w:r>
          </w:p>
        </w:tc>
        <w:tc>
          <w:tcPr>
            <w:tcW w:w="2180" w:type="dxa"/>
            <w:vAlign w:val="bottom"/>
            <w:shd w:val="clear" w:color="auto" w:fill="DCE2EF"/>
          </w:tcPr>
          <w:p>
            <w:pPr>
              <w:jc w:val="center"/>
              <w:spacing w:after="0" w:line="202" w:lineRule="exact"/>
              <w:rPr>
                <w:sz w:val="20"/>
                <w:szCs w:val="20"/>
                <w:color w:val="auto"/>
              </w:rPr>
            </w:pPr>
            <w:r>
              <w:rPr>
                <w:rFonts w:ascii="Arial" w:cs="Arial" w:eastAsia="Arial" w:hAnsi="Arial"/>
                <w:sz w:val="18"/>
                <w:szCs w:val="18"/>
                <w:color w:val="auto"/>
              </w:rPr>
              <w:t>March 7, 2019</w:t>
            </w:r>
          </w:p>
        </w:tc>
      </w:tr>
      <w:tr>
        <w:trPr>
          <w:trHeight w:val="183"/>
        </w:trPr>
        <w:tc>
          <w:tcPr>
            <w:tcW w:w="1300" w:type="dxa"/>
            <w:vAlign w:val="bottom"/>
            <w:tcBorders>
              <w:top w:val="single" w:sz="8" w:color="DCE2EF"/>
            </w:tcBorders>
            <w:shd w:val="clear" w:color="auto" w:fill="DCE2EF"/>
          </w:tcPr>
          <w:p>
            <w:pPr>
              <w:spacing w:after="0"/>
              <w:rPr>
                <w:sz w:val="15"/>
                <w:szCs w:val="15"/>
                <w:color w:val="auto"/>
              </w:rPr>
            </w:pPr>
          </w:p>
        </w:tc>
        <w:tc>
          <w:tcPr>
            <w:tcW w:w="4520" w:type="dxa"/>
            <w:vAlign w:val="bottom"/>
            <w:tcBorders>
              <w:top w:val="single" w:sz="8" w:color="0000FF"/>
            </w:tcBorders>
            <w:gridSpan w:val="33"/>
            <w:shd w:val="clear" w:color="auto" w:fill="DCE2EF"/>
          </w:tcPr>
          <w:p>
            <w:pPr>
              <w:spacing w:after="0" w:line="182" w:lineRule="exact"/>
              <w:rPr>
                <w:rFonts w:ascii="Arial" w:cs="Arial" w:eastAsia="Arial" w:hAnsi="Arial"/>
                <w:sz w:val="18"/>
                <w:szCs w:val="18"/>
                <w:color w:val="0000FF"/>
              </w:rPr>
            </w:pPr>
            <w:hyperlink r:id="rId128">
              <w:r>
                <w:rPr>
                  <w:rFonts w:ascii="Arial" w:cs="Arial" w:eastAsia="Arial" w:hAnsi="Arial"/>
                  <w:sz w:val="18"/>
                  <w:szCs w:val="18"/>
                  <w:color w:val="0000FF"/>
                </w:rPr>
                <w:t>2018, by and between ABM Industries Incorporated and</w:t>
              </w:r>
            </w:hyperlink>
          </w:p>
        </w:tc>
        <w:tc>
          <w:tcPr>
            <w:tcW w:w="60" w:type="dxa"/>
            <w:vAlign w:val="bottom"/>
            <w:tcBorders>
              <w:top w:val="single" w:sz="8" w:color="DCE2EF"/>
            </w:tcBorders>
            <w:shd w:val="clear" w:color="auto" w:fill="DCE2EF"/>
          </w:tcPr>
          <w:p>
            <w:pPr>
              <w:spacing w:after="0"/>
              <w:rPr>
                <w:sz w:val="15"/>
                <w:szCs w:val="15"/>
                <w:color w:val="auto"/>
              </w:rPr>
            </w:pPr>
          </w:p>
        </w:tc>
        <w:tc>
          <w:tcPr>
            <w:tcW w:w="40" w:type="dxa"/>
            <w:vAlign w:val="bottom"/>
            <w:tcBorders>
              <w:top w:val="single" w:sz="8" w:color="DCE2EF"/>
            </w:tcBorders>
            <w:shd w:val="clear" w:color="auto" w:fill="DCE2EF"/>
          </w:tcPr>
          <w:p>
            <w:pPr>
              <w:spacing w:after="0"/>
              <w:rPr>
                <w:sz w:val="15"/>
                <w:szCs w:val="15"/>
                <w:color w:val="auto"/>
              </w:rPr>
            </w:pPr>
          </w:p>
        </w:tc>
        <w:tc>
          <w:tcPr>
            <w:tcW w:w="160" w:type="dxa"/>
            <w:vAlign w:val="bottom"/>
            <w:tcBorders>
              <w:top w:val="single" w:sz="8" w:color="DCE2EF"/>
            </w:tcBorders>
            <w:gridSpan w:val="2"/>
            <w:shd w:val="clear" w:color="auto" w:fill="DCE2EF"/>
          </w:tcPr>
          <w:p>
            <w:pPr>
              <w:spacing w:after="0"/>
              <w:rPr>
                <w:sz w:val="15"/>
                <w:szCs w:val="15"/>
                <w:color w:val="auto"/>
              </w:rPr>
            </w:pPr>
          </w:p>
        </w:tc>
        <w:tc>
          <w:tcPr>
            <w:tcW w:w="780" w:type="dxa"/>
            <w:vAlign w:val="bottom"/>
            <w:tcBorders>
              <w:top w:val="single" w:sz="8" w:color="DCE2EF"/>
            </w:tcBorders>
            <w:shd w:val="clear" w:color="auto" w:fill="DCE2EF"/>
          </w:tcPr>
          <w:p>
            <w:pPr>
              <w:spacing w:after="0"/>
              <w:rPr>
                <w:sz w:val="15"/>
                <w:szCs w:val="15"/>
                <w:color w:val="auto"/>
              </w:rPr>
            </w:pPr>
          </w:p>
        </w:tc>
        <w:tc>
          <w:tcPr>
            <w:tcW w:w="1360" w:type="dxa"/>
            <w:vAlign w:val="bottom"/>
            <w:tcBorders>
              <w:top w:val="single" w:sz="8" w:color="DCE2EF"/>
            </w:tcBorders>
            <w:shd w:val="clear" w:color="auto" w:fill="DCE2EF"/>
          </w:tcPr>
          <w:p>
            <w:pPr>
              <w:spacing w:after="0"/>
              <w:rPr>
                <w:sz w:val="15"/>
                <w:szCs w:val="15"/>
                <w:color w:val="auto"/>
              </w:rPr>
            </w:pPr>
          </w:p>
        </w:tc>
        <w:tc>
          <w:tcPr>
            <w:tcW w:w="1020" w:type="dxa"/>
            <w:vAlign w:val="bottom"/>
            <w:tcBorders>
              <w:top w:val="single" w:sz="8" w:color="DCE2EF"/>
            </w:tcBorders>
            <w:shd w:val="clear" w:color="auto" w:fill="DCE2EF"/>
          </w:tcPr>
          <w:p>
            <w:pPr>
              <w:spacing w:after="0"/>
              <w:rPr>
                <w:sz w:val="15"/>
                <w:szCs w:val="15"/>
                <w:color w:val="auto"/>
              </w:rPr>
            </w:pPr>
          </w:p>
        </w:tc>
        <w:tc>
          <w:tcPr>
            <w:tcW w:w="2180" w:type="dxa"/>
            <w:vAlign w:val="bottom"/>
            <w:tcBorders>
              <w:top w:val="single" w:sz="8" w:color="DCE2EF"/>
            </w:tcBorders>
            <w:shd w:val="clear" w:color="auto" w:fill="DCE2EF"/>
          </w:tcPr>
          <w:p>
            <w:pPr>
              <w:spacing w:after="0"/>
              <w:rPr>
                <w:sz w:val="15"/>
                <w:szCs w:val="15"/>
                <w:color w:val="auto"/>
              </w:rPr>
            </w:pPr>
          </w:p>
        </w:tc>
      </w:tr>
      <w:tr>
        <w:trPr>
          <w:trHeight w:val="217"/>
        </w:trPr>
        <w:tc>
          <w:tcPr>
            <w:tcW w:w="1300" w:type="dxa"/>
            <w:vAlign w:val="bottom"/>
            <w:tcBorders>
              <w:top w:val="single" w:sz="8" w:color="DCE2EF"/>
              <w:bottom w:val="single" w:sz="8" w:color="DCE2EF"/>
            </w:tcBorders>
            <w:shd w:val="clear" w:color="auto" w:fill="DCE2EF"/>
          </w:tcPr>
          <w:p>
            <w:pPr>
              <w:spacing w:after="0"/>
              <w:rPr>
                <w:sz w:val="18"/>
                <w:szCs w:val="18"/>
                <w:color w:val="auto"/>
              </w:rPr>
            </w:pPr>
          </w:p>
        </w:tc>
        <w:tc>
          <w:tcPr>
            <w:tcW w:w="1360" w:type="dxa"/>
            <w:vAlign w:val="bottom"/>
            <w:tcBorders>
              <w:top w:val="single" w:sz="8" w:color="0000FF"/>
              <w:bottom w:val="single" w:sz="8" w:color="0000FF"/>
            </w:tcBorders>
            <w:gridSpan w:val="7"/>
            <w:shd w:val="clear" w:color="auto" w:fill="DCE2EF"/>
          </w:tcPr>
          <w:p>
            <w:pPr>
              <w:spacing w:after="0" w:line="182" w:lineRule="exact"/>
              <w:rPr>
                <w:rFonts w:ascii="Arial" w:cs="Arial" w:eastAsia="Arial" w:hAnsi="Arial"/>
                <w:sz w:val="18"/>
                <w:szCs w:val="18"/>
                <w:color w:val="0000FF"/>
                <w:w w:val="99"/>
              </w:rPr>
            </w:pPr>
            <w:hyperlink r:id="rId128">
              <w:r>
                <w:rPr>
                  <w:rFonts w:ascii="Arial" w:cs="Arial" w:eastAsia="Arial" w:hAnsi="Arial"/>
                  <w:sz w:val="18"/>
                  <w:szCs w:val="18"/>
                  <w:color w:val="0000FF"/>
                  <w:w w:val="99"/>
                </w:rPr>
                <w:t>Andrea Newborn</w:t>
              </w:r>
            </w:hyperlink>
          </w:p>
        </w:tc>
        <w:tc>
          <w:tcPr>
            <w:tcW w:w="3120" w:type="dxa"/>
            <w:vAlign w:val="bottom"/>
            <w:tcBorders>
              <w:top w:val="single" w:sz="8" w:color="0000FF"/>
              <w:bottom w:val="single" w:sz="8" w:color="DCE2EF"/>
            </w:tcBorders>
            <w:gridSpan w:val="24"/>
            <w:shd w:val="clear" w:color="auto" w:fill="DCE2EF"/>
          </w:tcPr>
          <w:p>
            <w:pPr>
              <w:spacing w:after="0"/>
              <w:rPr>
                <w:sz w:val="18"/>
                <w:szCs w:val="18"/>
                <w:color w:val="auto"/>
              </w:rPr>
            </w:pPr>
          </w:p>
        </w:tc>
        <w:tc>
          <w:tcPr>
            <w:tcW w:w="20" w:type="dxa"/>
            <w:vAlign w:val="bottom"/>
            <w:tcBorders>
              <w:top w:val="single" w:sz="8" w:color="DCE2EF"/>
              <w:bottom w:val="single" w:sz="8" w:color="DCE2EF"/>
            </w:tcBorders>
            <w:shd w:val="clear" w:color="auto" w:fill="DCE2EF"/>
          </w:tcPr>
          <w:p>
            <w:pPr>
              <w:spacing w:after="0"/>
              <w:rPr>
                <w:sz w:val="18"/>
                <w:szCs w:val="18"/>
                <w:color w:val="auto"/>
              </w:rPr>
            </w:pPr>
          </w:p>
        </w:tc>
        <w:tc>
          <w:tcPr>
            <w:tcW w:w="80" w:type="dxa"/>
            <w:vAlign w:val="bottom"/>
            <w:tcBorders>
              <w:top w:val="single" w:sz="8" w:color="DCE2EF"/>
              <w:bottom w:val="single" w:sz="8" w:color="DCE2EF"/>
            </w:tcBorders>
            <w:gridSpan w:val="2"/>
            <w:shd w:val="clear" w:color="auto" w:fill="DCE2EF"/>
          </w:tcPr>
          <w:p>
            <w:pPr>
              <w:spacing w:after="0"/>
              <w:rPr>
                <w:sz w:val="18"/>
                <w:szCs w:val="18"/>
                <w:color w:val="auto"/>
              </w:rPr>
            </w:pPr>
          </w:p>
        </w:tc>
        <w:tc>
          <w:tcPr>
            <w:tcW w:w="40" w:type="dxa"/>
            <w:vAlign w:val="bottom"/>
            <w:tcBorders>
              <w:top w:val="single" w:sz="8" w:color="DCE2EF"/>
              <w:bottom w:val="single" w:sz="8" w:color="DCE2EF"/>
            </w:tcBorders>
            <w:shd w:val="clear" w:color="auto" w:fill="DCE2EF"/>
          </w:tcPr>
          <w:p>
            <w:pPr>
              <w:spacing w:after="0"/>
              <w:rPr>
                <w:sz w:val="18"/>
                <w:szCs w:val="18"/>
                <w:color w:val="auto"/>
              </w:rPr>
            </w:pPr>
          </w:p>
        </w:tc>
        <w:tc>
          <w:tcPr>
            <w:tcW w:w="160" w:type="dxa"/>
            <w:vAlign w:val="bottom"/>
            <w:tcBorders>
              <w:top w:val="single" w:sz="8" w:color="DCE2EF"/>
              <w:bottom w:val="single" w:sz="8" w:color="DCE2EF"/>
            </w:tcBorders>
            <w:gridSpan w:val="2"/>
            <w:shd w:val="clear" w:color="auto" w:fill="DCE2EF"/>
          </w:tcPr>
          <w:p>
            <w:pPr>
              <w:spacing w:after="0"/>
              <w:rPr>
                <w:sz w:val="18"/>
                <w:szCs w:val="18"/>
                <w:color w:val="auto"/>
              </w:rPr>
            </w:pPr>
          </w:p>
        </w:tc>
        <w:tc>
          <w:tcPr>
            <w:tcW w:w="780" w:type="dxa"/>
            <w:vAlign w:val="bottom"/>
            <w:tcBorders>
              <w:top w:val="single" w:sz="8" w:color="DCE2EF"/>
              <w:bottom w:val="single" w:sz="8" w:color="DCE2EF"/>
            </w:tcBorders>
            <w:shd w:val="clear" w:color="auto" w:fill="DCE2EF"/>
          </w:tcPr>
          <w:p>
            <w:pPr>
              <w:spacing w:after="0"/>
              <w:rPr>
                <w:sz w:val="18"/>
                <w:szCs w:val="18"/>
                <w:color w:val="auto"/>
              </w:rPr>
            </w:pPr>
          </w:p>
        </w:tc>
        <w:tc>
          <w:tcPr>
            <w:tcW w:w="1360" w:type="dxa"/>
            <w:vAlign w:val="bottom"/>
            <w:tcBorders>
              <w:top w:val="single" w:sz="8" w:color="DCE2EF"/>
              <w:bottom w:val="single" w:sz="8" w:color="DCE2EF"/>
            </w:tcBorders>
            <w:shd w:val="clear" w:color="auto" w:fill="DCE2EF"/>
          </w:tcPr>
          <w:p>
            <w:pPr>
              <w:spacing w:after="0"/>
              <w:rPr>
                <w:sz w:val="18"/>
                <w:szCs w:val="18"/>
                <w:color w:val="auto"/>
              </w:rPr>
            </w:pPr>
          </w:p>
        </w:tc>
        <w:tc>
          <w:tcPr>
            <w:tcW w:w="1020" w:type="dxa"/>
            <w:vAlign w:val="bottom"/>
            <w:tcBorders>
              <w:top w:val="single" w:sz="8" w:color="DCE2EF"/>
              <w:bottom w:val="single" w:sz="8" w:color="DCE2EF"/>
            </w:tcBorders>
            <w:shd w:val="clear" w:color="auto" w:fill="DCE2EF"/>
          </w:tcPr>
          <w:p>
            <w:pPr>
              <w:spacing w:after="0"/>
              <w:rPr>
                <w:sz w:val="18"/>
                <w:szCs w:val="18"/>
                <w:color w:val="auto"/>
              </w:rPr>
            </w:pPr>
          </w:p>
        </w:tc>
        <w:tc>
          <w:tcPr>
            <w:tcW w:w="2180" w:type="dxa"/>
            <w:vAlign w:val="bottom"/>
            <w:tcBorders>
              <w:top w:val="single" w:sz="8" w:color="DCE2EF"/>
              <w:bottom w:val="single" w:sz="8" w:color="DCE2EF"/>
            </w:tcBorders>
            <w:shd w:val="clear" w:color="auto" w:fill="DCE2EF"/>
          </w:tcPr>
          <w:p>
            <w:pPr>
              <w:spacing w:after="0"/>
              <w:rPr>
                <w:sz w:val="18"/>
                <w:szCs w:val="18"/>
                <w:color w:val="auto"/>
              </w:rPr>
            </w:pPr>
          </w:p>
        </w:tc>
      </w:tr>
      <w:tr>
        <w:trPr>
          <w:trHeight w:val="203"/>
        </w:trPr>
        <w:tc>
          <w:tcPr>
            <w:tcW w:w="1300" w:type="dxa"/>
            <w:vAlign w:val="bottom"/>
          </w:tcPr>
          <w:p>
            <w:pPr>
              <w:ind w:left="40"/>
              <w:spacing w:after="0" w:line="202" w:lineRule="exact"/>
              <w:rPr>
                <w:sz w:val="20"/>
                <w:szCs w:val="20"/>
                <w:color w:val="auto"/>
              </w:rPr>
            </w:pPr>
            <w:r>
              <w:rPr>
                <w:rFonts w:ascii="Arial" w:cs="Arial" w:eastAsia="Arial" w:hAnsi="Arial"/>
                <w:sz w:val="18"/>
                <w:szCs w:val="18"/>
                <w:color w:val="auto"/>
              </w:rPr>
              <w:t>10.34*</w:t>
            </w:r>
          </w:p>
        </w:tc>
        <w:tc>
          <w:tcPr>
            <w:tcW w:w="4780" w:type="dxa"/>
            <w:vAlign w:val="bottom"/>
            <w:gridSpan w:val="37"/>
          </w:tcPr>
          <w:p>
            <w:pPr>
              <w:spacing w:after="0" w:line="202" w:lineRule="exact"/>
              <w:rPr>
                <w:rFonts w:ascii="Arial" w:cs="Arial" w:eastAsia="Arial" w:hAnsi="Arial"/>
                <w:sz w:val="18"/>
                <w:szCs w:val="18"/>
                <w:color w:val="0000FF"/>
              </w:rPr>
            </w:pPr>
            <w:hyperlink r:id="rId129">
              <w:r>
                <w:rPr>
                  <w:rFonts w:ascii="Arial" w:cs="Arial" w:eastAsia="Arial" w:hAnsi="Arial"/>
                  <w:sz w:val="18"/>
                  <w:szCs w:val="18"/>
                  <w:color w:val="0000FF"/>
                </w:rPr>
                <w:t>Change in Control Agreement, dated as of March 1, 2018,</w:t>
              </w:r>
            </w:hyperlink>
          </w:p>
        </w:tc>
        <w:tc>
          <w:tcPr>
            <w:tcW w:w="780" w:type="dxa"/>
            <w:vAlign w:val="bottom"/>
          </w:tcPr>
          <w:p>
            <w:pPr>
              <w:ind w:left="140"/>
              <w:spacing w:after="0" w:line="202" w:lineRule="exact"/>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rPr>
              <w:t>10.2</w:t>
            </w:r>
          </w:p>
        </w:tc>
        <w:tc>
          <w:tcPr>
            <w:tcW w:w="2180" w:type="dxa"/>
            <w:vAlign w:val="bottom"/>
          </w:tcPr>
          <w:p>
            <w:pPr>
              <w:jc w:val="center"/>
              <w:spacing w:after="0" w:line="202" w:lineRule="exact"/>
              <w:rPr>
                <w:sz w:val="20"/>
                <w:szCs w:val="20"/>
                <w:color w:val="auto"/>
              </w:rPr>
            </w:pPr>
            <w:r>
              <w:rPr>
                <w:rFonts w:ascii="Arial" w:cs="Arial" w:eastAsia="Arial" w:hAnsi="Arial"/>
                <w:sz w:val="18"/>
                <w:szCs w:val="18"/>
                <w:color w:val="auto"/>
              </w:rPr>
              <w:t>March 7, 2019</w:t>
            </w:r>
          </w:p>
        </w:tc>
      </w:tr>
      <w:tr>
        <w:trPr>
          <w:trHeight w:val="183"/>
        </w:trPr>
        <w:tc>
          <w:tcPr>
            <w:tcW w:w="1300" w:type="dxa"/>
            <w:vAlign w:val="bottom"/>
          </w:tcPr>
          <w:p>
            <w:pPr>
              <w:spacing w:after="0"/>
              <w:rPr>
                <w:sz w:val="15"/>
                <w:szCs w:val="15"/>
                <w:color w:val="auto"/>
              </w:rPr>
            </w:pPr>
          </w:p>
        </w:tc>
        <w:tc>
          <w:tcPr>
            <w:tcW w:w="4620" w:type="dxa"/>
            <w:vAlign w:val="bottom"/>
            <w:tcBorders>
              <w:top w:val="single" w:sz="8" w:color="0000FF"/>
            </w:tcBorders>
            <w:gridSpan w:val="35"/>
          </w:tcPr>
          <w:p>
            <w:pPr>
              <w:spacing w:after="0" w:line="182" w:lineRule="exact"/>
              <w:rPr>
                <w:rFonts w:ascii="Arial" w:cs="Arial" w:eastAsia="Arial" w:hAnsi="Arial"/>
                <w:sz w:val="18"/>
                <w:szCs w:val="18"/>
                <w:color w:val="0000FF"/>
              </w:rPr>
            </w:pPr>
            <w:hyperlink r:id="rId129">
              <w:r>
                <w:rPr>
                  <w:rFonts w:ascii="Arial" w:cs="Arial" w:eastAsia="Arial" w:hAnsi="Arial"/>
                  <w:sz w:val="18"/>
                  <w:szCs w:val="18"/>
                  <w:color w:val="0000FF"/>
                </w:rPr>
                <w:t>by and between ABM Industries Incorporated and Andrea</w:t>
              </w:r>
            </w:hyperlink>
          </w:p>
        </w:tc>
        <w:tc>
          <w:tcPr>
            <w:tcW w:w="160" w:type="dxa"/>
            <w:vAlign w:val="bottom"/>
            <w:gridSpan w:val="2"/>
          </w:tcPr>
          <w:p>
            <w:pPr>
              <w:spacing w:after="0"/>
              <w:rPr>
                <w:sz w:val="15"/>
                <w:szCs w:val="15"/>
                <w:color w:val="auto"/>
              </w:rPr>
            </w:pPr>
          </w:p>
        </w:tc>
        <w:tc>
          <w:tcPr>
            <w:tcW w:w="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83"/>
        </w:trPr>
        <w:tc>
          <w:tcPr>
            <w:tcW w:w="1300" w:type="dxa"/>
            <w:vAlign w:val="bottom"/>
          </w:tcPr>
          <w:p>
            <w:pPr>
              <w:spacing w:after="0"/>
              <w:rPr>
                <w:sz w:val="15"/>
                <w:szCs w:val="15"/>
                <w:color w:val="auto"/>
              </w:rPr>
            </w:pPr>
          </w:p>
        </w:tc>
        <w:tc>
          <w:tcPr>
            <w:tcW w:w="4580" w:type="dxa"/>
            <w:vAlign w:val="bottom"/>
            <w:tcBorders>
              <w:top w:val="single" w:sz="8" w:color="0000FF"/>
            </w:tcBorders>
            <w:gridSpan w:val="34"/>
          </w:tcPr>
          <w:p>
            <w:pPr>
              <w:spacing w:after="0" w:line="182" w:lineRule="exact"/>
              <w:rPr>
                <w:rFonts w:ascii="Arial" w:cs="Arial" w:eastAsia="Arial" w:hAnsi="Arial"/>
                <w:sz w:val="18"/>
                <w:szCs w:val="18"/>
                <w:color w:val="0000FF"/>
              </w:rPr>
            </w:pPr>
            <w:hyperlink r:id="rId129">
              <w:r>
                <w:rPr>
                  <w:rFonts w:ascii="Arial" w:cs="Arial" w:eastAsia="Arial" w:hAnsi="Arial"/>
                  <w:sz w:val="18"/>
                  <w:szCs w:val="18"/>
                  <w:color w:val="0000FF"/>
                </w:rPr>
                <w:t>Newborn</w:t>
              </w:r>
            </w:hyperlink>
          </w:p>
        </w:tc>
        <w:tc>
          <w:tcPr>
            <w:tcW w:w="200" w:type="dxa"/>
            <w:vAlign w:val="bottom"/>
            <w:gridSpan w:val="3"/>
          </w:tcPr>
          <w:p>
            <w:pPr>
              <w:spacing w:after="0"/>
              <w:rPr>
                <w:sz w:val="15"/>
                <w:szCs w:val="15"/>
                <w:color w:val="auto"/>
              </w:rPr>
            </w:pPr>
          </w:p>
        </w:tc>
        <w:tc>
          <w:tcPr>
            <w:tcW w:w="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34"/>
        </w:trPr>
        <w:tc>
          <w:tcPr>
            <w:tcW w:w="130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03"/>
        </w:trPr>
        <w:tc>
          <w:tcPr>
            <w:tcW w:w="1300" w:type="dxa"/>
            <w:vAlign w:val="bottom"/>
            <w:shd w:val="clear" w:color="auto" w:fill="DCE2EF"/>
          </w:tcPr>
          <w:p>
            <w:pPr>
              <w:ind w:left="40"/>
              <w:spacing w:after="0" w:line="202" w:lineRule="exact"/>
              <w:rPr>
                <w:sz w:val="20"/>
                <w:szCs w:val="20"/>
                <w:color w:val="auto"/>
              </w:rPr>
            </w:pPr>
            <w:r>
              <w:rPr>
                <w:rFonts w:ascii="Arial" w:cs="Arial" w:eastAsia="Arial" w:hAnsi="Arial"/>
                <w:sz w:val="18"/>
                <w:szCs w:val="18"/>
                <w:color w:val="auto"/>
              </w:rPr>
              <w:t>10.35*‡</w:t>
            </w:r>
          </w:p>
        </w:tc>
        <w:tc>
          <w:tcPr>
            <w:tcW w:w="4780" w:type="dxa"/>
            <w:vAlign w:val="bottom"/>
            <w:gridSpan w:val="37"/>
            <w:shd w:val="clear" w:color="auto" w:fill="DCE2EF"/>
          </w:tcPr>
          <w:p>
            <w:pPr>
              <w:spacing w:after="0" w:line="202" w:lineRule="exact"/>
              <w:rPr>
                <w:rFonts w:ascii="Arial" w:cs="Arial" w:eastAsia="Arial" w:hAnsi="Arial"/>
                <w:sz w:val="18"/>
                <w:szCs w:val="18"/>
                <w:color w:val="0000FF"/>
              </w:rPr>
            </w:pPr>
            <w:hyperlink w:anchor="page111">
              <w:r>
                <w:rPr>
                  <w:rFonts w:ascii="Arial" w:cs="Arial" w:eastAsia="Arial" w:hAnsi="Arial"/>
                  <w:sz w:val="18"/>
                  <w:szCs w:val="18"/>
                  <w:color w:val="0000FF"/>
                </w:rPr>
                <w:t>Executive Employment Agreement, dated as of October</w:t>
              </w:r>
            </w:hyperlink>
          </w:p>
        </w:tc>
        <w:tc>
          <w:tcPr>
            <w:tcW w:w="780" w:type="dxa"/>
            <w:vAlign w:val="bottom"/>
            <w:shd w:val="clear" w:color="auto" w:fill="DCE2EF"/>
          </w:tcPr>
          <w:p>
            <w:pPr>
              <w:spacing w:after="0"/>
              <w:rPr>
                <w:sz w:val="17"/>
                <w:szCs w:val="17"/>
                <w:color w:val="auto"/>
              </w:rPr>
            </w:pPr>
          </w:p>
        </w:tc>
        <w:tc>
          <w:tcPr>
            <w:tcW w:w="1360" w:type="dxa"/>
            <w:vAlign w:val="bottom"/>
            <w:shd w:val="clear" w:color="auto" w:fill="DCE2EF"/>
          </w:tcPr>
          <w:p>
            <w:pPr>
              <w:spacing w:after="0"/>
              <w:rPr>
                <w:sz w:val="17"/>
                <w:szCs w:val="17"/>
                <w:color w:val="auto"/>
              </w:rPr>
            </w:pPr>
          </w:p>
        </w:tc>
        <w:tc>
          <w:tcPr>
            <w:tcW w:w="1020" w:type="dxa"/>
            <w:vAlign w:val="bottom"/>
            <w:shd w:val="clear" w:color="auto" w:fill="DCE2EF"/>
          </w:tcPr>
          <w:p>
            <w:pPr>
              <w:spacing w:after="0"/>
              <w:rPr>
                <w:sz w:val="17"/>
                <w:szCs w:val="17"/>
                <w:color w:val="auto"/>
              </w:rPr>
            </w:pPr>
          </w:p>
        </w:tc>
        <w:tc>
          <w:tcPr>
            <w:tcW w:w="2180" w:type="dxa"/>
            <w:vAlign w:val="bottom"/>
            <w:shd w:val="clear" w:color="auto" w:fill="DCE2EF"/>
          </w:tcPr>
          <w:p>
            <w:pPr>
              <w:spacing w:after="0"/>
              <w:rPr>
                <w:sz w:val="17"/>
                <w:szCs w:val="17"/>
                <w:color w:val="auto"/>
              </w:rPr>
            </w:pPr>
          </w:p>
        </w:tc>
      </w:tr>
      <w:tr>
        <w:trPr>
          <w:trHeight w:val="183"/>
        </w:trPr>
        <w:tc>
          <w:tcPr>
            <w:tcW w:w="1300" w:type="dxa"/>
            <w:vAlign w:val="bottom"/>
            <w:tcBorders>
              <w:top w:val="single" w:sz="8" w:color="DCE2EF"/>
            </w:tcBorders>
            <w:shd w:val="clear" w:color="auto" w:fill="DCE2EF"/>
          </w:tcPr>
          <w:p>
            <w:pPr>
              <w:spacing w:after="0"/>
              <w:rPr>
                <w:sz w:val="15"/>
                <w:szCs w:val="15"/>
                <w:color w:val="auto"/>
              </w:rPr>
            </w:pPr>
          </w:p>
        </w:tc>
        <w:tc>
          <w:tcPr>
            <w:tcW w:w="4440" w:type="dxa"/>
            <w:vAlign w:val="bottom"/>
            <w:tcBorders>
              <w:top w:val="single" w:sz="8" w:color="0000FF"/>
            </w:tcBorders>
            <w:gridSpan w:val="29"/>
            <w:shd w:val="clear" w:color="auto" w:fill="DCE2EF"/>
          </w:tcPr>
          <w:p>
            <w:pPr>
              <w:spacing w:after="0" w:line="182" w:lineRule="exact"/>
              <w:rPr>
                <w:rFonts w:ascii="Arial" w:cs="Arial" w:eastAsia="Arial" w:hAnsi="Arial"/>
                <w:sz w:val="18"/>
                <w:szCs w:val="18"/>
                <w:color w:val="0000FF"/>
              </w:rPr>
            </w:pPr>
            <w:hyperlink w:anchor="page111">
              <w:r>
                <w:rPr>
                  <w:rFonts w:ascii="Arial" w:cs="Arial" w:eastAsia="Arial" w:hAnsi="Arial"/>
                  <w:sz w:val="18"/>
                  <w:szCs w:val="18"/>
                  <w:color w:val="0000FF"/>
                </w:rPr>
                <w:t>28, 2019, by and between ABM Industries Incorporated</w:t>
              </w:r>
            </w:hyperlink>
          </w:p>
        </w:tc>
        <w:tc>
          <w:tcPr>
            <w:tcW w:w="60" w:type="dxa"/>
            <w:vAlign w:val="bottom"/>
            <w:tcBorders>
              <w:top w:val="single" w:sz="8" w:color="DCE2EF"/>
            </w:tcBorders>
            <w:gridSpan w:val="3"/>
            <w:shd w:val="clear" w:color="auto" w:fill="DCE2EF"/>
          </w:tcPr>
          <w:p>
            <w:pPr>
              <w:spacing w:after="0"/>
              <w:rPr>
                <w:sz w:val="15"/>
                <w:szCs w:val="15"/>
                <w:color w:val="auto"/>
              </w:rPr>
            </w:pPr>
          </w:p>
        </w:tc>
        <w:tc>
          <w:tcPr>
            <w:tcW w:w="280" w:type="dxa"/>
            <w:vAlign w:val="bottom"/>
            <w:tcBorders>
              <w:top w:val="single" w:sz="8" w:color="DCE2EF"/>
            </w:tcBorders>
            <w:gridSpan w:val="5"/>
            <w:shd w:val="clear" w:color="auto" w:fill="DCE2EF"/>
          </w:tcPr>
          <w:p>
            <w:pPr>
              <w:spacing w:after="0"/>
              <w:rPr>
                <w:sz w:val="15"/>
                <w:szCs w:val="15"/>
                <w:color w:val="auto"/>
              </w:rPr>
            </w:pPr>
          </w:p>
        </w:tc>
        <w:tc>
          <w:tcPr>
            <w:tcW w:w="780" w:type="dxa"/>
            <w:vAlign w:val="bottom"/>
            <w:tcBorders>
              <w:top w:val="single" w:sz="8" w:color="DCE2EF"/>
            </w:tcBorders>
            <w:shd w:val="clear" w:color="auto" w:fill="DCE2EF"/>
          </w:tcPr>
          <w:p>
            <w:pPr>
              <w:spacing w:after="0"/>
              <w:rPr>
                <w:sz w:val="15"/>
                <w:szCs w:val="15"/>
                <w:color w:val="auto"/>
              </w:rPr>
            </w:pPr>
          </w:p>
        </w:tc>
        <w:tc>
          <w:tcPr>
            <w:tcW w:w="1360" w:type="dxa"/>
            <w:vAlign w:val="bottom"/>
            <w:tcBorders>
              <w:top w:val="single" w:sz="8" w:color="DCE2EF"/>
            </w:tcBorders>
            <w:shd w:val="clear" w:color="auto" w:fill="DCE2EF"/>
          </w:tcPr>
          <w:p>
            <w:pPr>
              <w:spacing w:after="0"/>
              <w:rPr>
                <w:sz w:val="15"/>
                <w:szCs w:val="15"/>
                <w:color w:val="auto"/>
              </w:rPr>
            </w:pPr>
          </w:p>
        </w:tc>
        <w:tc>
          <w:tcPr>
            <w:tcW w:w="1020" w:type="dxa"/>
            <w:vAlign w:val="bottom"/>
            <w:tcBorders>
              <w:top w:val="single" w:sz="8" w:color="DCE2EF"/>
            </w:tcBorders>
            <w:shd w:val="clear" w:color="auto" w:fill="DCE2EF"/>
          </w:tcPr>
          <w:p>
            <w:pPr>
              <w:spacing w:after="0"/>
              <w:rPr>
                <w:sz w:val="15"/>
                <w:szCs w:val="15"/>
                <w:color w:val="auto"/>
              </w:rPr>
            </w:pPr>
          </w:p>
        </w:tc>
        <w:tc>
          <w:tcPr>
            <w:tcW w:w="2180" w:type="dxa"/>
            <w:vAlign w:val="bottom"/>
            <w:tcBorders>
              <w:top w:val="single" w:sz="8" w:color="DCE2EF"/>
            </w:tcBorders>
            <w:shd w:val="clear" w:color="auto" w:fill="DCE2EF"/>
          </w:tcPr>
          <w:p>
            <w:pPr>
              <w:spacing w:after="0"/>
              <w:rPr>
                <w:sz w:val="15"/>
                <w:szCs w:val="15"/>
                <w:color w:val="auto"/>
              </w:rPr>
            </w:pPr>
          </w:p>
        </w:tc>
      </w:tr>
      <w:tr>
        <w:trPr>
          <w:trHeight w:val="183"/>
        </w:trPr>
        <w:tc>
          <w:tcPr>
            <w:tcW w:w="1300" w:type="dxa"/>
            <w:vAlign w:val="bottom"/>
            <w:tcBorders>
              <w:top w:val="single" w:sz="8" w:color="DCE2EF"/>
            </w:tcBorders>
            <w:shd w:val="clear" w:color="auto" w:fill="DCE2EF"/>
          </w:tcPr>
          <w:p>
            <w:pPr>
              <w:spacing w:after="0"/>
              <w:rPr>
                <w:sz w:val="15"/>
                <w:szCs w:val="15"/>
                <w:color w:val="auto"/>
              </w:rPr>
            </w:pPr>
          </w:p>
        </w:tc>
        <w:tc>
          <w:tcPr>
            <w:tcW w:w="4420" w:type="dxa"/>
            <w:vAlign w:val="bottom"/>
            <w:tcBorders>
              <w:top w:val="single" w:sz="8" w:color="0000FF"/>
            </w:tcBorders>
            <w:gridSpan w:val="28"/>
            <w:shd w:val="clear" w:color="auto" w:fill="DCE2EF"/>
          </w:tcPr>
          <w:p>
            <w:pPr>
              <w:spacing w:after="0" w:line="182" w:lineRule="exact"/>
              <w:rPr>
                <w:rFonts w:ascii="Arial" w:cs="Arial" w:eastAsia="Arial" w:hAnsi="Arial"/>
                <w:sz w:val="18"/>
                <w:szCs w:val="18"/>
                <w:color w:val="0000FF"/>
              </w:rPr>
            </w:pPr>
            <w:hyperlink w:anchor="page111">
              <w:r>
                <w:rPr>
                  <w:rFonts w:ascii="Arial" w:cs="Arial" w:eastAsia="Arial" w:hAnsi="Arial"/>
                  <w:sz w:val="18"/>
                  <w:szCs w:val="18"/>
                  <w:color w:val="0000FF"/>
                </w:rPr>
                <w:t>and Joshua H. Feinberg</w:t>
              </w:r>
            </w:hyperlink>
          </w:p>
        </w:tc>
        <w:tc>
          <w:tcPr>
            <w:tcW w:w="80" w:type="dxa"/>
            <w:vAlign w:val="bottom"/>
            <w:tcBorders>
              <w:top w:val="single" w:sz="8" w:color="DCE2EF"/>
            </w:tcBorders>
            <w:gridSpan w:val="4"/>
            <w:shd w:val="clear" w:color="auto" w:fill="DCE2EF"/>
          </w:tcPr>
          <w:p>
            <w:pPr>
              <w:spacing w:after="0"/>
              <w:rPr>
                <w:sz w:val="15"/>
                <w:szCs w:val="15"/>
                <w:color w:val="auto"/>
              </w:rPr>
            </w:pPr>
          </w:p>
        </w:tc>
        <w:tc>
          <w:tcPr>
            <w:tcW w:w="280" w:type="dxa"/>
            <w:vAlign w:val="bottom"/>
            <w:tcBorders>
              <w:top w:val="single" w:sz="8" w:color="DCE2EF"/>
            </w:tcBorders>
            <w:gridSpan w:val="5"/>
            <w:shd w:val="clear" w:color="auto" w:fill="DCE2EF"/>
          </w:tcPr>
          <w:p>
            <w:pPr>
              <w:spacing w:after="0"/>
              <w:rPr>
                <w:sz w:val="15"/>
                <w:szCs w:val="15"/>
                <w:color w:val="auto"/>
              </w:rPr>
            </w:pPr>
          </w:p>
        </w:tc>
        <w:tc>
          <w:tcPr>
            <w:tcW w:w="780" w:type="dxa"/>
            <w:vAlign w:val="bottom"/>
            <w:tcBorders>
              <w:top w:val="single" w:sz="8" w:color="DCE2EF"/>
            </w:tcBorders>
            <w:shd w:val="clear" w:color="auto" w:fill="DCE2EF"/>
          </w:tcPr>
          <w:p>
            <w:pPr>
              <w:spacing w:after="0"/>
              <w:rPr>
                <w:sz w:val="15"/>
                <w:szCs w:val="15"/>
                <w:color w:val="auto"/>
              </w:rPr>
            </w:pPr>
          </w:p>
        </w:tc>
        <w:tc>
          <w:tcPr>
            <w:tcW w:w="1360" w:type="dxa"/>
            <w:vAlign w:val="bottom"/>
            <w:tcBorders>
              <w:top w:val="single" w:sz="8" w:color="DCE2EF"/>
            </w:tcBorders>
            <w:shd w:val="clear" w:color="auto" w:fill="DCE2EF"/>
          </w:tcPr>
          <w:p>
            <w:pPr>
              <w:spacing w:after="0"/>
              <w:rPr>
                <w:sz w:val="15"/>
                <w:szCs w:val="15"/>
                <w:color w:val="auto"/>
              </w:rPr>
            </w:pPr>
          </w:p>
        </w:tc>
        <w:tc>
          <w:tcPr>
            <w:tcW w:w="1020" w:type="dxa"/>
            <w:vAlign w:val="bottom"/>
            <w:tcBorders>
              <w:top w:val="single" w:sz="8" w:color="DCE2EF"/>
            </w:tcBorders>
            <w:shd w:val="clear" w:color="auto" w:fill="DCE2EF"/>
          </w:tcPr>
          <w:p>
            <w:pPr>
              <w:spacing w:after="0"/>
              <w:rPr>
                <w:sz w:val="15"/>
                <w:szCs w:val="15"/>
                <w:color w:val="auto"/>
              </w:rPr>
            </w:pPr>
          </w:p>
        </w:tc>
        <w:tc>
          <w:tcPr>
            <w:tcW w:w="2180" w:type="dxa"/>
            <w:vAlign w:val="bottom"/>
            <w:tcBorders>
              <w:top w:val="single" w:sz="8" w:color="DCE2EF"/>
            </w:tcBorders>
            <w:shd w:val="clear" w:color="auto" w:fill="DCE2EF"/>
          </w:tcPr>
          <w:p>
            <w:pPr>
              <w:spacing w:after="0"/>
              <w:rPr>
                <w:sz w:val="15"/>
                <w:szCs w:val="15"/>
                <w:color w:val="auto"/>
              </w:rPr>
            </w:pPr>
          </w:p>
        </w:tc>
      </w:tr>
      <w:tr>
        <w:trPr>
          <w:trHeight w:val="34"/>
        </w:trPr>
        <w:tc>
          <w:tcPr>
            <w:tcW w:w="1300" w:type="dxa"/>
            <w:vAlign w:val="bottom"/>
            <w:tcBorders>
              <w:top w:val="single" w:sz="8" w:color="DCE2EF"/>
            </w:tcBorders>
            <w:shd w:val="clear" w:color="auto" w:fill="DCE2EF"/>
          </w:tcPr>
          <w:p>
            <w:pPr>
              <w:spacing w:after="0"/>
              <w:rPr>
                <w:sz w:val="2"/>
                <w:szCs w:val="2"/>
                <w:color w:val="auto"/>
              </w:rPr>
            </w:pPr>
          </w:p>
        </w:tc>
        <w:tc>
          <w:tcPr>
            <w:tcW w:w="360" w:type="dxa"/>
            <w:vAlign w:val="bottom"/>
            <w:tcBorders>
              <w:top w:val="single" w:sz="8" w:color="0000FF"/>
            </w:tcBorders>
            <w:shd w:val="clear" w:color="auto" w:fill="DCE2EF"/>
          </w:tcPr>
          <w:p>
            <w:pPr>
              <w:spacing w:after="0"/>
              <w:rPr>
                <w:sz w:val="2"/>
                <w:szCs w:val="2"/>
                <w:color w:val="auto"/>
              </w:rPr>
            </w:pPr>
          </w:p>
        </w:tc>
        <w:tc>
          <w:tcPr>
            <w:tcW w:w="360" w:type="dxa"/>
            <w:vAlign w:val="bottom"/>
            <w:tcBorders>
              <w:top w:val="single" w:sz="8" w:color="0000FF"/>
            </w:tcBorders>
            <w:shd w:val="clear" w:color="auto" w:fill="DCE2EF"/>
          </w:tcPr>
          <w:p>
            <w:pPr>
              <w:spacing w:after="0"/>
              <w:rPr>
                <w:sz w:val="2"/>
                <w:szCs w:val="2"/>
                <w:color w:val="auto"/>
              </w:rPr>
            </w:pPr>
          </w:p>
        </w:tc>
        <w:tc>
          <w:tcPr>
            <w:tcW w:w="80" w:type="dxa"/>
            <w:vAlign w:val="bottom"/>
            <w:tcBorders>
              <w:top w:val="single" w:sz="8" w:color="0000FF"/>
            </w:tcBorders>
            <w:shd w:val="clear" w:color="auto" w:fill="DCE2EF"/>
          </w:tcPr>
          <w:p>
            <w:pPr>
              <w:spacing w:after="0"/>
              <w:rPr>
                <w:sz w:val="2"/>
                <w:szCs w:val="2"/>
                <w:color w:val="auto"/>
              </w:rPr>
            </w:pPr>
          </w:p>
        </w:tc>
        <w:tc>
          <w:tcPr>
            <w:tcW w:w="240" w:type="dxa"/>
            <w:vAlign w:val="bottom"/>
            <w:tcBorders>
              <w:top w:val="single" w:sz="8" w:color="0000FF"/>
            </w:tcBorders>
            <w:shd w:val="clear" w:color="auto" w:fill="DCE2EF"/>
          </w:tcPr>
          <w:p>
            <w:pPr>
              <w:spacing w:after="0"/>
              <w:rPr>
                <w:sz w:val="2"/>
                <w:szCs w:val="2"/>
                <w:color w:val="auto"/>
              </w:rPr>
            </w:pPr>
          </w:p>
        </w:tc>
        <w:tc>
          <w:tcPr>
            <w:tcW w:w="200" w:type="dxa"/>
            <w:vAlign w:val="bottom"/>
            <w:tcBorders>
              <w:top w:val="single" w:sz="8" w:color="0000FF"/>
            </w:tcBorders>
            <w:shd w:val="clear" w:color="auto" w:fill="DCE2EF"/>
          </w:tcPr>
          <w:p>
            <w:pPr>
              <w:spacing w:after="0"/>
              <w:rPr>
                <w:sz w:val="2"/>
                <w:szCs w:val="2"/>
                <w:color w:val="auto"/>
              </w:rPr>
            </w:pPr>
          </w:p>
        </w:tc>
        <w:tc>
          <w:tcPr>
            <w:tcW w:w="20" w:type="dxa"/>
            <w:vAlign w:val="bottom"/>
            <w:tcBorders>
              <w:top w:val="single" w:sz="8" w:color="0000FF"/>
            </w:tcBorders>
            <w:shd w:val="clear" w:color="auto" w:fill="DCE2EF"/>
          </w:tcPr>
          <w:p>
            <w:pPr>
              <w:spacing w:after="0"/>
              <w:rPr>
                <w:sz w:val="2"/>
                <w:szCs w:val="2"/>
                <w:color w:val="auto"/>
              </w:rPr>
            </w:pPr>
          </w:p>
        </w:tc>
        <w:tc>
          <w:tcPr>
            <w:tcW w:w="100" w:type="dxa"/>
            <w:vAlign w:val="bottom"/>
            <w:tcBorders>
              <w:top w:val="single" w:sz="8" w:color="0000FF"/>
            </w:tcBorders>
            <w:shd w:val="clear" w:color="auto" w:fill="DCE2EF"/>
          </w:tcPr>
          <w:p>
            <w:pPr>
              <w:spacing w:after="0"/>
              <w:rPr>
                <w:sz w:val="2"/>
                <w:szCs w:val="2"/>
                <w:color w:val="auto"/>
              </w:rPr>
            </w:pPr>
          </w:p>
        </w:tc>
        <w:tc>
          <w:tcPr>
            <w:tcW w:w="220" w:type="dxa"/>
            <w:vAlign w:val="bottom"/>
            <w:tcBorders>
              <w:top w:val="single" w:sz="8" w:color="0000FF"/>
            </w:tcBorders>
            <w:shd w:val="clear" w:color="auto" w:fill="DCE2EF"/>
          </w:tcPr>
          <w:p>
            <w:pPr>
              <w:spacing w:after="0"/>
              <w:rPr>
                <w:sz w:val="2"/>
                <w:szCs w:val="2"/>
                <w:color w:val="auto"/>
              </w:rPr>
            </w:pPr>
          </w:p>
        </w:tc>
        <w:tc>
          <w:tcPr>
            <w:tcW w:w="20" w:type="dxa"/>
            <w:vAlign w:val="bottom"/>
            <w:tcBorders>
              <w:top w:val="single" w:sz="8" w:color="0000FF"/>
            </w:tcBorders>
            <w:shd w:val="clear" w:color="auto" w:fill="DCE2EF"/>
          </w:tcPr>
          <w:p>
            <w:pPr>
              <w:spacing w:after="0"/>
              <w:rPr>
                <w:sz w:val="2"/>
                <w:szCs w:val="2"/>
                <w:color w:val="auto"/>
              </w:rPr>
            </w:pPr>
          </w:p>
        </w:tc>
        <w:tc>
          <w:tcPr>
            <w:tcW w:w="240" w:type="dxa"/>
            <w:vAlign w:val="bottom"/>
            <w:tcBorders>
              <w:top w:val="single" w:sz="8" w:color="0000FF"/>
            </w:tcBorders>
            <w:shd w:val="clear" w:color="auto" w:fill="DCE2EF"/>
          </w:tcPr>
          <w:p>
            <w:pPr>
              <w:spacing w:after="0"/>
              <w:rPr>
                <w:sz w:val="2"/>
                <w:szCs w:val="2"/>
                <w:color w:val="auto"/>
              </w:rPr>
            </w:pPr>
          </w:p>
        </w:tc>
        <w:tc>
          <w:tcPr>
            <w:tcW w:w="80" w:type="dxa"/>
            <w:vAlign w:val="bottom"/>
            <w:tcBorders>
              <w:top w:val="single" w:sz="8" w:color="0000FF"/>
            </w:tcBorders>
            <w:shd w:val="clear" w:color="auto" w:fill="DCE2EF"/>
          </w:tcPr>
          <w:p>
            <w:pPr>
              <w:spacing w:after="0"/>
              <w:rPr>
                <w:sz w:val="2"/>
                <w:szCs w:val="2"/>
                <w:color w:val="auto"/>
              </w:rPr>
            </w:pPr>
          </w:p>
        </w:tc>
        <w:tc>
          <w:tcPr>
            <w:tcW w:w="180" w:type="dxa"/>
            <w:vAlign w:val="bottom"/>
            <w:tcBorders>
              <w:top w:val="single" w:sz="8" w:color="DCE2EF"/>
            </w:tcBorders>
            <w:shd w:val="clear" w:color="auto" w:fill="DCE2EF"/>
          </w:tcPr>
          <w:p>
            <w:pPr>
              <w:spacing w:after="0"/>
              <w:rPr>
                <w:sz w:val="2"/>
                <w:szCs w:val="2"/>
                <w:color w:val="auto"/>
              </w:rPr>
            </w:pPr>
          </w:p>
        </w:tc>
        <w:tc>
          <w:tcPr>
            <w:tcW w:w="160" w:type="dxa"/>
            <w:vAlign w:val="bottom"/>
            <w:tcBorders>
              <w:top w:val="single" w:sz="8" w:color="DCE2EF"/>
            </w:tcBorders>
            <w:shd w:val="clear" w:color="auto" w:fill="DCE2EF"/>
          </w:tcPr>
          <w:p>
            <w:pPr>
              <w:spacing w:after="0"/>
              <w:rPr>
                <w:sz w:val="2"/>
                <w:szCs w:val="2"/>
                <w:color w:val="auto"/>
              </w:rPr>
            </w:pPr>
          </w:p>
        </w:tc>
        <w:tc>
          <w:tcPr>
            <w:tcW w:w="100" w:type="dxa"/>
            <w:vAlign w:val="bottom"/>
            <w:tcBorders>
              <w:top w:val="single" w:sz="8" w:color="DCE2EF"/>
            </w:tcBorders>
            <w:shd w:val="clear" w:color="auto" w:fill="DCE2EF"/>
          </w:tcPr>
          <w:p>
            <w:pPr>
              <w:spacing w:after="0"/>
              <w:rPr>
                <w:sz w:val="2"/>
                <w:szCs w:val="2"/>
                <w:color w:val="auto"/>
              </w:rPr>
            </w:pPr>
          </w:p>
        </w:tc>
        <w:tc>
          <w:tcPr>
            <w:tcW w:w="940" w:type="dxa"/>
            <w:vAlign w:val="bottom"/>
            <w:tcBorders>
              <w:top w:val="single" w:sz="8" w:color="DCE2EF"/>
            </w:tcBorders>
            <w:shd w:val="clear" w:color="auto" w:fill="DCE2EF"/>
          </w:tcPr>
          <w:p>
            <w:pPr>
              <w:spacing w:after="0"/>
              <w:rPr>
                <w:sz w:val="2"/>
                <w:szCs w:val="2"/>
                <w:color w:val="auto"/>
              </w:rPr>
            </w:pPr>
          </w:p>
        </w:tc>
        <w:tc>
          <w:tcPr>
            <w:tcW w:w="480" w:type="dxa"/>
            <w:vAlign w:val="bottom"/>
            <w:tcBorders>
              <w:top w:val="single" w:sz="8" w:color="DCE2EF"/>
            </w:tcBorders>
            <w:shd w:val="clear" w:color="auto" w:fill="DCE2EF"/>
          </w:tcPr>
          <w:p>
            <w:pPr>
              <w:spacing w:after="0"/>
              <w:rPr>
                <w:sz w:val="2"/>
                <w:szCs w:val="2"/>
                <w:color w:val="auto"/>
              </w:rPr>
            </w:pPr>
          </w:p>
        </w:tc>
        <w:tc>
          <w:tcPr>
            <w:tcW w:w="80" w:type="dxa"/>
            <w:vAlign w:val="bottom"/>
            <w:tcBorders>
              <w:top w:val="single" w:sz="8" w:color="DCE2EF"/>
            </w:tcBorders>
            <w:shd w:val="clear" w:color="auto" w:fill="DCE2EF"/>
          </w:tcPr>
          <w:p>
            <w:pPr>
              <w:spacing w:after="0"/>
              <w:rPr>
                <w:sz w:val="2"/>
                <w:szCs w:val="2"/>
                <w:color w:val="auto"/>
              </w:rPr>
            </w:pPr>
          </w:p>
        </w:tc>
        <w:tc>
          <w:tcPr>
            <w:tcW w:w="120" w:type="dxa"/>
            <w:vAlign w:val="bottom"/>
            <w:tcBorders>
              <w:top w:val="single" w:sz="8" w:color="DCE2EF"/>
              <w:right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180" w:type="dxa"/>
            <w:vAlign w:val="bottom"/>
            <w:tcBorders>
              <w:top w:val="single" w:sz="8" w:color="DCE2EF"/>
            </w:tcBorders>
            <w:shd w:val="clear" w:color="auto" w:fill="DCE2EF"/>
          </w:tcPr>
          <w:p>
            <w:pPr>
              <w:spacing w:after="0"/>
              <w:rPr>
                <w:sz w:val="2"/>
                <w:szCs w:val="2"/>
                <w:color w:val="auto"/>
              </w:rPr>
            </w:pPr>
          </w:p>
        </w:tc>
        <w:tc>
          <w:tcPr>
            <w:tcW w:w="6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6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140" w:type="dxa"/>
            <w:vAlign w:val="bottom"/>
            <w:tcBorders>
              <w:top w:val="single" w:sz="8" w:color="DCE2EF"/>
            </w:tcBorders>
            <w:shd w:val="clear" w:color="auto" w:fill="DCE2EF"/>
          </w:tcPr>
          <w:p>
            <w:pPr>
              <w:spacing w:after="0"/>
              <w:rPr>
                <w:sz w:val="2"/>
                <w:szCs w:val="2"/>
                <w:color w:val="auto"/>
              </w:rPr>
            </w:pPr>
          </w:p>
        </w:tc>
        <w:tc>
          <w:tcPr>
            <w:tcW w:w="780" w:type="dxa"/>
            <w:vAlign w:val="bottom"/>
            <w:tcBorders>
              <w:top w:val="single" w:sz="8" w:color="DCE2EF"/>
            </w:tcBorders>
            <w:shd w:val="clear" w:color="auto" w:fill="DCE2EF"/>
          </w:tcPr>
          <w:p>
            <w:pPr>
              <w:spacing w:after="0"/>
              <w:rPr>
                <w:sz w:val="2"/>
                <w:szCs w:val="2"/>
                <w:color w:val="auto"/>
              </w:rPr>
            </w:pPr>
          </w:p>
        </w:tc>
        <w:tc>
          <w:tcPr>
            <w:tcW w:w="1360" w:type="dxa"/>
            <w:vAlign w:val="bottom"/>
            <w:tcBorders>
              <w:top w:val="single" w:sz="8" w:color="DCE2EF"/>
            </w:tcBorders>
            <w:shd w:val="clear" w:color="auto" w:fill="DCE2EF"/>
          </w:tcPr>
          <w:p>
            <w:pPr>
              <w:spacing w:after="0"/>
              <w:rPr>
                <w:sz w:val="2"/>
                <w:szCs w:val="2"/>
                <w:color w:val="auto"/>
              </w:rPr>
            </w:pPr>
          </w:p>
        </w:tc>
        <w:tc>
          <w:tcPr>
            <w:tcW w:w="1020" w:type="dxa"/>
            <w:vAlign w:val="bottom"/>
            <w:tcBorders>
              <w:top w:val="single" w:sz="8" w:color="DCE2EF"/>
            </w:tcBorders>
            <w:shd w:val="clear" w:color="auto" w:fill="DCE2EF"/>
          </w:tcPr>
          <w:p>
            <w:pPr>
              <w:spacing w:after="0"/>
              <w:rPr>
                <w:sz w:val="2"/>
                <w:szCs w:val="2"/>
                <w:color w:val="auto"/>
              </w:rPr>
            </w:pPr>
          </w:p>
        </w:tc>
        <w:tc>
          <w:tcPr>
            <w:tcW w:w="2180" w:type="dxa"/>
            <w:vAlign w:val="bottom"/>
            <w:tcBorders>
              <w:top w:val="single" w:sz="8" w:color="DCE2EF"/>
            </w:tcBorders>
            <w:shd w:val="clear" w:color="auto" w:fill="DCE2EF"/>
          </w:tcPr>
          <w:p>
            <w:pPr>
              <w:spacing w:after="0"/>
              <w:rPr>
                <w:sz w:val="2"/>
                <w:szCs w:val="2"/>
                <w:color w:val="auto"/>
              </w:rPr>
            </w:pPr>
          </w:p>
        </w:tc>
      </w:tr>
      <w:tr>
        <w:trPr>
          <w:trHeight w:val="203"/>
        </w:trPr>
        <w:tc>
          <w:tcPr>
            <w:tcW w:w="1300" w:type="dxa"/>
            <w:vAlign w:val="bottom"/>
          </w:tcPr>
          <w:p>
            <w:pPr>
              <w:ind w:left="40"/>
              <w:spacing w:after="0" w:line="202" w:lineRule="exact"/>
              <w:rPr>
                <w:sz w:val="20"/>
                <w:szCs w:val="20"/>
                <w:color w:val="auto"/>
              </w:rPr>
            </w:pPr>
            <w:r>
              <w:rPr>
                <w:rFonts w:ascii="Arial" w:cs="Arial" w:eastAsia="Arial" w:hAnsi="Arial"/>
                <w:sz w:val="18"/>
                <w:szCs w:val="18"/>
                <w:color w:val="auto"/>
              </w:rPr>
              <w:t>21.1‡</w:t>
            </w:r>
          </w:p>
        </w:tc>
        <w:tc>
          <w:tcPr>
            <w:tcW w:w="4780" w:type="dxa"/>
            <w:vAlign w:val="bottom"/>
            <w:gridSpan w:val="37"/>
          </w:tcPr>
          <w:p>
            <w:pPr>
              <w:spacing w:after="0" w:line="202" w:lineRule="exact"/>
              <w:rPr>
                <w:rFonts w:ascii="Arial" w:cs="Arial" w:eastAsia="Arial" w:hAnsi="Arial"/>
                <w:sz w:val="18"/>
                <w:szCs w:val="18"/>
                <w:color w:val="0000FF"/>
              </w:rPr>
            </w:pPr>
            <w:hyperlink w:anchor="page130">
              <w:r>
                <w:rPr>
                  <w:rFonts w:ascii="Arial" w:cs="Arial" w:eastAsia="Arial" w:hAnsi="Arial"/>
                  <w:sz w:val="18"/>
                  <w:szCs w:val="18"/>
                  <w:color w:val="0000FF"/>
                </w:rPr>
                <w:t>Subsidiaries of the Registrant</w:t>
              </w:r>
            </w:hyperlink>
          </w:p>
        </w:tc>
        <w:tc>
          <w:tcPr>
            <w:tcW w:w="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48"/>
        </w:trPr>
        <w:tc>
          <w:tcPr>
            <w:tcW w:w="130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94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180" w:type="dxa"/>
            <w:vAlign w:val="bottom"/>
          </w:tcPr>
          <w:p>
            <w:pPr>
              <w:spacing w:after="0"/>
              <w:rPr>
                <w:sz w:val="4"/>
                <w:szCs w:val="4"/>
                <w:color w:val="auto"/>
              </w:rPr>
            </w:pPr>
          </w:p>
        </w:tc>
      </w:tr>
      <w:tr>
        <w:trPr>
          <w:trHeight w:val="203"/>
        </w:trPr>
        <w:tc>
          <w:tcPr>
            <w:tcW w:w="1300" w:type="dxa"/>
            <w:vAlign w:val="bottom"/>
            <w:shd w:val="clear" w:color="auto" w:fill="DCE2EF"/>
          </w:tcPr>
          <w:p>
            <w:pPr>
              <w:ind w:left="40"/>
              <w:spacing w:after="0" w:line="202" w:lineRule="exact"/>
              <w:rPr>
                <w:sz w:val="20"/>
                <w:szCs w:val="20"/>
                <w:color w:val="auto"/>
              </w:rPr>
            </w:pPr>
            <w:r>
              <w:rPr>
                <w:rFonts w:ascii="Arial" w:cs="Arial" w:eastAsia="Arial" w:hAnsi="Arial"/>
                <w:sz w:val="18"/>
                <w:szCs w:val="18"/>
                <w:color w:val="auto"/>
              </w:rPr>
              <w:t>23.1‡</w:t>
            </w:r>
          </w:p>
        </w:tc>
        <w:tc>
          <w:tcPr>
            <w:tcW w:w="4780" w:type="dxa"/>
            <w:vAlign w:val="bottom"/>
            <w:gridSpan w:val="37"/>
            <w:shd w:val="clear" w:color="auto" w:fill="DCE2EF"/>
          </w:tcPr>
          <w:p>
            <w:pPr>
              <w:spacing w:after="0" w:line="202" w:lineRule="exact"/>
              <w:rPr>
                <w:rFonts w:ascii="Arial" w:cs="Arial" w:eastAsia="Arial" w:hAnsi="Arial"/>
                <w:sz w:val="18"/>
                <w:szCs w:val="18"/>
                <w:color w:val="0000FF"/>
              </w:rPr>
            </w:pPr>
            <w:hyperlink w:anchor="page132">
              <w:r>
                <w:rPr>
                  <w:rFonts w:ascii="Arial" w:cs="Arial" w:eastAsia="Arial" w:hAnsi="Arial"/>
                  <w:sz w:val="18"/>
                  <w:szCs w:val="18"/>
                  <w:color w:val="0000FF"/>
                </w:rPr>
                <w:t>Consent of Independent Registered Public Accounting</w:t>
              </w:r>
            </w:hyperlink>
          </w:p>
        </w:tc>
        <w:tc>
          <w:tcPr>
            <w:tcW w:w="780" w:type="dxa"/>
            <w:vAlign w:val="bottom"/>
            <w:shd w:val="clear" w:color="auto" w:fill="DCE2EF"/>
          </w:tcPr>
          <w:p>
            <w:pPr>
              <w:spacing w:after="0"/>
              <w:rPr>
                <w:sz w:val="17"/>
                <w:szCs w:val="17"/>
                <w:color w:val="auto"/>
              </w:rPr>
            </w:pPr>
          </w:p>
        </w:tc>
        <w:tc>
          <w:tcPr>
            <w:tcW w:w="1360" w:type="dxa"/>
            <w:vAlign w:val="bottom"/>
            <w:shd w:val="clear" w:color="auto" w:fill="DCE2EF"/>
          </w:tcPr>
          <w:p>
            <w:pPr>
              <w:spacing w:after="0"/>
              <w:rPr>
                <w:sz w:val="17"/>
                <w:szCs w:val="17"/>
                <w:color w:val="auto"/>
              </w:rPr>
            </w:pPr>
          </w:p>
        </w:tc>
        <w:tc>
          <w:tcPr>
            <w:tcW w:w="1020" w:type="dxa"/>
            <w:vAlign w:val="bottom"/>
            <w:shd w:val="clear" w:color="auto" w:fill="DCE2EF"/>
          </w:tcPr>
          <w:p>
            <w:pPr>
              <w:spacing w:after="0"/>
              <w:rPr>
                <w:sz w:val="17"/>
                <w:szCs w:val="17"/>
                <w:color w:val="auto"/>
              </w:rPr>
            </w:pPr>
          </w:p>
        </w:tc>
        <w:tc>
          <w:tcPr>
            <w:tcW w:w="2180" w:type="dxa"/>
            <w:vAlign w:val="bottom"/>
            <w:shd w:val="clear" w:color="auto" w:fill="DCE2EF"/>
          </w:tcPr>
          <w:p>
            <w:pPr>
              <w:spacing w:after="0"/>
              <w:rPr>
                <w:sz w:val="17"/>
                <w:szCs w:val="17"/>
                <w:color w:val="auto"/>
              </w:rPr>
            </w:pPr>
          </w:p>
        </w:tc>
      </w:tr>
      <w:tr>
        <w:trPr>
          <w:trHeight w:val="183"/>
        </w:trPr>
        <w:tc>
          <w:tcPr>
            <w:tcW w:w="1300" w:type="dxa"/>
            <w:vAlign w:val="bottom"/>
            <w:tcBorders>
              <w:top w:val="single" w:sz="8" w:color="DCE2EF"/>
            </w:tcBorders>
            <w:shd w:val="clear" w:color="auto" w:fill="DCE2EF"/>
          </w:tcPr>
          <w:p>
            <w:pPr>
              <w:spacing w:after="0"/>
              <w:rPr>
                <w:sz w:val="15"/>
                <w:szCs w:val="15"/>
                <w:color w:val="auto"/>
              </w:rPr>
            </w:pPr>
          </w:p>
        </w:tc>
        <w:tc>
          <w:tcPr>
            <w:tcW w:w="4340" w:type="dxa"/>
            <w:vAlign w:val="bottom"/>
            <w:tcBorders>
              <w:top w:val="single" w:sz="8" w:color="0000FF"/>
            </w:tcBorders>
            <w:gridSpan w:val="24"/>
            <w:shd w:val="clear" w:color="auto" w:fill="DCE2EF"/>
          </w:tcPr>
          <w:p>
            <w:pPr>
              <w:spacing w:after="0" w:line="182" w:lineRule="exact"/>
              <w:rPr>
                <w:rFonts w:ascii="Arial" w:cs="Arial" w:eastAsia="Arial" w:hAnsi="Arial"/>
                <w:sz w:val="18"/>
                <w:szCs w:val="18"/>
                <w:color w:val="0000FF"/>
              </w:rPr>
            </w:pPr>
            <w:hyperlink w:anchor="page132">
              <w:r>
                <w:rPr>
                  <w:rFonts w:ascii="Arial" w:cs="Arial" w:eastAsia="Arial" w:hAnsi="Arial"/>
                  <w:sz w:val="18"/>
                  <w:szCs w:val="18"/>
                  <w:color w:val="0000FF"/>
                </w:rPr>
                <w:t>Firm</w:t>
              </w:r>
            </w:hyperlink>
          </w:p>
        </w:tc>
        <w:tc>
          <w:tcPr>
            <w:tcW w:w="160" w:type="dxa"/>
            <w:vAlign w:val="bottom"/>
            <w:tcBorders>
              <w:top w:val="single" w:sz="8" w:color="DCE2EF"/>
            </w:tcBorders>
            <w:gridSpan w:val="8"/>
            <w:shd w:val="clear" w:color="auto" w:fill="DCE2EF"/>
          </w:tcPr>
          <w:p>
            <w:pPr>
              <w:spacing w:after="0"/>
              <w:rPr>
                <w:sz w:val="15"/>
                <w:szCs w:val="15"/>
                <w:color w:val="auto"/>
              </w:rPr>
            </w:pPr>
          </w:p>
        </w:tc>
        <w:tc>
          <w:tcPr>
            <w:tcW w:w="280" w:type="dxa"/>
            <w:vAlign w:val="bottom"/>
            <w:tcBorders>
              <w:top w:val="single" w:sz="8" w:color="DCE2EF"/>
            </w:tcBorders>
            <w:gridSpan w:val="5"/>
            <w:shd w:val="clear" w:color="auto" w:fill="DCE2EF"/>
          </w:tcPr>
          <w:p>
            <w:pPr>
              <w:spacing w:after="0"/>
              <w:rPr>
                <w:sz w:val="15"/>
                <w:szCs w:val="15"/>
                <w:color w:val="auto"/>
              </w:rPr>
            </w:pPr>
          </w:p>
        </w:tc>
        <w:tc>
          <w:tcPr>
            <w:tcW w:w="780" w:type="dxa"/>
            <w:vAlign w:val="bottom"/>
            <w:tcBorders>
              <w:top w:val="single" w:sz="8" w:color="DCE2EF"/>
            </w:tcBorders>
            <w:shd w:val="clear" w:color="auto" w:fill="DCE2EF"/>
          </w:tcPr>
          <w:p>
            <w:pPr>
              <w:spacing w:after="0"/>
              <w:rPr>
                <w:sz w:val="15"/>
                <w:szCs w:val="15"/>
                <w:color w:val="auto"/>
              </w:rPr>
            </w:pPr>
          </w:p>
        </w:tc>
        <w:tc>
          <w:tcPr>
            <w:tcW w:w="1360" w:type="dxa"/>
            <w:vAlign w:val="bottom"/>
            <w:tcBorders>
              <w:top w:val="single" w:sz="8" w:color="DCE2EF"/>
            </w:tcBorders>
            <w:shd w:val="clear" w:color="auto" w:fill="DCE2EF"/>
          </w:tcPr>
          <w:p>
            <w:pPr>
              <w:spacing w:after="0"/>
              <w:rPr>
                <w:sz w:val="15"/>
                <w:szCs w:val="15"/>
                <w:color w:val="auto"/>
              </w:rPr>
            </w:pPr>
          </w:p>
        </w:tc>
        <w:tc>
          <w:tcPr>
            <w:tcW w:w="1020" w:type="dxa"/>
            <w:vAlign w:val="bottom"/>
            <w:tcBorders>
              <w:top w:val="single" w:sz="8" w:color="DCE2EF"/>
            </w:tcBorders>
            <w:shd w:val="clear" w:color="auto" w:fill="DCE2EF"/>
          </w:tcPr>
          <w:p>
            <w:pPr>
              <w:spacing w:after="0"/>
              <w:rPr>
                <w:sz w:val="15"/>
                <w:szCs w:val="15"/>
                <w:color w:val="auto"/>
              </w:rPr>
            </w:pPr>
          </w:p>
        </w:tc>
        <w:tc>
          <w:tcPr>
            <w:tcW w:w="2180" w:type="dxa"/>
            <w:vAlign w:val="bottom"/>
            <w:tcBorders>
              <w:top w:val="single" w:sz="8" w:color="DCE2EF"/>
            </w:tcBorders>
            <w:shd w:val="clear" w:color="auto" w:fill="DCE2EF"/>
          </w:tcPr>
          <w:p>
            <w:pPr>
              <w:spacing w:after="0"/>
              <w:rPr>
                <w:sz w:val="15"/>
                <w:szCs w:val="15"/>
                <w:color w:val="auto"/>
              </w:rPr>
            </w:pPr>
          </w:p>
        </w:tc>
      </w:tr>
      <w:tr>
        <w:trPr>
          <w:trHeight w:val="34"/>
        </w:trPr>
        <w:tc>
          <w:tcPr>
            <w:tcW w:w="1300" w:type="dxa"/>
            <w:vAlign w:val="bottom"/>
            <w:tcBorders>
              <w:top w:val="single" w:sz="8" w:color="DCE2EF"/>
            </w:tcBorders>
            <w:shd w:val="clear" w:color="auto" w:fill="DCE2EF"/>
          </w:tcPr>
          <w:p>
            <w:pPr>
              <w:spacing w:after="0"/>
              <w:rPr>
                <w:sz w:val="2"/>
                <w:szCs w:val="2"/>
                <w:color w:val="auto"/>
              </w:rPr>
            </w:pPr>
          </w:p>
        </w:tc>
        <w:tc>
          <w:tcPr>
            <w:tcW w:w="360" w:type="dxa"/>
            <w:vAlign w:val="bottom"/>
            <w:tcBorders>
              <w:top w:val="single" w:sz="8" w:color="0000FF"/>
            </w:tcBorders>
            <w:shd w:val="clear" w:color="auto" w:fill="DCE2EF"/>
          </w:tcPr>
          <w:p>
            <w:pPr>
              <w:spacing w:after="0"/>
              <w:rPr>
                <w:sz w:val="2"/>
                <w:szCs w:val="2"/>
                <w:color w:val="auto"/>
              </w:rPr>
            </w:pPr>
          </w:p>
        </w:tc>
        <w:tc>
          <w:tcPr>
            <w:tcW w:w="360" w:type="dxa"/>
            <w:vAlign w:val="bottom"/>
            <w:tcBorders>
              <w:top w:val="single" w:sz="8" w:color="DCE2EF"/>
            </w:tcBorders>
            <w:shd w:val="clear" w:color="auto" w:fill="DCE2EF"/>
          </w:tcPr>
          <w:p>
            <w:pPr>
              <w:spacing w:after="0"/>
              <w:rPr>
                <w:sz w:val="2"/>
                <w:szCs w:val="2"/>
                <w:color w:val="auto"/>
              </w:rPr>
            </w:pPr>
          </w:p>
        </w:tc>
        <w:tc>
          <w:tcPr>
            <w:tcW w:w="80" w:type="dxa"/>
            <w:vAlign w:val="bottom"/>
            <w:tcBorders>
              <w:top w:val="single" w:sz="8" w:color="DCE2EF"/>
            </w:tcBorders>
            <w:shd w:val="clear" w:color="auto" w:fill="DCE2EF"/>
          </w:tcPr>
          <w:p>
            <w:pPr>
              <w:spacing w:after="0"/>
              <w:rPr>
                <w:sz w:val="2"/>
                <w:szCs w:val="2"/>
                <w:color w:val="auto"/>
              </w:rPr>
            </w:pPr>
          </w:p>
        </w:tc>
        <w:tc>
          <w:tcPr>
            <w:tcW w:w="240" w:type="dxa"/>
            <w:vAlign w:val="bottom"/>
            <w:tcBorders>
              <w:top w:val="single" w:sz="8" w:color="DCE2EF"/>
            </w:tcBorders>
            <w:shd w:val="clear" w:color="auto" w:fill="DCE2EF"/>
          </w:tcPr>
          <w:p>
            <w:pPr>
              <w:spacing w:after="0"/>
              <w:rPr>
                <w:sz w:val="2"/>
                <w:szCs w:val="2"/>
                <w:color w:val="auto"/>
              </w:rPr>
            </w:pPr>
          </w:p>
        </w:tc>
        <w:tc>
          <w:tcPr>
            <w:tcW w:w="20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100" w:type="dxa"/>
            <w:vAlign w:val="bottom"/>
            <w:tcBorders>
              <w:top w:val="single" w:sz="8" w:color="DCE2EF"/>
            </w:tcBorders>
            <w:shd w:val="clear" w:color="auto" w:fill="DCE2EF"/>
          </w:tcPr>
          <w:p>
            <w:pPr>
              <w:spacing w:after="0"/>
              <w:rPr>
                <w:sz w:val="2"/>
                <w:szCs w:val="2"/>
                <w:color w:val="auto"/>
              </w:rPr>
            </w:pPr>
          </w:p>
        </w:tc>
        <w:tc>
          <w:tcPr>
            <w:tcW w:w="2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40" w:type="dxa"/>
            <w:vAlign w:val="bottom"/>
            <w:tcBorders>
              <w:top w:val="single" w:sz="8" w:color="DCE2EF"/>
            </w:tcBorders>
            <w:shd w:val="clear" w:color="auto" w:fill="DCE2EF"/>
          </w:tcPr>
          <w:p>
            <w:pPr>
              <w:spacing w:after="0"/>
              <w:rPr>
                <w:sz w:val="2"/>
                <w:szCs w:val="2"/>
                <w:color w:val="auto"/>
              </w:rPr>
            </w:pPr>
          </w:p>
        </w:tc>
        <w:tc>
          <w:tcPr>
            <w:tcW w:w="80" w:type="dxa"/>
            <w:vAlign w:val="bottom"/>
            <w:tcBorders>
              <w:top w:val="single" w:sz="8" w:color="DCE2EF"/>
            </w:tcBorders>
            <w:shd w:val="clear" w:color="auto" w:fill="DCE2EF"/>
          </w:tcPr>
          <w:p>
            <w:pPr>
              <w:spacing w:after="0"/>
              <w:rPr>
                <w:sz w:val="2"/>
                <w:szCs w:val="2"/>
                <w:color w:val="auto"/>
              </w:rPr>
            </w:pPr>
          </w:p>
        </w:tc>
        <w:tc>
          <w:tcPr>
            <w:tcW w:w="180" w:type="dxa"/>
            <w:vAlign w:val="bottom"/>
            <w:tcBorders>
              <w:top w:val="single" w:sz="8" w:color="DCE2EF"/>
            </w:tcBorders>
            <w:shd w:val="clear" w:color="auto" w:fill="DCE2EF"/>
          </w:tcPr>
          <w:p>
            <w:pPr>
              <w:spacing w:after="0"/>
              <w:rPr>
                <w:sz w:val="2"/>
                <w:szCs w:val="2"/>
                <w:color w:val="auto"/>
              </w:rPr>
            </w:pPr>
          </w:p>
        </w:tc>
        <w:tc>
          <w:tcPr>
            <w:tcW w:w="160" w:type="dxa"/>
            <w:vAlign w:val="bottom"/>
            <w:tcBorders>
              <w:top w:val="single" w:sz="8" w:color="DCE2EF"/>
            </w:tcBorders>
            <w:shd w:val="clear" w:color="auto" w:fill="DCE2EF"/>
          </w:tcPr>
          <w:p>
            <w:pPr>
              <w:spacing w:after="0"/>
              <w:rPr>
                <w:sz w:val="2"/>
                <w:szCs w:val="2"/>
                <w:color w:val="auto"/>
              </w:rPr>
            </w:pPr>
          </w:p>
        </w:tc>
        <w:tc>
          <w:tcPr>
            <w:tcW w:w="100" w:type="dxa"/>
            <w:vAlign w:val="bottom"/>
            <w:tcBorders>
              <w:top w:val="single" w:sz="8" w:color="DCE2EF"/>
            </w:tcBorders>
            <w:shd w:val="clear" w:color="auto" w:fill="DCE2EF"/>
          </w:tcPr>
          <w:p>
            <w:pPr>
              <w:spacing w:after="0"/>
              <w:rPr>
                <w:sz w:val="2"/>
                <w:szCs w:val="2"/>
                <w:color w:val="auto"/>
              </w:rPr>
            </w:pPr>
          </w:p>
        </w:tc>
        <w:tc>
          <w:tcPr>
            <w:tcW w:w="940" w:type="dxa"/>
            <w:vAlign w:val="bottom"/>
            <w:tcBorders>
              <w:top w:val="single" w:sz="8" w:color="DCE2EF"/>
            </w:tcBorders>
            <w:shd w:val="clear" w:color="auto" w:fill="DCE2EF"/>
          </w:tcPr>
          <w:p>
            <w:pPr>
              <w:spacing w:after="0"/>
              <w:rPr>
                <w:sz w:val="2"/>
                <w:szCs w:val="2"/>
                <w:color w:val="auto"/>
              </w:rPr>
            </w:pPr>
          </w:p>
        </w:tc>
        <w:tc>
          <w:tcPr>
            <w:tcW w:w="480" w:type="dxa"/>
            <w:vAlign w:val="bottom"/>
            <w:tcBorders>
              <w:top w:val="single" w:sz="8" w:color="DCE2EF"/>
            </w:tcBorders>
            <w:shd w:val="clear" w:color="auto" w:fill="DCE2EF"/>
          </w:tcPr>
          <w:p>
            <w:pPr>
              <w:spacing w:after="0"/>
              <w:rPr>
                <w:sz w:val="2"/>
                <w:szCs w:val="2"/>
                <w:color w:val="auto"/>
              </w:rPr>
            </w:pPr>
          </w:p>
        </w:tc>
        <w:tc>
          <w:tcPr>
            <w:tcW w:w="80" w:type="dxa"/>
            <w:vAlign w:val="bottom"/>
            <w:tcBorders>
              <w:top w:val="single" w:sz="8" w:color="DCE2EF"/>
            </w:tcBorders>
            <w:shd w:val="clear" w:color="auto" w:fill="DCE2EF"/>
          </w:tcPr>
          <w:p>
            <w:pPr>
              <w:spacing w:after="0"/>
              <w:rPr>
                <w:sz w:val="2"/>
                <w:szCs w:val="2"/>
                <w:color w:val="auto"/>
              </w:rPr>
            </w:pPr>
          </w:p>
        </w:tc>
        <w:tc>
          <w:tcPr>
            <w:tcW w:w="120" w:type="dxa"/>
            <w:vAlign w:val="bottom"/>
            <w:tcBorders>
              <w:top w:val="single" w:sz="8" w:color="DCE2EF"/>
              <w:right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180" w:type="dxa"/>
            <w:vAlign w:val="bottom"/>
            <w:tcBorders>
              <w:top w:val="single" w:sz="8" w:color="DCE2EF"/>
            </w:tcBorders>
            <w:shd w:val="clear" w:color="auto" w:fill="DCE2EF"/>
          </w:tcPr>
          <w:p>
            <w:pPr>
              <w:spacing w:after="0"/>
              <w:rPr>
                <w:sz w:val="2"/>
                <w:szCs w:val="2"/>
                <w:color w:val="auto"/>
              </w:rPr>
            </w:pPr>
          </w:p>
        </w:tc>
        <w:tc>
          <w:tcPr>
            <w:tcW w:w="6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6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140" w:type="dxa"/>
            <w:vAlign w:val="bottom"/>
            <w:tcBorders>
              <w:top w:val="single" w:sz="8" w:color="DCE2EF"/>
            </w:tcBorders>
            <w:shd w:val="clear" w:color="auto" w:fill="DCE2EF"/>
          </w:tcPr>
          <w:p>
            <w:pPr>
              <w:spacing w:after="0"/>
              <w:rPr>
                <w:sz w:val="2"/>
                <w:szCs w:val="2"/>
                <w:color w:val="auto"/>
              </w:rPr>
            </w:pPr>
          </w:p>
        </w:tc>
        <w:tc>
          <w:tcPr>
            <w:tcW w:w="780" w:type="dxa"/>
            <w:vAlign w:val="bottom"/>
            <w:tcBorders>
              <w:top w:val="single" w:sz="8" w:color="DCE2EF"/>
            </w:tcBorders>
            <w:shd w:val="clear" w:color="auto" w:fill="DCE2EF"/>
          </w:tcPr>
          <w:p>
            <w:pPr>
              <w:spacing w:after="0"/>
              <w:rPr>
                <w:sz w:val="2"/>
                <w:szCs w:val="2"/>
                <w:color w:val="auto"/>
              </w:rPr>
            </w:pPr>
          </w:p>
        </w:tc>
        <w:tc>
          <w:tcPr>
            <w:tcW w:w="1360" w:type="dxa"/>
            <w:vAlign w:val="bottom"/>
            <w:tcBorders>
              <w:top w:val="single" w:sz="8" w:color="DCE2EF"/>
            </w:tcBorders>
            <w:shd w:val="clear" w:color="auto" w:fill="DCE2EF"/>
          </w:tcPr>
          <w:p>
            <w:pPr>
              <w:spacing w:after="0"/>
              <w:rPr>
                <w:sz w:val="2"/>
                <w:szCs w:val="2"/>
                <w:color w:val="auto"/>
              </w:rPr>
            </w:pPr>
          </w:p>
        </w:tc>
        <w:tc>
          <w:tcPr>
            <w:tcW w:w="1020" w:type="dxa"/>
            <w:vAlign w:val="bottom"/>
            <w:tcBorders>
              <w:top w:val="single" w:sz="8" w:color="DCE2EF"/>
            </w:tcBorders>
            <w:shd w:val="clear" w:color="auto" w:fill="DCE2EF"/>
          </w:tcPr>
          <w:p>
            <w:pPr>
              <w:spacing w:after="0"/>
              <w:rPr>
                <w:sz w:val="2"/>
                <w:szCs w:val="2"/>
                <w:color w:val="auto"/>
              </w:rPr>
            </w:pPr>
          </w:p>
        </w:tc>
        <w:tc>
          <w:tcPr>
            <w:tcW w:w="2180" w:type="dxa"/>
            <w:vAlign w:val="bottom"/>
            <w:tcBorders>
              <w:top w:val="single" w:sz="8" w:color="DCE2EF"/>
            </w:tcBorders>
            <w:shd w:val="clear" w:color="auto" w:fill="DCE2EF"/>
          </w:tcPr>
          <w:p>
            <w:pPr>
              <w:spacing w:after="0"/>
              <w:rPr>
                <w:sz w:val="2"/>
                <w:szCs w:val="2"/>
                <w:color w:val="auto"/>
              </w:rPr>
            </w:pPr>
          </w:p>
        </w:tc>
      </w:tr>
      <w:tr>
        <w:trPr>
          <w:trHeight w:val="203"/>
        </w:trPr>
        <w:tc>
          <w:tcPr>
            <w:tcW w:w="1300" w:type="dxa"/>
            <w:vAlign w:val="bottom"/>
          </w:tcPr>
          <w:p>
            <w:pPr>
              <w:ind w:left="40"/>
              <w:spacing w:after="0" w:line="202" w:lineRule="exact"/>
              <w:rPr>
                <w:sz w:val="20"/>
                <w:szCs w:val="20"/>
                <w:color w:val="auto"/>
              </w:rPr>
            </w:pPr>
            <w:r>
              <w:rPr>
                <w:rFonts w:ascii="Arial" w:cs="Arial" w:eastAsia="Arial" w:hAnsi="Arial"/>
                <w:sz w:val="18"/>
                <w:szCs w:val="18"/>
                <w:color w:val="auto"/>
              </w:rPr>
              <w:t>31.1‡</w:t>
            </w:r>
          </w:p>
        </w:tc>
        <w:tc>
          <w:tcPr>
            <w:tcW w:w="4780" w:type="dxa"/>
            <w:vAlign w:val="bottom"/>
            <w:gridSpan w:val="37"/>
          </w:tcPr>
          <w:p>
            <w:pPr>
              <w:spacing w:after="0" w:line="202" w:lineRule="exact"/>
              <w:rPr>
                <w:rFonts w:ascii="Arial" w:cs="Arial" w:eastAsia="Arial" w:hAnsi="Arial"/>
                <w:sz w:val="18"/>
                <w:szCs w:val="18"/>
                <w:color w:val="0000FF"/>
              </w:rPr>
            </w:pPr>
            <w:hyperlink w:anchor="page133">
              <w:r>
                <w:rPr>
                  <w:rFonts w:ascii="Arial" w:cs="Arial" w:eastAsia="Arial" w:hAnsi="Arial"/>
                  <w:sz w:val="18"/>
                  <w:szCs w:val="18"/>
                  <w:color w:val="0000FF"/>
                </w:rPr>
                <w:t>Certification of Chief Executive Officer pursuant to</w:t>
              </w:r>
            </w:hyperlink>
          </w:p>
        </w:tc>
        <w:tc>
          <w:tcPr>
            <w:tcW w:w="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2260" w:type="dxa"/>
            <w:vAlign w:val="bottom"/>
            <w:gridSpan w:val="13"/>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14"/>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83"/>
        </w:trPr>
        <w:tc>
          <w:tcPr>
            <w:tcW w:w="1300" w:type="dxa"/>
            <w:vAlign w:val="bottom"/>
          </w:tcPr>
          <w:p>
            <w:pPr>
              <w:spacing w:after="0"/>
              <w:rPr>
                <w:sz w:val="15"/>
                <w:szCs w:val="15"/>
                <w:color w:val="auto"/>
              </w:rPr>
            </w:pPr>
          </w:p>
        </w:tc>
        <w:tc>
          <w:tcPr>
            <w:tcW w:w="4780" w:type="dxa"/>
            <w:vAlign w:val="bottom"/>
            <w:gridSpan w:val="37"/>
          </w:tcPr>
          <w:p>
            <w:pPr>
              <w:spacing w:after="0" w:line="182" w:lineRule="exact"/>
              <w:rPr>
                <w:rFonts w:ascii="Arial" w:cs="Arial" w:eastAsia="Arial" w:hAnsi="Arial"/>
                <w:sz w:val="18"/>
                <w:szCs w:val="18"/>
                <w:color w:val="0000FF"/>
              </w:rPr>
            </w:pPr>
            <w:hyperlink w:anchor="page133">
              <w:r>
                <w:rPr>
                  <w:rFonts w:ascii="Arial" w:cs="Arial" w:eastAsia="Arial" w:hAnsi="Arial"/>
                  <w:sz w:val="18"/>
                  <w:szCs w:val="18"/>
                  <w:color w:val="0000FF"/>
                </w:rPr>
                <w:t>Securities Exchange Act of 1934 Rule 13a-14(a) or 15d-</w:t>
              </w:r>
            </w:hyperlink>
          </w:p>
        </w:tc>
        <w:tc>
          <w:tcPr>
            <w:tcW w:w="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83"/>
        </w:trPr>
        <w:tc>
          <w:tcPr>
            <w:tcW w:w="1300" w:type="dxa"/>
            <w:vAlign w:val="bottom"/>
          </w:tcPr>
          <w:p>
            <w:pPr>
              <w:spacing w:after="0"/>
              <w:rPr>
                <w:sz w:val="15"/>
                <w:szCs w:val="15"/>
                <w:color w:val="auto"/>
              </w:rPr>
            </w:pPr>
          </w:p>
        </w:tc>
        <w:tc>
          <w:tcPr>
            <w:tcW w:w="4500" w:type="dxa"/>
            <w:vAlign w:val="bottom"/>
            <w:tcBorders>
              <w:top w:val="single" w:sz="8" w:color="0000FF"/>
            </w:tcBorders>
            <w:gridSpan w:val="32"/>
          </w:tcPr>
          <w:p>
            <w:pPr>
              <w:spacing w:after="0" w:line="182" w:lineRule="exact"/>
              <w:rPr>
                <w:rFonts w:ascii="Arial" w:cs="Arial" w:eastAsia="Arial" w:hAnsi="Arial"/>
                <w:sz w:val="18"/>
                <w:szCs w:val="18"/>
                <w:color w:val="0000FF"/>
              </w:rPr>
            </w:pPr>
            <w:hyperlink w:anchor="page133">
              <w:r>
                <w:rPr>
                  <w:rFonts w:ascii="Arial" w:cs="Arial" w:eastAsia="Arial" w:hAnsi="Arial"/>
                  <w:sz w:val="18"/>
                  <w:szCs w:val="18"/>
                  <w:color w:val="0000FF"/>
                </w:rPr>
                <w:t>14(a), as adopted pursuant to Section 302 of the</w:t>
              </w:r>
            </w:hyperlink>
          </w:p>
        </w:tc>
        <w:tc>
          <w:tcPr>
            <w:tcW w:w="280" w:type="dxa"/>
            <w:vAlign w:val="bottom"/>
            <w:gridSpan w:val="5"/>
          </w:tcPr>
          <w:p>
            <w:pPr>
              <w:spacing w:after="0"/>
              <w:rPr>
                <w:sz w:val="15"/>
                <w:szCs w:val="15"/>
                <w:color w:val="auto"/>
              </w:rPr>
            </w:pPr>
          </w:p>
        </w:tc>
        <w:tc>
          <w:tcPr>
            <w:tcW w:w="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83"/>
        </w:trPr>
        <w:tc>
          <w:tcPr>
            <w:tcW w:w="1300" w:type="dxa"/>
            <w:vAlign w:val="bottom"/>
          </w:tcPr>
          <w:p>
            <w:pPr>
              <w:spacing w:after="0"/>
              <w:rPr>
                <w:sz w:val="15"/>
                <w:szCs w:val="15"/>
                <w:color w:val="auto"/>
              </w:rPr>
            </w:pPr>
          </w:p>
        </w:tc>
        <w:tc>
          <w:tcPr>
            <w:tcW w:w="3860" w:type="dxa"/>
            <w:vAlign w:val="bottom"/>
            <w:tcBorders>
              <w:top w:val="single" w:sz="8" w:color="0000FF"/>
            </w:tcBorders>
            <w:gridSpan w:val="17"/>
          </w:tcPr>
          <w:p>
            <w:pPr>
              <w:spacing w:after="0" w:line="182" w:lineRule="exact"/>
              <w:rPr>
                <w:rFonts w:ascii="Arial" w:cs="Arial" w:eastAsia="Arial" w:hAnsi="Arial"/>
                <w:sz w:val="18"/>
                <w:szCs w:val="18"/>
                <w:color w:val="0000FF"/>
              </w:rPr>
            </w:pPr>
            <w:hyperlink w:anchor="page133">
              <w:r>
                <w:rPr>
                  <w:rFonts w:ascii="Arial" w:cs="Arial" w:eastAsia="Arial" w:hAnsi="Arial"/>
                  <w:sz w:val="18"/>
                  <w:szCs w:val="18"/>
                  <w:color w:val="0000FF"/>
                </w:rPr>
                <w:t>Sarbanes-Oxley Act of 2002</w:t>
              </w:r>
            </w:hyperlink>
          </w:p>
        </w:tc>
        <w:tc>
          <w:tcPr>
            <w:tcW w:w="120" w:type="dxa"/>
            <w:vAlign w:val="bottom"/>
          </w:tcPr>
          <w:p>
            <w:pPr>
              <w:spacing w:after="0"/>
              <w:rPr>
                <w:sz w:val="15"/>
                <w:szCs w:val="15"/>
                <w:color w:val="auto"/>
              </w:rPr>
            </w:pPr>
          </w:p>
        </w:tc>
        <w:tc>
          <w:tcPr>
            <w:tcW w:w="800" w:type="dxa"/>
            <w:vAlign w:val="bottom"/>
            <w:gridSpan w:val="19"/>
          </w:tcPr>
          <w:p>
            <w:pPr>
              <w:spacing w:after="0"/>
              <w:rPr>
                <w:sz w:val="15"/>
                <w:szCs w:val="15"/>
                <w:color w:val="auto"/>
              </w:rPr>
            </w:pPr>
          </w:p>
        </w:tc>
        <w:tc>
          <w:tcPr>
            <w:tcW w:w="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34"/>
        </w:trPr>
        <w:tc>
          <w:tcPr>
            <w:tcW w:w="130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03"/>
        </w:trPr>
        <w:tc>
          <w:tcPr>
            <w:tcW w:w="1300" w:type="dxa"/>
            <w:vAlign w:val="bottom"/>
            <w:shd w:val="clear" w:color="auto" w:fill="DCE2EF"/>
          </w:tcPr>
          <w:p>
            <w:pPr>
              <w:ind w:left="40"/>
              <w:spacing w:after="0" w:line="202" w:lineRule="exact"/>
              <w:rPr>
                <w:sz w:val="20"/>
                <w:szCs w:val="20"/>
                <w:color w:val="auto"/>
              </w:rPr>
            </w:pPr>
            <w:r>
              <w:rPr>
                <w:rFonts w:ascii="Arial" w:cs="Arial" w:eastAsia="Arial" w:hAnsi="Arial"/>
                <w:sz w:val="18"/>
                <w:szCs w:val="18"/>
                <w:color w:val="auto"/>
              </w:rPr>
              <w:t>31.2‡</w:t>
            </w:r>
          </w:p>
        </w:tc>
        <w:tc>
          <w:tcPr>
            <w:tcW w:w="4780" w:type="dxa"/>
            <w:vAlign w:val="bottom"/>
            <w:gridSpan w:val="37"/>
            <w:shd w:val="clear" w:color="auto" w:fill="DCE2EF"/>
          </w:tcPr>
          <w:p>
            <w:pPr>
              <w:spacing w:after="0" w:line="202" w:lineRule="exact"/>
              <w:rPr>
                <w:rFonts w:ascii="Arial" w:cs="Arial" w:eastAsia="Arial" w:hAnsi="Arial"/>
                <w:sz w:val="18"/>
                <w:szCs w:val="18"/>
                <w:color w:val="0000FF"/>
              </w:rPr>
            </w:pPr>
            <w:hyperlink w:anchor="page134">
              <w:r>
                <w:rPr>
                  <w:rFonts w:ascii="Arial" w:cs="Arial" w:eastAsia="Arial" w:hAnsi="Arial"/>
                  <w:sz w:val="18"/>
                  <w:szCs w:val="18"/>
                  <w:color w:val="0000FF"/>
                </w:rPr>
                <w:t>Certification of Chief Financial Officer pursuant to</w:t>
              </w:r>
            </w:hyperlink>
          </w:p>
        </w:tc>
        <w:tc>
          <w:tcPr>
            <w:tcW w:w="780" w:type="dxa"/>
            <w:vAlign w:val="bottom"/>
            <w:shd w:val="clear" w:color="auto" w:fill="DCE2EF"/>
          </w:tcPr>
          <w:p>
            <w:pPr>
              <w:spacing w:after="0"/>
              <w:rPr>
                <w:sz w:val="17"/>
                <w:szCs w:val="17"/>
                <w:color w:val="auto"/>
              </w:rPr>
            </w:pPr>
          </w:p>
        </w:tc>
        <w:tc>
          <w:tcPr>
            <w:tcW w:w="1360" w:type="dxa"/>
            <w:vAlign w:val="bottom"/>
            <w:shd w:val="clear" w:color="auto" w:fill="DCE2EF"/>
          </w:tcPr>
          <w:p>
            <w:pPr>
              <w:spacing w:after="0"/>
              <w:rPr>
                <w:sz w:val="17"/>
                <w:szCs w:val="17"/>
                <w:color w:val="auto"/>
              </w:rPr>
            </w:pPr>
          </w:p>
        </w:tc>
        <w:tc>
          <w:tcPr>
            <w:tcW w:w="1020" w:type="dxa"/>
            <w:vAlign w:val="bottom"/>
            <w:shd w:val="clear" w:color="auto" w:fill="DCE2EF"/>
          </w:tcPr>
          <w:p>
            <w:pPr>
              <w:spacing w:after="0"/>
              <w:rPr>
                <w:sz w:val="17"/>
                <w:szCs w:val="17"/>
                <w:color w:val="auto"/>
              </w:rPr>
            </w:pPr>
          </w:p>
        </w:tc>
        <w:tc>
          <w:tcPr>
            <w:tcW w:w="2180" w:type="dxa"/>
            <w:vAlign w:val="bottom"/>
            <w:shd w:val="clear" w:color="auto" w:fill="DCE2EF"/>
          </w:tcPr>
          <w:p>
            <w:pPr>
              <w:spacing w:after="0"/>
              <w:rPr>
                <w:sz w:val="17"/>
                <w:szCs w:val="17"/>
                <w:color w:val="auto"/>
              </w:rPr>
            </w:pPr>
          </w:p>
        </w:tc>
      </w:tr>
      <w:tr>
        <w:trPr>
          <w:trHeight w:val="183"/>
        </w:trPr>
        <w:tc>
          <w:tcPr>
            <w:tcW w:w="1300" w:type="dxa"/>
            <w:vAlign w:val="bottom"/>
            <w:tcBorders>
              <w:top w:val="single" w:sz="8" w:color="DCE2EF"/>
            </w:tcBorders>
            <w:shd w:val="clear" w:color="auto" w:fill="DCE2EF"/>
          </w:tcPr>
          <w:p>
            <w:pPr>
              <w:spacing w:after="0"/>
              <w:rPr>
                <w:sz w:val="15"/>
                <w:szCs w:val="15"/>
                <w:color w:val="auto"/>
              </w:rPr>
            </w:pPr>
          </w:p>
        </w:tc>
        <w:tc>
          <w:tcPr>
            <w:tcW w:w="3980" w:type="dxa"/>
            <w:vAlign w:val="bottom"/>
            <w:tcBorders>
              <w:top w:val="single" w:sz="8" w:color="0000FF"/>
              <w:right w:val="single" w:sz="8" w:color="DCE2EF"/>
            </w:tcBorders>
            <w:gridSpan w:val="18"/>
            <w:shd w:val="clear" w:color="auto" w:fill="DCE2EF"/>
          </w:tcPr>
          <w:p>
            <w:pPr>
              <w:spacing w:after="0" w:line="182" w:lineRule="exact"/>
              <w:rPr>
                <w:rFonts w:ascii="Arial" w:cs="Arial" w:eastAsia="Arial" w:hAnsi="Arial"/>
                <w:sz w:val="18"/>
                <w:szCs w:val="18"/>
                <w:color w:val="0000FF"/>
              </w:rPr>
            </w:pPr>
            <w:hyperlink w:anchor="page134">
              <w:r>
                <w:rPr>
                  <w:rFonts w:ascii="Arial" w:cs="Arial" w:eastAsia="Arial" w:hAnsi="Arial"/>
                  <w:sz w:val="18"/>
                  <w:szCs w:val="18"/>
                  <w:color w:val="0000FF"/>
                </w:rPr>
                <w:t>Securities Exchange Act of 1934 Rule 13a-14(a)</w:t>
              </w:r>
            </w:hyperlink>
          </w:p>
        </w:tc>
        <w:tc>
          <w:tcPr>
            <w:tcW w:w="800" w:type="dxa"/>
            <w:vAlign w:val="bottom"/>
            <w:tcBorders>
              <w:top w:val="single" w:sz="8" w:color="DCE2EF"/>
            </w:tcBorders>
            <w:gridSpan w:val="19"/>
            <w:shd w:val="clear" w:color="auto" w:fill="DCE2EF"/>
          </w:tcPr>
          <w:p>
            <w:pPr>
              <w:spacing w:after="0" w:line="182" w:lineRule="exact"/>
              <w:rPr>
                <w:rFonts w:ascii="Arial" w:cs="Arial" w:eastAsia="Arial" w:hAnsi="Arial"/>
                <w:sz w:val="18"/>
                <w:szCs w:val="18"/>
                <w:color w:val="0000FF"/>
              </w:rPr>
            </w:pPr>
            <w:hyperlink w:anchor="page134">
              <w:r>
                <w:rPr>
                  <w:rFonts w:ascii="Arial" w:cs="Arial" w:eastAsia="Arial" w:hAnsi="Arial"/>
                  <w:sz w:val="18"/>
                  <w:szCs w:val="18"/>
                  <w:color w:val="0000FF"/>
                </w:rPr>
                <w:t>or 15d-</w:t>
              </w:r>
            </w:hyperlink>
          </w:p>
        </w:tc>
        <w:tc>
          <w:tcPr>
            <w:tcW w:w="780" w:type="dxa"/>
            <w:vAlign w:val="bottom"/>
            <w:tcBorders>
              <w:top w:val="single" w:sz="8" w:color="DCE2EF"/>
            </w:tcBorders>
            <w:shd w:val="clear" w:color="auto" w:fill="DCE2EF"/>
          </w:tcPr>
          <w:p>
            <w:pPr>
              <w:spacing w:after="0"/>
              <w:rPr>
                <w:sz w:val="15"/>
                <w:szCs w:val="15"/>
                <w:color w:val="auto"/>
              </w:rPr>
            </w:pPr>
          </w:p>
        </w:tc>
        <w:tc>
          <w:tcPr>
            <w:tcW w:w="1360" w:type="dxa"/>
            <w:vAlign w:val="bottom"/>
            <w:tcBorders>
              <w:top w:val="single" w:sz="8" w:color="DCE2EF"/>
            </w:tcBorders>
            <w:shd w:val="clear" w:color="auto" w:fill="DCE2EF"/>
          </w:tcPr>
          <w:p>
            <w:pPr>
              <w:spacing w:after="0"/>
              <w:rPr>
                <w:sz w:val="15"/>
                <w:szCs w:val="15"/>
                <w:color w:val="auto"/>
              </w:rPr>
            </w:pPr>
          </w:p>
        </w:tc>
        <w:tc>
          <w:tcPr>
            <w:tcW w:w="1020" w:type="dxa"/>
            <w:vAlign w:val="bottom"/>
            <w:tcBorders>
              <w:top w:val="single" w:sz="8" w:color="DCE2EF"/>
            </w:tcBorders>
            <w:shd w:val="clear" w:color="auto" w:fill="DCE2EF"/>
          </w:tcPr>
          <w:p>
            <w:pPr>
              <w:spacing w:after="0"/>
              <w:rPr>
                <w:sz w:val="15"/>
                <w:szCs w:val="15"/>
                <w:color w:val="auto"/>
              </w:rPr>
            </w:pPr>
          </w:p>
        </w:tc>
        <w:tc>
          <w:tcPr>
            <w:tcW w:w="2180" w:type="dxa"/>
            <w:vAlign w:val="bottom"/>
            <w:tcBorders>
              <w:top w:val="single" w:sz="8" w:color="DCE2EF"/>
            </w:tcBorders>
            <w:shd w:val="clear" w:color="auto" w:fill="DCE2EF"/>
          </w:tcPr>
          <w:p>
            <w:pPr>
              <w:spacing w:after="0"/>
              <w:rPr>
                <w:sz w:val="15"/>
                <w:szCs w:val="15"/>
                <w:color w:val="auto"/>
              </w:rPr>
            </w:pPr>
          </w:p>
        </w:tc>
      </w:tr>
      <w:tr>
        <w:trPr>
          <w:trHeight w:val="183"/>
        </w:trPr>
        <w:tc>
          <w:tcPr>
            <w:tcW w:w="1300" w:type="dxa"/>
            <w:vAlign w:val="bottom"/>
            <w:tcBorders>
              <w:top w:val="single" w:sz="8" w:color="DCE2EF"/>
            </w:tcBorders>
            <w:shd w:val="clear" w:color="auto" w:fill="DCE2EF"/>
          </w:tcPr>
          <w:p>
            <w:pPr>
              <w:spacing w:after="0"/>
              <w:rPr>
                <w:sz w:val="15"/>
                <w:szCs w:val="15"/>
                <w:color w:val="auto"/>
              </w:rPr>
            </w:pPr>
          </w:p>
        </w:tc>
        <w:tc>
          <w:tcPr>
            <w:tcW w:w="4500" w:type="dxa"/>
            <w:vAlign w:val="bottom"/>
            <w:tcBorders>
              <w:top w:val="single" w:sz="8" w:color="0000FF"/>
            </w:tcBorders>
            <w:gridSpan w:val="32"/>
            <w:shd w:val="clear" w:color="auto" w:fill="DCE2EF"/>
          </w:tcPr>
          <w:p>
            <w:pPr>
              <w:spacing w:after="0" w:line="182" w:lineRule="exact"/>
              <w:rPr>
                <w:rFonts w:ascii="Arial" w:cs="Arial" w:eastAsia="Arial" w:hAnsi="Arial"/>
                <w:sz w:val="18"/>
                <w:szCs w:val="18"/>
                <w:color w:val="0000FF"/>
              </w:rPr>
            </w:pPr>
            <w:hyperlink w:anchor="page134">
              <w:r>
                <w:rPr>
                  <w:rFonts w:ascii="Arial" w:cs="Arial" w:eastAsia="Arial" w:hAnsi="Arial"/>
                  <w:sz w:val="18"/>
                  <w:szCs w:val="18"/>
                  <w:color w:val="0000FF"/>
                </w:rPr>
                <w:t>14(a), as adopted pursuant to Section 302 of the</w:t>
              </w:r>
            </w:hyperlink>
          </w:p>
        </w:tc>
        <w:tc>
          <w:tcPr>
            <w:tcW w:w="280" w:type="dxa"/>
            <w:vAlign w:val="bottom"/>
            <w:tcBorders>
              <w:top w:val="single" w:sz="8" w:color="DCE2EF"/>
            </w:tcBorders>
            <w:gridSpan w:val="5"/>
            <w:shd w:val="clear" w:color="auto" w:fill="DCE2EF"/>
          </w:tcPr>
          <w:p>
            <w:pPr>
              <w:spacing w:after="0"/>
              <w:rPr>
                <w:sz w:val="15"/>
                <w:szCs w:val="15"/>
                <w:color w:val="auto"/>
              </w:rPr>
            </w:pPr>
          </w:p>
        </w:tc>
        <w:tc>
          <w:tcPr>
            <w:tcW w:w="780" w:type="dxa"/>
            <w:vAlign w:val="bottom"/>
            <w:tcBorders>
              <w:top w:val="single" w:sz="8" w:color="DCE2EF"/>
            </w:tcBorders>
            <w:shd w:val="clear" w:color="auto" w:fill="DCE2EF"/>
          </w:tcPr>
          <w:p>
            <w:pPr>
              <w:spacing w:after="0"/>
              <w:rPr>
                <w:sz w:val="15"/>
                <w:szCs w:val="15"/>
                <w:color w:val="auto"/>
              </w:rPr>
            </w:pPr>
          </w:p>
        </w:tc>
        <w:tc>
          <w:tcPr>
            <w:tcW w:w="1360" w:type="dxa"/>
            <w:vAlign w:val="bottom"/>
            <w:tcBorders>
              <w:top w:val="single" w:sz="8" w:color="DCE2EF"/>
            </w:tcBorders>
            <w:shd w:val="clear" w:color="auto" w:fill="DCE2EF"/>
          </w:tcPr>
          <w:p>
            <w:pPr>
              <w:spacing w:after="0"/>
              <w:rPr>
                <w:sz w:val="15"/>
                <w:szCs w:val="15"/>
                <w:color w:val="auto"/>
              </w:rPr>
            </w:pPr>
          </w:p>
        </w:tc>
        <w:tc>
          <w:tcPr>
            <w:tcW w:w="1020" w:type="dxa"/>
            <w:vAlign w:val="bottom"/>
            <w:tcBorders>
              <w:top w:val="single" w:sz="8" w:color="DCE2EF"/>
            </w:tcBorders>
            <w:shd w:val="clear" w:color="auto" w:fill="DCE2EF"/>
          </w:tcPr>
          <w:p>
            <w:pPr>
              <w:spacing w:after="0"/>
              <w:rPr>
                <w:sz w:val="15"/>
                <w:szCs w:val="15"/>
                <w:color w:val="auto"/>
              </w:rPr>
            </w:pPr>
          </w:p>
        </w:tc>
        <w:tc>
          <w:tcPr>
            <w:tcW w:w="2180" w:type="dxa"/>
            <w:vAlign w:val="bottom"/>
            <w:tcBorders>
              <w:top w:val="single" w:sz="8" w:color="DCE2EF"/>
            </w:tcBorders>
            <w:shd w:val="clear" w:color="auto" w:fill="DCE2EF"/>
          </w:tcPr>
          <w:p>
            <w:pPr>
              <w:spacing w:after="0"/>
              <w:rPr>
                <w:sz w:val="15"/>
                <w:szCs w:val="15"/>
                <w:color w:val="auto"/>
              </w:rPr>
            </w:pPr>
          </w:p>
        </w:tc>
      </w:tr>
      <w:tr>
        <w:trPr>
          <w:trHeight w:val="217"/>
        </w:trPr>
        <w:tc>
          <w:tcPr>
            <w:tcW w:w="1300" w:type="dxa"/>
            <w:vAlign w:val="bottom"/>
            <w:tcBorders>
              <w:top w:val="single" w:sz="8" w:color="DCE2EF"/>
              <w:bottom w:val="single" w:sz="8" w:color="DCE2EF"/>
            </w:tcBorders>
            <w:shd w:val="clear" w:color="auto" w:fill="DCE2EF"/>
          </w:tcPr>
          <w:p>
            <w:pPr>
              <w:spacing w:after="0"/>
              <w:rPr>
                <w:sz w:val="18"/>
                <w:szCs w:val="18"/>
                <w:color w:val="auto"/>
              </w:rPr>
            </w:pPr>
          </w:p>
        </w:tc>
        <w:tc>
          <w:tcPr>
            <w:tcW w:w="2260" w:type="dxa"/>
            <w:vAlign w:val="bottom"/>
            <w:tcBorders>
              <w:top w:val="single" w:sz="8" w:color="0000FF"/>
              <w:bottom w:val="single" w:sz="8" w:color="0000FF"/>
            </w:tcBorders>
            <w:gridSpan w:val="13"/>
            <w:shd w:val="clear" w:color="auto" w:fill="DCE2EF"/>
          </w:tcPr>
          <w:p>
            <w:pPr>
              <w:spacing w:after="0" w:line="182" w:lineRule="exact"/>
              <w:rPr>
                <w:rFonts w:ascii="Arial" w:cs="Arial" w:eastAsia="Arial" w:hAnsi="Arial"/>
                <w:sz w:val="18"/>
                <w:szCs w:val="18"/>
                <w:color w:val="0000FF"/>
                <w:w w:val="99"/>
              </w:rPr>
            </w:pPr>
            <w:hyperlink w:anchor="page134">
              <w:r>
                <w:rPr>
                  <w:rFonts w:ascii="Arial" w:cs="Arial" w:eastAsia="Arial" w:hAnsi="Arial"/>
                  <w:sz w:val="18"/>
                  <w:szCs w:val="18"/>
                  <w:color w:val="0000FF"/>
                  <w:w w:val="99"/>
                </w:rPr>
                <w:t>Sarbanes-Oxley Act of 2002</w:t>
              </w:r>
            </w:hyperlink>
          </w:p>
        </w:tc>
        <w:tc>
          <w:tcPr>
            <w:tcW w:w="1600" w:type="dxa"/>
            <w:vAlign w:val="bottom"/>
            <w:tcBorders>
              <w:top w:val="single" w:sz="8" w:color="0000FF"/>
              <w:bottom w:val="single" w:sz="8" w:color="DCE2EF"/>
            </w:tcBorders>
            <w:gridSpan w:val="4"/>
            <w:shd w:val="clear" w:color="auto" w:fill="DCE2EF"/>
          </w:tcPr>
          <w:p>
            <w:pPr>
              <w:spacing w:after="0"/>
              <w:rPr>
                <w:sz w:val="18"/>
                <w:szCs w:val="18"/>
                <w:color w:val="auto"/>
              </w:rPr>
            </w:pPr>
          </w:p>
        </w:tc>
        <w:tc>
          <w:tcPr>
            <w:tcW w:w="920" w:type="dxa"/>
            <w:vAlign w:val="bottom"/>
            <w:tcBorders>
              <w:top w:val="single" w:sz="8" w:color="DCE2EF"/>
              <w:bottom w:val="single" w:sz="8" w:color="DCE2EF"/>
            </w:tcBorders>
            <w:gridSpan w:val="20"/>
            <w:shd w:val="clear" w:color="auto" w:fill="DCE2EF"/>
          </w:tcPr>
          <w:p>
            <w:pPr>
              <w:spacing w:after="0"/>
              <w:rPr>
                <w:sz w:val="18"/>
                <w:szCs w:val="18"/>
                <w:color w:val="auto"/>
              </w:rPr>
            </w:pPr>
          </w:p>
        </w:tc>
        <w:tc>
          <w:tcPr>
            <w:tcW w:w="780" w:type="dxa"/>
            <w:vAlign w:val="bottom"/>
            <w:tcBorders>
              <w:top w:val="single" w:sz="8" w:color="DCE2EF"/>
              <w:bottom w:val="single" w:sz="8" w:color="DCE2EF"/>
            </w:tcBorders>
            <w:shd w:val="clear" w:color="auto" w:fill="DCE2EF"/>
          </w:tcPr>
          <w:p>
            <w:pPr>
              <w:spacing w:after="0"/>
              <w:rPr>
                <w:sz w:val="18"/>
                <w:szCs w:val="18"/>
                <w:color w:val="auto"/>
              </w:rPr>
            </w:pPr>
          </w:p>
        </w:tc>
        <w:tc>
          <w:tcPr>
            <w:tcW w:w="1360" w:type="dxa"/>
            <w:vAlign w:val="bottom"/>
            <w:tcBorders>
              <w:top w:val="single" w:sz="8" w:color="DCE2EF"/>
              <w:bottom w:val="single" w:sz="8" w:color="DCE2EF"/>
            </w:tcBorders>
            <w:shd w:val="clear" w:color="auto" w:fill="DCE2EF"/>
          </w:tcPr>
          <w:p>
            <w:pPr>
              <w:spacing w:after="0"/>
              <w:rPr>
                <w:sz w:val="18"/>
                <w:szCs w:val="18"/>
                <w:color w:val="auto"/>
              </w:rPr>
            </w:pPr>
          </w:p>
        </w:tc>
        <w:tc>
          <w:tcPr>
            <w:tcW w:w="1020" w:type="dxa"/>
            <w:vAlign w:val="bottom"/>
            <w:tcBorders>
              <w:top w:val="single" w:sz="8" w:color="DCE2EF"/>
              <w:bottom w:val="single" w:sz="8" w:color="DCE2EF"/>
            </w:tcBorders>
            <w:shd w:val="clear" w:color="auto" w:fill="DCE2EF"/>
          </w:tcPr>
          <w:p>
            <w:pPr>
              <w:spacing w:after="0"/>
              <w:rPr>
                <w:sz w:val="18"/>
                <w:szCs w:val="18"/>
                <w:color w:val="auto"/>
              </w:rPr>
            </w:pPr>
          </w:p>
        </w:tc>
        <w:tc>
          <w:tcPr>
            <w:tcW w:w="2180" w:type="dxa"/>
            <w:vAlign w:val="bottom"/>
            <w:tcBorders>
              <w:top w:val="single" w:sz="8" w:color="DCE2EF"/>
              <w:bottom w:val="single" w:sz="8" w:color="DCE2EF"/>
            </w:tcBorders>
            <w:shd w:val="clear" w:color="auto" w:fill="DCE2EF"/>
          </w:tcPr>
          <w:p>
            <w:pPr>
              <w:spacing w:after="0"/>
              <w:rPr>
                <w:sz w:val="18"/>
                <w:szCs w:val="18"/>
                <w:color w:val="auto"/>
              </w:rPr>
            </w:pPr>
          </w:p>
        </w:tc>
      </w:tr>
      <w:tr>
        <w:trPr>
          <w:trHeight w:val="598"/>
        </w:trPr>
        <w:tc>
          <w:tcPr>
            <w:tcW w:w="1300" w:type="dxa"/>
            <w:vAlign w:val="bottom"/>
          </w:tcPr>
          <w:p>
            <w:pPr>
              <w:spacing w:after="0"/>
              <w:rPr>
                <w:sz w:val="24"/>
                <w:szCs w:val="24"/>
                <w:color w:val="auto"/>
              </w:rPr>
            </w:pPr>
          </w:p>
        </w:tc>
        <w:tc>
          <w:tcPr>
            <w:tcW w:w="4580" w:type="dxa"/>
            <w:vAlign w:val="bottom"/>
            <w:gridSpan w:val="34"/>
          </w:tcPr>
          <w:p>
            <w:pPr>
              <w:ind w:left="4260"/>
              <w:spacing w:after="0"/>
              <w:rPr>
                <w:sz w:val="20"/>
                <w:szCs w:val="20"/>
                <w:color w:val="auto"/>
              </w:rPr>
            </w:pPr>
            <w:r>
              <w:rPr>
                <w:rFonts w:ascii="Arial" w:cs="Arial" w:eastAsia="Arial" w:hAnsi="Arial"/>
                <w:sz w:val="18"/>
                <w:szCs w:val="18"/>
                <w:color w:val="auto"/>
                <w:w w:val="99"/>
              </w:rPr>
              <w:t>103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ectPr>
          <w:pgSz w:w="11900" w:h="16838" w:orient="portrait"/>
          <w:cols w:equalWidth="0" w:num="1">
            <w:col w:w="11420"/>
          </w:cols>
          <w:pgMar w:left="240" w:top="648" w:right="239" w:bottom="144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ind w:left="40"/>
              <w:spacing w:after="0"/>
              <w:rPr>
                <w:sz w:val="20"/>
                <w:szCs w:val="20"/>
                <w:color w:val="auto"/>
              </w:rPr>
            </w:pPr>
            <w:r>
              <w:rPr>
                <w:rFonts w:ascii="Arial" w:cs="Arial" w:eastAsia="Arial" w:hAnsi="Arial"/>
                <w:sz w:val="18"/>
                <w:szCs w:val="18"/>
                <w:color w:val="auto"/>
              </w:rPr>
              <w:t>32.1†</w:t>
            </w:r>
          </w:p>
        </w:tc>
        <w:tc>
          <w:tcPr>
            <w:tcW w:w="4200" w:type="dxa"/>
            <w:vAlign w:val="bottom"/>
            <w:tcBorders>
              <w:bottom w:val="single" w:sz="8" w:color="0000FF"/>
            </w:tcBorders>
            <w:gridSpan w:val="3"/>
          </w:tcPr>
          <w:p>
            <w:pPr>
              <w:spacing w:after="0"/>
              <w:rPr>
                <w:rFonts w:ascii="Arial" w:cs="Arial" w:eastAsia="Arial" w:hAnsi="Arial"/>
                <w:sz w:val="18"/>
                <w:szCs w:val="18"/>
                <w:color w:val="0000FF"/>
                <w:w w:val="99"/>
              </w:rPr>
            </w:pPr>
            <w:hyperlink w:anchor="page135">
              <w:r>
                <w:rPr>
                  <w:rFonts w:ascii="Arial" w:cs="Arial" w:eastAsia="Arial" w:hAnsi="Arial"/>
                  <w:sz w:val="18"/>
                  <w:szCs w:val="18"/>
                  <w:color w:val="0000FF"/>
                  <w:w w:val="99"/>
                </w:rPr>
                <w:t>Certifications pursuant to Securities Exchange Act of</w:t>
              </w:r>
            </w:hyperlink>
          </w:p>
        </w:tc>
        <w:tc>
          <w:tcPr>
            <w:tcW w:w="5960" w:type="dxa"/>
            <w:vAlign w:val="bottom"/>
            <w:gridSpan w:val="2"/>
          </w:tcPr>
          <w:p>
            <w:pPr>
              <w:spacing w:after="0"/>
              <w:rPr>
                <w:sz w:val="17"/>
                <w:szCs w:val="17"/>
                <w:color w:val="auto"/>
              </w:rPr>
            </w:pPr>
          </w:p>
        </w:tc>
      </w:tr>
      <w:tr>
        <w:trPr>
          <w:trHeight w:val="183"/>
        </w:trPr>
        <w:tc>
          <w:tcPr>
            <w:tcW w:w="1260" w:type="dxa"/>
            <w:vAlign w:val="bottom"/>
          </w:tcPr>
          <w:p>
            <w:pPr>
              <w:spacing w:after="0"/>
              <w:rPr>
                <w:sz w:val="15"/>
                <w:szCs w:val="15"/>
                <w:color w:val="auto"/>
              </w:rPr>
            </w:pPr>
          </w:p>
        </w:tc>
        <w:tc>
          <w:tcPr>
            <w:tcW w:w="10160" w:type="dxa"/>
            <w:vAlign w:val="bottom"/>
            <w:gridSpan w:val="5"/>
          </w:tcPr>
          <w:p>
            <w:pPr>
              <w:spacing w:after="0" w:line="182" w:lineRule="exact"/>
              <w:rPr>
                <w:rFonts w:ascii="Arial" w:cs="Arial" w:eastAsia="Arial" w:hAnsi="Arial"/>
                <w:sz w:val="18"/>
                <w:szCs w:val="18"/>
                <w:color w:val="0000FF"/>
              </w:rPr>
            </w:pPr>
            <w:hyperlink w:anchor="page135">
              <w:r>
                <w:rPr>
                  <w:rFonts w:ascii="Arial" w:cs="Arial" w:eastAsia="Arial" w:hAnsi="Arial"/>
                  <w:sz w:val="18"/>
                  <w:szCs w:val="18"/>
                  <w:color w:val="0000FF"/>
                </w:rPr>
                <w:t>1934 Rule 13a-14(b) or 15d-14(b) and 18 U.S.C. Section</w:t>
              </w:r>
            </w:hyperlink>
          </w:p>
        </w:tc>
      </w:tr>
      <w:tr>
        <w:trPr>
          <w:trHeight w:val="183"/>
        </w:trPr>
        <w:tc>
          <w:tcPr>
            <w:tcW w:w="1260" w:type="dxa"/>
            <w:vAlign w:val="bottom"/>
          </w:tcPr>
          <w:p>
            <w:pPr>
              <w:spacing w:after="0"/>
              <w:rPr>
                <w:sz w:val="15"/>
                <w:szCs w:val="15"/>
                <w:color w:val="auto"/>
              </w:rPr>
            </w:pPr>
          </w:p>
        </w:tc>
        <w:tc>
          <w:tcPr>
            <w:tcW w:w="4520" w:type="dxa"/>
            <w:vAlign w:val="bottom"/>
            <w:tcBorders>
              <w:top w:val="single" w:sz="8" w:color="0000FF"/>
            </w:tcBorders>
            <w:gridSpan w:val="4"/>
          </w:tcPr>
          <w:p>
            <w:pPr>
              <w:spacing w:after="0" w:line="182" w:lineRule="exact"/>
              <w:rPr>
                <w:rFonts w:ascii="Arial" w:cs="Arial" w:eastAsia="Arial" w:hAnsi="Arial"/>
                <w:sz w:val="18"/>
                <w:szCs w:val="18"/>
                <w:color w:val="0000FF"/>
              </w:rPr>
            </w:pPr>
            <w:hyperlink w:anchor="page135">
              <w:r>
                <w:rPr>
                  <w:rFonts w:ascii="Arial" w:cs="Arial" w:eastAsia="Arial" w:hAnsi="Arial"/>
                  <w:sz w:val="18"/>
                  <w:szCs w:val="18"/>
                  <w:color w:val="0000FF"/>
                </w:rPr>
                <w:t>1350, as adopted pursuant to Section 302 of the</w:t>
              </w:r>
            </w:hyperlink>
          </w:p>
        </w:tc>
        <w:tc>
          <w:tcPr>
            <w:tcW w:w="5640" w:type="dxa"/>
            <w:vAlign w:val="bottom"/>
          </w:tcPr>
          <w:p>
            <w:pPr>
              <w:spacing w:after="0"/>
              <w:rPr>
                <w:sz w:val="15"/>
                <w:szCs w:val="15"/>
                <w:color w:val="auto"/>
              </w:rPr>
            </w:pPr>
          </w:p>
        </w:tc>
      </w:tr>
      <w:tr>
        <w:trPr>
          <w:trHeight w:val="183"/>
        </w:trPr>
        <w:tc>
          <w:tcPr>
            <w:tcW w:w="1260" w:type="dxa"/>
            <w:vAlign w:val="bottom"/>
          </w:tcPr>
          <w:p>
            <w:pPr>
              <w:spacing w:after="0"/>
              <w:rPr>
                <w:sz w:val="15"/>
                <w:szCs w:val="15"/>
                <w:color w:val="auto"/>
              </w:rPr>
            </w:pPr>
          </w:p>
        </w:tc>
        <w:tc>
          <w:tcPr>
            <w:tcW w:w="3840" w:type="dxa"/>
            <w:vAlign w:val="bottom"/>
            <w:tcBorders>
              <w:top w:val="single" w:sz="8" w:color="0000FF"/>
            </w:tcBorders>
            <w:gridSpan w:val="2"/>
          </w:tcPr>
          <w:p>
            <w:pPr>
              <w:spacing w:after="0" w:line="182" w:lineRule="exact"/>
              <w:rPr>
                <w:rFonts w:ascii="Arial" w:cs="Arial" w:eastAsia="Arial" w:hAnsi="Arial"/>
                <w:sz w:val="18"/>
                <w:szCs w:val="18"/>
                <w:color w:val="0000FF"/>
              </w:rPr>
            </w:pPr>
            <w:hyperlink w:anchor="page135">
              <w:r>
                <w:rPr>
                  <w:rFonts w:ascii="Arial" w:cs="Arial" w:eastAsia="Arial" w:hAnsi="Arial"/>
                  <w:sz w:val="18"/>
                  <w:szCs w:val="18"/>
                  <w:color w:val="0000FF"/>
                </w:rPr>
                <w:t>Sarbanes-Oxley Act of 2002</w:t>
              </w:r>
            </w:hyperlink>
          </w:p>
        </w:tc>
        <w:tc>
          <w:tcPr>
            <w:tcW w:w="6320" w:type="dxa"/>
            <w:vAlign w:val="bottom"/>
            <w:gridSpan w:val="3"/>
          </w:tcPr>
          <w:p>
            <w:pPr>
              <w:spacing w:after="0"/>
              <w:rPr>
                <w:sz w:val="15"/>
                <w:szCs w:val="15"/>
                <w:color w:val="auto"/>
              </w:rPr>
            </w:pPr>
          </w:p>
        </w:tc>
      </w:tr>
      <w:tr>
        <w:trPr>
          <w:trHeight w:val="34"/>
        </w:trPr>
        <w:tc>
          <w:tcPr>
            <w:tcW w:w="1260" w:type="dxa"/>
            <w:vAlign w:val="bottom"/>
          </w:tcPr>
          <w:p>
            <w:pPr>
              <w:spacing w:after="0"/>
              <w:rPr>
                <w:sz w:val="2"/>
                <w:szCs w:val="2"/>
                <w:color w:val="auto"/>
              </w:rPr>
            </w:pPr>
          </w:p>
        </w:tc>
        <w:tc>
          <w:tcPr>
            <w:tcW w:w="2260" w:type="dxa"/>
            <w:vAlign w:val="bottom"/>
            <w:tcBorders>
              <w:top w:val="single" w:sz="8" w:color="0000FF"/>
            </w:tcBorders>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40" w:type="dxa"/>
            <w:vAlign w:val="bottom"/>
          </w:tcPr>
          <w:p>
            <w:pPr>
              <w:spacing w:after="0"/>
              <w:rPr>
                <w:sz w:val="2"/>
                <w:szCs w:val="2"/>
                <w:color w:val="auto"/>
              </w:rPr>
            </w:pPr>
          </w:p>
        </w:tc>
      </w:tr>
      <w:tr>
        <w:trPr>
          <w:trHeight w:val="207"/>
        </w:trPr>
        <w:tc>
          <w:tcPr>
            <w:tcW w:w="1260" w:type="dxa"/>
            <w:vAlign w:val="bottom"/>
            <w:shd w:val="clear" w:color="auto" w:fill="DCE2EF"/>
          </w:tcPr>
          <w:p>
            <w:pPr>
              <w:ind w:left="40"/>
              <w:spacing w:after="0"/>
              <w:rPr>
                <w:sz w:val="20"/>
                <w:szCs w:val="20"/>
                <w:color w:val="auto"/>
              </w:rPr>
            </w:pPr>
            <w:r>
              <w:rPr>
                <w:rFonts w:ascii="Arial" w:cs="Arial" w:eastAsia="Arial" w:hAnsi="Arial"/>
                <w:sz w:val="18"/>
                <w:szCs w:val="18"/>
                <w:color w:val="auto"/>
              </w:rPr>
              <w:t>101.INS ‡</w:t>
            </w:r>
          </w:p>
        </w:tc>
        <w:tc>
          <w:tcPr>
            <w:tcW w:w="10160" w:type="dxa"/>
            <w:vAlign w:val="bottom"/>
            <w:gridSpan w:val="5"/>
            <w:shd w:val="clear" w:color="auto" w:fill="DCE2EF"/>
          </w:tcPr>
          <w:p>
            <w:pPr>
              <w:spacing w:after="0"/>
              <w:rPr>
                <w:sz w:val="20"/>
                <w:szCs w:val="20"/>
                <w:color w:val="auto"/>
              </w:rPr>
            </w:pPr>
            <w:r>
              <w:rPr>
                <w:rFonts w:ascii="Arial" w:cs="Arial" w:eastAsia="Arial" w:hAnsi="Arial"/>
                <w:sz w:val="18"/>
                <w:szCs w:val="18"/>
                <w:color w:val="auto"/>
              </w:rPr>
              <w:t>Inline XBRL Instance Document (the instance document</w:t>
            </w:r>
          </w:p>
        </w:tc>
      </w:tr>
      <w:tr>
        <w:trPr>
          <w:trHeight w:val="203"/>
        </w:trPr>
        <w:tc>
          <w:tcPr>
            <w:tcW w:w="1260" w:type="dxa"/>
            <w:vAlign w:val="bottom"/>
            <w:shd w:val="clear" w:color="auto" w:fill="DCE2EF"/>
          </w:tcPr>
          <w:p>
            <w:pPr>
              <w:spacing w:after="0"/>
              <w:rPr>
                <w:sz w:val="17"/>
                <w:szCs w:val="17"/>
                <w:color w:val="auto"/>
              </w:rPr>
            </w:pPr>
          </w:p>
        </w:tc>
        <w:tc>
          <w:tcPr>
            <w:tcW w:w="10160" w:type="dxa"/>
            <w:vAlign w:val="bottom"/>
            <w:gridSpan w:val="5"/>
            <w:shd w:val="clear" w:color="auto" w:fill="DCE2EF"/>
          </w:tcPr>
          <w:p>
            <w:pPr>
              <w:spacing w:after="0" w:line="202" w:lineRule="exact"/>
              <w:rPr>
                <w:sz w:val="20"/>
                <w:szCs w:val="20"/>
                <w:color w:val="auto"/>
              </w:rPr>
            </w:pPr>
            <w:r>
              <w:rPr>
                <w:rFonts w:ascii="Arial" w:cs="Arial" w:eastAsia="Arial" w:hAnsi="Arial"/>
                <w:sz w:val="18"/>
                <w:szCs w:val="18"/>
                <w:color w:val="auto"/>
              </w:rPr>
              <w:t>does not appear in the Interactive Data File because its</w:t>
            </w:r>
          </w:p>
        </w:tc>
      </w:tr>
      <w:tr>
        <w:trPr>
          <w:trHeight w:val="203"/>
        </w:trPr>
        <w:tc>
          <w:tcPr>
            <w:tcW w:w="1260" w:type="dxa"/>
            <w:vAlign w:val="bottom"/>
            <w:shd w:val="clear" w:color="auto" w:fill="DCE2EF"/>
          </w:tcPr>
          <w:p>
            <w:pPr>
              <w:spacing w:after="0"/>
              <w:rPr>
                <w:sz w:val="17"/>
                <w:szCs w:val="17"/>
                <w:color w:val="auto"/>
              </w:rPr>
            </w:pPr>
          </w:p>
        </w:tc>
        <w:tc>
          <w:tcPr>
            <w:tcW w:w="10160" w:type="dxa"/>
            <w:vAlign w:val="bottom"/>
            <w:gridSpan w:val="5"/>
            <w:shd w:val="clear" w:color="auto" w:fill="DCE2EF"/>
          </w:tcPr>
          <w:p>
            <w:pPr>
              <w:spacing w:after="0" w:line="202" w:lineRule="exact"/>
              <w:rPr>
                <w:sz w:val="20"/>
                <w:szCs w:val="20"/>
                <w:color w:val="auto"/>
              </w:rPr>
            </w:pPr>
            <w:r>
              <w:rPr>
                <w:rFonts w:ascii="Arial" w:cs="Arial" w:eastAsia="Arial" w:hAnsi="Arial"/>
                <w:sz w:val="18"/>
                <w:szCs w:val="18"/>
                <w:color w:val="auto"/>
              </w:rPr>
              <w:t>XBRL tags are embedded within the Inline XBRL</w:t>
            </w:r>
          </w:p>
        </w:tc>
      </w:tr>
      <w:tr>
        <w:trPr>
          <w:trHeight w:val="252"/>
        </w:trPr>
        <w:tc>
          <w:tcPr>
            <w:tcW w:w="1260" w:type="dxa"/>
            <w:vAlign w:val="bottom"/>
            <w:shd w:val="clear" w:color="auto" w:fill="DCE2EF"/>
          </w:tcPr>
          <w:p>
            <w:pPr>
              <w:spacing w:after="0"/>
              <w:rPr>
                <w:sz w:val="21"/>
                <w:szCs w:val="21"/>
                <w:color w:val="auto"/>
              </w:rPr>
            </w:pPr>
          </w:p>
        </w:tc>
        <w:tc>
          <w:tcPr>
            <w:tcW w:w="10160" w:type="dxa"/>
            <w:vAlign w:val="bottom"/>
            <w:gridSpan w:val="5"/>
            <w:shd w:val="clear" w:color="auto" w:fill="DCE2EF"/>
          </w:tcPr>
          <w:p>
            <w:pPr>
              <w:spacing w:after="0"/>
              <w:rPr>
                <w:sz w:val="20"/>
                <w:szCs w:val="20"/>
                <w:color w:val="auto"/>
              </w:rPr>
            </w:pPr>
            <w:r>
              <w:rPr>
                <w:rFonts w:ascii="Arial" w:cs="Arial" w:eastAsia="Arial" w:hAnsi="Arial"/>
                <w:sz w:val="18"/>
                <w:szCs w:val="18"/>
                <w:color w:val="auto"/>
              </w:rPr>
              <w:t>document)</w:t>
            </w:r>
          </w:p>
        </w:tc>
      </w:tr>
      <w:tr>
        <w:trPr>
          <w:trHeight w:val="247"/>
        </w:trPr>
        <w:tc>
          <w:tcPr>
            <w:tcW w:w="1260" w:type="dxa"/>
            <w:vAlign w:val="bottom"/>
          </w:tcPr>
          <w:p>
            <w:pPr>
              <w:ind w:left="40"/>
              <w:spacing w:after="0"/>
              <w:rPr>
                <w:sz w:val="20"/>
                <w:szCs w:val="20"/>
                <w:color w:val="auto"/>
              </w:rPr>
            </w:pPr>
            <w:r>
              <w:rPr>
                <w:rFonts w:ascii="Arial" w:cs="Arial" w:eastAsia="Arial" w:hAnsi="Arial"/>
                <w:sz w:val="18"/>
                <w:szCs w:val="18"/>
                <w:color w:val="auto"/>
              </w:rPr>
              <w:t>101.SCH ‡</w:t>
            </w:r>
          </w:p>
        </w:tc>
        <w:tc>
          <w:tcPr>
            <w:tcW w:w="1016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3"/>
        </w:trPr>
        <w:tc>
          <w:tcPr>
            <w:tcW w:w="12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40" w:type="dxa"/>
            <w:vAlign w:val="bottom"/>
          </w:tcPr>
          <w:p>
            <w:pPr>
              <w:spacing w:after="0"/>
              <w:rPr>
                <w:sz w:val="2"/>
                <w:szCs w:val="2"/>
                <w:color w:val="auto"/>
              </w:rPr>
            </w:pPr>
          </w:p>
        </w:tc>
      </w:tr>
      <w:tr>
        <w:trPr>
          <w:trHeight w:val="250"/>
        </w:trPr>
        <w:tc>
          <w:tcPr>
            <w:tcW w:w="1260" w:type="dxa"/>
            <w:vAlign w:val="bottom"/>
            <w:tcBorders>
              <w:bottom w:val="single" w:sz="8" w:color="DCE2EF"/>
            </w:tcBorders>
            <w:shd w:val="clear" w:color="auto" w:fill="DCE2EF"/>
          </w:tcPr>
          <w:p>
            <w:pPr>
              <w:ind w:left="40"/>
              <w:spacing w:after="0"/>
              <w:rPr>
                <w:sz w:val="20"/>
                <w:szCs w:val="20"/>
                <w:color w:val="auto"/>
              </w:rPr>
            </w:pPr>
            <w:r>
              <w:rPr>
                <w:rFonts w:ascii="Arial" w:cs="Arial" w:eastAsia="Arial" w:hAnsi="Arial"/>
                <w:sz w:val="18"/>
                <w:szCs w:val="18"/>
                <w:color w:val="auto"/>
              </w:rPr>
              <w:t>101.CAL‡</w:t>
            </w:r>
          </w:p>
        </w:tc>
        <w:tc>
          <w:tcPr>
            <w:tcW w:w="10160" w:type="dxa"/>
            <w:vAlign w:val="bottom"/>
            <w:tcBorders>
              <w:bottom w:val="single" w:sz="8" w:color="DCE2EF"/>
            </w:tcBorders>
            <w:gridSpan w:val="5"/>
            <w:shd w:val="clear" w:color="auto" w:fill="DCE2EF"/>
          </w:tcPr>
          <w:p>
            <w:pPr>
              <w:spacing w:after="0"/>
              <w:rPr>
                <w:sz w:val="20"/>
                <w:szCs w:val="20"/>
                <w:color w:val="auto"/>
              </w:rPr>
            </w:pPr>
            <w:r>
              <w:rPr>
                <w:rFonts w:ascii="Arial" w:cs="Arial" w:eastAsia="Arial" w:hAnsi="Arial"/>
                <w:sz w:val="18"/>
                <w:szCs w:val="18"/>
                <w:color w:val="auto"/>
              </w:rPr>
              <w:t>Inline XBRL Taxonomy Calculation Linkbase Document</w:t>
            </w:r>
          </w:p>
        </w:tc>
      </w:tr>
      <w:tr>
        <w:trPr>
          <w:trHeight w:val="247"/>
        </w:trPr>
        <w:tc>
          <w:tcPr>
            <w:tcW w:w="1260" w:type="dxa"/>
            <w:vAlign w:val="bottom"/>
          </w:tcPr>
          <w:p>
            <w:pPr>
              <w:ind w:left="40"/>
              <w:spacing w:after="0"/>
              <w:rPr>
                <w:sz w:val="20"/>
                <w:szCs w:val="20"/>
                <w:color w:val="auto"/>
              </w:rPr>
            </w:pPr>
            <w:r>
              <w:rPr>
                <w:rFonts w:ascii="Arial" w:cs="Arial" w:eastAsia="Arial" w:hAnsi="Arial"/>
                <w:sz w:val="18"/>
                <w:szCs w:val="18"/>
                <w:color w:val="auto"/>
              </w:rPr>
              <w:t>101.LAB ‡</w:t>
            </w:r>
          </w:p>
        </w:tc>
        <w:tc>
          <w:tcPr>
            <w:tcW w:w="10160" w:type="dxa"/>
            <w:vAlign w:val="bottom"/>
            <w:gridSpan w:val="5"/>
          </w:tcPr>
          <w:p>
            <w:pPr>
              <w:spacing w:after="0"/>
              <w:rPr>
                <w:sz w:val="20"/>
                <w:szCs w:val="20"/>
                <w:color w:val="auto"/>
              </w:rPr>
            </w:pPr>
            <w:r>
              <w:rPr>
                <w:rFonts w:ascii="Arial" w:cs="Arial" w:eastAsia="Arial" w:hAnsi="Arial"/>
                <w:sz w:val="18"/>
                <w:szCs w:val="18"/>
                <w:color w:val="auto"/>
              </w:rPr>
              <w:t>Inline XBRL Taxonomy Label Linkbase Document</w:t>
            </w:r>
          </w:p>
        </w:tc>
      </w:tr>
      <w:tr>
        <w:trPr>
          <w:trHeight w:val="23"/>
        </w:trPr>
        <w:tc>
          <w:tcPr>
            <w:tcW w:w="12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40" w:type="dxa"/>
            <w:vAlign w:val="bottom"/>
          </w:tcPr>
          <w:p>
            <w:pPr>
              <w:spacing w:after="0"/>
              <w:rPr>
                <w:sz w:val="2"/>
                <w:szCs w:val="2"/>
                <w:color w:val="auto"/>
              </w:rPr>
            </w:pPr>
          </w:p>
        </w:tc>
      </w:tr>
      <w:tr>
        <w:trPr>
          <w:trHeight w:val="250"/>
        </w:trPr>
        <w:tc>
          <w:tcPr>
            <w:tcW w:w="1260" w:type="dxa"/>
            <w:vAlign w:val="bottom"/>
            <w:tcBorders>
              <w:bottom w:val="single" w:sz="8" w:color="DCE2EF"/>
            </w:tcBorders>
            <w:shd w:val="clear" w:color="auto" w:fill="DCE2EF"/>
          </w:tcPr>
          <w:p>
            <w:pPr>
              <w:ind w:left="40"/>
              <w:spacing w:after="0"/>
              <w:rPr>
                <w:sz w:val="20"/>
                <w:szCs w:val="20"/>
                <w:color w:val="auto"/>
              </w:rPr>
            </w:pPr>
            <w:r>
              <w:rPr>
                <w:rFonts w:ascii="Arial" w:cs="Arial" w:eastAsia="Arial" w:hAnsi="Arial"/>
                <w:sz w:val="18"/>
                <w:szCs w:val="18"/>
                <w:color w:val="auto"/>
              </w:rPr>
              <w:t>101.PRE ‡</w:t>
            </w:r>
          </w:p>
        </w:tc>
        <w:tc>
          <w:tcPr>
            <w:tcW w:w="10160" w:type="dxa"/>
            <w:vAlign w:val="bottom"/>
            <w:tcBorders>
              <w:bottom w:val="single" w:sz="8" w:color="DCE2EF"/>
            </w:tcBorders>
            <w:gridSpan w:val="5"/>
            <w:shd w:val="clear" w:color="auto" w:fill="DCE2EF"/>
          </w:tcPr>
          <w:p>
            <w:pPr>
              <w:spacing w:after="0"/>
              <w:rPr>
                <w:sz w:val="20"/>
                <w:szCs w:val="20"/>
                <w:color w:val="auto"/>
              </w:rPr>
            </w:pPr>
            <w:r>
              <w:rPr>
                <w:rFonts w:ascii="Arial" w:cs="Arial" w:eastAsia="Arial" w:hAnsi="Arial"/>
                <w:sz w:val="18"/>
                <w:szCs w:val="18"/>
                <w:color w:val="auto"/>
              </w:rPr>
              <w:t>Inline XBRL Presentation Linkbase Document</w:t>
            </w:r>
          </w:p>
        </w:tc>
      </w:tr>
      <w:tr>
        <w:trPr>
          <w:trHeight w:val="207"/>
        </w:trPr>
        <w:tc>
          <w:tcPr>
            <w:tcW w:w="1260" w:type="dxa"/>
            <w:vAlign w:val="bottom"/>
          </w:tcPr>
          <w:p>
            <w:pPr>
              <w:ind w:left="40"/>
              <w:spacing w:after="0"/>
              <w:rPr>
                <w:sz w:val="20"/>
                <w:szCs w:val="20"/>
                <w:color w:val="auto"/>
              </w:rPr>
            </w:pPr>
            <w:r>
              <w:rPr>
                <w:rFonts w:ascii="Arial" w:cs="Arial" w:eastAsia="Arial" w:hAnsi="Arial"/>
                <w:sz w:val="18"/>
                <w:szCs w:val="18"/>
                <w:color w:val="auto"/>
              </w:rPr>
              <w:t>101.DEF ‡</w:t>
            </w:r>
          </w:p>
        </w:tc>
        <w:tc>
          <w:tcPr>
            <w:tcW w:w="1016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248"/>
        </w:trPr>
        <w:tc>
          <w:tcPr>
            <w:tcW w:w="1260" w:type="dxa"/>
            <w:vAlign w:val="bottom"/>
          </w:tcPr>
          <w:p>
            <w:pPr>
              <w:spacing w:after="0"/>
              <w:rPr>
                <w:sz w:val="21"/>
                <w:szCs w:val="21"/>
                <w:color w:val="auto"/>
              </w:rPr>
            </w:pPr>
          </w:p>
        </w:tc>
        <w:tc>
          <w:tcPr>
            <w:tcW w:w="10160" w:type="dxa"/>
            <w:vAlign w:val="bottom"/>
            <w:gridSpan w:val="5"/>
          </w:tcPr>
          <w:p>
            <w:pPr>
              <w:spacing w:after="0"/>
              <w:rPr>
                <w:sz w:val="20"/>
                <w:szCs w:val="20"/>
                <w:color w:val="auto"/>
              </w:rPr>
            </w:pPr>
            <w:r>
              <w:rPr>
                <w:rFonts w:ascii="Arial" w:cs="Arial" w:eastAsia="Arial" w:hAnsi="Arial"/>
                <w:sz w:val="18"/>
                <w:szCs w:val="18"/>
                <w:color w:val="auto"/>
              </w:rPr>
              <w:t>Document</w:t>
            </w:r>
          </w:p>
        </w:tc>
      </w:tr>
      <w:tr>
        <w:trPr>
          <w:trHeight w:val="211"/>
        </w:trPr>
        <w:tc>
          <w:tcPr>
            <w:tcW w:w="1260" w:type="dxa"/>
            <w:vAlign w:val="bottom"/>
            <w:shd w:val="clear" w:color="auto" w:fill="DCE2EF"/>
          </w:tcPr>
          <w:p>
            <w:pPr>
              <w:ind w:left="40"/>
              <w:spacing w:after="0"/>
              <w:rPr>
                <w:sz w:val="20"/>
                <w:szCs w:val="20"/>
                <w:color w:val="auto"/>
              </w:rPr>
            </w:pPr>
            <w:r>
              <w:rPr>
                <w:rFonts w:ascii="Arial" w:cs="Arial" w:eastAsia="Arial" w:hAnsi="Arial"/>
                <w:sz w:val="18"/>
                <w:szCs w:val="18"/>
                <w:color w:val="auto"/>
              </w:rPr>
              <w:t>104†</w:t>
            </w:r>
          </w:p>
        </w:tc>
        <w:tc>
          <w:tcPr>
            <w:tcW w:w="10160" w:type="dxa"/>
            <w:vAlign w:val="bottom"/>
            <w:gridSpan w:val="5"/>
            <w:shd w:val="clear" w:color="auto" w:fill="DCE2EF"/>
          </w:tcPr>
          <w:p>
            <w:pPr>
              <w:spacing w:after="0"/>
              <w:rPr>
                <w:sz w:val="20"/>
                <w:szCs w:val="20"/>
                <w:color w:val="auto"/>
              </w:rPr>
            </w:pPr>
            <w:r>
              <w:rPr>
                <w:rFonts w:ascii="Arial" w:cs="Arial" w:eastAsia="Arial" w:hAnsi="Arial"/>
                <w:sz w:val="18"/>
                <w:szCs w:val="18"/>
                <w:color w:val="auto"/>
              </w:rPr>
              <w:t>Cover Page Interactive Data File (formatted as Inline</w:t>
            </w:r>
          </w:p>
        </w:tc>
      </w:tr>
      <w:tr>
        <w:trPr>
          <w:trHeight w:val="252"/>
        </w:trPr>
        <w:tc>
          <w:tcPr>
            <w:tcW w:w="1260" w:type="dxa"/>
            <w:vAlign w:val="bottom"/>
            <w:shd w:val="clear" w:color="auto" w:fill="DCE2EF"/>
          </w:tcPr>
          <w:p>
            <w:pPr>
              <w:spacing w:after="0"/>
              <w:rPr>
                <w:sz w:val="21"/>
                <w:szCs w:val="21"/>
                <w:color w:val="auto"/>
              </w:rPr>
            </w:pPr>
          </w:p>
        </w:tc>
        <w:tc>
          <w:tcPr>
            <w:tcW w:w="10160" w:type="dxa"/>
            <w:vAlign w:val="bottom"/>
            <w:gridSpan w:val="5"/>
            <w:shd w:val="clear" w:color="auto" w:fill="DCE2EF"/>
          </w:tcPr>
          <w:p>
            <w:pPr>
              <w:spacing w:after="0"/>
              <w:rPr>
                <w:sz w:val="20"/>
                <w:szCs w:val="20"/>
                <w:color w:val="auto"/>
              </w:rPr>
            </w:pPr>
            <w:r>
              <w:rPr>
                <w:rFonts w:ascii="Arial" w:cs="Arial" w:eastAsia="Arial" w:hAnsi="Arial"/>
                <w:sz w:val="18"/>
                <w:szCs w:val="18"/>
                <w:color w:val="auto"/>
              </w:rPr>
              <w:t>XBRL and contained in Exhibit 101)</w:t>
            </w:r>
          </w:p>
        </w:tc>
      </w:tr>
    </w:tbl>
    <w:p>
      <w:pPr>
        <w:spacing w:after="0" w:line="200" w:lineRule="exact"/>
        <w:rPr>
          <w:sz w:val="20"/>
          <w:szCs w:val="20"/>
          <w:color w:val="auto"/>
        </w:rPr>
      </w:pPr>
    </w:p>
    <w:p>
      <w:pPr>
        <w:spacing w:after="0" w:line="371" w:lineRule="exact"/>
        <w:rPr>
          <w:sz w:val="20"/>
          <w:szCs w:val="20"/>
          <w:color w:val="auto"/>
        </w:rPr>
      </w:pPr>
    </w:p>
    <w:p>
      <w:pPr>
        <w:ind w:left="720" w:hanging="685"/>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contract, or arrangement</w:t>
      </w:r>
    </w:p>
    <w:p>
      <w:pPr>
        <w:spacing w:after="0" w:line="346"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‡Indicates filed herewith</w:t>
      </w:r>
    </w:p>
    <w:p>
      <w:pPr>
        <w:spacing w:after="0" w:line="346"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Indicates furnished herewith</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648"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SIGNATURES</w:t>
      </w:r>
    </w:p>
    <w:p>
      <w:pPr>
        <w:spacing w:after="0" w:line="146" w:lineRule="exact"/>
        <w:rPr>
          <w:sz w:val="20"/>
          <w:szCs w:val="20"/>
          <w:color w:val="auto"/>
        </w:rPr>
      </w:pPr>
    </w:p>
    <w:p>
      <w:pPr>
        <w:ind w:firstLine="648"/>
        <w:spacing w:after="0" w:line="29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w:t>
      </w:r>
    </w:p>
    <w:p>
      <w:pPr>
        <w:spacing w:after="0" w:line="335" w:lineRule="exact"/>
        <w:rPr>
          <w:sz w:val="20"/>
          <w:szCs w:val="20"/>
          <w:color w:val="auto"/>
        </w:rPr>
      </w:pPr>
    </w:p>
    <w:p>
      <w:pPr>
        <w:ind w:left="1900"/>
        <w:spacing w:after="0"/>
        <w:tabs>
          <w:tab w:leader="none" w:pos="5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Salmirs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37465</wp:posOffset>
            </wp:positionV>
            <wp:extent cx="45624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0">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pacing w:after="0" w:line="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Scott Salmirs</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President and Chief Executive Officer and Director</w:t>
      </w:r>
    </w:p>
    <w:p>
      <w:pPr>
        <w:spacing w:after="0" w:line="2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December 20, 2019</w:t>
      </w:r>
    </w:p>
    <w:p>
      <w:pPr>
        <w:spacing w:after="0" w:line="171" w:lineRule="exact"/>
        <w:rPr>
          <w:sz w:val="20"/>
          <w:szCs w:val="20"/>
          <w:color w:val="auto"/>
        </w:rPr>
      </w:pPr>
    </w:p>
    <w:p>
      <w:pPr>
        <w:ind w:right="20" w:firstLine="648"/>
        <w:spacing w:after="0" w:line="29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ABM Industries and in the capacities and on the dates indicated.</w:t>
      </w:r>
    </w:p>
    <w:p>
      <w:pPr>
        <w:spacing w:after="0" w:line="253" w:lineRule="exact"/>
        <w:rPr>
          <w:sz w:val="20"/>
          <w:szCs w:val="20"/>
          <w:color w:val="auto"/>
        </w:rPr>
      </w:pPr>
    </w:p>
    <w:p>
      <w:pPr>
        <w:ind w:left="1900"/>
        <w:spacing w:after="0"/>
        <w:tabs>
          <w:tab w:leader="none" w:pos="5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Salmirs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37465</wp:posOffset>
            </wp:positionV>
            <wp:extent cx="45624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1">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pacing w:after="0" w:line="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Scott Salmirs</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President and Chief Executive Officer and Director</w:t>
      </w:r>
    </w:p>
    <w:p>
      <w:pPr>
        <w:jc w:val="center"/>
        <w:ind w:right="-119"/>
        <w:spacing w:after="0"/>
        <w:rPr>
          <w:sz w:val="20"/>
          <w:szCs w:val="20"/>
          <w:color w:val="auto"/>
        </w:rPr>
      </w:pPr>
      <w:r>
        <w:rPr>
          <w:rFonts w:ascii="Arial" w:cs="Arial" w:eastAsia="Arial" w:hAnsi="Arial"/>
          <w:sz w:val="18"/>
          <w:szCs w:val="18"/>
          <w:color w:val="auto"/>
        </w:rPr>
        <w:t>(Principal Executive Officer)</w:t>
      </w:r>
    </w:p>
    <w:p>
      <w:pPr>
        <w:spacing w:after="0" w:line="2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December 20,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D. Anthony Scaglione</w:t>
            </w:r>
          </w:p>
        </w:tc>
        <w:tc>
          <w:tcPr>
            <w:tcW w:w="1480" w:type="dxa"/>
            <w:vAlign w:val="bottom"/>
          </w:tcPr>
          <w:p>
            <w:pPr>
              <w:spacing w:after="0"/>
              <w:rPr>
                <w:sz w:val="21"/>
                <w:szCs w:val="21"/>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Dean A. Chin</w:t>
            </w:r>
          </w:p>
        </w:tc>
      </w:tr>
      <w:tr>
        <w:trPr>
          <w:trHeight w:val="205"/>
        </w:trPr>
        <w:tc>
          <w:tcPr>
            <w:tcW w:w="4920" w:type="dxa"/>
            <w:vAlign w:val="bottom"/>
          </w:tcPr>
          <w:p>
            <w:pPr>
              <w:jc w:val="center"/>
              <w:spacing w:after="0" w:line="205" w:lineRule="exact"/>
              <w:rPr>
                <w:sz w:val="20"/>
                <w:szCs w:val="20"/>
                <w:color w:val="auto"/>
              </w:rPr>
            </w:pPr>
            <w:r>
              <w:rPr>
                <w:rFonts w:ascii="Arial" w:cs="Arial" w:eastAsia="Arial" w:hAnsi="Arial"/>
                <w:sz w:val="18"/>
                <w:szCs w:val="18"/>
                <w:color w:val="auto"/>
              </w:rPr>
              <w:t>D. Anthony Scaglione</w:t>
            </w:r>
          </w:p>
        </w:tc>
        <w:tc>
          <w:tcPr>
            <w:tcW w:w="1480" w:type="dxa"/>
            <w:vAlign w:val="bottom"/>
          </w:tcPr>
          <w:p>
            <w:pPr>
              <w:spacing w:after="0"/>
              <w:rPr>
                <w:sz w:val="17"/>
                <w:szCs w:val="17"/>
                <w:color w:val="auto"/>
              </w:rPr>
            </w:pPr>
          </w:p>
        </w:tc>
        <w:tc>
          <w:tcPr>
            <w:tcW w:w="5020" w:type="dxa"/>
            <w:vAlign w:val="bottom"/>
          </w:tcPr>
          <w:p>
            <w:pPr>
              <w:jc w:val="center"/>
              <w:spacing w:after="0" w:line="205" w:lineRule="exact"/>
              <w:rPr>
                <w:sz w:val="20"/>
                <w:szCs w:val="20"/>
                <w:color w:val="auto"/>
              </w:rPr>
            </w:pPr>
            <w:r>
              <w:rPr>
                <w:rFonts w:ascii="Arial" w:cs="Arial" w:eastAsia="Arial" w:hAnsi="Arial"/>
                <w:sz w:val="18"/>
                <w:szCs w:val="18"/>
                <w:color w:val="auto"/>
              </w:rPr>
              <w:t>Dean A. Chin</w:t>
            </w:r>
          </w:p>
        </w:tc>
      </w:tr>
      <w:tr>
        <w:trPr>
          <w:trHeight w:val="203"/>
        </w:trPr>
        <w:tc>
          <w:tcPr>
            <w:tcW w:w="4920" w:type="dxa"/>
            <w:vAlign w:val="bottom"/>
          </w:tcPr>
          <w:p>
            <w:pPr>
              <w:jc w:val="center"/>
              <w:spacing w:after="0" w:line="202" w:lineRule="exact"/>
              <w:rPr>
                <w:sz w:val="20"/>
                <w:szCs w:val="20"/>
                <w:color w:val="auto"/>
              </w:rPr>
            </w:pPr>
            <w:r>
              <w:rPr>
                <w:rFonts w:ascii="Arial" w:cs="Arial" w:eastAsia="Arial" w:hAnsi="Arial"/>
                <w:sz w:val="18"/>
                <w:szCs w:val="18"/>
                <w:color w:val="auto"/>
                <w:w w:val="99"/>
              </w:rPr>
              <w:t>Executive Vice President and</w:t>
            </w:r>
          </w:p>
        </w:tc>
        <w:tc>
          <w:tcPr>
            <w:tcW w:w="1480" w:type="dxa"/>
            <w:vAlign w:val="bottom"/>
          </w:tcPr>
          <w:p>
            <w:pPr>
              <w:spacing w:after="0"/>
              <w:rPr>
                <w:sz w:val="17"/>
                <w:szCs w:val="17"/>
                <w:color w:val="auto"/>
              </w:rPr>
            </w:pPr>
          </w:p>
        </w:tc>
        <w:tc>
          <w:tcPr>
            <w:tcW w:w="5020" w:type="dxa"/>
            <w:vAlign w:val="bottom"/>
          </w:tcPr>
          <w:p>
            <w:pPr>
              <w:jc w:val="center"/>
              <w:spacing w:after="0" w:line="202" w:lineRule="exact"/>
              <w:rPr>
                <w:sz w:val="20"/>
                <w:szCs w:val="20"/>
                <w:color w:val="auto"/>
              </w:rPr>
            </w:pPr>
            <w:r>
              <w:rPr>
                <w:rFonts w:ascii="Arial" w:cs="Arial" w:eastAsia="Arial" w:hAnsi="Arial"/>
                <w:sz w:val="18"/>
                <w:szCs w:val="18"/>
                <w:color w:val="auto"/>
                <w:w w:val="99"/>
              </w:rPr>
              <w:t>Senior Vice President, Chief Accounting Officer,</w:t>
            </w:r>
          </w:p>
        </w:tc>
      </w:tr>
      <w:tr>
        <w:trPr>
          <w:trHeight w:val="243"/>
        </w:trPr>
        <w:tc>
          <w:tcPr>
            <w:tcW w:w="4920" w:type="dxa"/>
            <w:vAlign w:val="bottom"/>
          </w:tcPr>
          <w:p>
            <w:pPr>
              <w:jc w:val="center"/>
              <w:spacing w:after="0"/>
              <w:rPr>
                <w:sz w:val="20"/>
                <w:szCs w:val="20"/>
                <w:color w:val="auto"/>
              </w:rPr>
            </w:pPr>
            <w:r>
              <w:rPr>
                <w:rFonts w:ascii="Arial" w:cs="Arial" w:eastAsia="Arial" w:hAnsi="Arial"/>
                <w:sz w:val="18"/>
                <w:szCs w:val="18"/>
                <w:color w:val="auto"/>
                <w:w w:val="99"/>
              </w:rPr>
              <w:t>Chief Financial Officer</w:t>
            </w:r>
          </w:p>
        </w:tc>
        <w:tc>
          <w:tcPr>
            <w:tcW w:w="1480" w:type="dxa"/>
            <w:vAlign w:val="bottom"/>
          </w:tcPr>
          <w:p>
            <w:pPr>
              <w:spacing w:after="0"/>
              <w:rPr>
                <w:sz w:val="21"/>
                <w:szCs w:val="21"/>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9"/>
              </w:rPr>
              <w:t>and Corporate Controller</w:t>
            </w:r>
          </w:p>
        </w:tc>
      </w:tr>
      <w:tr>
        <w:trPr>
          <w:trHeight w:val="270"/>
        </w:trPr>
        <w:tc>
          <w:tcPr>
            <w:tcW w:w="4920" w:type="dxa"/>
            <w:vAlign w:val="bottom"/>
          </w:tcPr>
          <w:p>
            <w:pPr>
              <w:jc w:val="center"/>
              <w:spacing w:after="0"/>
              <w:rPr>
                <w:sz w:val="20"/>
                <w:szCs w:val="20"/>
                <w:color w:val="auto"/>
              </w:rPr>
            </w:pPr>
            <w:r>
              <w:rPr>
                <w:rFonts w:ascii="Arial" w:cs="Arial" w:eastAsia="Arial" w:hAnsi="Arial"/>
                <w:sz w:val="18"/>
                <w:szCs w:val="18"/>
                <w:color w:val="auto"/>
                <w:w w:val="99"/>
              </w:rPr>
              <w:t>(Principal Financial Officer)</w:t>
            </w:r>
          </w:p>
        </w:tc>
        <w:tc>
          <w:tcPr>
            <w:tcW w:w="1480" w:type="dxa"/>
            <w:vAlign w:val="bottom"/>
          </w:tcPr>
          <w:p>
            <w:pPr>
              <w:spacing w:after="0"/>
              <w:rPr>
                <w:sz w:val="23"/>
                <w:szCs w:val="23"/>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9"/>
              </w:rPr>
              <w:t>(Principal Accounting Officer)</w:t>
            </w:r>
          </w:p>
        </w:tc>
      </w:tr>
      <w:tr>
        <w:trPr>
          <w:trHeight w:val="257"/>
        </w:trPr>
        <w:tc>
          <w:tcPr>
            <w:tcW w:w="4920" w:type="dxa"/>
            <w:vAlign w:val="bottom"/>
          </w:tcPr>
          <w:p>
            <w:pPr>
              <w:jc w:val="center"/>
              <w:spacing w:after="0"/>
              <w:rPr>
                <w:sz w:val="20"/>
                <w:szCs w:val="20"/>
                <w:color w:val="auto"/>
              </w:rPr>
            </w:pPr>
            <w:r>
              <w:rPr>
                <w:rFonts w:ascii="Arial" w:cs="Arial" w:eastAsia="Arial" w:hAnsi="Arial"/>
                <w:sz w:val="18"/>
                <w:szCs w:val="18"/>
                <w:color w:val="auto"/>
                <w:w w:val="99"/>
              </w:rPr>
              <w:t>December 20, 2019</w:t>
            </w:r>
          </w:p>
        </w:tc>
        <w:tc>
          <w:tcPr>
            <w:tcW w:w="1480" w:type="dxa"/>
            <w:vAlign w:val="bottom"/>
          </w:tcPr>
          <w:p>
            <w:pPr>
              <w:spacing w:after="0"/>
              <w:rPr>
                <w:sz w:val="22"/>
                <w:szCs w:val="22"/>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9"/>
              </w:rPr>
              <w:t>December 20, 2019</w:t>
            </w:r>
          </w:p>
        </w:tc>
      </w:tr>
      <w:tr>
        <w:trPr>
          <w:trHeight w:val="599"/>
        </w:trPr>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Sudhakar Kesavan</w:t>
            </w:r>
          </w:p>
        </w:tc>
        <w:tc>
          <w:tcPr>
            <w:tcW w:w="1480" w:type="dxa"/>
            <w:vAlign w:val="bottom"/>
          </w:tcPr>
          <w:p>
            <w:pPr>
              <w:spacing w:after="0"/>
              <w:rPr>
                <w:sz w:val="24"/>
                <w:szCs w:val="24"/>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LeighAnne G. Baker</w:t>
            </w:r>
          </w:p>
        </w:tc>
      </w:tr>
      <w:tr>
        <w:trPr>
          <w:trHeight w:val="245"/>
        </w:trPr>
        <w:tc>
          <w:tcPr>
            <w:tcW w:w="4920" w:type="dxa"/>
            <w:vAlign w:val="bottom"/>
          </w:tcPr>
          <w:p>
            <w:pPr>
              <w:jc w:val="center"/>
              <w:spacing w:after="0"/>
              <w:rPr>
                <w:sz w:val="20"/>
                <w:szCs w:val="20"/>
                <w:color w:val="auto"/>
              </w:rPr>
            </w:pPr>
            <w:r>
              <w:rPr>
                <w:rFonts w:ascii="Arial" w:cs="Arial" w:eastAsia="Arial" w:hAnsi="Arial"/>
                <w:sz w:val="18"/>
                <w:szCs w:val="18"/>
                <w:color w:val="auto"/>
                <w:w w:val="99"/>
              </w:rPr>
              <w:t>Sudhakar Kesavan</w:t>
            </w:r>
          </w:p>
        </w:tc>
        <w:tc>
          <w:tcPr>
            <w:tcW w:w="1480" w:type="dxa"/>
            <w:vAlign w:val="bottom"/>
          </w:tcPr>
          <w:p>
            <w:pPr>
              <w:spacing w:after="0"/>
              <w:rPr>
                <w:sz w:val="21"/>
                <w:szCs w:val="21"/>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9"/>
              </w:rPr>
              <w:t>LeighAnne G. Baker, Director</w:t>
            </w:r>
          </w:p>
        </w:tc>
      </w:tr>
      <w:tr>
        <w:trPr>
          <w:trHeight w:val="270"/>
        </w:trPr>
        <w:tc>
          <w:tcPr>
            <w:tcW w:w="4920" w:type="dxa"/>
            <w:vAlign w:val="bottom"/>
          </w:tcPr>
          <w:p>
            <w:pPr>
              <w:jc w:val="center"/>
              <w:spacing w:after="0"/>
              <w:rPr>
                <w:sz w:val="20"/>
                <w:szCs w:val="20"/>
                <w:color w:val="auto"/>
              </w:rPr>
            </w:pPr>
            <w:r>
              <w:rPr>
                <w:rFonts w:ascii="Arial" w:cs="Arial" w:eastAsia="Arial" w:hAnsi="Arial"/>
                <w:sz w:val="18"/>
                <w:szCs w:val="18"/>
                <w:color w:val="auto"/>
                <w:w w:val="99"/>
              </w:rPr>
              <w:t>Chairman of the Board and Director</w:t>
            </w:r>
          </w:p>
        </w:tc>
        <w:tc>
          <w:tcPr>
            <w:tcW w:w="1480" w:type="dxa"/>
            <w:vAlign w:val="bottom"/>
          </w:tcPr>
          <w:p>
            <w:pPr>
              <w:spacing w:after="0"/>
              <w:rPr>
                <w:sz w:val="23"/>
                <w:szCs w:val="23"/>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9"/>
              </w:rPr>
              <w:t>December 20, 2019</w:t>
            </w:r>
          </w:p>
        </w:tc>
      </w:tr>
      <w:tr>
        <w:trPr>
          <w:trHeight w:val="257"/>
        </w:trPr>
        <w:tc>
          <w:tcPr>
            <w:tcW w:w="4920" w:type="dxa"/>
            <w:vAlign w:val="bottom"/>
          </w:tcPr>
          <w:p>
            <w:pPr>
              <w:jc w:val="center"/>
              <w:spacing w:after="0"/>
              <w:rPr>
                <w:sz w:val="20"/>
                <w:szCs w:val="20"/>
                <w:color w:val="auto"/>
              </w:rPr>
            </w:pPr>
            <w:r>
              <w:rPr>
                <w:rFonts w:ascii="Arial" w:cs="Arial" w:eastAsia="Arial" w:hAnsi="Arial"/>
                <w:sz w:val="18"/>
                <w:szCs w:val="18"/>
                <w:color w:val="auto"/>
                <w:w w:val="99"/>
              </w:rPr>
              <w:t>December 20, 2019</w:t>
            </w:r>
          </w:p>
        </w:tc>
        <w:tc>
          <w:tcPr>
            <w:tcW w:w="1480" w:type="dxa"/>
            <w:vAlign w:val="bottom"/>
          </w:tcPr>
          <w:p>
            <w:pPr>
              <w:spacing w:after="0"/>
              <w:rPr>
                <w:sz w:val="22"/>
                <w:szCs w:val="22"/>
                <w:color w:val="auto"/>
              </w:rPr>
            </w:pPr>
          </w:p>
        </w:tc>
        <w:tc>
          <w:tcPr>
            <w:tcW w:w="5020" w:type="dxa"/>
            <w:vAlign w:val="bottom"/>
          </w:tcPr>
          <w:p>
            <w:pPr>
              <w:spacing w:after="0"/>
              <w:rPr>
                <w:sz w:val="22"/>
                <w:szCs w:val="22"/>
                <w:color w:val="auto"/>
              </w:rPr>
            </w:pPr>
          </w:p>
        </w:tc>
      </w:tr>
      <w:tr>
        <w:trPr>
          <w:trHeight w:val="599"/>
        </w:trPr>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Linda Chavez</w:t>
            </w:r>
          </w:p>
        </w:tc>
        <w:tc>
          <w:tcPr>
            <w:tcW w:w="1480" w:type="dxa"/>
            <w:vAlign w:val="bottom"/>
          </w:tcPr>
          <w:p>
            <w:pPr>
              <w:spacing w:after="0"/>
              <w:rPr>
                <w:sz w:val="24"/>
                <w:szCs w:val="24"/>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Donald F. Colleran</w:t>
            </w:r>
          </w:p>
        </w:tc>
      </w:tr>
      <w:tr>
        <w:trPr>
          <w:trHeight w:val="245"/>
        </w:trPr>
        <w:tc>
          <w:tcPr>
            <w:tcW w:w="4920" w:type="dxa"/>
            <w:vAlign w:val="bottom"/>
          </w:tcPr>
          <w:p>
            <w:pPr>
              <w:jc w:val="center"/>
              <w:spacing w:after="0"/>
              <w:rPr>
                <w:sz w:val="20"/>
                <w:szCs w:val="20"/>
                <w:color w:val="auto"/>
              </w:rPr>
            </w:pPr>
            <w:r>
              <w:rPr>
                <w:rFonts w:ascii="Arial" w:cs="Arial" w:eastAsia="Arial" w:hAnsi="Arial"/>
                <w:sz w:val="18"/>
                <w:szCs w:val="18"/>
                <w:color w:val="auto"/>
                <w:w w:val="99"/>
              </w:rPr>
              <w:t>Linda Chavez, Director</w:t>
            </w:r>
          </w:p>
        </w:tc>
        <w:tc>
          <w:tcPr>
            <w:tcW w:w="1480" w:type="dxa"/>
            <w:vAlign w:val="bottom"/>
          </w:tcPr>
          <w:p>
            <w:pPr>
              <w:spacing w:after="0"/>
              <w:rPr>
                <w:sz w:val="21"/>
                <w:szCs w:val="21"/>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9"/>
              </w:rPr>
              <w:t>Donald F. Colleran, Director</w:t>
            </w:r>
          </w:p>
        </w:tc>
      </w:tr>
      <w:tr>
        <w:trPr>
          <w:trHeight w:val="257"/>
        </w:trPr>
        <w:tc>
          <w:tcPr>
            <w:tcW w:w="4920" w:type="dxa"/>
            <w:vAlign w:val="bottom"/>
          </w:tcPr>
          <w:p>
            <w:pPr>
              <w:jc w:val="center"/>
              <w:spacing w:after="0"/>
              <w:rPr>
                <w:sz w:val="20"/>
                <w:szCs w:val="20"/>
                <w:color w:val="auto"/>
              </w:rPr>
            </w:pPr>
            <w:r>
              <w:rPr>
                <w:rFonts w:ascii="Arial" w:cs="Arial" w:eastAsia="Arial" w:hAnsi="Arial"/>
                <w:sz w:val="18"/>
                <w:szCs w:val="18"/>
                <w:color w:val="auto"/>
                <w:w w:val="99"/>
              </w:rPr>
              <w:t>December 20, 2019</w:t>
            </w:r>
          </w:p>
        </w:tc>
        <w:tc>
          <w:tcPr>
            <w:tcW w:w="1480" w:type="dxa"/>
            <w:vAlign w:val="bottom"/>
          </w:tcPr>
          <w:p>
            <w:pPr>
              <w:spacing w:after="0"/>
              <w:rPr>
                <w:sz w:val="22"/>
                <w:szCs w:val="22"/>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9"/>
              </w:rPr>
              <w:t>December 20, 2019</w:t>
            </w:r>
          </w:p>
        </w:tc>
      </w:tr>
      <w:tr>
        <w:trPr>
          <w:trHeight w:val="612"/>
        </w:trPr>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Art A. Garcia</w:t>
            </w:r>
          </w:p>
        </w:tc>
        <w:tc>
          <w:tcPr>
            <w:tcW w:w="1480" w:type="dxa"/>
            <w:vAlign w:val="bottom"/>
          </w:tcPr>
          <w:p>
            <w:pPr>
              <w:spacing w:after="0"/>
              <w:rPr>
                <w:sz w:val="24"/>
                <w:szCs w:val="24"/>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Thomas M. Gartland</w:t>
            </w:r>
          </w:p>
        </w:tc>
      </w:tr>
      <w:tr>
        <w:trPr>
          <w:trHeight w:val="245"/>
        </w:trPr>
        <w:tc>
          <w:tcPr>
            <w:tcW w:w="4920" w:type="dxa"/>
            <w:vAlign w:val="bottom"/>
          </w:tcPr>
          <w:p>
            <w:pPr>
              <w:jc w:val="center"/>
              <w:spacing w:after="0"/>
              <w:rPr>
                <w:sz w:val="20"/>
                <w:szCs w:val="20"/>
                <w:color w:val="auto"/>
              </w:rPr>
            </w:pPr>
            <w:r>
              <w:rPr>
                <w:rFonts w:ascii="Arial" w:cs="Arial" w:eastAsia="Arial" w:hAnsi="Arial"/>
                <w:sz w:val="18"/>
                <w:szCs w:val="18"/>
                <w:color w:val="auto"/>
                <w:w w:val="99"/>
              </w:rPr>
              <w:t>Art A. Garcia, Director</w:t>
            </w:r>
          </w:p>
        </w:tc>
        <w:tc>
          <w:tcPr>
            <w:tcW w:w="1480" w:type="dxa"/>
            <w:vAlign w:val="bottom"/>
          </w:tcPr>
          <w:p>
            <w:pPr>
              <w:spacing w:after="0"/>
              <w:rPr>
                <w:sz w:val="21"/>
                <w:szCs w:val="21"/>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rPr>
              <w:t>Thomas M. Gartland, Director</w:t>
            </w:r>
          </w:p>
        </w:tc>
      </w:tr>
      <w:tr>
        <w:trPr>
          <w:trHeight w:val="257"/>
        </w:trPr>
        <w:tc>
          <w:tcPr>
            <w:tcW w:w="4920" w:type="dxa"/>
            <w:vAlign w:val="bottom"/>
          </w:tcPr>
          <w:p>
            <w:pPr>
              <w:jc w:val="center"/>
              <w:spacing w:after="0"/>
              <w:rPr>
                <w:sz w:val="20"/>
                <w:szCs w:val="20"/>
                <w:color w:val="auto"/>
              </w:rPr>
            </w:pPr>
            <w:r>
              <w:rPr>
                <w:rFonts w:ascii="Arial" w:cs="Arial" w:eastAsia="Arial" w:hAnsi="Arial"/>
                <w:sz w:val="18"/>
                <w:szCs w:val="18"/>
                <w:color w:val="auto"/>
                <w:w w:val="99"/>
              </w:rPr>
              <w:t>December 20, 2019</w:t>
            </w:r>
          </w:p>
        </w:tc>
        <w:tc>
          <w:tcPr>
            <w:tcW w:w="1480" w:type="dxa"/>
            <w:vAlign w:val="bottom"/>
          </w:tcPr>
          <w:p>
            <w:pPr>
              <w:spacing w:after="0"/>
              <w:rPr>
                <w:sz w:val="22"/>
                <w:szCs w:val="22"/>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9"/>
              </w:rPr>
              <w:t>December 20, 2019</w:t>
            </w:r>
          </w:p>
        </w:tc>
      </w:tr>
      <w:tr>
        <w:trPr>
          <w:trHeight w:val="612"/>
        </w:trPr>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Jill M. Golder</w:t>
            </w:r>
          </w:p>
        </w:tc>
        <w:tc>
          <w:tcPr>
            <w:tcW w:w="1480" w:type="dxa"/>
            <w:vAlign w:val="bottom"/>
          </w:tcPr>
          <w:p>
            <w:pPr>
              <w:spacing w:after="0"/>
              <w:rPr>
                <w:sz w:val="24"/>
                <w:szCs w:val="24"/>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Filippo Passerini</w:t>
            </w:r>
          </w:p>
        </w:tc>
      </w:tr>
      <w:tr>
        <w:trPr>
          <w:trHeight w:val="245"/>
        </w:trPr>
        <w:tc>
          <w:tcPr>
            <w:tcW w:w="4920" w:type="dxa"/>
            <w:vAlign w:val="bottom"/>
          </w:tcPr>
          <w:p>
            <w:pPr>
              <w:jc w:val="center"/>
              <w:spacing w:after="0"/>
              <w:rPr>
                <w:sz w:val="20"/>
                <w:szCs w:val="20"/>
                <w:color w:val="auto"/>
              </w:rPr>
            </w:pPr>
            <w:r>
              <w:rPr>
                <w:rFonts w:ascii="Arial" w:cs="Arial" w:eastAsia="Arial" w:hAnsi="Arial"/>
                <w:sz w:val="18"/>
                <w:szCs w:val="18"/>
                <w:color w:val="auto"/>
                <w:w w:val="99"/>
              </w:rPr>
              <w:t>Jill M. Golder, Director</w:t>
            </w:r>
          </w:p>
        </w:tc>
        <w:tc>
          <w:tcPr>
            <w:tcW w:w="1480" w:type="dxa"/>
            <w:vAlign w:val="bottom"/>
          </w:tcPr>
          <w:p>
            <w:pPr>
              <w:spacing w:after="0"/>
              <w:rPr>
                <w:sz w:val="21"/>
                <w:szCs w:val="21"/>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rPr>
              <w:t>Filippo Passerini, Director</w:t>
            </w:r>
          </w:p>
        </w:tc>
      </w:tr>
      <w:tr>
        <w:trPr>
          <w:trHeight w:val="257"/>
        </w:trPr>
        <w:tc>
          <w:tcPr>
            <w:tcW w:w="4920" w:type="dxa"/>
            <w:vAlign w:val="bottom"/>
          </w:tcPr>
          <w:p>
            <w:pPr>
              <w:jc w:val="center"/>
              <w:spacing w:after="0"/>
              <w:rPr>
                <w:sz w:val="20"/>
                <w:szCs w:val="20"/>
                <w:color w:val="auto"/>
              </w:rPr>
            </w:pPr>
            <w:r>
              <w:rPr>
                <w:rFonts w:ascii="Arial" w:cs="Arial" w:eastAsia="Arial" w:hAnsi="Arial"/>
                <w:sz w:val="18"/>
                <w:szCs w:val="18"/>
                <w:color w:val="auto"/>
                <w:w w:val="99"/>
              </w:rPr>
              <w:t>December 20, 2019</w:t>
            </w:r>
          </w:p>
        </w:tc>
        <w:tc>
          <w:tcPr>
            <w:tcW w:w="1480" w:type="dxa"/>
            <w:vAlign w:val="bottom"/>
          </w:tcPr>
          <w:p>
            <w:pPr>
              <w:spacing w:after="0"/>
              <w:rPr>
                <w:sz w:val="22"/>
                <w:szCs w:val="22"/>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9"/>
              </w:rPr>
              <w:t>December 20, 2019</w:t>
            </w:r>
          </w:p>
        </w:tc>
      </w:tr>
      <w:tr>
        <w:trPr>
          <w:trHeight w:val="612"/>
        </w:trPr>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Winifred M. Webb</w:t>
            </w:r>
          </w:p>
        </w:tc>
        <w:tc>
          <w:tcPr>
            <w:tcW w:w="148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245"/>
        </w:trPr>
        <w:tc>
          <w:tcPr>
            <w:tcW w:w="4920" w:type="dxa"/>
            <w:vAlign w:val="bottom"/>
          </w:tcPr>
          <w:p>
            <w:pPr>
              <w:jc w:val="center"/>
              <w:spacing w:after="0"/>
              <w:rPr>
                <w:sz w:val="20"/>
                <w:szCs w:val="20"/>
                <w:color w:val="auto"/>
              </w:rPr>
            </w:pPr>
            <w:r>
              <w:rPr>
                <w:rFonts w:ascii="Arial" w:cs="Arial" w:eastAsia="Arial" w:hAnsi="Arial"/>
                <w:sz w:val="18"/>
                <w:szCs w:val="18"/>
                <w:color w:val="auto"/>
                <w:w w:val="99"/>
              </w:rPr>
              <w:t>Winifred M. Webb, Director</w:t>
            </w:r>
          </w:p>
        </w:tc>
        <w:tc>
          <w:tcPr>
            <w:tcW w:w="1480" w:type="dxa"/>
            <w:vAlign w:val="bottom"/>
          </w:tcPr>
          <w:p>
            <w:pPr>
              <w:spacing w:after="0"/>
              <w:rPr>
                <w:sz w:val="21"/>
                <w:szCs w:val="21"/>
                <w:color w:val="auto"/>
              </w:rPr>
            </w:pPr>
          </w:p>
        </w:tc>
        <w:tc>
          <w:tcPr>
            <w:tcW w:w="5020" w:type="dxa"/>
            <w:vAlign w:val="bottom"/>
          </w:tcPr>
          <w:p>
            <w:pPr>
              <w:spacing w:after="0"/>
              <w:rPr>
                <w:sz w:val="21"/>
                <w:szCs w:val="21"/>
                <w:color w:val="auto"/>
              </w:rPr>
            </w:pPr>
          </w:p>
        </w:tc>
      </w:tr>
      <w:tr>
        <w:trPr>
          <w:trHeight w:val="257"/>
        </w:trPr>
        <w:tc>
          <w:tcPr>
            <w:tcW w:w="4920" w:type="dxa"/>
            <w:vAlign w:val="bottom"/>
          </w:tcPr>
          <w:p>
            <w:pPr>
              <w:jc w:val="center"/>
              <w:spacing w:after="0"/>
              <w:rPr>
                <w:sz w:val="20"/>
                <w:szCs w:val="20"/>
                <w:color w:val="auto"/>
              </w:rPr>
            </w:pPr>
            <w:r>
              <w:rPr>
                <w:rFonts w:ascii="Arial" w:cs="Arial" w:eastAsia="Arial" w:hAnsi="Arial"/>
                <w:sz w:val="18"/>
                <w:szCs w:val="18"/>
                <w:color w:val="auto"/>
                <w:w w:val="99"/>
              </w:rPr>
              <w:t>December 20, 2019</w:t>
            </w:r>
          </w:p>
        </w:tc>
        <w:tc>
          <w:tcPr>
            <w:tcW w:w="1480" w:type="dxa"/>
            <w:vAlign w:val="bottom"/>
          </w:tcPr>
          <w:p>
            <w:pPr>
              <w:spacing w:after="0"/>
              <w:rPr>
                <w:sz w:val="22"/>
                <w:szCs w:val="22"/>
                <w:color w:val="auto"/>
              </w:rPr>
            </w:pPr>
          </w:p>
        </w:tc>
        <w:tc>
          <w:tcPr>
            <w:tcW w:w="5020" w:type="dxa"/>
            <w:vAlign w:val="bottom"/>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420"/>
          </w:cols>
          <w:pgMar w:left="240" w:top="493" w:right="239"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1420"/>
          </w:cols>
          <w:pgMar w:left="240" w:top="493" w:right="239" w:bottom="1440" w:gutter="0" w:footer="0" w:header="0"/>
          <w:type w:val="continuous"/>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10.18</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ABM INDUSTRIES INCORPORATED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RESTRICTED STOCK UNIT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2006 EQUITY INCENTIVE PLAN</w:t>
      </w:r>
    </w:p>
    <w:p>
      <w:pPr>
        <w:spacing w:after="0" w:line="36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Compensation Committee of the Board of Directors of ABM Industries Incorporated has approved a grant to you (the “</w:t>
      </w:r>
      <w:r>
        <w:rPr>
          <w:rFonts w:ascii="Times New Roman" w:cs="Times New Roman" w:eastAsia="Times New Roman" w:hAnsi="Times New Roman"/>
          <w:sz w:val="18"/>
          <w:szCs w:val="18"/>
          <w:b w:val="1"/>
          <w:bCs w:val="1"/>
          <w:color w:val="auto"/>
        </w:rPr>
        <w:t>Grantee</w:t>
      </w:r>
      <w:r>
        <w:rPr>
          <w:rFonts w:ascii="Times New Roman" w:cs="Times New Roman" w:eastAsia="Times New Roman" w:hAnsi="Times New Roman"/>
          <w:sz w:val="18"/>
          <w:szCs w:val="18"/>
          <w:color w:val="auto"/>
        </w:rPr>
        <w:t>”) of Restricted Stock Units (“</w:t>
      </w:r>
      <w:r>
        <w:rPr>
          <w:rFonts w:ascii="Times New Roman" w:cs="Times New Roman" w:eastAsia="Times New Roman" w:hAnsi="Times New Roman"/>
          <w:sz w:val="18"/>
          <w:szCs w:val="18"/>
          <w:b w:val="1"/>
          <w:bCs w:val="1"/>
          <w:color w:val="auto"/>
        </w:rPr>
        <w:t>RSU</w:t>
      </w:r>
      <w:r>
        <w:rPr>
          <w:rFonts w:ascii="Times New Roman" w:cs="Times New Roman" w:eastAsia="Times New Roman" w:hAnsi="Times New Roman"/>
          <w:sz w:val="18"/>
          <w:szCs w:val="18"/>
          <w:color w:val="auto"/>
        </w:rPr>
        <w:t>s”) pursuant to the ABM Industries Incorporated 2006 Equity Incentive Plan as amended and restated on March 7, 2018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as described below.</w:t>
      </w:r>
    </w:p>
    <w:p>
      <w:pPr>
        <w:sectPr>
          <w:pgSz w:w="11900" w:h="16838" w:orient="portrait"/>
          <w:cols w:equalWidth="0" w:num="1">
            <w:col w:w="11420"/>
          </w:cols>
          <w:pgMar w:left="240" w:top="117" w:right="239" w:bottom="1440" w:gutter="0" w:footer="0" w:header="0"/>
        </w:sectPr>
      </w:pP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Grantee Name:</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59" w:lineRule="exact"/>
        <w:rPr>
          <w:sz w:val="20"/>
          <w:szCs w:val="20"/>
          <w:color w:val="auto"/>
        </w:rPr>
      </w:pPr>
    </w:p>
    <w:p>
      <w:pPr>
        <w:sectPr>
          <w:pgSz w:w="11900" w:h="16838" w:orient="portrait"/>
          <w:cols w:equalWidth="0" w:num="2">
            <w:col w:w="2520" w:space="720"/>
            <w:col w:w="8180"/>
          </w:cols>
          <w:pgMar w:left="240" w:top="117"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b w:val="1"/>
          <w:bCs w:val="1"/>
          <w:color w:val="auto"/>
        </w:rPr>
        <w:t>Number of RSUs Granted: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XXX</w:t>
      </w:r>
    </w:p>
    <w:p>
      <w:pPr>
        <w:spacing w:after="0" w:line="59" w:lineRule="exact"/>
        <w:rPr>
          <w:sz w:val="20"/>
          <w:szCs w:val="20"/>
          <w:color w:val="auto"/>
        </w:rPr>
      </w:pPr>
    </w:p>
    <w:p>
      <w:pPr>
        <w:sectPr>
          <w:pgSz w:w="11900" w:h="16838" w:orient="portrait"/>
          <w:cols w:equalWidth="0" w:num="2">
            <w:col w:w="2520" w:space="720"/>
            <w:col w:w="8180"/>
          </w:cols>
          <w:pgMar w:left="240" w:top="117"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w:t>
      </w:r>
    </w:p>
    <w:p>
      <w:pPr>
        <w:spacing w:after="0" w:line="59" w:lineRule="exact"/>
        <w:rPr>
          <w:sz w:val="20"/>
          <w:szCs w:val="20"/>
          <w:color w:val="auto"/>
        </w:rPr>
      </w:pPr>
    </w:p>
    <w:p>
      <w:pPr>
        <w:sectPr>
          <w:pgSz w:w="11900" w:h="16838" w:orient="portrait"/>
          <w:cols w:equalWidth="0" w:num="2">
            <w:col w:w="2520" w:space="720"/>
            <w:col w:w="8180"/>
          </w:cols>
          <w:pgMar w:left="240" w:top="117"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b w:val="1"/>
          <w:bCs w:val="1"/>
          <w:color w:val="auto"/>
        </w:rPr>
        <w:t>Vesting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ectPr>
          <w:pgSz w:w="11900" w:h="16838" w:orient="portrait"/>
          <w:cols w:equalWidth="0" w:num="2">
            <w:col w:w="2520" w:space="720"/>
            <w:col w:w="8180"/>
          </w:cols>
          <w:pgMar w:left="240" w:top="117" w:right="239" w:bottom="1440" w:gutter="0" w:footer="0" w:header="0"/>
          <w:type w:val="continuous"/>
        </w:sectPr>
      </w:pP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Provided you continue to provide services to the Company or any subsidiary or parent of the Company through the applicable vesting date, the RSUs will vest and restrictions will lapse as provided above. Unvested RSUs may be subject to forfeiture if you terminate employment before the vesting date, as set forth in the Plan and the Statement of Terms and Conditions attached hereto. [Notwithstanding the preceding sentence and any provisions in the Statement of Terms and Conditions related to vesting upon termination for Retirement, Disability or death:</w:t>
      </w:r>
    </w:p>
    <w:p>
      <w:pPr>
        <w:spacing w:after="0" w:line="180" w:lineRule="exact"/>
        <w:rPr>
          <w:sz w:val="20"/>
          <w:szCs w:val="20"/>
          <w:color w:val="auto"/>
        </w:rPr>
      </w:pPr>
    </w:p>
    <w:p>
      <w:pPr>
        <w:jc w:val="both"/>
        <w:ind w:firstLine="8"/>
        <w:spacing w:after="0" w:line="266" w:lineRule="auto"/>
        <w:tabs>
          <w:tab w:leader="none" w:pos="2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your voluntary retirement from the Company at least one year following the Grant Date, after reaching the age of 60 and having completed 10 years of service, and subject to your continued compliance with any applicable restrictive covenants, your unvested RSUs will remain eligible to vest on the Vesting Schedule above] [</w:t>
      </w:r>
      <w:r>
        <w:rPr>
          <w:rFonts w:ascii="Times New Roman" w:cs="Times New Roman" w:eastAsia="Times New Roman" w:hAnsi="Times New Roman"/>
          <w:sz w:val="18"/>
          <w:szCs w:val="18"/>
          <w:i w:val="1"/>
          <w:iCs w:val="1"/>
          <w:color w:val="auto"/>
        </w:rPr>
        <w:t>if applicable</w:t>
      </w:r>
      <w:r>
        <w:rPr>
          <w:rFonts w:ascii="Times New Roman" w:cs="Times New Roman" w:eastAsia="Times New Roman" w:hAnsi="Times New Roman"/>
          <w:sz w:val="18"/>
          <w:szCs w:val="18"/>
          <w:color w:val="auto"/>
        </w:rPr>
        <w:t>; and</w:t>
      </w:r>
    </w:p>
    <w:p>
      <w:pPr>
        <w:spacing w:after="0" w:line="176" w:lineRule="exact"/>
        <w:rPr>
          <w:rFonts w:ascii="Times New Roman" w:cs="Times New Roman" w:eastAsia="Times New Roman" w:hAnsi="Times New Roman"/>
          <w:sz w:val="18"/>
          <w:szCs w:val="18"/>
          <w:color w:val="auto"/>
        </w:rPr>
      </w:pPr>
    </w:p>
    <w:p>
      <w:pPr>
        <w:jc w:val="both"/>
        <w:ind w:firstLine="8"/>
        <w:spacing w:after="0" w:line="266" w:lineRule="auto"/>
        <w:tabs>
          <w:tab w:leader="none" w:pos="28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your termination due to death or Disability (as defined in your Amended and Restated Executive Employment Agreement), and in the case of Disability, subject to the execution of a release agreement in favor of the Company and your continued compliance with any applicable restrictive covenants, your unvested RSUs will immediately vest.] [insert for applicable Executive Officer Award Agreements]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By accepting this award, the Grantee agrees that the RSUs are granted under and governed by this Restricted Stock Unit Agreement and by the provisions of the Plan and the Statement of Terms and Conditions attached hereto. The Plan and the Statement of Terms and Conditions are incorporated herein by reference. Capitalized terms not defined herein shall have the meanings ascribed to them in the Plan or in the Statement of Terms and Conditions, as applicable.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Grantee acknowledges receipt of a copy of the Plan, the Statement of Terms and Conditions and the Plan Prospectus, represents that the Grantee has carefully read and is familiar with their provisions, and hereby accepts the RSUs subject to all of their terms and conditions. The Grantee acknowledges that there may be adverse tax consequences upon settlement of the RSUs or disposition of the shares, if any, received in connection therewith and that Grantee should consult a tax adviser prior to such settlement or disposition.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ABM INDUSTRIES INCORPORATED</w:t>
      </w:r>
    </w:p>
    <w:p>
      <w:pPr>
        <w:sectPr>
          <w:pgSz w:w="11900" w:h="16838" w:orient="portrait"/>
          <w:cols w:equalWidth="0" w:num="1">
            <w:col w:w="11420"/>
          </w:cols>
          <w:pgMar w:left="240" w:top="117" w:right="239" w:bottom="1440" w:gutter="0" w:footer="0" w:header="0"/>
          <w:type w:val="continuous"/>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10.19</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ABM INDUSTRIES INCORPORATED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PERFORMANCE SHARE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2006 EQUITY INCENTIVE PLAN</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Compensation Committee of the Board of Directors of ABM Industries Incorporated has approved a grant to you (the “</w:t>
      </w:r>
      <w:r>
        <w:rPr>
          <w:rFonts w:ascii="Times New Roman" w:cs="Times New Roman" w:eastAsia="Times New Roman" w:hAnsi="Times New Roman"/>
          <w:sz w:val="18"/>
          <w:szCs w:val="18"/>
          <w:b w:val="1"/>
          <w:bCs w:val="1"/>
          <w:color w:val="auto"/>
        </w:rPr>
        <w:t>Grantee</w:t>
      </w:r>
      <w:r>
        <w:rPr>
          <w:rFonts w:ascii="Times New Roman" w:cs="Times New Roman" w:eastAsia="Times New Roman" w:hAnsi="Times New Roman"/>
          <w:sz w:val="18"/>
          <w:szCs w:val="18"/>
          <w:color w:val="auto"/>
        </w:rPr>
        <w:t>”) of Performance Share Units (“</w:t>
      </w:r>
      <w:r>
        <w:rPr>
          <w:rFonts w:ascii="Times New Roman" w:cs="Times New Roman" w:eastAsia="Times New Roman" w:hAnsi="Times New Roman"/>
          <w:sz w:val="18"/>
          <w:szCs w:val="18"/>
          <w:b w:val="1"/>
          <w:bCs w:val="1"/>
          <w:color w:val="auto"/>
        </w:rPr>
        <w:t>PSU</w:t>
      </w:r>
      <w:r>
        <w:rPr>
          <w:rFonts w:ascii="Times New Roman" w:cs="Times New Roman" w:eastAsia="Times New Roman" w:hAnsi="Times New Roman"/>
          <w:sz w:val="18"/>
          <w:szCs w:val="18"/>
          <w:color w:val="auto"/>
        </w:rPr>
        <w:t>s”) pursuant to the ABM Industries Incorporated 2006 Equity Incentive Plan, as amended and restated on March 7, 2018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as described below.</w:t>
      </w:r>
    </w:p>
    <w:p>
      <w:pPr>
        <w:sectPr>
          <w:pgSz w:w="11900" w:h="16838" w:orient="portrait"/>
          <w:cols w:equalWidth="0" w:num="1">
            <w:col w:w="11420"/>
          </w:cols>
          <w:pgMar w:left="240" w:top="117" w:right="239" w:bottom="1440" w:gutter="0" w:footer="0" w:header="0"/>
        </w:sectPr>
      </w:pP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Grantee Name:</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71" w:lineRule="exact"/>
        <w:rPr>
          <w:sz w:val="20"/>
          <w:szCs w:val="20"/>
          <w:color w:val="auto"/>
        </w:rPr>
      </w:pPr>
    </w:p>
    <w:p>
      <w:pPr>
        <w:sectPr>
          <w:pgSz w:w="11900" w:h="16838" w:orient="portrait"/>
          <w:cols w:equalWidth="0" w:num="2">
            <w:col w:w="2180" w:space="720"/>
            <w:col w:w="8520"/>
          </w:cols>
          <w:pgMar w:left="240" w:top="117"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b w:val="1"/>
          <w:bCs w:val="1"/>
          <w:color w:val="auto"/>
        </w:rPr>
        <w:t>Number of PSUs Granted: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w:t>
      </w:r>
    </w:p>
    <w:p>
      <w:pPr>
        <w:spacing w:after="0" w:line="71" w:lineRule="exact"/>
        <w:rPr>
          <w:sz w:val="20"/>
          <w:szCs w:val="20"/>
          <w:color w:val="auto"/>
        </w:rPr>
      </w:pPr>
    </w:p>
    <w:p>
      <w:pPr>
        <w:sectPr>
          <w:pgSz w:w="11900" w:h="16838" w:orient="portrait"/>
          <w:cols w:equalWidth="0" w:num="2">
            <w:col w:w="2180" w:space="720"/>
            <w:col w:w="8520"/>
          </w:cols>
          <w:pgMar w:left="240" w:top="117"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w:t>
      </w:r>
    </w:p>
    <w:p>
      <w:pPr>
        <w:spacing w:after="0" w:line="71" w:lineRule="exact"/>
        <w:rPr>
          <w:sz w:val="20"/>
          <w:szCs w:val="20"/>
          <w:color w:val="auto"/>
        </w:rPr>
      </w:pPr>
    </w:p>
    <w:p>
      <w:pPr>
        <w:sectPr>
          <w:pgSz w:w="11900" w:h="16838" w:orient="portrait"/>
          <w:cols w:equalWidth="0" w:num="2">
            <w:col w:w="2180" w:space="720"/>
            <w:col w:w="8520"/>
          </w:cols>
          <w:pgMar w:left="240" w:top="117"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b w:val="1"/>
          <w:bCs w:val="1"/>
          <w:color w:val="auto"/>
        </w:rPr>
        <w:t>Performance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w:t>
      </w:r>
    </w:p>
    <w:p>
      <w:pPr>
        <w:spacing w:after="0" w:line="71" w:lineRule="exact"/>
        <w:rPr>
          <w:sz w:val="20"/>
          <w:szCs w:val="20"/>
          <w:color w:val="auto"/>
        </w:rPr>
      </w:pPr>
    </w:p>
    <w:p>
      <w:pPr>
        <w:sectPr>
          <w:pgSz w:w="11900" w:h="16838" w:orient="portrait"/>
          <w:cols w:equalWidth="0" w:num="2">
            <w:col w:w="2180" w:space="720"/>
            <w:col w:w="8520"/>
          </w:cols>
          <w:pgMar w:left="240" w:top="117"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b w:val="1"/>
          <w:bCs w:val="1"/>
          <w:color w:val="auto"/>
        </w:rPr>
        <w:t>Performance Metrics: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w:t>
      </w:r>
    </w:p>
    <w:p>
      <w:pPr>
        <w:spacing w:after="0" w:line="71" w:lineRule="exact"/>
        <w:rPr>
          <w:sz w:val="20"/>
          <w:szCs w:val="20"/>
          <w:color w:val="auto"/>
        </w:rPr>
      </w:pPr>
    </w:p>
    <w:p>
      <w:pPr>
        <w:sectPr>
          <w:pgSz w:w="11900" w:h="16838" w:orient="portrait"/>
          <w:cols w:equalWidth="0" w:num="2">
            <w:col w:w="2180" w:space="720"/>
            <w:col w:w="8520"/>
          </w:cols>
          <w:pgMar w:left="240" w:top="117"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b w:val="1"/>
          <w:bCs w:val="1"/>
          <w:color w:val="auto"/>
        </w:rPr>
        <w:t>Vesting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w:t>
      </w:r>
    </w:p>
    <w:p>
      <w:pPr>
        <w:spacing w:after="0" w:line="200" w:lineRule="exact"/>
        <w:rPr>
          <w:sz w:val="20"/>
          <w:szCs w:val="20"/>
          <w:color w:val="auto"/>
        </w:rPr>
      </w:pPr>
    </w:p>
    <w:p>
      <w:pPr>
        <w:sectPr>
          <w:pgSz w:w="11900" w:h="16838" w:orient="portrait"/>
          <w:cols w:equalWidth="0" w:num="2">
            <w:col w:w="2180" w:space="720"/>
            <w:col w:w="8520"/>
          </w:cols>
          <w:pgMar w:left="240" w:top="117" w:right="239" w:bottom="1440" w:gutter="0" w:footer="0" w:header="0"/>
          <w:type w:val="continuous"/>
        </w:sectPr>
      </w:pP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Performance Share Settlement</w:t>
      </w:r>
      <w:r>
        <w:rPr>
          <w:rFonts w:ascii="Times New Roman" w:cs="Times New Roman" w:eastAsia="Times New Roman" w:hAnsi="Times New Roman"/>
          <w:sz w:val="18"/>
          <w:szCs w:val="18"/>
          <w:color w:val="auto"/>
        </w:rPr>
        <w:t>: Provided you continue to be employed by ABM Industries Incorporated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any subsidiary or parent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through the applicable Vesting Date stated above, but only if the performance conditions are met as determined by the Administrator, the PSUs will become vested and paid out in accordance with the performance objectives, performance period, and vesting schedule as of the Vesting date. In addition, unvested PSUs, shares received in connection with the vesting of PSUs and amounts realized on the sale of such shares may be subject to forfeiture under the circumstances set forth in the Plan and the Statement of Terms and Conditions.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Plan and the Statement of Terms and Conditions are incorporated herein by reference. Capitalized terms not defined herein shall have the meanings ascribed to them in the Plan or in the Statement of Terms and Conditions, as applicable. [Notwithstanding any provisions in the Statement of Terms and Conditions related to vesting upon termination for Retirement, Disability or death:</w:t>
      </w:r>
    </w:p>
    <w:p>
      <w:pPr>
        <w:spacing w:after="0" w:line="176" w:lineRule="exact"/>
        <w:rPr>
          <w:sz w:val="20"/>
          <w:szCs w:val="20"/>
          <w:color w:val="auto"/>
        </w:rPr>
      </w:pPr>
    </w:p>
    <w:p>
      <w:pPr>
        <w:jc w:val="both"/>
        <w:ind w:firstLine="8"/>
        <w:spacing w:after="0" w:line="266" w:lineRule="auto"/>
        <w:tabs>
          <w:tab w:leader="none" w:pos="29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your voluntary retirement from the Company at least one year following the Grant Date, after reaching the age of 60 and having completed 10 years of service, and subject to your continued compliance with any applicable restrictive covenants, your unvested PSUs will remain eligible to vest on the Vesting Date above but only if, and to the extent that, the Performance Condition is met as determined by the Administrator; and</w:t>
      </w:r>
    </w:p>
    <w:p>
      <w:pPr>
        <w:spacing w:after="0" w:line="176" w:lineRule="exact"/>
        <w:rPr>
          <w:rFonts w:ascii="Times New Roman" w:cs="Times New Roman" w:eastAsia="Times New Roman" w:hAnsi="Times New Roman"/>
          <w:sz w:val="18"/>
          <w:szCs w:val="18"/>
          <w:color w:val="auto"/>
        </w:rPr>
      </w:pPr>
    </w:p>
    <w:p>
      <w:pPr>
        <w:jc w:val="both"/>
        <w:ind w:firstLine="8"/>
        <w:spacing w:after="0" w:line="261" w:lineRule="auto"/>
        <w:tabs>
          <w:tab w:leader="none" w:pos="28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your termination due to Death or Disability (as defined in your Amended and Restated Executive Employment Agreement), and in the case of Disability, subject to the execution of a release agreement in favor of the Company and your continued compliance with any applicable restrictive covenants, the target number of your PSUs will immediately vest (without regard to the attainment of the Performance Condition).] [insert for applicable Executive Officer Award Agreements]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Grantee acknowledges receipt of a copy of the Plan, the Statement of Terms and Conditions, the Plan Prospectus and performance objectives relating to this grant, represents that the Grantee has carefully read and is familiar with their provisions, and hereby accepts the PSUs subject to all of their terms and conditions. The Grantee acknowledges that there are tax consequences upon settlement of the PSUs or disposition of the shares, if any, received in connection therewith and that Grantee should consult a tax adviser prior to such settlement or disposition.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By accepting this award, the Company and the Grantee agree that the PSUs are granted under and governed by this Performance Share Agreement and by the provisions of the Plan, the Statement of Terms and Conditions and performance objectives attached hereto.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ABM INDUSTRIES INCORPORATED</w:t>
      </w:r>
    </w:p>
    <w:p>
      <w:pPr>
        <w:sectPr>
          <w:pgSz w:w="11900" w:h="16838" w:orient="portrait"/>
          <w:cols w:equalWidth="0" w:num="1">
            <w:col w:w="11420"/>
          </w:cols>
          <w:pgMar w:left="240" w:top="117" w:right="239" w:bottom="1440" w:gutter="0" w:footer="0" w:header="0"/>
          <w:type w:val="continuous"/>
        </w:sectPr>
      </w:pPr>
    </w:p>
    <w:bookmarkStart w:id="110" w:name="page111"/>
    <w:bookmarkEnd w:id="110"/>
    <w:p>
      <w:pPr>
        <w:ind w:left="10120"/>
        <w:spacing w:after="0"/>
        <w:rPr>
          <w:sz w:val="20"/>
          <w:szCs w:val="20"/>
          <w:color w:val="auto"/>
        </w:rPr>
      </w:pPr>
      <w:r>
        <w:rPr>
          <w:rFonts w:ascii="Times New Roman" w:cs="Times New Roman" w:eastAsia="Times New Roman" w:hAnsi="Times New Roman"/>
          <w:sz w:val="21"/>
          <w:szCs w:val="21"/>
          <w:b w:val="1"/>
          <w:bCs w:val="1"/>
          <w:color w:val="auto"/>
        </w:rPr>
        <w:t>Exhibit 10.35</w:t>
      </w:r>
    </w:p>
    <w:p>
      <w:pPr>
        <w:spacing w:after="0" w:line="200" w:lineRule="exact"/>
        <w:rPr>
          <w:sz w:val="20"/>
          <w:szCs w:val="20"/>
          <w:color w:val="auto"/>
        </w:rPr>
      </w:pPr>
    </w:p>
    <w:p>
      <w:pPr>
        <w:spacing w:after="0" w:line="24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EXECUTIVE EMPLOYMENT AGREEMENT</w:t>
      </w:r>
    </w:p>
    <w:p>
      <w:pPr>
        <w:spacing w:after="0" w:line="200" w:lineRule="exact"/>
        <w:rPr>
          <w:sz w:val="20"/>
          <w:szCs w:val="20"/>
          <w:color w:val="auto"/>
        </w:rPr>
      </w:pPr>
    </w:p>
    <w:p>
      <w:pPr>
        <w:spacing w:after="0" w:line="330" w:lineRule="exact"/>
        <w:rPr>
          <w:sz w:val="20"/>
          <w:szCs w:val="20"/>
          <w:color w:val="auto"/>
        </w:rPr>
      </w:pPr>
    </w:p>
    <w:p>
      <w:pPr>
        <w:ind w:left="4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THIS EXECUTIVE EMPLOYMENT AGREEMENT </w:t>
      </w:r>
      <w:r>
        <w:rPr>
          <w:rFonts w:ascii="Times New Roman" w:cs="Times New Roman" w:eastAsia="Times New Roman" w:hAnsi="Times New Roman"/>
          <w:sz w:val="22"/>
          <w:szCs w:val="22"/>
          <w:color w:val="auto"/>
        </w:rPr>
        <w:t>(“Agreement”) is effective October 28, 2019 (“Effective Date”) between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Josh Feinberg (“Executive”) and ABM Industries Incorporated, a Delaware corporation (“Company” or “ABM”).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consideration of the terms and commitments contained in this Agreement, the parties agree to and acknowledge the following:</w:t>
      </w:r>
    </w:p>
    <w:p>
      <w:pPr>
        <w:spacing w:after="0" w:line="268" w:lineRule="exact"/>
        <w:rPr>
          <w:sz w:val="20"/>
          <w:szCs w:val="20"/>
          <w:color w:val="auto"/>
        </w:rPr>
      </w:pPr>
    </w:p>
    <w:p>
      <w:pPr>
        <w:ind w:left="680" w:hanging="644"/>
        <w:spacing w:after="0" w:line="275" w:lineRule="auto"/>
        <w:tabs>
          <w:tab w:leader="none" w:pos="680" w:val="left"/>
        </w:tabs>
        <w:numPr>
          <w:ilvl w:val="1"/>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EMPLOYMENT. </w:t>
      </w:r>
      <w:r>
        <w:rPr>
          <w:rFonts w:ascii="Times New Roman" w:cs="Times New Roman" w:eastAsia="Times New Roman" w:hAnsi="Times New Roman"/>
          <w:sz w:val="22"/>
          <w:szCs w:val="22"/>
          <w:color w:val="auto"/>
        </w:rPr>
        <w:t>The Company agrees to employ Executive, and Executive hereby accepts such employment,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terms and conditions set forth in this Agreement.</w:t>
      </w:r>
    </w:p>
    <w:p>
      <w:pPr>
        <w:spacing w:after="0" w:line="95" w:lineRule="exact"/>
        <w:rPr>
          <w:rFonts w:ascii="Times New Roman" w:cs="Times New Roman" w:eastAsia="Times New Roman" w:hAnsi="Times New Roman"/>
          <w:sz w:val="22"/>
          <w:szCs w:val="22"/>
          <w:b w:val="1"/>
          <w:bCs w:val="1"/>
          <w:color w:val="auto"/>
        </w:rPr>
      </w:pPr>
    </w:p>
    <w:p>
      <w:pPr>
        <w:jc w:val="both"/>
        <w:ind w:left="660" w:hanging="651"/>
        <w:spacing w:after="0" w:line="251" w:lineRule="auto"/>
        <w:tabs>
          <w:tab w:leader="none" w:pos="660"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DUTIES, RESPONSIBILITIES AND TITLE. </w:t>
      </w:r>
      <w:r>
        <w:rPr>
          <w:rFonts w:ascii="Times New Roman" w:cs="Times New Roman" w:eastAsia="Times New Roman" w:hAnsi="Times New Roman"/>
          <w:sz w:val="22"/>
          <w:szCs w:val="22"/>
          <w:color w:val="auto"/>
        </w:rPr>
        <w:t>Executive’s title shall be Executive Vice President and Chief Strategy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Transformation Officer of the Company, and such other titles as may be assigned from time to time by the Company. Executive shall have and perform such duties, functions and responsibilities relating to Executive's employment with Company as may be assigned from time to time by the Company, consistent with such position. Executive shall report directly to the Chief Executive Officer of the Company and shall be based in Bethesda, Maryland.</w:t>
      </w:r>
    </w:p>
    <w:p>
      <w:pPr>
        <w:spacing w:after="0" w:line="122" w:lineRule="exact"/>
        <w:rPr>
          <w:rFonts w:ascii="Times New Roman" w:cs="Times New Roman" w:eastAsia="Times New Roman" w:hAnsi="Times New Roman"/>
          <w:sz w:val="22"/>
          <w:szCs w:val="22"/>
          <w:b w:val="1"/>
          <w:bCs w:val="1"/>
          <w:color w:val="auto"/>
        </w:rPr>
      </w:pPr>
    </w:p>
    <w:p>
      <w:pPr>
        <w:ind w:left="660" w:hanging="651"/>
        <w:spacing w:after="0" w:line="275" w:lineRule="auto"/>
        <w:tabs>
          <w:tab w:leader="none" w:pos="660"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COMPENSATION. </w:t>
      </w:r>
      <w:r>
        <w:rPr>
          <w:rFonts w:ascii="Times New Roman" w:cs="Times New Roman" w:eastAsia="Times New Roman" w:hAnsi="Times New Roman"/>
          <w:sz w:val="22"/>
          <w:szCs w:val="22"/>
          <w:color w:val="auto"/>
        </w:rPr>
        <w:t>During Executive’s employment hereunder, Company agrees to compensate Executive,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agrees to accept as compensation in full, as follows:</w:t>
      </w:r>
    </w:p>
    <w:p>
      <w:pPr>
        <w:spacing w:after="0" w:line="99" w:lineRule="exact"/>
        <w:rPr>
          <w:rFonts w:ascii="Times New Roman" w:cs="Times New Roman" w:eastAsia="Times New Roman" w:hAnsi="Times New Roman"/>
          <w:sz w:val="22"/>
          <w:szCs w:val="22"/>
          <w:b w:val="1"/>
          <w:bCs w:val="1"/>
          <w:color w:val="auto"/>
        </w:rPr>
      </w:pPr>
    </w:p>
    <w:p>
      <w:pPr>
        <w:ind w:left="1300" w:hanging="648"/>
        <w:spacing w:after="0" w:line="252"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3.1 BASE SALARY. The Company shall pay to Executive an annual base salary (the “Base Salary”) in an amount to be determined by the Board of Directors or its applicable committee (as applicable, the “Committee”) in its sole discretion. The Base Salary shall be subject to applicable state and federal withholdings and shall be paid according to the Company’s standard payroll practices.</w:t>
      </w:r>
    </w:p>
    <w:p>
      <w:pPr>
        <w:spacing w:after="0" w:line="125" w:lineRule="exact"/>
        <w:rPr>
          <w:rFonts w:ascii="Times New Roman" w:cs="Times New Roman" w:eastAsia="Times New Roman" w:hAnsi="Times New Roman"/>
          <w:sz w:val="22"/>
          <w:szCs w:val="22"/>
          <w:b w:val="1"/>
          <w:bCs w:val="1"/>
          <w:color w:val="auto"/>
        </w:rPr>
      </w:pPr>
    </w:p>
    <w:p>
      <w:pPr>
        <w:ind w:left="1300" w:hanging="648"/>
        <w:spacing w:after="0" w:line="250"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3.2 BONUS. Executive will be eligible for annual incentive awards pursuant to the terms of the Cash Incentive Program or any applicable successor program (“Cash Bonus”). The target amount for Executive’s Cash Bonus shall be one hundred percent (100%) of Base Salary (“Target Cash Bonus”). Executive’s actual Cash Bonus may range from 0% to an amount greater than Target Cash Bonus. The Cash Bonus, if any, earned for a fiscal year will be paid no later than the March 15 following the completion of the performance year.</w:t>
      </w:r>
    </w:p>
    <w:p>
      <w:pPr>
        <w:spacing w:after="0" w:line="127" w:lineRule="exact"/>
        <w:rPr>
          <w:rFonts w:ascii="Times New Roman" w:cs="Times New Roman" w:eastAsia="Times New Roman" w:hAnsi="Times New Roman"/>
          <w:sz w:val="22"/>
          <w:szCs w:val="22"/>
          <w:b w:val="1"/>
          <w:bCs w:val="1"/>
          <w:color w:val="auto"/>
        </w:rPr>
      </w:pPr>
    </w:p>
    <w:p>
      <w:pPr>
        <w:ind w:left="1300" w:hanging="648"/>
        <w:spacing w:after="0" w:line="257"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3.3 EQUITY. Executive will be eligible to receive annual awards under the 2006 Equity Incentive Plan, as amended and restated, or any applicable successor plan (“Equity Plan”), subject to the terms and conditions of the applicable plan and as determined by the Committee in its discretion.</w:t>
      </w:r>
    </w:p>
    <w:p>
      <w:pPr>
        <w:spacing w:after="0" w:line="119" w:lineRule="exact"/>
        <w:rPr>
          <w:rFonts w:ascii="Times New Roman" w:cs="Times New Roman" w:eastAsia="Times New Roman" w:hAnsi="Times New Roman"/>
          <w:sz w:val="22"/>
          <w:szCs w:val="22"/>
          <w:b w:val="1"/>
          <w:bCs w:val="1"/>
          <w:color w:val="auto"/>
        </w:rPr>
      </w:pPr>
    </w:p>
    <w:p>
      <w:pPr>
        <w:ind w:left="1300" w:hanging="648"/>
        <w:spacing w:after="0" w:line="257"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3.4 REIMBURSEMENTS. The Company shall reimburse Executive for all reasonable and necessary out-of-pocket expenses incurred by Executive in connection with the performance of Executive’s duties hereunder, in accordance with the Company’s expense reimbursement policies and procedures.</w:t>
      </w:r>
    </w:p>
    <w:p>
      <w:pPr>
        <w:sectPr>
          <w:pgSz w:w="11900" w:h="16838" w:orient="portrait"/>
          <w:cols w:equalWidth="0" w:num="1">
            <w:col w:w="11340"/>
          </w:cols>
          <w:pgMar w:left="320" w:top="121" w:right="239" w:bottom="1440" w:gutter="0" w:footer="0" w:header="0"/>
        </w:sectPr>
      </w:pPr>
    </w:p>
    <w:bookmarkStart w:id="111" w:name="page112"/>
    <w:bookmarkEnd w:id="111"/>
    <w:p>
      <w:pPr>
        <w:ind w:left="1264" w:hanging="647"/>
        <w:spacing w:after="0" w:line="271" w:lineRule="auto"/>
        <w:tabs>
          <w:tab w:leader="none" w:pos="1244" w:val="left"/>
        </w:tabs>
        <w:rPr>
          <w:sz w:val="20"/>
          <w:szCs w:val="20"/>
          <w:color w:val="auto"/>
        </w:rPr>
      </w:pPr>
      <w:r>
        <w:rPr>
          <w:rFonts w:ascii="Times New Roman" w:cs="Times New Roman" w:eastAsia="Times New Roman" w:hAnsi="Times New Roman"/>
          <w:sz w:val="22"/>
          <w:szCs w:val="22"/>
          <w:color w:val="auto"/>
        </w:rPr>
        <w:t>3.5</w:t>
      </w:r>
      <w:r>
        <w:rPr>
          <w:sz w:val="20"/>
          <w:szCs w:val="20"/>
          <w:color w:val="auto"/>
        </w:rPr>
        <w:tab/>
      </w:r>
      <w:r>
        <w:rPr>
          <w:rFonts w:ascii="Times New Roman" w:cs="Times New Roman" w:eastAsia="Times New Roman" w:hAnsi="Times New Roman"/>
          <w:sz w:val="22"/>
          <w:szCs w:val="22"/>
          <w:color w:val="auto"/>
        </w:rPr>
        <w:t>BENEFITS. Executive will be eligible to participate in the Company’s health, welfare and retirement benefit plans generally available for executive officers from time to time.</w:t>
      </w:r>
    </w:p>
    <w:p>
      <w:pPr>
        <w:spacing w:after="0" w:line="100" w:lineRule="exact"/>
        <w:rPr>
          <w:sz w:val="20"/>
          <w:szCs w:val="20"/>
          <w:color w:val="auto"/>
        </w:rPr>
      </w:pPr>
    </w:p>
    <w:p>
      <w:pPr>
        <w:jc w:val="both"/>
        <w:ind w:left="644" w:hanging="644"/>
        <w:spacing w:after="0" w:line="260" w:lineRule="auto"/>
        <w:tabs>
          <w:tab w:leader="none" w:pos="644" w:val="left"/>
        </w:tabs>
        <w:numPr>
          <w:ilvl w:val="0"/>
          <w:numId w:val="5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COMPLIANCE WITH LAWS AND POLICIES; EMPLOYEE PROTECTIONS. </w:t>
      </w:r>
      <w:r>
        <w:rPr>
          <w:rFonts w:ascii="Times New Roman" w:cs="Times New Roman" w:eastAsia="Times New Roman" w:hAnsi="Times New Roman"/>
          <w:sz w:val="21"/>
          <w:szCs w:val="21"/>
          <w:color w:val="auto"/>
        </w:rPr>
        <w:t>Executive shall dedicate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Executive’s full business time and attention to the performance of duties hereunder, perform Executive’s duties in good faith and to a professional standard, and fully comply with all laws and regulations pertaining to the performance of Executive’s responsibilities, all ethical rules, ABM’s Code of Business Conduct and Ethics, ABM’s Recoupment Policy as well as any and all of policies, procedures and instructions of ABM, in each case as in effect from time to time; provided, it shall not be a violation of the foregoing for Executive to manage Executive’s personal, financial and legal affairs to the extent that they do not interfere with Executive’s ability to perform Executive’s duties to the Company. Prior to joining or agreeing to serve on corporate, civil or charitable boards or committees, Executive shall obtain approval of the Chief Executive Officer or otherwise as required by ABM’s Corporate Governance Guidelines as in effect from time to time.</w:t>
      </w:r>
    </w:p>
    <w:p>
      <w:pPr>
        <w:spacing w:after="0" w:line="121" w:lineRule="exact"/>
        <w:rPr>
          <w:sz w:val="20"/>
          <w:szCs w:val="20"/>
          <w:color w:val="auto"/>
        </w:rPr>
      </w:pPr>
    </w:p>
    <w:p>
      <w:pPr>
        <w:jc w:val="both"/>
        <w:ind w:left="624"/>
        <w:spacing w:after="0" w:line="263" w:lineRule="auto"/>
        <w:rPr>
          <w:sz w:val="20"/>
          <w:szCs w:val="20"/>
          <w:color w:val="auto"/>
        </w:rPr>
      </w:pPr>
      <w:r>
        <w:rPr>
          <w:rFonts w:ascii="Times New Roman" w:cs="Times New Roman" w:eastAsia="Times New Roman" w:hAnsi="Times New Roman"/>
          <w:sz w:val="21"/>
          <w:szCs w:val="21"/>
          <w:color w:val="auto"/>
        </w:rPr>
        <w:t>Nothing in this Agreement or otherwise limits Executive’s ability to communicate directly with and provide information, including documents, not otherwise protected from disclosure by any applicable law or privilege to the Securities and Exchange Commission (the “SEC”) or any other federal, state or local governmental agency or commission (“Government Agency”) regarding possible legal violations, without disclosure to the Company. The Company may not retaliate against Executive for any of these activities, and nothing in this Agreement or otherwise requires Executive to waive any monetary award or other payment that Executive might become entitled to from the SEC or any other Government Agency.</w:t>
      </w:r>
    </w:p>
    <w:p>
      <w:pPr>
        <w:spacing w:after="0" w:line="114" w:lineRule="exact"/>
        <w:rPr>
          <w:sz w:val="20"/>
          <w:szCs w:val="20"/>
          <w:color w:val="auto"/>
        </w:rPr>
      </w:pPr>
    </w:p>
    <w:p>
      <w:pPr>
        <w:jc w:val="both"/>
        <w:ind w:left="644"/>
        <w:spacing w:after="0" w:line="246" w:lineRule="auto"/>
        <w:rPr>
          <w:sz w:val="20"/>
          <w:szCs w:val="20"/>
          <w:color w:val="auto"/>
        </w:rPr>
      </w:pPr>
      <w:r>
        <w:rPr>
          <w:rFonts w:ascii="Times New Roman" w:cs="Times New Roman" w:eastAsia="Times New Roman" w:hAnsi="Times New Roman"/>
          <w:sz w:val="22"/>
          <w:szCs w:val="22"/>
          <w:color w:val="auto"/>
        </w:rPr>
        <w:t>Pursuant to Section 7 of the Defend Trade Secrets Act of 2016 (which added 18 U.S.C. § 1833(b)), the Company and Executive acknowledge and agree that Executive shall not have criminal or civil liability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and without limiting the preceding sentence, if Executive files a lawsuit for retaliation by the Company for reporting a suspected violation of law, Executive may disclose the trade secret to Executive’s attorney and may use the trade secret information in the court proceeding, if Executive (X) files any document containing the trade secret under seal and (Y) does not disclose the trade secret, except pursuant to court order. Nothing in this Agreement or otherwise is intended to conflict with 18 U.S.C. § 1833(b) or create liability for disclosures of trade secrets that are expressly allowed by such Section.</w:t>
      </w:r>
    </w:p>
    <w:p>
      <w:pPr>
        <w:spacing w:after="0" w:line="223" w:lineRule="exact"/>
        <w:rPr>
          <w:sz w:val="20"/>
          <w:szCs w:val="20"/>
          <w:color w:val="auto"/>
        </w:rPr>
      </w:pPr>
    </w:p>
    <w:p>
      <w:pPr>
        <w:jc w:val="both"/>
        <w:ind w:left="644" w:hanging="644"/>
        <w:spacing w:after="0" w:line="254" w:lineRule="auto"/>
        <w:tabs>
          <w:tab w:leader="none" w:pos="644"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RESTRICTIVE COVENANTS. </w:t>
      </w:r>
      <w:r>
        <w:rPr>
          <w:rFonts w:ascii="Times New Roman" w:cs="Times New Roman" w:eastAsia="Times New Roman" w:hAnsi="Times New Roman"/>
          <w:sz w:val="22"/>
          <w:szCs w:val="22"/>
          <w:color w:val="auto"/>
        </w:rPr>
        <w:t>In consideration of the compensation, contract term, potential Severance Benefits,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continued employment provided by Company, as well as the access Company will provide Executive to its Confidential Information, as defined below, and current and prospective customers, all as necessary for the performance of Executive’s duties hereunder, Executive hereby agrees to the following during Executive’s employment</w:t>
      </w:r>
    </w:p>
    <w:p>
      <w:pPr>
        <w:spacing w:after="0" w:line="176" w:lineRule="exact"/>
        <w:rPr>
          <w:sz w:val="20"/>
          <w:szCs w:val="20"/>
          <w:color w:val="auto"/>
        </w:rPr>
      </w:pPr>
    </w:p>
    <w:p>
      <w:pPr>
        <w:jc w:val="center"/>
        <w:ind w:right="96"/>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304"/>
          </w:cols>
          <w:pgMar w:left="356" w:top="342" w:right="239" w:bottom="1440" w:gutter="0" w:footer="0" w:header="0"/>
        </w:sectPr>
      </w:pPr>
    </w:p>
    <w:bookmarkStart w:id="112" w:name="page113"/>
    <w:bookmarkEnd w:id="112"/>
    <w:p>
      <w:pPr>
        <w:jc w:val="both"/>
        <w:spacing w:after="0" w:line="226" w:lineRule="auto"/>
        <w:rPr>
          <w:sz w:val="20"/>
          <w:szCs w:val="20"/>
          <w:color w:val="auto"/>
        </w:rPr>
      </w:pPr>
      <w:r>
        <w:rPr>
          <w:rFonts w:ascii="Times New Roman" w:cs="Times New Roman" w:eastAsia="Times New Roman" w:hAnsi="Times New Roman"/>
          <w:sz w:val="22"/>
          <w:szCs w:val="22"/>
          <w:color w:val="auto"/>
        </w:rPr>
        <w:t>and thereafter as provided, except that if Executive’s employment is terminated under circumstances qualifying Executive for payments under the Change-in- Control Agreement (as defined below), the applicable restrictive covenants set forth in such Change-in-Control Agreement shall supersede Sections 5.3, 5.4, 5.5 and 5.6 below:</w:t>
      </w:r>
    </w:p>
    <w:p>
      <w:pPr>
        <w:spacing w:after="0" w:line="217" w:lineRule="exact"/>
        <w:rPr>
          <w:sz w:val="20"/>
          <w:szCs w:val="20"/>
          <w:color w:val="auto"/>
        </w:rPr>
      </w:pPr>
    </w:p>
    <w:p>
      <w:pPr>
        <w:jc w:val="both"/>
        <w:ind w:left="620" w:hanging="647"/>
        <w:spacing w:after="0" w:line="244" w:lineRule="auto"/>
        <w:tabs>
          <w:tab w:leader="none" w:pos="60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2"/>
          <w:szCs w:val="22"/>
          <w:color w:val="auto"/>
        </w:rPr>
        <w:t>CONFIDENTIAL INFORMATION DEFINED. Confidential Information includes but is not limited to: (i) Company and its subsidiary companies’ trade secrets, know- how, ideas, applications, systems, processes and other confidential information which is not generally known to and/or readily ascertainable through proper means by the general public; (ii) plans for business development, marketing, business plans and strategies, budgets and financial statements of any kind, costs and suppliers, including methods, policies, procedures, practices, devices and other means used by the Company and its subsidiaries in the operation of its business, pricing plans and strategies, as well as information about the Company and affiliated entity pricing structures and fees, unpublished financial information, contract provisions, training materials, profit margins and bid information; (iii) information regarding the skills, abilities, performance and compensation of other employees of the Company or its subsidiaries, or of the employees of any company that contracts to provide services to the Company or its subsidiaries; (iv) information of third parties to which Executive had access by virtue of Executive’s employment, including, but not limited to information on customers, prospective customers, and/or vendors, including current or prospective customers’ names, contact information, organizational structure(s), and their representatives responsible for considering the entry or entering into agreements for those services, and/or products provided by the Company and its subsidiaries; customer leads or referrals; customer preferences, needs, and requirements (including customer likes and dislikes, as well as supply and staffing requirements) and the manner in which they have been met by the Company or its subsidiaries; customer billing procedures, credit limits and payment practices,; and customer information with respect to contract and relationship terms and conditions, pricing, costs, profits, sales, markets, plans for future business and other development; purchasing techniques; supplier lists; (v) information contained in the Company’s LCMS database, JDE , LMS or similar systems; (vi) any and all information related to past, current or future acquisitions between the Company or Company-affiliated entities including information used or relied upon for said acquisition (“Confidential Information”). Notwithstanding the generality of the foregoing, Confidential Information shall not include: (x) information known to Executive prior to Executive’s discussions with the Company regarding Executive’s employment with the Company; (y) contact information contained on Executive’s rolodex (other than for officers, directors, employees, and/or independent contractors of the Company and Company- affiliated entities); or (z) information that is or becomes generally known in the industry or part of the public domain.</w:t>
      </w:r>
    </w:p>
    <w:p>
      <w:pPr>
        <w:spacing w:after="0" w:line="146" w:lineRule="exact"/>
        <w:rPr>
          <w:sz w:val="20"/>
          <w:szCs w:val="20"/>
          <w:color w:val="auto"/>
        </w:rPr>
      </w:pPr>
    </w:p>
    <w:p>
      <w:pPr>
        <w:jc w:val="both"/>
        <w:ind w:left="620" w:hanging="647"/>
        <w:spacing w:after="0" w:line="257" w:lineRule="auto"/>
        <w:tabs>
          <w:tab w:leader="none" w:pos="60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2"/>
          <w:szCs w:val="22"/>
          <w:color w:val="auto"/>
        </w:rPr>
        <w:t>NON-DISCLOSURE. The Company and Executive acknowledge and agree that the Company has invested significant effort, time and expense to develop its Confidential Information. Except in the proper performance of this Agreement, Executive agrees</w:t>
      </w:r>
    </w:p>
    <w:p>
      <w:pPr>
        <w:spacing w:after="0" w:line="33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660"/>
          </w:cols>
          <w:pgMar w:left="1000" w:top="315" w:right="239" w:bottom="1440" w:gutter="0" w:footer="0" w:header="0"/>
        </w:sectPr>
      </w:pPr>
    </w:p>
    <w:bookmarkStart w:id="113" w:name="page114"/>
    <w:bookmarkEnd w:id="113"/>
    <w:p>
      <w:pPr>
        <w:jc w:val="both"/>
        <w:ind w:left="180"/>
        <w:spacing w:after="0" w:line="219" w:lineRule="auto"/>
        <w:rPr>
          <w:sz w:val="20"/>
          <w:szCs w:val="20"/>
          <w:color w:val="auto"/>
        </w:rPr>
      </w:pPr>
      <w:r>
        <w:rPr>
          <w:rFonts w:ascii="Times New Roman" w:cs="Times New Roman" w:eastAsia="Times New Roman" w:hAnsi="Times New Roman"/>
          <w:sz w:val="21"/>
          <w:szCs w:val="21"/>
          <w:color w:val="auto"/>
        </w:rPr>
        <w:t>to hold all Confidential Information in the strictest confidence, and to refrain from making any unauthorized use or disclosure of such information both during Executive’s employment and at all times thereafter. Except in the proper performance of this Agreement, Executive shall not directly or indirectly disclose, reveal, transfer or deliver to any other person or business, any Confidential Information which was obtained directly or indirectly by Executive from, or for, the Company or its subsidiaries or by virtue of Executive’s employment. This Confidential Information has unique value to the Company and its subsidiaries, is not generally known or readily available by proper means to their competitors or the general public, and could only be developed by others after investing significant effort, time, and expense. Executive understands that Company or its subsidiaries would not make such Confidential Information available to Executive unless the Company was assured that all such Confidential Information will be held in trust and confidence in accordance with this Agreement and applicable law. Executive hereby acknowledges and agrees to use this Confidential Information solely for the benefit of the Company and its affiliated entities. In addition, Executive agrees that at all times after the voluntary or involuntary termination of Executive’s employment, Executive shall not attempt to seek, seek, attempt to solicit, solicit, or accept work from of any customer or active customer prospect of Company or any other Company-affiliated entity through the direct or indirect use of any Confidential Information or by any other unfair or unlawful business practice.</w:t>
      </w:r>
    </w:p>
    <w:p>
      <w:pPr>
        <w:spacing w:after="0" w:line="125" w:lineRule="exact"/>
        <w:rPr>
          <w:sz w:val="20"/>
          <w:szCs w:val="20"/>
          <w:color w:val="auto"/>
        </w:rPr>
      </w:pPr>
    </w:p>
    <w:p>
      <w:pPr>
        <w:jc w:val="both"/>
        <w:ind w:left="180" w:hanging="647"/>
        <w:spacing w:after="0" w:line="245" w:lineRule="auto"/>
        <w:tabs>
          <w:tab w:leader="none" w:pos="160" w:val="left"/>
        </w:tabs>
        <w:rPr>
          <w:sz w:val="20"/>
          <w:szCs w:val="20"/>
          <w:color w:val="auto"/>
        </w:rPr>
      </w:pPr>
      <w:r>
        <w:rPr>
          <w:rFonts w:ascii="Times New Roman" w:cs="Times New Roman" w:eastAsia="Times New Roman" w:hAnsi="Times New Roman"/>
          <w:sz w:val="22"/>
          <w:szCs w:val="22"/>
          <w:color w:val="auto"/>
        </w:rPr>
        <w:t>5.3</w:t>
      </w:r>
      <w:r>
        <w:rPr>
          <w:sz w:val="20"/>
          <w:szCs w:val="20"/>
          <w:color w:val="auto"/>
        </w:rPr>
        <w:tab/>
      </w:r>
      <w:r>
        <w:rPr>
          <w:rFonts w:ascii="Times New Roman" w:cs="Times New Roman" w:eastAsia="Times New Roman" w:hAnsi="Times New Roman"/>
          <w:sz w:val="22"/>
          <w:szCs w:val="22"/>
          <w:color w:val="auto"/>
        </w:rPr>
        <w:t>NON-SOLICITATION OF EMPLOYEES. Executive acknowledges and agrees that the Company has developed its work force as the result of its investment of substantial time, effort, and expense. During the course and solely as a result of Executive’s employment with the Company, Executive will come into contact with officers, directors, employees, and/or independent contractors of the Company and Company-affiliated entities, develop relationships with and acquire information regarding their knowledge, skills, abilities, salaries, commissions, benefits, and/or other matters that are not generally known to the public. Executive further acknowledges and agrees that hiring, recruiting, soliciting, or inducing the termination of such individuals will cause increased expenses and a loss of business. Accordingly, Executive agrees that while employed by the Company and for a period of twelve (12) months following the termination of Executive’s employment (whether termination is voluntary or involuntary), Executive will not directly or indirectly solicit, hire, recruit or otherwise encourage, assist in or arrange for any officer, director, employee, and/or independent contractor to terminate his/her business relationship with the Company or any other Company-affiliated entity except in the proper performance of this Agreement. This prohibition against solicitation shall include but not be limited to: (i) identifying to other companies or their agents, recruiting or staffing firms, or other third parties the Company officers, directors, employees, or independent contractors who have specialized knowledge concerning the Company’s business, operations, processes, methods, or other confidential affairs or who have contacts, experience, or relationships with particular customers; (ii) disclosing or commenting to other companies or their agents, recruiting or staffing firms, or other third parties regarding the quality or</w:t>
      </w:r>
    </w:p>
    <w:p>
      <w:pPr>
        <w:spacing w:after="0" w:line="34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220"/>
          </w:cols>
          <w:pgMar w:left="1440" w:top="315" w:right="239" w:bottom="1440" w:gutter="0" w:footer="0" w:header="0"/>
        </w:sectPr>
      </w:pPr>
    </w:p>
    <w:bookmarkStart w:id="114" w:name="page115"/>
    <w:bookmarkEnd w:id="114"/>
    <w:p>
      <w:pPr>
        <w:jc w:val="both"/>
        <w:ind w:left="180"/>
        <w:spacing w:after="0" w:line="217" w:lineRule="auto"/>
        <w:rPr>
          <w:sz w:val="20"/>
          <w:szCs w:val="20"/>
          <w:color w:val="auto"/>
        </w:rPr>
      </w:pPr>
      <w:r>
        <w:rPr>
          <w:rFonts w:ascii="Times New Roman" w:cs="Times New Roman" w:eastAsia="Times New Roman" w:hAnsi="Times New Roman"/>
          <w:sz w:val="22"/>
          <w:szCs w:val="22"/>
          <w:color w:val="auto"/>
        </w:rPr>
        <w:t>quantity of work, specialized knowledge, or personal characteristics of any person still engaged by Company or any other Company-affiliated entity; and (iii) providing such information to prospective companies or their agents, recruiting or staffing firms, or other third parties preceding possible engagement; provided, nothing in this Section 5.3 shall prevent Executive from serving as a reference in response to a bona fide inquiry regarding an employee or former employee of the Company.</w:t>
      </w:r>
    </w:p>
    <w:p>
      <w:pPr>
        <w:spacing w:after="0" w:line="126" w:lineRule="exact"/>
        <w:rPr>
          <w:sz w:val="20"/>
          <w:szCs w:val="20"/>
          <w:color w:val="auto"/>
        </w:rPr>
      </w:pPr>
    </w:p>
    <w:p>
      <w:pPr>
        <w:jc w:val="both"/>
        <w:ind w:left="180" w:hanging="647"/>
        <w:spacing w:after="0" w:line="257" w:lineRule="auto"/>
        <w:tabs>
          <w:tab w:leader="none" w:pos="160" w:val="left"/>
        </w:tabs>
        <w:rPr>
          <w:sz w:val="20"/>
          <w:szCs w:val="20"/>
          <w:color w:val="auto"/>
        </w:rPr>
      </w:pPr>
      <w:r>
        <w:rPr>
          <w:rFonts w:ascii="Times New Roman" w:cs="Times New Roman" w:eastAsia="Times New Roman" w:hAnsi="Times New Roman"/>
          <w:sz w:val="22"/>
          <w:szCs w:val="22"/>
          <w:color w:val="auto"/>
        </w:rPr>
        <w:t>5.4</w:t>
      </w:r>
      <w:r>
        <w:rPr>
          <w:sz w:val="20"/>
          <w:szCs w:val="20"/>
          <w:color w:val="auto"/>
        </w:rPr>
        <w:tab/>
      </w:r>
      <w:r>
        <w:rPr>
          <w:rFonts w:ascii="Times New Roman" w:cs="Times New Roman" w:eastAsia="Times New Roman" w:hAnsi="Times New Roman"/>
          <w:sz w:val="21"/>
          <w:szCs w:val="21"/>
          <w:color w:val="auto"/>
        </w:rPr>
        <w:t>NON-SOLICITATION OF CUSTOMERS. Executive acknowledges and agrees that the Company and its subsidiaries have identified, solicited, and developed their customers and developed customer relationships as the result of their investment of significant time, effort, and expense and that the Company has a legitimate business interest in protecting these relationships. Executive further acknowledges that Executive would not have been privy to these relationships were it not for Executive’s employment by the Company. Executive further acknowledges and agrees that the loss of such customers and clients would damage the Company and potentially cause the Company great and irreparable harm. Consequently, Executive covenants and agrees that during and for twelve (12) months following the termination of Executive’s employment with the Company (whether such termination is voluntary or involuntary), Executive shall not, directly or indirectly, for the benefit of any person or entity other than the Company, attempt to seek, seek, attempt to solicit, solicit, or accept work from any customer, client or active customer prospect: (i) with whom Executive developed a relationship while employed by Company or otherwise obtained Confidential Information about for the purpose of diverting business from Company or an affiliated entity; and (ii) that is located in a state or foreign country in which: (a) the Executive performed work, services, or engaged in business activity on behalf of the Company within the twelve (12) month period preceding the effective date of Executive’s termination of employment; and/or (b) where the Company has business operations and Executive was provided Confidential Information regarding the Company’s business activities in those territories within the twelve (12) month period preceding the effective date of Executive’s termination of employment.</w:t>
      </w:r>
    </w:p>
    <w:p>
      <w:pPr>
        <w:spacing w:after="0" w:line="128" w:lineRule="exact"/>
        <w:rPr>
          <w:sz w:val="20"/>
          <w:szCs w:val="20"/>
          <w:color w:val="auto"/>
        </w:rPr>
      </w:pPr>
    </w:p>
    <w:p>
      <w:pPr>
        <w:jc w:val="both"/>
        <w:ind w:left="220" w:hanging="647"/>
        <w:spacing w:after="0" w:line="245" w:lineRule="auto"/>
        <w:tabs>
          <w:tab w:leader="none" w:pos="200" w:val="left"/>
        </w:tabs>
        <w:rPr>
          <w:sz w:val="20"/>
          <w:szCs w:val="20"/>
          <w:color w:val="auto"/>
        </w:rPr>
      </w:pPr>
      <w:r>
        <w:rPr>
          <w:rFonts w:ascii="Times New Roman" w:cs="Times New Roman" w:eastAsia="Times New Roman" w:hAnsi="Times New Roman"/>
          <w:sz w:val="22"/>
          <w:szCs w:val="22"/>
          <w:color w:val="auto"/>
        </w:rPr>
        <w:t>5.5</w:t>
      </w:r>
      <w:r>
        <w:rPr>
          <w:sz w:val="20"/>
          <w:szCs w:val="20"/>
          <w:color w:val="auto"/>
        </w:rPr>
        <w:tab/>
      </w:r>
      <w:r>
        <w:rPr>
          <w:rFonts w:ascii="Times New Roman" w:cs="Times New Roman" w:eastAsia="Times New Roman" w:hAnsi="Times New Roman"/>
          <w:sz w:val="22"/>
          <w:szCs w:val="22"/>
          <w:color w:val="auto"/>
        </w:rPr>
        <w:t>POST EMPLOYMENT COMPETITION. Executive agrees that, while employed by the Company and for a period of twelve (12) months following Executive’s termination of employment (whether such termination is voluntary or involuntary), Executive shall not work, perform services for, or engage in any business, enterprise, or operation that engages in a Competing Business (as defined below) in a Restricted Territory (as defined below). For purposes of this Agreement, “Competing Business” means the provision of any goods, products, or services that are the same or substantially similar to those provided by the Company, or any Company-affiliated entity of which Executive had Confidential Information, in the twelve (12) month period preceding the effective date of Executive’s termination of employment. Executive acknowledges that the Company and its subsidiaries are engaged in business in various states throughout the U.S. and various international locations. Accordingly, and in view of the nature of Executive’s nationwide position and responsibilities, “Restricted Territory” as used herein means each state and each foreign country: (i) in which Executive performed work, services, or engaged in business activity on behalf of the</w:t>
      </w:r>
    </w:p>
    <w:p>
      <w:pPr>
        <w:spacing w:after="0" w:line="35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220"/>
          </w:cols>
          <w:pgMar w:left="1440" w:top="315" w:right="239" w:bottom="1440" w:gutter="0" w:footer="0" w:header="0"/>
        </w:sectPr>
      </w:pPr>
    </w:p>
    <w:bookmarkStart w:id="115" w:name="page116"/>
    <w:bookmarkEnd w:id="115"/>
    <w:p>
      <w:pPr>
        <w:jc w:val="both"/>
        <w:ind w:left="220"/>
        <w:spacing w:after="0" w:line="212" w:lineRule="auto"/>
        <w:rPr>
          <w:sz w:val="20"/>
          <w:szCs w:val="20"/>
          <w:color w:val="auto"/>
        </w:rPr>
      </w:pPr>
      <w:r>
        <w:rPr>
          <w:rFonts w:ascii="Times New Roman" w:cs="Times New Roman" w:eastAsia="Times New Roman" w:hAnsi="Times New Roman"/>
          <w:sz w:val="22"/>
          <w:szCs w:val="22"/>
          <w:color w:val="auto"/>
        </w:rPr>
        <w:t>Company within the twelve (12) month period preceding the effective date of Executive’s termination of employment; and/or (ii) where the Company has business operations and Executive was provided Confidential Information regarding the Company’s business activities in those territories within the twelve (12) month period preceding the effective date of Executive’s termination of employment. The restrictions in Section 5.5 shall only apply if, within the twelve (12) month period prior to the effective date of Executive’s termination, Executive was employed by the Company to perform sales, marketing, and/or operational activities, or was directly involved in corporate development and strategy (i.e., mergers, acquisitions, divestitures and/or other corporate strategic initiatives) for the Company or its subsidiaries/affiliates.</w:t>
      </w:r>
    </w:p>
    <w:p>
      <w:pPr>
        <w:spacing w:after="0" w:line="130" w:lineRule="exact"/>
        <w:rPr>
          <w:sz w:val="20"/>
          <w:szCs w:val="20"/>
          <w:color w:val="auto"/>
        </w:rPr>
      </w:pPr>
    </w:p>
    <w:p>
      <w:pPr>
        <w:jc w:val="both"/>
        <w:ind w:left="220" w:hanging="647"/>
        <w:spacing w:after="0" w:line="265" w:lineRule="auto"/>
        <w:tabs>
          <w:tab w:leader="none" w:pos="200" w:val="left"/>
        </w:tabs>
        <w:rPr>
          <w:sz w:val="20"/>
          <w:szCs w:val="20"/>
          <w:color w:val="auto"/>
        </w:rPr>
      </w:pPr>
      <w:r>
        <w:rPr>
          <w:rFonts w:ascii="Times New Roman" w:cs="Times New Roman" w:eastAsia="Times New Roman" w:hAnsi="Times New Roman"/>
          <w:sz w:val="22"/>
          <w:szCs w:val="22"/>
          <w:color w:val="auto"/>
        </w:rPr>
        <w:t>5.6</w:t>
      </w:r>
      <w:r>
        <w:rPr>
          <w:sz w:val="20"/>
          <w:szCs w:val="20"/>
          <w:color w:val="auto"/>
        </w:rPr>
        <w:tab/>
      </w:r>
      <w:r>
        <w:rPr>
          <w:rFonts w:ascii="Times New Roman" w:cs="Times New Roman" w:eastAsia="Times New Roman" w:hAnsi="Times New Roman"/>
          <w:sz w:val="21"/>
          <w:szCs w:val="21"/>
          <w:color w:val="auto"/>
        </w:rPr>
        <w:t>NON-DISPARAGEMENT. Following the termination of Executive’s employment for any reason, Executive agrees not to make any statement or take any action which disparages, defames, or places in a negative light the Company, Company-affiliated entities, or its or their reputation, goodwill, commercial interests or past and present officers, directors, employees, consultants, and/or agents, and the Company shall instruct its directors and executive officers to not make any statement or take any action which disparages, defames, or places in a negative light Executive.</w:t>
      </w:r>
    </w:p>
    <w:p>
      <w:pPr>
        <w:spacing w:after="0" w:line="112" w:lineRule="exact"/>
        <w:rPr>
          <w:sz w:val="20"/>
          <w:szCs w:val="20"/>
          <w:color w:val="auto"/>
        </w:rPr>
      </w:pPr>
    </w:p>
    <w:p>
      <w:pPr>
        <w:jc w:val="both"/>
        <w:ind w:left="220" w:hanging="647"/>
        <w:spacing w:after="0" w:line="271" w:lineRule="auto"/>
        <w:tabs>
          <w:tab w:leader="none" w:pos="200" w:val="left"/>
        </w:tabs>
        <w:rPr>
          <w:sz w:val="20"/>
          <w:szCs w:val="20"/>
          <w:color w:val="auto"/>
        </w:rPr>
      </w:pPr>
      <w:r>
        <w:rPr>
          <w:rFonts w:ascii="Times New Roman" w:cs="Times New Roman" w:eastAsia="Times New Roman" w:hAnsi="Times New Roman"/>
          <w:sz w:val="22"/>
          <w:szCs w:val="22"/>
          <w:color w:val="auto"/>
        </w:rPr>
        <w:t>5.7</w:t>
      </w:r>
      <w:r>
        <w:rPr>
          <w:sz w:val="20"/>
          <w:szCs w:val="20"/>
          <w:color w:val="auto"/>
        </w:rPr>
        <w:tab/>
      </w:r>
      <w:r>
        <w:rPr>
          <w:rFonts w:ascii="Times New Roman" w:cs="Times New Roman" w:eastAsia="Times New Roman" w:hAnsi="Times New Roman"/>
          <w:sz w:val="22"/>
          <w:szCs w:val="22"/>
          <w:color w:val="auto"/>
        </w:rPr>
        <w:t>CREATIONS. The terms and conditions set forth in Appendix A attached hereto are hereby incorporated by reference as though fully set forth herein.</w:t>
      </w:r>
    </w:p>
    <w:p>
      <w:pPr>
        <w:spacing w:after="0" w:line="100" w:lineRule="exact"/>
        <w:rPr>
          <w:sz w:val="20"/>
          <w:szCs w:val="20"/>
          <w:color w:val="auto"/>
        </w:rPr>
      </w:pPr>
    </w:p>
    <w:p>
      <w:pPr>
        <w:jc w:val="both"/>
        <w:ind w:left="220" w:hanging="647"/>
        <w:spacing w:after="0" w:line="246" w:lineRule="auto"/>
        <w:tabs>
          <w:tab w:leader="none" w:pos="200" w:val="left"/>
        </w:tabs>
        <w:rPr>
          <w:sz w:val="20"/>
          <w:szCs w:val="20"/>
          <w:color w:val="auto"/>
        </w:rPr>
      </w:pPr>
      <w:r>
        <w:rPr>
          <w:rFonts w:ascii="Times New Roman" w:cs="Times New Roman" w:eastAsia="Times New Roman" w:hAnsi="Times New Roman"/>
          <w:sz w:val="22"/>
          <w:szCs w:val="22"/>
          <w:color w:val="auto"/>
        </w:rPr>
        <w:t>5.8</w:t>
      </w:r>
      <w:r>
        <w:rPr>
          <w:sz w:val="20"/>
          <w:szCs w:val="20"/>
          <w:color w:val="auto"/>
        </w:rPr>
        <w:tab/>
      </w:r>
      <w:r>
        <w:rPr>
          <w:rFonts w:ascii="Times New Roman" w:cs="Times New Roman" w:eastAsia="Times New Roman" w:hAnsi="Times New Roman"/>
          <w:sz w:val="22"/>
          <w:szCs w:val="22"/>
          <w:color w:val="auto"/>
        </w:rPr>
        <w:t>CONFIDENTIAL INFORMATION OF OTHERS; NO CONFLICTS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Executive will not use, disclose to the Company or induce the Company to use any legally protected confidential, proprietary or trade secret information or material belonging to others which comes into Executive’s knowledge or possession at any time, nor will Executive use any such legally protected information or material in the course of Executive’s employment with the Company. Executive has no other agreements or relationships with or commitments to any other person or entity that conflicts with Executive’s obligations to the Company as an employee of the Company or under this Agreement, and Executive represents that Executive’s employment will not require Executive to violate any legal obligations to any third-party. In the event Executive believes that Executive’s work at the Company would make it difficult for Executive not to disclose to the Company any legally protected confidential, proprietary or trade secret information or materials belonging to others, Executive will immediately inform the Company’s Chief Human Resources Officer. Executive has not entered into, and Executive agrees Executive will not enter into, any oral or written agreement in conflict with this Agreement.</w:t>
      </w:r>
    </w:p>
    <w:p>
      <w:pPr>
        <w:spacing w:after="0" w:line="134" w:lineRule="exact"/>
        <w:rPr>
          <w:sz w:val="20"/>
          <w:szCs w:val="20"/>
          <w:color w:val="auto"/>
        </w:rPr>
      </w:pPr>
    </w:p>
    <w:p>
      <w:pPr>
        <w:jc w:val="both"/>
        <w:ind w:left="180" w:hanging="647"/>
        <w:spacing w:after="0" w:line="249" w:lineRule="auto"/>
        <w:tabs>
          <w:tab w:leader="none" w:pos="160" w:val="left"/>
        </w:tabs>
        <w:rPr>
          <w:sz w:val="20"/>
          <w:szCs w:val="20"/>
          <w:color w:val="auto"/>
        </w:rPr>
      </w:pPr>
      <w:r>
        <w:rPr>
          <w:rFonts w:ascii="Times New Roman" w:cs="Times New Roman" w:eastAsia="Times New Roman" w:hAnsi="Times New Roman"/>
          <w:sz w:val="22"/>
          <w:szCs w:val="22"/>
          <w:color w:val="auto"/>
        </w:rPr>
        <w:t>5.9</w:t>
      </w:r>
      <w:r>
        <w:rPr>
          <w:sz w:val="20"/>
          <w:szCs w:val="20"/>
          <w:color w:val="auto"/>
        </w:rPr>
        <w:tab/>
      </w:r>
      <w:r>
        <w:rPr>
          <w:rFonts w:ascii="Times New Roman" w:cs="Times New Roman" w:eastAsia="Times New Roman" w:hAnsi="Times New Roman"/>
          <w:sz w:val="22"/>
          <w:szCs w:val="22"/>
          <w:color w:val="auto"/>
        </w:rPr>
        <w:t>COOPERATION WITH LEGAL MATTERS. During Executive’s employment with Company and thereafter, Executive shall reasonably cooperate with Company and any Company-affiliated entity in its or their investigation, defense or prosecution of any potential, current or future legal matter in any forum, including but not limited to lawsuits, administrative charges, audits, arbitrations, and internal and external investigations. Executive’s cooperation shall include, but is not limited to, reviewing and preparing documents and reports, meeting with attorneys representing any</w:t>
      </w:r>
    </w:p>
    <w:p>
      <w:pPr>
        <w:spacing w:after="0" w:line="34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220"/>
          </w:cols>
          <w:pgMar w:left="1440" w:top="315" w:right="239" w:bottom="1440" w:gutter="0" w:footer="0" w:header="0"/>
        </w:sectPr>
      </w:pPr>
    </w:p>
    <w:bookmarkStart w:id="116" w:name="page117"/>
    <w:bookmarkEnd w:id="116"/>
    <w:p>
      <w:pPr>
        <w:jc w:val="both"/>
        <w:ind w:left="1300"/>
        <w:spacing w:after="0" w:line="209" w:lineRule="auto"/>
        <w:rPr>
          <w:sz w:val="20"/>
          <w:szCs w:val="20"/>
          <w:color w:val="auto"/>
        </w:rPr>
      </w:pPr>
      <w:r>
        <w:rPr>
          <w:rFonts w:ascii="Times New Roman" w:cs="Times New Roman" w:eastAsia="Times New Roman" w:hAnsi="Times New Roman"/>
          <w:sz w:val="22"/>
          <w:szCs w:val="22"/>
          <w:color w:val="auto"/>
        </w:rPr>
        <w:t>Company-affiliated entity, providing truthful testimony, and communicating Executive’s knowledge of relevant facts to any attorneys, experts, consultants, investigators, employees or other representatives working on behalf of an Company-affiliated entity. Except as required by law, Executive agrees to treat all information regarding any such actual or potential investigation or claim as confidential. Executive also agrees not to discuss or assist in any litigation, potential litigation, claims, or potential claim with any individual (or their attorney or investigator) who is pursuing, or considering pursuing, any claims against the Company or a Company-affiliated entity unless required by law. In performing the tasks outlined in this Section 5.9, Executive shall be bound by the covenants of good faith and veracity set forth in ABM’s Code of Business Conduct and Ethics and by all legal obligations. Nothing herein is intended to prevent Executive from complying in good faith with any subpoena or other affirmative legal obligation. Executive agrees to notify the Company immediately in the event there is a request for information or inquiry pertaining to the Company, any Company-affiliated entity, or Executive’s knowledge of or employment with the Company. In performing responsibilities under this Section following termination of employment for any reason, Executive shall be compensated for Executive’s time at an hourly rate of $250 per hour. However, during any period in which Executive is an employee of the Company, Executive shall not be so compensated.</w:t>
      </w:r>
    </w:p>
    <w:p>
      <w:pPr>
        <w:spacing w:after="0" w:line="126" w:lineRule="exact"/>
        <w:rPr>
          <w:sz w:val="20"/>
          <w:szCs w:val="20"/>
          <w:color w:val="auto"/>
        </w:rPr>
      </w:pPr>
    </w:p>
    <w:p>
      <w:pPr>
        <w:jc w:val="both"/>
        <w:ind w:left="1300" w:hanging="647"/>
        <w:spacing w:after="0" w:line="246" w:lineRule="auto"/>
        <w:tabs>
          <w:tab w:leader="none" w:pos="1280" w:val="left"/>
        </w:tabs>
        <w:rPr>
          <w:sz w:val="20"/>
          <w:szCs w:val="20"/>
          <w:color w:val="auto"/>
        </w:rPr>
      </w:pPr>
      <w:r>
        <w:rPr>
          <w:rFonts w:ascii="Times New Roman" w:cs="Times New Roman" w:eastAsia="Times New Roman" w:hAnsi="Times New Roman"/>
          <w:sz w:val="22"/>
          <w:szCs w:val="22"/>
          <w:color w:val="auto"/>
        </w:rPr>
        <w:t>5.10</w:t>
        <w:tab/>
        <w:t>REMEDIES AND DAMAGES. The parties agree that compliance with Sections 5.1 - 5.7 of the Agreement and Appendix A is necessary to protect the business, reputation and goodwill of the Company and, in the case of Section 5.5 of the Agreement, the reputation and goodwill of Executive, that the restrictions contained herein are reasonable, and that any breach of Section 5 may result in irreparable and continuing harm to the Company or to Executive, for which monetary damages will not provide adequate relief. Accordingly, in the event of any actual or threatened breach of any covenant or promise made by either party in Section 5, Company and Executive agree that both parties shall be entitled to all appropriate remedies, including temporary restraining orders and injunctions enjoining or restraining such actual or threatened breach. Each of the Company and Executive hereby consents to the issuance thereof forthwith by any court of competent jurisdiction.</w:t>
      </w:r>
    </w:p>
    <w:p>
      <w:pPr>
        <w:spacing w:after="0" w:line="138" w:lineRule="exact"/>
        <w:rPr>
          <w:sz w:val="20"/>
          <w:szCs w:val="20"/>
          <w:color w:val="auto"/>
        </w:rPr>
      </w:pPr>
    </w:p>
    <w:p>
      <w:pPr>
        <w:jc w:val="both"/>
        <w:ind w:left="1340" w:hanging="647"/>
        <w:spacing w:after="0" w:line="250" w:lineRule="auto"/>
        <w:tabs>
          <w:tab w:leader="none" w:pos="1320" w:val="left"/>
        </w:tabs>
        <w:rPr>
          <w:sz w:val="20"/>
          <w:szCs w:val="20"/>
          <w:color w:val="auto"/>
        </w:rPr>
      </w:pPr>
      <w:r>
        <w:rPr>
          <w:rFonts w:ascii="Times New Roman" w:cs="Times New Roman" w:eastAsia="Times New Roman" w:hAnsi="Times New Roman"/>
          <w:sz w:val="22"/>
          <w:szCs w:val="22"/>
          <w:color w:val="auto"/>
        </w:rPr>
        <w:t>5.11</w:t>
        <w:tab/>
        <w:t>LIMITATIONS. Nothing in this Agreement shall be binding upon the parties to the extent it is void or unenforceable for any reason in the State of New York, including, without limitation, as a result of any law regulating competition or proscribing unlawful business practices; provided, however, that to the extent that any provision in this Agreement could be modified to render it enforceable under applicable law, it shall be deemed so modified and enforced to the fullest extent allowed by law.</w:t>
      </w:r>
    </w:p>
    <w:p>
      <w:pPr>
        <w:spacing w:after="0" w:line="123" w:lineRule="exact"/>
        <w:rPr>
          <w:sz w:val="20"/>
          <w:szCs w:val="20"/>
          <w:color w:val="auto"/>
        </w:rPr>
      </w:pPr>
    </w:p>
    <w:p>
      <w:pPr>
        <w:jc w:val="both"/>
        <w:ind w:left="660" w:hanging="651"/>
        <w:spacing w:after="0" w:line="254" w:lineRule="auto"/>
        <w:tabs>
          <w:tab w:leader="none" w:pos="660"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AT-WILL EMPLOYMENT. </w:t>
      </w:r>
      <w:r>
        <w:rPr>
          <w:rFonts w:ascii="Times New Roman" w:cs="Times New Roman" w:eastAsia="Times New Roman" w:hAnsi="Times New Roman"/>
          <w:sz w:val="22"/>
          <w:szCs w:val="22"/>
          <w:color w:val="auto"/>
        </w:rPr>
        <w:t>The employment of Executive shall be “at-will” at all times. The Company or Executive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terminate Executive’s employment with the Company at any time, without any advance notice, for any reason or no reason at all, notwithstanding anything to the contrary contained in or arising from any statements, policies or practices of the Company relating to the employment, discipline or termination of its employees. Following the</w:t>
      </w:r>
    </w:p>
    <w:p>
      <w:pPr>
        <w:spacing w:after="0" w:line="33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340"/>
          </w:cols>
          <w:pgMar w:left="320" w:top="315" w:right="239" w:bottom="1440" w:gutter="0" w:footer="0" w:header="0"/>
        </w:sectPr>
      </w:pPr>
    </w:p>
    <w:bookmarkStart w:id="117" w:name="page118"/>
    <w:bookmarkEnd w:id="117"/>
    <w:p>
      <w:pPr>
        <w:jc w:val="both"/>
        <w:ind w:left="660"/>
        <w:spacing w:after="0" w:line="220" w:lineRule="auto"/>
        <w:rPr>
          <w:sz w:val="20"/>
          <w:szCs w:val="20"/>
          <w:color w:val="auto"/>
        </w:rPr>
      </w:pPr>
      <w:r>
        <w:rPr>
          <w:rFonts w:ascii="Times New Roman" w:cs="Times New Roman" w:eastAsia="Times New Roman" w:hAnsi="Times New Roman"/>
          <w:sz w:val="22"/>
          <w:szCs w:val="22"/>
          <w:color w:val="auto"/>
        </w:rPr>
        <w:t>termination of Executive’s employment for any reason, the Company shall pay to Executive all compensation to which Executive is entitled up through the date of termination, including accrued but unpaid Base Salary, any accrued and unused paid time off and any incurred but unpaid reimbursements (together “Accrued Obligations”). Thereafter, all obligations of the Company under this Agreement shall cease other than those set forth in Section 7.</w:t>
      </w:r>
    </w:p>
    <w:p>
      <w:pPr>
        <w:spacing w:after="0" w:line="122" w:lineRule="exact"/>
        <w:rPr>
          <w:sz w:val="20"/>
          <w:szCs w:val="20"/>
          <w:color w:val="auto"/>
        </w:rPr>
      </w:pPr>
    </w:p>
    <w:p>
      <w:pPr>
        <w:ind w:left="660" w:hanging="651"/>
        <w:spacing w:after="0"/>
        <w:tabs>
          <w:tab w:leader="none" w:pos="66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OF EMPLOYMENT.</w:t>
      </w:r>
    </w:p>
    <w:p>
      <w:pPr>
        <w:spacing w:after="0" w:line="170" w:lineRule="exact"/>
        <w:rPr>
          <w:sz w:val="20"/>
          <w:szCs w:val="20"/>
          <w:color w:val="auto"/>
        </w:rPr>
      </w:pPr>
    </w:p>
    <w:p>
      <w:pPr>
        <w:jc w:val="both"/>
        <w:ind w:left="1340" w:hanging="647"/>
        <w:spacing w:after="0" w:line="245" w:lineRule="auto"/>
        <w:tabs>
          <w:tab w:leader="none" w:pos="1320"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2"/>
          <w:szCs w:val="22"/>
          <w:color w:val="auto"/>
        </w:rPr>
        <w:t>TERMINATION BY COMPANY FOR CAUSE. Where the Company terminates Executive’s employment for Cause, all obligations of the Company under this Agreement shall cease; provided the Company shall pay Executive the Accrued Obligations within thirty (30) days of the termination of Executive’s employment. For purposes of this Agreement, “Cause” shall mean the occurrence of one of the following: (i) Executive’s willful misconduct, dishonesty, or insubordination; (ii) Executive’s conviction (or entry of a plea bargain admitting criminal guilt) of any felony or a misdemeanor involving moral turpitude; (iii) drug or alcohol abuse that has a material effect on the performance of Executive’s duties and responsibilities under this Agreement; (iv) Executive’s willful and repeated failure to substantially perform Executive’s duties and responsibilities under this Agreement for reasons other than death or Disability, as defined below; (v) Executive’s willful and repeated inattention to duty for reasons other than death or Disability; (vi) Executive’s material and willful violation of the Company’s Code of Business Conduct; and (vii) any other material and willful breach of this Agreement by Executive. No Cause shall exist until the Company has given Executive written notice describing the circumstances giving rise to Cause in reasonable detail and, to the extent such circumstances are susceptible to remedy, Executive has failed to remedy such circumstances within fifteen (15) days of receiving such notice.</w:t>
      </w:r>
    </w:p>
    <w:p>
      <w:pPr>
        <w:spacing w:after="0" w:line="139" w:lineRule="exact"/>
        <w:rPr>
          <w:sz w:val="20"/>
          <w:szCs w:val="20"/>
          <w:color w:val="auto"/>
        </w:rPr>
      </w:pPr>
    </w:p>
    <w:p>
      <w:pPr>
        <w:jc w:val="both"/>
        <w:ind w:left="1300" w:hanging="647"/>
        <w:spacing w:after="0" w:line="245" w:lineRule="auto"/>
        <w:tabs>
          <w:tab w:leader="none" w:pos="1280"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2"/>
          <w:szCs w:val="22"/>
          <w:color w:val="auto"/>
        </w:rPr>
        <w:t>TERMINATION BY THE COMPANY WITHOUT CAUSE OR TERMINATION BY THE EXECUTIVE FOR GOOD REASON. Where the Company terminates Executive’s employment without Cause, or Executive terminates Executive’s employment for Good Reason (as defined below), Executive shall be entitled to: (i) a payment equal in the aggregate to 2 times the sum of (A) Executive’s Base Salary and (B) Executive’s Target Cash Bonus, which payment shall be paid in equal installments (no less frequently than monthly) over the 24-month period following Executive’s separation from service, provided that any amounts otherwise payable prior to the effective date of the release referenced below shall be paid in a lump sum within 7 days following the effective date of such release; (ii) eighteen (18) months’ medical benefits coverage, which may be provided through COBRA reimbursement; (iii) Executive’s prorated Cash Bonus for the year of termination based on the Committee’s determination of actual performance following the end of the performance period; and (iv) any earned but unpaid Cash Bonus in respect of any completed fiscal year that has ended prior to the date of such termination (the amounts set forth in clauses (i) through (iv) collectively, the “Severance Benefits”); provided that Executive’s eligibility to receive the Severance Benefits is conditioned on: (A) Executive having first signed a release agreement in the form provided by the Company and reasonably</w:t>
      </w:r>
    </w:p>
    <w:p>
      <w:pPr>
        <w:spacing w:after="0" w:line="35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340"/>
          </w:cols>
          <w:pgMar w:left="320" w:top="315" w:right="239" w:bottom="1440" w:gutter="0" w:footer="0" w:header="0"/>
        </w:sectPr>
      </w:pPr>
    </w:p>
    <w:bookmarkStart w:id="118" w:name="page119"/>
    <w:bookmarkEnd w:id="118"/>
    <w:p>
      <w:pPr>
        <w:jc w:val="both"/>
        <w:ind w:left="180"/>
        <w:spacing w:after="0" w:line="208" w:lineRule="auto"/>
        <w:rPr>
          <w:sz w:val="20"/>
          <w:szCs w:val="20"/>
          <w:color w:val="auto"/>
        </w:rPr>
      </w:pPr>
      <w:r>
        <w:rPr>
          <w:rFonts w:ascii="Times New Roman" w:cs="Times New Roman" w:eastAsia="Times New Roman" w:hAnsi="Times New Roman"/>
          <w:sz w:val="22"/>
          <w:szCs w:val="22"/>
          <w:color w:val="auto"/>
        </w:rPr>
        <w:t>acceptable to Executive, but containing no further post- employment restrictions or covenants other than those to which Executive is already subject hereunder, and the release becoming irrevocable by its terms within sixty (60) calendar days following the date of Executive’s termination of employment; and (B) Executive’s continued compliance with all continuing obligations under this Agreement, including but not limited to those set forth in Section 5. Executive shall not have any other rights or claims under this Agreement. For purposes of this Agreement, “Good Reason” shall mean the occurrence of one or more of the following events without Executive's prior written consent: (w) a material reduction in the Executive's Base Salary, (x) a material reduction in the Target Cash Bonus, the Executive is no longer reporting directly to the Chief Executive Officer or the Company requires the Executive to change his principal location of work to a location more than 50 miles outside of Bethesda, Maryland. No Good Reason shall exist unless Executive has provided notice of such circumstances giving rise to Good Reason in reasonable detail to the Company within 30 days following the occurrence of such circumstances and, to the extent such circumstances are susceptible to remedy, the Company has failed to remedy such circumstances within thirty (30) days of receiving such notice, and Executive shall have resigned within 30 days following expiration of such cure period. For the avoidance of doubt, in the event Executive becomes entitled to receive Severance Benefits, any such Severance Benefits that remain unpaid upon Executive’s death shall be paid to Executive’s estate.</w:t>
      </w:r>
    </w:p>
    <w:p>
      <w:pPr>
        <w:spacing w:after="0" w:line="138" w:lineRule="exact"/>
        <w:rPr>
          <w:sz w:val="20"/>
          <w:szCs w:val="20"/>
          <w:color w:val="auto"/>
        </w:rPr>
      </w:pPr>
    </w:p>
    <w:p>
      <w:pPr>
        <w:jc w:val="both"/>
        <w:ind w:left="220" w:hanging="647"/>
        <w:spacing w:after="0" w:line="248" w:lineRule="auto"/>
        <w:tabs>
          <w:tab w:leader="none" w:pos="200" w:val="left"/>
        </w:tabs>
        <w:rPr>
          <w:sz w:val="20"/>
          <w:szCs w:val="20"/>
          <w:color w:val="auto"/>
        </w:rPr>
      </w:pPr>
      <w:r>
        <w:rPr>
          <w:rFonts w:ascii="Times New Roman" w:cs="Times New Roman" w:eastAsia="Times New Roman" w:hAnsi="Times New Roman"/>
          <w:sz w:val="22"/>
          <w:szCs w:val="22"/>
          <w:color w:val="auto"/>
        </w:rPr>
        <w:t>7.3</w:t>
      </w:r>
      <w:r>
        <w:rPr>
          <w:sz w:val="20"/>
          <w:szCs w:val="20"/>
          <w:color w:val="auto"/>
        </w:rPr>
        <w:tab/>
      </w:r>
      <w:r>
        <w:rPr>
          <w:rFonts w:ascii="Times New Roman" w:cs="Times New Roman" w:eastAsia="Times New Roman" w:hAnsi="Times New Roman"/>
          <w:sz w:val="22"/>
          <w:szCs w:val="22"/>
          <w:color w:val="auto"/>
        </w:rPr>
        <w:t>VOLUNTARY TERMINATION BY EXECUTIVE. Executive may give written notice of Executive’s resignation of employment at any time during this Agreement pursuant to Section 6, and thereafter, all obligations of the Company under this Agreement shall cease; provided the Company shall pay Executive the Accrued Obligations within thirty (30) days of the termination of Executive’s employment or earlier as required by law. Executive is requested to provide sixty (60) days’ written notice of Executive’s resignation or as much time as reasonable under the circumstances. Company reserves the right to relieve Executive of Executive’s duties at the Company’s discretion following notice of Executive’s intent to resign.</w:t>
      </w:r>
    </w:p>
    <w:p>
      <w:pPr>
        <w:spacing w:after="0" w:line="128" w:lineRule="exact"/>
        <w:rPr>
          <w:sz w:val="20"/>
          <w:szCs w:val="20"/>
          <w:color w:val="auto"/>
        </w:rPr>
      </w:pPr>
    </w:p>
    <w:p>
      <w:pPr>
        <w:jc w:val="both"/>
        <w:ind w:left="220" w:hanging="647"/>
        <w:spacing w:after="0" w:line="247" w:lineRule="auto"/>
        <w:tabs>
          <w:tab w:leader="none" w:pos="200" w:val="left"/>
        </w:tabs>
        <w:rPr>
          <w:sz w:val="20"/>
          <w:szCs w:val="20"/>
          <w:color w:val="auto"/>
        </w:rPr>
      </w:pPr>
      <w:r>
        <w:rPr>
          <w:rFonts w:ascii="Times New Roman" w:cs="Times New Roman" w:eastAsia="Times New Roman" w:hAnsi="Times New Roman"/>
          <w:sz w:val="22"/>
          <w:szCs w:val="22"/>
          <w:color w:val="auto"/>
        </w:rPr>
        <w:t>7.4</w:t>
      </w:r>
      <w:r>
        <w:rPr>
          <w:sz w:val="20"/>
          <w:szCs w:val="20"/>
          <w:color w:val="auto"/>
        </w:rPr>
        <w:tab/>
      </w:r>
      <w:r>
        <w:rPr>
          <w:rFonts w:ascii="Times New Roman" w:cs="Times New Roman" w:eastAsia="Times New Roman" w:hAnsi="Times New Roman"/>
          <w:sz w:val="22"/>
          <w:szCs w:val="22"/>
          <w:color w:val="auto"/>
        </w:rPr>
        <w:t>RETIREMENT. With respect to equity-based awards granted following the Effective Date, in the event that Executive retires voluntarily from ABM following reaching age 60 with a minimum of 10 years of service, Executive’s then- outstanding equity-based awards under the Equity Plan (including any awards issued by an acquirer or successor to ABM in exchange or substitution for such awards) that were granted at least one year prior to such retirement will not be forfeited but will continue to be eligible for vesting, exercise and settlement, as applicable, on the originally scheduled vesting dates (and, for the avoidance of doubt with respect to performance-based awards, to the extent the applicable performance criteria originally set forth in such awards are met), subject to Executive’s continued compliance with the covenants set forth in Section 5 hereof.</w:t>
      </w:r>
    </w:p>
    <w:p>
      <w:pPr>
        <w:spacing w:after="0" w:line="132" w:lineRule="exact"/>
        <w:rPr>
          <w:sz w:val="20"/>
          <w:szCs w:val="20"/>
          <w:color w:val="auto"/>
        </w:rPr>
      </w:pPr>
    </w:p>
    <w:p>
      <w:pPr>
        <w:jc w:val="both"/>
        <w:ind w:left="220" w:right="20" w:hanging="647"/>
        <w:spacing w:after="0" w:line="271" w:lineRule="auto"/>
        <w:tabs>
          <w:tab w:leader="none" w:pos="200" w:val="left"/>
        </w:tabs>
        <w:rPr>
          <w:sz w:val="20"/>
          <w:szCs w:val="20"/>
          <w:color w:val="auto"/>
        </w:rPr>
      </w:pPr>
      <w:r>
        <w:rPr>
          <w:rFonts w:ascii="Times New Roman" w:cs="Times New Roman" w:eastAsia="Times New Roman" w:hAnsi="Times New Roman"/>
          <w:sz w:val="22"/>
          <w:szCs w:val="22"/>
          <w:color w:val="auto"/>
        </w:rPr>
        <w:t>7.5</w:t>
      </w:r>
      <w:r>
        <w:rPr>
          <w:sz w:val="20"/>
          <w:szCs w:val="20"/>
          <w:color w:val="auto"/>
        </w:rPr>
        <w:tab/>
      </w:r>
      <w:r>
        <w:rPr>
          <w:rFonts w:ascii="Times New Roman" w:cs="Times New Roman" w:eastAsia="Times New Roman" w:hAnsi="Times New Roman"/>
          <w:sz w:val="22"/>
          <w:szCs w:val="22"/>
          <w:color w:val="auto"/>
        </w:rPr>
        <w:t>DEATH OR DISABILITY. Executive’s employment hereunder shall automatically terminate upon the death of Executive and may be terminated at the Company’s</w:t>
      </w:r>
    </w:p>
    <w:p>
      <w:pPr>
        <w:spacing w:after="0" w:line="32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0220"/>
          </w:cols>
          <w:pgMar w:left="1440" w:top="315" w:right="239" w:bottom="1440" w:gutter="0" w:footer="0" w:header="0"/>
        </w:sectPr>
      </w:pPr>
    </w:p>
    <w:bookmarkStart w:id="119" w:name="page120"/>
    <w:bookmarkEnd w:id="119"/>
    <w:p>
      <w:pPr>
        <w:jc w:val="both"/>
        <w:ind w:left="220"/>
        <w:spacing w:after="0" w:line="218" w:lineRule="auto"/>
        <w:rPr>
          <w:sz w:val="20"/>
          <w:szCs w:val="20"/>
          <w:color w:val="auto"/>
        </w:rPr>
      </w:pPr>
      <w:r>
        <w:rPr>
          <w:rFonts w:ascii="Times New Roman" w:cs="Times New Roman" w:eastAsia="Times New Roman" w:hAnsi="Times New Roman"/>
          <w:sz w:val="21"/>
          <w:szCs w:val="21"/>
          <w:color w:val="auto"/>
        </w:rPr>
        <w:t>discretion as a result of Executive’s Disability. “Disability” means Executive’s substantial inability to perform Executive’s essential duties and responsibilities under this Agreement for either 90 consecutive days or a total of 120 days out of 365 consecutive days as a result of a physical or mental illness, injury or impairment, all as determined in good faith by the Company. If Executive’s employment is terminated by the Company due to Executive’s death or Disability, then (i) Executive, or, upon death, to Executive’s designated beneficiary or estate, as applicable, shall be eligible to receive (A) any earned but unpaid Cash Bonus in respect of any completed fiscal year that has ended prior to the date of such termination and (B) a prorated Target Cash Bonus based on the length of performance in the applicable performance period prior to death or Disability and (ii) Executive’s then-outstanding equity-based awards under the Equity Plan (including any awards issued by an acquirer or successor to ABM in exchange or substitution for such awards) (x) that are subject to time-based vesting will not be forfeited but will become immediately fully vested and (y) that are subject to performance-based vesting for then-ongoing performance periods shall immediately become fully vested with respect to the number of shares that would have become earned and vested if the target level of performance was met. In the case of Disability, Executive’s eligibility to receive the foregoing is conditioned on: (i) Executive having first signed a release agreement in the form provided by the Company and reasonably acceptable to Executive, but containing no further post-employment restrictions or covenants other than those to which Executive is already subject hereunder, and the release becoming irrevocable by its terms within sixty (60) calendar days following the date of Executive’s termination of employment; and (ii) Executive’s continued compliance with all continuing obligations under this Agreement, including but not limited to those set forth in Section 5. Thereafter, Executive and Executive’s designated beneficiary or estate, as applicable, shall not have any other rights or claims under this Agreement.</w:t>
      </w:r>
    </w:p>
    <w:p>
      <w:pPr>
        <w:spacing w:after="0" w:line="124" w:lineRule="exact"/>
        <w:rPr>
          <w:sz w:val="20"/>
          <w:szCs w:val="20"/>
          <w:color w:val="auto"/>
        </w:rPr>
      </w:pPr>
    </w:p>
    <w:p>
      <w:pPr>
        <w:jc w:val="both"/>
        <w:ind w:left="220" w:hanging="647"/>
        <w:spacing w:after="0" w:line="245" w:lineRule="auto"/>
        <w:tabs>
          <w:tab w:leader="none" w:pos="200" w:val="left"/>
        </w:tabs>
        <w:rPr>
          <w:sz w:val="20"/>
          <w:szCs w:val="20"/>
          <w:color w:val="auto"/>
        </w:rPr>
      </w:pPr>
      <w:r>
        <w:rPr>
          <w:rFonts w:ascii="Times New Roman" w:cs="Times New Roman" w:eastAsia="Times New Roman" w:hAnsi="Times New Roman"/>
          <w:sz w:val="22"/>
          <w:szCs w:val="22"/>
          <w:color w:val="auto"/>
        </w:rPr>
        <w:t>7.6</w:t>
      </w:r>
      <w:r>
        <w:rPr>
          <w:sz w:val="20"/>
          <w:szCs w:val="20"/>
          <w:color w:val="auto"/>
        </w:rPr>
        <w:tab/>
      </w:r>
      <w:r>
        <w:rPr>
          <w:rFonts w:ascii="Times New Roman" w:cs="Times New Roman" w:eastAsia="Times New Roman" w:hAnsi="Times New Roman"/>
          <w:sz w:val="22"/>
          <w:szCs w:val="22"/>
          <w:color w:val="auto"/>
        </w:rPr>
        <w:t>TIMING OF PAYMENTS. For the avoidance of doubt and without limiting the generality of Section 10.7, the parties intend that, except as expressly provided otherwise, any payments that become payable to Executive pursuant to Section 7.2 are intended to be exempt from, or compliant with, Section 409A of the Internal Revenue Code (“Section 409A”), and except as expressly provided otherwise shall be paid within the short-term deferral period within the meaning of Treasury Regulation section 1.409A-1(b)(4) to the extent required to be paid no later than March 15th of the calendar year following the calendar year in which Executive incurs a separation from service or shall be deemed to be paid under a “separation pay plan” within the meaning of Section 409A to the extent applicable. Any Cash Bonus or prorated Cash Bonus that becomes payable to Executive pursuant to Section 7.2(iii) shall be paid to Executive following the end of the applicable performance period when such payments are made to other participants and in accordance with the terms of the applicable plan or program, provided that in no event shall any such payment be made to Executive later than March 15th of the calendar year following the end of the performance year.</w:t>
      </w:r>
    </w:p>
    <w:p>
      <w:pPr>
        <w:spacing w:after="0" w:line="35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0220"/>
          </w:cols>
          <w:pgMar w:left="1440" w:top="315" w:right="239" w:bottom="1440" w:gutter="0" w:footer="0" w:header="0"/>
        </w:sectPr>
      </w:pPr>
    </w:p>
    <w:bookmarkStart w:id="120" w:name="page121"/>
    <w:bookmarkEnd w:id="120"/>
    <w:p>
      <w:pPr>
        <w:jc w:val="both"/>
        <w:ind w:left="220" w:hanging="647"/>
        <w:spacing w:after="0" w:line="249" w:lineRule="auto"/>
        <w:tabs>
          <w:tab w:leader="none" w:pos="200" w:val="left"/>
        </w:tabs>
        <w:rPr>
          <w:sz w:val="20"/>
          <w:szCs w:val="20"/>
          <w:color w:val="auto"/>
        </w:rPr>
      </w:pPr>
      <w:r>
        <w:rPr>
          <w:rFonts w:ascii="Times New Roman" w:cs="Times New Roman" w:eastAsia="Times New Roman" w:hAnsi="Times New Roman"/>
          <w:sz w:val="22"/>
          <w:szCs w:val="22"/>
          <w:color w:val="auto"/>
        </w:rPr>
        <w:t>7.7</w:t>
      </w:r>
      <w:r>
        <w:rPr>
          <w:sz w:val="20"/>
          <w:szCs w:val="20"/>
          <w:color w:val="auto"/>
        </w:rPr>
        <w:tab/>
      </w:r>
      <w:r>
        <w:rPr>
          <w:rFonts w:ascii="Times New Roman" w:cs="Times New Roman" w:eastAsia="Times New Roman" w:hAnsi="Times New Roman"/>
          <w:sz w:val="22"/>
          <w:szCs w:val="22"/>
          <w:color w:val="auto"/>
        </w:rPr>
        <w:t>PAYMENTS AND BENEFITS WITH RESPECT TO A CHANGE IN CONTROL. Notwithstanding anything to the contrary in this Agreement or otherwise, if Executive’s employment is terminated under circumstances qualifying Executive for payments under the Change-in-Control Agreement between Executive and ABM (or any successor or amendment to such agreement, as applicable, the “Change-in-Control Agreement”), Executive shall not be entitled to the Severance Benefits under this Agreement and, alternatively, Executive’s entitlement to payments and benefits, if any, shall be governed by the terms of such Change-in- Control Agreement.</w:t>
      </w:r>
    </w:p>
    <w:p>
      <w:pPr>
        <w:spacing w:after="0" w:line="127" w:lineRule="exact"/>
        <w:rPr>
          <w:sz w:val="20"/>
          <w:szCs w:val="20"/>
          <w:color w:val="auto"/>
        </w:rPr>
      </w:pPr>
    </w:p>
    <w:p>
      <w:pPr>
        <w:jc w:val="both"/>
        <w:ind w:left="220" w:hanging="647"/>
        <w:spacing w:after="0" w:line="244" w:lineRule="auto"/>
        <w:tabs>
          <w:tab w:leader="none" w:pos="200" w:val="left"/>
        </w:tabs>
        <w:rPr>
          <w:sz w:val="20"/>
          <w:szCs w:val="20"/>
          <w:color w:val="auto"/>
        </w:rPr>
      </w:pPr>
      <w:r>
        <w:rPr>
          <w:rFonts w:ascii="Times New Roman" w:cs="Times New Roman" w:eastAsia="Times New Roman" w:hAnsi="Times New Roman"/>
          <w:sz w:val="22"/>
          <w:szCs w:val="22"/>
          <w:color w:val="auto"/>
        </w:rPr>
        <w:t>7.8</w:t>
      </w:r>
      <w:r>
        <w:rPr>
          <w:sz w:val="20"/>
          <w:szCs w:val="20"/>
          <w:color w:val="auto"/>
        </w:rPr>
        <w:tab/>
      </w:r>
      <w:r>
        <w:rPr>
          <w:rFonts w:ascii="Times New Roman" w:cs="Times New Roman" w:eastAsia="Times New Roman" w:hAnsi="Times New Roman"/>
          <w:sz w:val="22"/>
          <w:szCs w:val="22"/>
          <w:color w:val="auto"/>
        </w:rPr>
        <w:t>EXCESS PARACHUTE PAYMENTS. Notwithstanding any provision of this Agreement or any other agreement or plan to the contrary (including without limitation any lesser protection of Executive under any equity-based award agreement), if any amount or benefit to be paid or provided under this Agreement or any other agreement or plan would be an “excess parachute payment” under Section 280G of the Code (an “Excess Parachute Payment”) (including after taking into account the value, to the maximum extent permitted by Section 280G of the Code, of the covenants herein), but for the application of this sentence, then the payments and benefits to be paid or provided under this Agreement and any other agreements and plans will be reduced to the minimum extent necessary (but in no event to less than zero) so that no portion of any such payment or benefit, as so reduced, constitutes an Excess Parachute Payment; provided, however, that the foregoing reduction will not be made if such reduction would result in Executive receiving an amount determined on an after-tax basis, taking into account the excise tax imposed pursuant to Section 4999 of the Code, or any successor provision thereto, any tax imposed by any comparable provision of state law and any applicable federal, state and local income and employment taxes (the “After-Tax Amount”) that is less than 90% of the After-Tax Amount of the payments and benefits that he would have received without regard to this clause. Whether requested by the Executive or the Company, the determination of whether any reduction in such payments or benefits to be provided under this Agreement or otherwise is required pursuant to the preceding sentence, and the value to be assigned to the Executive’s covenants herein for purposes of determining the amount, if any, of the Excess Parachute Payment will be made at the expense of the Company by the Company’s independent accountants or benefits consultant. The fact that the Executive’s right to payments or benefits may be reduced by reason of the limitations contained in this Section will not of itself limit or otherwise affect any other rights of the Executive pursuant to this Agreement or any other agreement or plan. In the event that any payment or benefit intended to be provided is required to be reduced pursuant to this Section, then the Company shall in good faith determine the appropriate treatment of payments or benefits, consistent with the requirements of Section 409A that produces the most advantageous economic outcome for the Executive, and its determination shall be final and binding on the Executive. The Company will provide the Executive with all information reasonably required or requested by the Executive to demonstrate to the Executive that it has complied with the immediately preceding sentence.</w:t>
      </w:r>
    </w:p>
    <w:p>
      <w:pPr>
        <w:spacing w:after="0" w:line="36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0220"/>
          </w:cols>
          <w:pgMar w:left="1440" w:top="342" w:right="239" w:bottom="1440" w:gutter="0" w:footer="0" w:header="0"/>
        </w:sectPr>
      </w:pPr>
    </w:p>
    <w:bookmarkStart w:id="121" w:name="page122"/>
    <w:bookmarkEnd w:id="121"/>
    <w:p>
      <w:pPr>
        <w:jc w:val="both"/>
        <w:ind w:left="1300" w:hanging="647"/>
        <w:spacing w:after="0" w:line="245" w:lineRule="auto"/>
        <w:tabs>
          <w:tab w:leader="none" w:pos="1280" w:val="left"/>
        </w:tabs>
        <w:rPr>
          <w:sz w:val="20"/>
          <w:szCs w:val="20"/>
          <w:color w:val="auto"/>
        </w:rPr>
      </w:pPr>
      <w:r>
        <w:rPr>
          <w:rFonts w:ascii="Times New Roman" w:cs="Times New Roman" w:eastAsia="Times New Roman" w:hAnsi="Times New Roman"/>
          <w:sz w:val="22"/>
          <w:szCs w:val="22"/>
          <w:color w:val="auto"/>
        </w:rPr>
        <w:t>7.9</w:t>
      </w:r>
      <w:r>
        <w:rPr>
          <w:sz w:val="20"/>
          <w:szCs w:val="20"/>
          <w:color w:val="auto"/>
        </w:rPr>
        <w:tab/>
      </w:r>
      <w:r>
        <w:rPr>
          <w:rFonts w:ascii="Times New Roman" w:cs="Times New Roman" w:eastAsia="Times New Roman" w:hAnsi="Times New Roman"/>
          <w:sz w:val="22"/>
          <w:szCs w:val="22"/>
          <w:color w:val="auto"/>
        </w:rPr>
        <w:t>ACTIONS UPON TERMINATION. Upon termination of Executive’s employment for any reason, Executive shall be deemed to have immediately resigned as an officer and/or director of the Company and of any Company subsidiaries or affiliates, including any LLCs or joint ventures, as applicable. Further, if during employment Executive held any membership or position as a representative of the Company for any outside organization (such as BOMA, IREM, IFMA or BSCIA), or as a trustee for a union trust fund (such as a Taft-Hartley or similar fund), upon termination of Executive’s employment for any reason, Executive shall be deemed to have resigned from such membership or position, or trustee position, and shall cooperate fully with the Company in any process whereby the Company designates a new representative to replace the position vacated by Executive. Executive also agrees that all property (including without limitation all equipment, tangible proprietary information, documents, records, notes, contracts and computer- generated materials) furnished to or created or prepared by Executive incident to Executive’s employment with the Company belongs to the Company and shall be promptly returned to the Company upon termination of Executive’s employment.</w:t>
      </w:r>
    </w:p>
    <w:p>
      <w:pPr>
        <w:spacing w:after="0" w:line="142"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Times New Roman" w:cs="Times New Roman" w:eastAsia="Times New Roman" w:hAnsi="Times New Roman"/>
          <w:sz w:val="22"/>
          <w:szCs w:val="22"/>
          <w:color w:val="auto"/>
        </w:rPr>
        <w:t>7.10</w:t>
        <w:tab/>
        <w:t>WITHHOLDING AUTHORIZATION. To the fullest extent permitted under the laws of the State of Employment hereunder, Executive authorizes Company to withhold from any Severance Benefits otherwise due to Executive and from any other funds held for Executive’s benefit by Company, any undisputed damages or losses sustained by Company as a result of any material breach or other material violation of this Agreement by Executive, pending resolution of any underlying dispute.</w:t>
      </w:r>
    </w:p>
    <w:p>
      <w:pPr>
        <w:spacing w:after="0" w:line="123" w:lineRule="exact"/>
        <w:rPr>
          <w:sz w:val="20"/>
          <w:szCs w:val="20"/>
          <w:color w:val="auto"/>
        </w:rPr>
      </w:pPr>
    </w:p>
    <w:p>
      <w:pPr>
        <w:ind w:left="660" w:hanging="651"/>
        <w:spacing w:after="0"/>
        <w:tabs>
          <w:tab w:leader="none" w:pos="660"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NOTICES.</w:t>
      </w:r>
    </w:p>
    <w:p>
      <w:pPr>
        <w:spacing w:after="0" w:line="170" w:lineRule="exact"/>
        <w:rPr>
          <w:sz w:val="20"/>
          <w:szCs w:val="20"/>
          <w:color w:val="auto"/>
        </w:rPr>
      </w:pPr>
    </w:p>
    <w:p>
      <w:pPr>
        <w:jc w:val="both"/>
        <w:ind w:left="1340" w:hanging="647"/>
        <w:spacing w:after="0" w:line="275" w:lineRule="auto"/>
        <w:tabs>
          <w:tab w:leader="none" w:pos="1320" w:val="left"/>
        </w:tabs>
        <w:rPr>
          <w:sz w:val="20"/>
          <w:szCs w:val="20"/>
          <w:color w:val="auto"/>
        </w:rPr>
      </w:pPr>
      <w:r>
        <w:rPr>
          <w:rFonts w:ascii="Times New Roman" w:cs="Times New Roman" w:eastAsia="Times New Roman" w:hAnsi="Times New Roman"/>
          <w:sz w:val="22"/>
          <w:szCs w:val="22"/>
          <w:color w:val="auto"/>
        </w:rPr>
        <w:t>8.1</w:t>
      </w:r>
      <w:r>
        <w:rPr>
          <w:sz w:val="20"/>
          <w:szCs w:val="20"/>
          <w:color w:val="auto"/>
        </w:rPr>
        <w:tab/>
      </w:r>
      <w:r>
        <w:rPr>
          <w:rFonts w:ascii="Times New Roman" w:cs="Times New Roman" w:eastAsia="Times New Roman" w:hAnsi="Times New Roman"/>
          <w:sz w:val="21"/>
          <w:szCs w:val="21"/>
          <w:color w:val="auto"/>
        </w:rPr>
        <w:t>ADDRESSES. Any notice required or permitted to be given pursuant to this Agreement shall be in writing and delivered in person, or sent prepaid by certified mail, overnight express, or electronically to the party named at the address set forth below or at such other address as either party may hereafter designate in writing to the other party:</w:t>
      </w:r>
    </w:p>
    <w:p>
      <w:pPr>
        <w:spacing w:after="0" w:line="156" w:lineRule="exact"/>
        <w:rPr>
          <w:sz w:val="20"/>
          <w:szCs w:val="20"/>
          <w:color w:val="auto"/>
        </w:rPr>
      </w:pPr>
    </w:p>
    <w:p>
      <w:pPr>
        <w:ind w:left="1340"/>
        <w:spacing w:after="0"/>
        <w:tabs>
          <w:tab w:leader="none" w:pos="2440" w:val="left"/>
        </w:tabs>
        <w:rPr>
          <w:sz w:val="20"/>
          <w:szCs w:val="20"/>
          <w:color w:val="auto"/>
        </w:rPr>
      </w:pPr>
      <w:r>
        <w:rPr>
          <w:rFonts w:ascii="Times New Roman" w:cs="Times New Roman" w:eastAsia="Times New Roman" w:hAnsi="Times New Roman"/>
          <w:sz w:val="22"/>
          <w:szCs w:val="22"/>
          <w:color w:val="auto"/>
        </w:rPr>
        <w:t>Executive:</w:t>
      </w:r>
      <w:r>
        <w:rPr>
          <w:sz w:val="20"/>
          <w:szCs w:val="20"/>
          <w:color w:val="auto"/>
        </w:rPr>
        <w:tab/>
      </w:r>
      <w:r>
        <w:rPr>
          <w:rFonts w:ascii="Times New Roman" w:cs="Times New Roman" w:eastAsia="Times New Roman" w:hAnsi="Times New Roman"/>
          <w:sz w:val="21"/>
          <w:szCs w:val="21"/>
          <w:color w:val="auto"/>
        </w:rPr>
        <w:t>Address on File</w:t>
      </w:r>
    </w:p>
    <w:p>
      <w:pPr>
        <w:spacing w:after="0" w:line="314" w:lineRule="exact"/>
        <w:rPr>
          <w:sz w:val="20"/>
          <w:szCs w:val="20"/>
          <w:color w:val="auto"/>
        </w:rPr>
      </w:pPr>
    </w:p>
    <w:p>
      <w:pPr>
        <w:ind w:left="1340"/>
        <w:spacing w:after="0"/>
        <w:tabs>
          <w:tab w:leader="none" w:pos="2420" w:val="left"/>
        </w:tabs>
        <w:rPr>
          <w:sz w:val="20"/>
          <w:szCs w:val="20"/>
          <w:color w:val="auto"/>
        </w:rPr>
      </w:pPr>
      <w:r>
        <w:rPr>
          <w:rFonts w:ascii="Times New Roman" w:cs="Times New Roman" w:eastAsia="Times New Roman" w:hAnsi="Times New Roman"/>
          <w:sz w:val="22"/>
          <w:szCs w:val="22"/>
          <w:color w:val="auto"/>
        </w:rPr>
        <w:t>Company:</w:t>
      </w:r>
      <w:r>
        <w:rPr>
          <w:sz w:val="20"/>
          <w:szCs w:val="20"/>
          <w:color w:val="auto"/>
        </w:rPr>
        <w:tab/>
      </w:r>
      <w:r>
        <w:rPr>
          <w:rFonts w:ascii="Times New Roman" w:cs="Times New Roman" w:eastAsia="Times New Roman" w:hAnsi="Times New Roman"/>
          <w:sz w:val="21"/>
          <w:szCs w:val="21"/>
          <w:color w:val="auto"/>
        </w:rPr>
        <w:t>ABM Industries Incorporated</w:t>
      </w:r>
    </w:p>
    <w:p>
      <w:pPr>
        <w:spacing w:after="0" w:line="28"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One Liberty Plaza, New York, NY 10006</w:t>
      </w:r>
    </w:p>
    <w:p>
      <w:pPr>
        <w:spacing w:after="0" w:line="236" w:lineRule="exact"/>
        <w:rPr>
          <w:sz w:val="20"/>
          <w:szCs w:val="20"/>
          <w:color w:val="auto"/>
        </w:rPr>
      </w:pPr>
    </w:p>
    <w:p>
      <w:pPr>
        <w:ind w:left="1340"/>
        <w:spacing w:after="0"/>
        <w:tabs>
          <w:tab w:leader="none" w:pos="2040" w:val="left"/>
        </w:tabs>
        <w:rPr>
          <w:sz w:val="20"/>
          <w:szCs w:val="20"/>
          <w:color w:val="auto"/>
        </w:rPr>
      </w:pPr>
      <w:r>
        <w:rPr>
          <w:rFonts w:ascii="Times New Roman" w:cs="Times New Roman" w:eastAsia="Times New Roman" w:hAnsi="Times New Roman"/>
          <w:sz w:val="22"/>
          <w:szCs w:val="22"/>
          <w:color w:val="auto"/>
        </w:rPr>
        <w:t>Copy:</w:t>
      </w:r>
      <w:r>
        <w:rPr>
          <w:sz w:val="20"/>
          <w:szCs w:val="20"/>
          <w:color w:val="auto"/>
        </w:rPr>
        <w:tab/>
      </w:r>
      <w:r>
        <w:rPr>
          <w:rFonts w:ascii="Times New Roman" w:cs="Times New Roman" w:eastAsia="Times New Roman" w:hAnsi="Times New Roman"/>
          <w:sz w:val="21"/>
          <w:szCs w:val="21"/>
          <w:color w:val="auto"/>
        </w:rPr>
        <w:t>ABM Industries Incorporated</w:t>
      </w:r>
    </w:p>
    <w:p>
      <w:pPr>
        <w:spacing w:after="0" w:line="28"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One Liberty Plaza, New York, NY 10006 Attention: Chief Human Resources Officer</w:t>
      </w:r>
    </w:p>
    <w:p>
      <w:pPr>
        <w:spacing w:after="0" w:line="236" w:lineRule="exact"/>
        <w:rPr>
          <w:sz w:val="20"/>
          <w:szCs w:val="20"/>
          <w:color w:val="auto"/>
        </w:rPr>
      </w:pPr>
    </w:p>
    <w:p>
      <w:pPr>
        <w:jc w:val="both"/>
        <w:ind w:left="1340" w:hanging="647"/>
        <w:spacing w:after="0" w:line="271" w:lineRule="auto"/>
        <w:tabs>
          <w:tab w:leader="none" w:pos="1320" w:val="left"/>
        </w:tabs>
        <w:rPr>
          <w:sz w:val="20"/>
          <w:szCs w:val="20"/>
          <w:color w:val="auto"/>
        </w:rPr>
      </w:pPr>
      <w:r>
        <w:rPr>
          <w:rFonts w:ascii="Times New Roman" w:cs="Times New Roman" w:eastAsia="Times New Roman" w:hAnsi="Times New Roman"/>
          <w:sz w:val="22"/>
          <w:szCs w:val="22"/>
          <w:color w:val="auto"/>
        </w:rPr>
        <w:t>8.2</w:t>
      </w:r>
      <w:r>
        <w:rPr>
          <w:sz w:val="20"/>
          <w:szCs w:val="20"/>
          <w:color w:val="auto"/>
        </w:rPr>
        <w:tab/>
      </w:r>
      <w:r>
        <w:rPr>
          <w:rFonts w:ascii="Times New Roman" w:cs="Times New Roman" w:eastAsia="Times New Roman" w:hAnsi="Times New Roman"/>
          <w:sz w:val="22"/>
          <w:szCs w:val="22"/>
          <w:color w:val="auto"/>
        </w:rPr>
        <w:t>RECEIPT. Any such notice shall be assumed to have been received when delivered in person or 48 hours after being sent in the manner specified above.</w:t>
      </w:r>
    </w:p>
    <w:p>
      <w:pPr>
        <w:spacing w:after="0" w:line="100" w:lineRule="exact"/>
        <w:rPr>
          <w:sz w:val="20"/>
          <w:szCs w:val="20"/>
          <w:color w:val="auto"/>
        </w:rPr>
      </w:pPr>
    </w:p>
    <w:p>
      <w:pPr>
        <w:jc w:val="both"/>
        <w:ind w:left="680" w:hanging="644"/>
        <w:spacing w:after="0" w:line="259" w:lineRule="auto"/>
        <w:tabs>
          <w:tab w:leader="none" w:pos="680"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INDEMNIFICATION. </w:t>
      </w:r>
      <w:r>
        <w:rPr>
          <w:rFonts w:ascii="Times New Roman" w:cs="Times New Roman" w:eastAsia="Times New Roman" w:hAnsi="Times New Roman"/>
          <w:sz w:val="22"/>
          <w:szCs w:val="22"/>
          <w:color w:val="auto"/>
        </w:rPr>
        <w:t>The Company shall indemnify, defend, and hold Executive harmless to the fullest extent 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the Company’s Articles of Incorporation, Bylaws, or any other operating document. In addition, the Executive shall be included under the Company’s</w:t>
      </w:r>
    </w:p>
    <w:p>
      <w:pPr>
        <w:spacing w:after="0" w:line="33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340"/>
          </w:cols>
          <w:pgMar w:left="320" w:top="342" w:right="239" w:bottom="1440" w:gutter="0" w:footer="0" w:header="0"/>
        </w:sectPr>
      </w:pPr>
    </w:p>
    <w:bookmarkStart w:id="122" w:name="page123"/>
    <w:bookmarkEnd w:id="122"/>
    <w:p>
      <w:pPr>
        <w:ind w:left="680" w:right="20"/>
        <w:spacing w:after="0" w:line="236" w:lineRule="auto"/>
        <w:rPr>
          <w:sz w:val="20"/>
          <w:szCs w:val="20"/>
          <w:color w:val="auto"/>
        </w:rPr>
      </w:pPr>
      <w:r>
        <w:rPr>
          <w:rFonts w:ascii="Times New Roman" w:cs="Times New Roman" w:eastAsia="Times New Roman" w:hAnsi="Times New Roman"/>
          <w:sz w:val="22"/>
          <w:szCs w:val="22"/>
          <w:color w:val="auto"/>
        </w:rPr>
        <w:t>Directors and Officers Liability Insurance Policy. For the avoidance of doubt, this Section 9 shall survive the termination of this Agreement.</w:t>
      </w:r>
    </w:p>
    <w:p>
      <w:pPr>
        <w:spacing w:after="0" w:line="120" w:lineRule="exact"/>
        <w:rPr>
          <w:sz w:val="20"/>
          <w:szCs w:val="20"/>
          <w:color w:val="auto"/>
        </w:rPr>
      </w:pPr>
    </w:p>
    <w:p>
      <w:pPr>
        <w:ind w:left="660" w:hanging="651"/>
        <w:spacing w:after="0"/>
        <w:tabs>
          <w:tab w:leader="none" w:pos="66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 PROVISIONS.</w:t>
      </w:r>
    </w:p>
    <w:p>
      <w:pPr>
        <w:spacing w:after="0" w:line="170" w:lineRule="exact"/>
        <w:rPr>
          <w:sz w:val="20"/>
          <w:szCs w:val="20"/>
          <w:color w:val="auto"/>
        </w:rPr>
      </w:pPr>
    </w:p>
    <w:p>
      <w:pPr>
        <w:ind w:left="1300" w:hanging="647"/>
        <w:spacing w:after="0" w:line="271" w:lineRule="auto"/>
        <w:tabs>
          <w:tab w:leader="none" w:pos="1280" w:val="left"/>
        </w:tabs>
        <w:rPr>
          <w:sz w:val="20"/>
          <w:szCs w:val="20"/>
          <w:color w:val="auto"/>
        </w:rPr>
      </w:pPr>
      <w:r>
        <w:rPr>
          <w:rFonts w:ascii="Times New Roman" w:cs="Times New Roman" w:eastAsia="Times New Roman" w:hAnsi="Times New Roman"/>
          <w:sz w:val="22"/>
          <w:szCs w:val="22"/>
          <w:color w:val="auto"/>
        </w:rPr>
        <w:t>10.1</w:t>
        <w:tab/>
        <w:t>GOVERNING LAW. This Agreement shall be interpreted and enforced in accordance with the laws of the State of Employment, which, for purposes of this Agreement, shall mean the state of New York.</w:t>
      </w:r>
    </w:p>
    <w:p>
      <w:pPr>
        <w:spacing w:after="0" w:line="104" w:lineRule="exact"/>
        <w:rPr>
          <w:sz w:val="20"/>
          <w:szCs w:val="20"/>
          <w:color w:val="auto"/>
        </w:rPr>
      </w:pPr>
    </w:p>
    <w:p>
      <w:pPr>
        <w:jc w:val="both"/>
        <w:ind w:left="1340" w:hanging="647"/>
        <w:spacing w:after="0" w:line="271" w:lineRule="auto"/>
        <w:tabs>
          <w:tab w:leader="none" w:pos="1320" w:val="left"/>
        </w:tabs>
        <w:rPr>
          <w:sz w:val="20"/>
          <w:szCs w:val="20"/>
          <w:color w:val="auto"/>
        </w:rPr>
      </w:pPr>
      <w:r>
        <w:rPr>
          <w:rFonts w:ascii="Times New Roman" w:cs="Times New Roman" w:eastAsia="Times New Roman" w:hAnsi="Times New Roman"/>
          <w:sz w:val="22"/>
          <w:szCs w:val="22"/>
          <w:color w:val="auto"/>
        </w:rPr>
        <w:t>10.2</w:t>
        <w:tab/>
        <w:t>NO WAIVER. Failure by either party to enforce any term or condition of this Agreement at any time shall not preclude that party from enforcing that provision, or any other provision of this Agreement, at any later time.</w:t>
      </w:r>
    </w:p>
    <w:p>
      <w:pPr>
        <w:spacing w:after="0" w:line="104" w:lineRule="exact"/>
        <w:rPr>
          <w:sz w:val="20"/>
          <w:szCs w:val="20"/>
          <w:color w:val="auto"/>
        </w:rPr>
      </w:pPr>
    </w:p>
    <w:p>
      <w:pPr>
        <w:jc w:val="both"/>
        <w:ind w:left="1340" w:hanging="647"/>
        <w:spacing w:after="0" w:line="246" w:lineRule="auto"/>
        <w:tabs>
          <w:tab w:leader="none" w:pos="1320" w:val="left"/>
        </w:tabs>
        <w:rPr>
          <w:sz w:val="20"/>
          <w:szCs w:val="20"/>
          <w:color w:val="auto"/>
        </w:rPr>
      </w:pPr>
      <w:r>
        <w:rPr>
          <w:rFonts w:ascii="Times New Roman" w:cs="Times New Roman" w:eastAsia="Times New Roman" w:hAnsi="Times New Roman"/>
          <w:sz w:val="22"/>
          <w:szCs w:val="22"/>
          <w:color w:val="auto"/>
        </w:rPr>
        <w:t>10.3</w:t>
        <w:tab/>
        <w:t>SEVERABILITY. It is the desire and intent of the parties that the provisions of this Agreement be enforced to the fullest extent permissible under the law and public policies applied in each jurisdiction in which enforcement is sought. Accordingly, in the event that any provision of this Agreement would be held in any jurisdiction to be invalid, prohibited or unenforceable for any reason, such provision, as to such jurisdiction, shall be ineffective, without invalidating the remaining provisions of this Agreement or affecting the validity or enforceability of such provision in any other jurisdiction. Notwithstanding the foregoing, if such provision could be more narrowly drawn so as not to be invalid, prohibited or unenforceable in such jurisdiction, it shall, as to such jurisdiction, be either automatically deemed so narrowly drawn, or any court of competent jurisdiction is hereby expressly authorized to redraw it in that manner, without invalidating the remaining provisions of this Agreement or affecting the validity or enforceability of such provision in any other jurisdiction.</w:t>
      </w:r>
    </w:p>
    <w:p>
      <w:pPr>
        <w:spacing w:after="0" w:line="135" w:lineRule="exact"/>
        <w:rPr>
          <w:sz w:val="20"/>
          <w:szCs w:val="20"/>
          <w:color w:val="auto"/>
        </w:rPr>
      </w:pPr>
    </w:p>
    <w:p>
      <w:pPr>
        <w:jc w:val="both"/>
        <w:ind w:left="1340" w:hanging="647"/>
        <w:spacing w:after="0" w:line="257" w:lineRule="auto"/>
        <w:tabs>
          <w:tab w:leader="none" w:pos="1320" w:val="left"/>
        </w:tabs>
        <w:rPr>
          <w:sz w:val="20"/>
          <w:szCs w:val="20"/>
          <w:color w:val="auto"/>
        </w:rPr>
      </w:pPr>
      <w:r>
        <w:rPr>
          <w:rFonts w:ascii="Times New Roman" w:cs="Times New Roman" w:eastAsia="Times New Roman" w:hAnsi="Times New Roman"/>
          <w:sz w:val="22"/>
          <w:szCs w:val="22"/>
          <w:color w:val="auto"/>
        </w:rPr>
        <w:t>10.4</w:t>
        <w:tab/>
        <w:t>SURVIVAL. All terms and conditions of this Agreement which by reasonable implication are meant to survive the termination of this Agreement, including but not limited to the provisions of Sections 5.1 - 5.9 of this Agreement, shall remain in full force and effect after the termination of this Agreement.</w:t>
      </w:r>
    </w:p>
    <w:p>
      <w:pPr>
        <w:spacing w:after="0" w:line="119" w:lineRule="exact"/>
        <w:rPr>
          <w:sz w:val="20"/>
          <w:szCs w:val="20"/>
          <w:color w:val="auto"/>
        </w:rPr>
      </w:pPr>
    </w:p>
    <w:p>
      <w:pPr>
        <w:jc w:val="both"/>
        <w:ind w:left="1300" w:hanging="647"/>
        <w:spacing w:after="0" w:line="271" w:lineRule="auto"/>
        <w:tabs>
          <w:tab w:leader="none" w:pos="1280" w:val="left"/>
        </w:tabs>
        <w:rPr>
          <w:sz w:val="20"/>
          <w:szCs w:val="20"/>
          <w:color w:val="auto"/>
        </w:rPr>
      </w:pPr>
      <w:r>
        <w:rPr>
          <w:rFonts w:ascii="Times New Roman" w:cs="Times New Roman" w:eastAsia="Times New Roman" w:hAnsi="Times New Roman"/>
          <w:sz w:val="22"/>
          <w:szCs w:val="22"/>
          <w:color w:val="auto"/>
        </w:rPr>
        <w:t>10.5</w:t>
        <w:tab/>
        <w:t>SUCCESSORS. This Agreement is binding upon and shall inure to the benefit of the parties’ respective successors, assigns, administrators and legal representatives and Executive’s heirs and executors.</w:t>
      </w:r>
    </w:p>
    <w:p>
      <w:pPr>
        <w:spacing w:after="0" w:line="104" w:lineRule="exact"/>
        <w:rPr>
          <w:sz w:val="20"/>
          <w:szCs w:val="20"/>
          <w:color w:val="auto"/>
        </w:rPr>
      </w:pPr>
    </w:p>
    <w:p>
      <w:pPr>
        <w:jc w:val="both"/>
        <w:ind w:left="1300" w:hanging="647"/>
        <w:spacing w:after="0" w:line="246" w:lineRule="auto"/>
        <w:tabs>
          <w:tab w:leader="none" w:pos="1280" w:val="left"/>
        </w:tabs>
        <w:rPr>
          <w:sz w:val="20"/>
          <w:szCs w:val="20"/>
          <w:color w:val="auto"/>
        </w:rPr>
      </w:pPr>
      <w:r>
        <w:rPr>
          <w:rFonts w:ascii="Times New Roman" w:cs="Times New Roman" w:eastAsia="Times New Roman" w:hAnsi="Times New Roman"/>
          <w:sz w:val="22"/>
          <w:szCs w:val="22"/>
          <w:color w:val="auto"/>
        </w:rPr>
        <w:t>10.6</w:t>
        <w:tab/>
        <w:t>REPRESENTATIONS BY EXECUTIVE. Executive represents and agrees that Executive has carefully read and fully understands all of the provisions of this Agreement, that Executive is voluntarily entering into this Agreement and has been given an opportunity to review all aspects of this Agreement with an attorney, if Executive chooses to do so. Executive understands and agrees that Executive's employment with the Company is at-will and that nothing in this Agreement is intended to create a contract of employment for any fixed or definite term. Executive understands Executive is also now eligible for Severance Benefits to which Executive was not previously entitled and acknowledges the value of such benefits. Executive also represents that Executive will not make any unauthorized use of any confidential or proprietary information of any third party in the performance of Executive’s duties under this Agreement and that Executive is under no obligation to any prior employer</w:t>
      </w:r>
    </w:p>
    <w:p>
      <w:pPr>
        <w:spacing w:after="0" w:line="35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340"/>
          </w:cols>
          <w:pgMar w:left="320" w:top="315" w:right="239" w:bottom="1440" w:gutter="0" w:footer="0" w:header="0"/>
        </w:sectPr>
      </w:pPr>
    </w:p>
    <w:bookmarkStart w:id="123" w:name="page124"/>
    <w:bookmarkEnd w:id="123"/>
    <w:p>
      <w:pPr>
        <w:ind w:left="180" w:right="20"/>
        <w:spacing w:after="0" w:line="236" w:lineRule="auto"/>
        <w:rPr>
          <w:sz w:val="20"/>
          <w:szCs w:val="20"/>
          <w:color w:val="auto"/>
        </w:rPr>
      </w:pPr>
      <w:r>
        <w:rPr>
          <w:rFonts w:ascii="Times New Roman" w:cs="Times New Roman" w:eastAsia="Times New Roman" w:hAnsi="Times New Roman"/>
          <w:sz w:val="22"/>
          <w:szCs w:val="22"/>
          <w:color w:val="auto"/>
        </w:rPr>
        <w:t>or other entity that would preclude or interfere with the full and good faith performance of Executive's obligations hereunder.</w:t>
      </w:r>
    </w:p>
    <w:p>
      <w:pPr>
        <w:spacing w:after="0" w:line="124" w:lineRule="exact"/>
        <w:rPr>
          <w:sz w:val="20"/>
          <w:szCs w:val="20"/>
          <w:color w:val="auto"/>
        </w:rPr>
      </w:pPr>
    </w:p>
    <w:p>
      <w:pPr>
        <w:jc w:val="both"/>
        <w:ind w:left="220" w:hanging="647"/>
        <w:spacing w:after="0" w:line="256" w:lineRule="auto"/>
        <w:tabs>
          <w:tab w:leader="none" w:pos="200" w:val="left"/>
        </w:tabs>
        <w:rPr>
          <w:sz w:val="20"/>
          <w:szCs w:val="20"/>
          <w:color w:val="auto"/>
        </w:rPr>
      </w:pPr>
      <w:r>
        <w:rPr>
          <w:rFonts w:ascii="Times New Roman" w:cs="Times New Roman" w:eastAsia="Times New Roman" w:hAnsi="Times New Roman"/>
          <w:sz w:val="22"/>
          <w:szCs w:val="22"/>
          <w:color w:val="auto"/>
        </w:rPr>
        <w:t>10.7</w:t>
      </w:r>
      <w:r>
        <w:rPr>
          <w:sz w:val="20"/>
          <w:szCs w:val="20"/>
          <w:color w:val="auto"/>
        </w:rPr>
        <w:tab/>
      </w:r>
      <w:r>
        <w:rPr>
          <w:rFonts w:ascii="Times New Roman" w:cs="Times New Roman" w:eastAsia="Times New Roman" w:hAnsi="Times New Roman"/>
          <w:sz w:val="21"/>
          <w:szCs w:val="21"/>
          <w:color w:val="auto"/>
        </w:rPr>
        <w:t>SECTION 409A. Without limiting the generality of Section 7.6, the parties intend for the payments and benefits under this Agreement to be exempt from Section 409A or, if not so exempt, to be paid or provided in a manner which complies with the requirements of such section, and intend that this Agreement shall be construed and administered in accordance with such intention. If any payments or benefits due to Executive hereunder would cause the application of an accelerated or additional tax under Section 409A, such payments or benefits shall be restructured in a mutually agreed upon manner that to the extent possible preserves the economic benefit and original intent thereof but does not cause such an accelerated or additional tax. For purposes of the limitations on nonqualified deferred compensation under Section 409A, each payment of compensation under this Agreement shall be treated as a separate payment of compensation. Without limiting the foregoing and notwithstanding anything contained herein to the contrary, to the extent required in order to avoid accelerated taxation and/or tax penalties under Section 409A amounts that would otherwise be payable and benefits that would otherwise be provided pursuant to this Agreement during the six (6) month period immediately following Executive’s separation from service shall instead be paid on the first business day after the date that is six (6) months following Executive’s termination date (or death, if earlier). In the event that any payment under this Agreement may be made in two calendar years, depending on the timing of execution of a release, such payment shall be made in the later calendar year, to the extent required by Section 409A. Notwithstanding anything to the contrary in this Agreement, all (A) reimbursements and (B) in-kind benefits provided under this Agreement shall be made or provided in accordance with the requirements of Section 409A, including, where applicable, the requirement that</w:t>
      </w:r>
    </w:p>
    <w:p>
      <w:pPr>
        <w:spacing w:after="0" w:line="6" w:lineRule="exact"/>
        <w:rPr>
          <w:sz w:val="20"/>
          <w:szCs w:val="20"/>
          <w:color w:val="auto"/>
        </w:rPr>
      </w:pPr>
    </w:p>
    <w:p>
      <w:pPr>
        <w:jc w:val="both"/>
        <w:ind w:left="220" w:hanging="7"/>
        <w:spacing w:after="0" w:line="244" w:lineRule="auto"/>
        <w:tabs>
          <w:tab w:leader="none" w:pos="52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expenses eligible for reimbursement, or in kind benefits provided, during a calendar year may not affect the expenses eligible for reimbursement, or in kind benefits to be provided, in any other calendar year; (y) the reimbursement of an eligible expense will be made no later than the last day of the calendar year following the year in which the expense is incurred; and (z) the right to reimbursement or in kind benefits is not subject to liquidation or exchange for another benefit.</w:t>
      </w:r>
    </w:p>
    <w:p>
      <w:pPr>
        <w:spacing w:after="0" w:line="135" w:lineRule="exact"/>
        <w:rPr>
          <w:sz w:val="20"/>
          <w:szCs w:val="20"/>
          <w:color w:val="auto"/>
        </w:rPr>
      </w:pPr>
    </w:p>
    <w:p>
      <w:pPr>
        <w:jc w:val="both"/>
        <w:ind w:left="220" w:hanging="647"/>
        <w:spacing w:after="0" w:line="252" w:lineRule="auto"/>
        <w:tabs>
          <w:tab w:leader="none" w:pos="200" w:val="left"/>
        </w:tabs>
        <w:rPr>
          <w:sz w:val="20"/>
          <w:szCs w:val="20"/>
          <w:color w:val="auto"/>
        </w:rPr>
      </w:pPr>
      <w:r>
        <w:rPr>
          <w:rFonts w:ascii="Times New Roman" w:cs="Times New Roman" w:eastAsia="Times New Roman" w:hAnsi="Times New Roman"/>
          <w:sz w:val="22"/>
          <w:szCs w:val="22"/>
          <w:color w:val="auto"/>
        </w:rPr>
        <w:t>10.8</w:t>
        <w:tab/>
        <w:t>COUNTERPARTS. This Agreement may be executed in several counterparts, each of which shall be deemed as an original, but all of which together shall constitute one and the same instrument binding on all of the parties hereto, notwithstanding that all of the parties are not signatory to the same counterpart. This Agreement may be executed either by original, facsimile, or electronic copy, each of which will be equally binding.</w:t>
      </w:r>
    </w:p>
    <w:p>
      <w:pPr>
        <w:spacing w:after="0" w:line="126" w:lineRule="exact"/>
        <w:rPr>
          <w:sz w:val="20"/>
          <w:szCs w:val="20"/>
          <w:color w:val="auto"/>
        </w:rPr>
      </w:pPr>
    </w:p>
    <w:p>
      <w:pPr>
        <w:jc w:val="both"/>
        <w:ind w:left="220" w:hanging="647"/>
        <w:spacing w:after="0" w:line="252" w:lineRule="auto"/>
        <w:tabs>
          <w:tab w:leader="none" w:pos="200" w:val="left"/>
        </w:tabs>
        <w:rPr>
          <w:sz w:val="20"/>
          <w:szCs w:val="20"/>
          <w:color w:val="auto"/>
        </w:rPr>
      </w:pPr>
      <w:r>
        <w:rPr>
          <w:rFonts w:ascii="Times New Roman" w:cs="Times New Roman" w:eastAsia="Times New Roman" w:hAnsi="Times New Roman"/>
          <w:sz w:val="22"/>
          <w:szCs w:val="22"/>
          <w:color w:val="auto"/>
        </w:rPr>
        <w:t>10.9</w:t>
        <w:tab/>
        <w:t xml:space="preserve">ENTIRE AGREEMENT. Unless otherwise specified herein, this Agreement, together with Appendix A, sets forth every contract, understanding and arrangement as to the employment relationship between Executive and the Company (other than the Change in Control Agreement and any equity award agreement under the Equity Plan; </w:t>
      </w:r>
      <w:r>
        <w:rPr>
          <w:rFonts w:ascii="Times New Roman" w:cs="Times New Roman" w:eastAsia="Times New Roman" w:hAnsi="Times New Roman"/>
          <w:sz w:val="22"/>
          <w:szCs w:val="22"/>
          <w:i w:val="1"/>
          <w:iCs w:val="1"/>
          <w:color w:val="auto"/>
        </w:rPr>
        <w:t>provided</w:t>
      </w:r>
    </w:p>
    <w:p>
      <w:pPr>
        <w:spacing w:after="0" w:line="34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0220"/>
          </w:cols>
          <w:pgMar w:left="1440" w:top="314" w:right="239" w:bottom="1440" w:gutter="0" w:footer="0" w:header="0"/>
        </w:sectPr>
      </w:pPr>
    </w:p>
    <w:bookmarkStart w:id="124" w:name="page125"/>
    <w:bookmarkEnd w:id="124"/>
    <w:p>
      <w:pPr>
        <w:jc w:val="both"/>
        <w:ind w:left="220"/>
        <w:spacing w:after="0" w:line="236" w:lineRule="auto"/>
        <w:rPr>
          <w:sz w:val="20"/>
          <w:szCs w:val="20"/>
          <w:color w:val="auto"/>
        </w:rPr>
      </w:pPr>
      <w:r>
        <w:rPr>
          <w:rFonts w:ascii="Times New Roman" w:cs="Times New Roman" w:eastAsia="Times New Roman" w:hAnsi="Times New Roman"/>
          <w:sz w:val="22"/>
          <w:szCs w:val="22"/>
          <w:color w:val="auto"/>
        </w:rPr>
        <w:t>that in the event that this Agreement conflicts with the terms of any equity award agreement, this Agreement shall govern unless otherwise expressly stated in such equity award agreement).</w:t>
      </w:r>
    </w:p>
    <w:p>
      <w:pPr>
        <w:spacing w:after="0" w:line="124" w:lineRule="exact"/>
        <w:rPr>
          <w:sz w:val="20"/>
          <w:szCs w:val="20"/>
          <w:color w:val="auto"/>
        </w:rPr>
      </w:pPr>
    </w:p>
    <w:p>
      <w:pPr>
        <w:jc w:val="both"/>
        <w:ind w:left="860" w:hanging="647"/>
        <w:spacing w:after="0" w:line="257" w:lineRule="auto"/>
        <w:rPr>
          <w:sz w:val="20"/>
          <w:szCs w:val="20"/>
          <w:color w:val="auto"/>
        </w:rPr>
      </w:pPr>
      <w:r>
        <w:rPr>
          <w:rFonts w:ascii="Times New Roman" w:cs="Times New Roman" w:eastAsia="Times New Roman" w:hAnsi="Times New Roman"/>
          <w:sz w:val="22"/>
          <w:szCs w:val="22"/>
          <w:color w:val="auto"/>
        </w:rPr>
        <w:t>10.9.a NO EXTERNAL EVIDENCE. The parties intend that this Agreement speak for itself, and that no evidence with respect to its terms and conditions other than this Agreement itself may be introduced in any arbitration or judicial proceeding to interpret or enforce this Agreement.</w:t>
      </w:r>
    </w:p>
    <w:p>
      <w:pPr>
        <w:spacing w:after="0" w:line="119" w:lineRule="exact"/>
        <w:rPr>
          <w:sz w:val="20"/>
          <w:szCs w:val="20"/>
          <w:color w:val="auto"/>
        </w:rPr>
      </w:pPr>
    </w:p>
    <w:p>
      <w:pPr>
        <w:jc w:val="both"/>
        <w:ind w:left="860" w:hanging="647"/>
        <w:spacing w:after="0" w:line="271" w:lineRule="auto"/>
        <w:rPr>
          <w:sz w:val="20"/>
          <w:szCs w:val="20"/>
          <w:color w:val="auto"/>
        </w:rPr>
      </w:pPr>
      <w:r>
        <w:rPr>
          <w:rFonts w:ascii="Times New Roman" w:cs="Times New Roman" w:eastAsia="Times New Roman" w:hAnsi="Times New Roman"/>
          <w:sz w:val="22"/>
          <w:szCs w:val="22"/>
          <w:color w:val="auto"/>
        </w:rPr>
        <w:t>10.9.b AMENDMENTS. This Agreement may not be amended except in a writing signed by the Executive and an authorized representative of the Company.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0220"/>
          </w:cols>
          <w:pgMar w:left="1440" w:top="315" w:right="239" w:bottom="1440" w:gutter="0" w:footer="0" w:header="0"/>
        </w:sectPr>
      </w:pPr>
    </w:p>
    <w:bookmarkStart w:id="125" w:name="page126"/>
    <w:bookmarkEnd w:id="125"/>
    <w:p>
      <w:pPr>
        <w:ind w:right="199" w:hanging="647"/>
        <w:spacing w:after="0" w:line="518"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Executive and Company have executed this Agreement as of the date set forth above.</w:t>
      </w:r>
      <w:r>
        <w:rPr>
          <w:rFonts w:ascii="Times New Roman" w:cs="Times New Roman" w:eastAsia="Times New Roman" w:hAnsi="Times New Roman"/>
          <w:sz w:val="22"/>
          <w:szCs w:val="22"/>
          <w:b w:val="1"/>
          <w:bCs w:val="1"/>
          <w:color w:val="auto"/>
        </w:rPr>
        <w:t xml:space="preserve"> Executive: </w:t>
      </w:r>
      <w:r>
        <w:rPr>
          <w:rFonts w:ascii="Times New Roman" w:cs="Times New Roman" w:eastAsia="Times New Roman" w:hAnsi="Times New Roman"/>
          <w:sz w:val="22"/>
          <w:szCs w:val="22"/>
          <w:color w:val="auto"/>
        </w:rPr>
        <w:t>Josh Feinberg</w:t>
      </w:r>
    </w:p>
    <w:p>
      <w:pPr>
        <w:spacing w:after="0" w:line="33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Signature: /s/ Joshua H. Feinberg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-13970</wp:posOffset>
            </wp:positionV>
            <wp:extent cx="139636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2">
                      <a:extLst>
                        <a:ext uri="{28A0092B-C50C-407E-A947-70E740481C1C}"/>
                      </a:extLst>
                    </a:blip>
                    <a:srcRect/>
                    <a:stretch>
                      <a:fillRect/>
                    </a:stretch>
                  </pic:blipFill>
                  <pic:spPr bwMode="auto">
                    <a:xfrm>
                      <a:off x="0" y="0"/>
                      <a:ext cx="1396365" cy="8890"/>
                    </a:xfrm>
                    <a:prstGeom prst="rect">
                      <a:avLst/>
                    </a:prstGeom>
                    <a:noFill/>
                  </pic:spPr>
                </pic:pic>
              </a:graphicData>
            </a:graphic>
          </wp:anchor>
        </w:drawing>
      </w:r>
    </w:p>
    <w:p>
      <w:pPr>
        <w:spacing w:after="0" w:line="24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Date: September 21,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1170305</wp:posOffset>
            </wp:positionH>
            <wp:positionV relativeFrom="paragraph">
              <wp:posOffset>-13970</wp:posOffset>
            </wp:positionV>
            <wp:extent cx="127254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3">
                      <a:extLst>
                        <a:ext uri="{28A0092B-C50C-407E-A947-70E740481C1C}"/>
                      </a:extLst>
                    </a:blip>
                    <a:srcRect/>
                    <a:stretch>
                      <a:fillRect/>
                    </a:stretch>
                  </pic:blipFill>
                  <pic:spPr bwMode="auto">
                    <a:xfrm>
                      <a:off x="0" y="0"/>
                      <a:ext cx="12725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Company:</w:t>
      </w:r>
      <w:r>
        <w:rPr>
          <w:sz w:val="20"/>
          <w:szCs w:val="20"/>
          <w:color w:val="auto"/>
        </w:rPr>
        <w:tab/>
      </w:r>
      <w:r>
        <w:rPr>
          <w:rFonts w:ascii="Times New Roman" w:cs="Times New Roman" w:eastAsia="Times New Roman" w:hAnsi="Times New Roman"/>
          <w:sz w:val="21"/>
          <w:szCs w:val="21"/>
          <w:color w:val="auto"/>
        </w:rPr>
        <w:t>ABM Industries Incorporated</w:t>
      </w:r>
    </w:p>
    <w:p>
      <w:pPr>
        <w:spacing w:after="0" w:line="26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Signature: /s/ Andrew D.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-13970</wp:posOffset>
            </wp:positionV>
            <wp:extent cx="127254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4">
                      <a:extLst>
                        <a:ext uri="{28A0092B-C50C-407E-A947-70E740481C1C}"/>
                      </a:extLst>
                    </a:blip>
                    <a:srcRect/>
                    <a:stretch>
                      <a:fillRect/>
                    </a:stretch>
                  </pic:blipFill>
                  <pic:spPr bwMode="auto">
                    <a:xfrm>
                      <a:off x="0" y="0"/>
                      <a:ext cx="1272540" cy="8890"/>
                    </a:xfrm>
                    <a:prstGeom prst="rect">
                      <a:avLst/>
                    </a:prstGeom>
                    <a:noFill/>
                  </pic:spPr>
                </pic:pic>
              </a:graphicData>
            </a:graphic>
          </wp:anchor>
        </w:drawing>
      </w:r>
    </w:p>
    <w:p>
      <w:pPr>
        <w:spacing w:after="0" w:line="24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Name, Title: Andrew D. Block, EVP and CHRO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1561465</wp:posOffset>
            </wp:positionH>
            <wp:positionV relativeFrom="paragraph">
              <wp:posOffset>-13970</wp:posOffset>
            </wp:positionV>
            <wp:extent cx="208470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5">
                      <a:extLst>
                        <a:ext uri="{28A0092B-C50C-407E-A947-70E740481C1C}"/>
                      </a:extLst>
                    </a:blip>
                    <a:srcRect/>
                    <a:stretch>
                      <a:fillRect/>
                    </a:stretch>
                  </pic:blipFill>
                  <pic:spPr bwMode="auto">
                    <a:xfrm>
                      <a:off x="0" y="0"/>
                      <a:ext cx="2084705" cy="8890"/>
                    </a:xfrm>
                    <a:prstGeom prst="rect">
                      <a:avLst/>
                    </a:prstGeom>
                    <a:noFill/>
                  </pic:spPr>
                </pic:pic>
              </a:graphicData>
            </a:graphic>
          </wp:anchor>
        </w:drawing>
      </w:r>
    </w:p>
    <w:p>
      <w:pPr>
        <w:spacing w:after="0" w:line="24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Date: October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1170305</wp:posOffset>
            </wp:positionH>
            <wp:positionV relativeFrom="paragraph">
              <wp:posOffset>-13970</wp:posOffset>
            </wp:positionV>
            <wp:extent cx="10248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6">
                      <a:extLst>
                        <a:ext uri="{28A0092B-C50C-407E-A947-70E740481C1C}"/>
                      </a:extLst>
                    </a:blip>
                    <a:srcRect/>
                    <a:stretch>
                      <a:fillRect/>
                    </a:stretch>
                  </pic:blipFill>
                  <pic:spPr bwMode="auto">
                    <a:xfrm>
                      <a:off x="0" y="0"/>
                      <a:ext cx="102489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9479"/>
          </w:cols>
          <w:pgMar w:left="980" w:top="1013" w:right="1440"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264" w:lineRule="exact"/>
        <w:rPr>
          <w:sz w:val="20"/>
          <w:szCs w:val="20"/>
          <w:color w:val="auto"/>
        </w:rPr>
      </w:pPr>
    </w:p>
    <w:p>
      <w:pPr>
        <w:jc w:val="both"/>
        <w:ind w:left="1260" w:hanging="643"/>
        <w:spacing w:after="0" w:line="244" w:lineRule="auto"/>
        <w:tabs>
          <w:tab w:leader="none" w:pos="12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ASSIGNMENT. Executive hereby assigns, and agrees to assign, to the Company, without additional compensation, Executive’s entire right, title and interest in and to (a) all Creations, and (b) all benefits, privileges, causes of action and remedies relating to the Creations, whether before or hereafter accrued (including, without limitation, the exclusive rights to apply for and maintain all such registrations, renewals and/or extensions; to sue for all past, present or future infringements or other violations of any rights in the Creation; and to settle and retain proceeds from any such actions). As used herein, the term Creations includes, but is not limited to, creations, inventions, works of authorship, ideas, processes, technology, formulas, software programs, writings, designs, discoveries, modifications and improvements, whether or not patentable or reduced to practice and whether or not copyrightable, that relate in any manner to the actual or demonstrably anticipated business or research and development of the Company or its affiliates, and that are made, conceived or developed by Executive (either alone or jointly with others), or result from or are suggested by any work performed by Executive (either alone or jointly with others) for or on behalf of the Company or its affiliates: (i) during the period of Executive’s employment with the Company, whether or not made, conceived or developed during regular business hours; or (ii) after termination of Executive’s employment if based on Confidential Information. Executive agrees that all such Creations are the sole property of the Company or any other entity designated by it, and, to the maximum extent permitted by applicable law, any copyrightable Creation will be deemed a work made for hire. If the State of Employment is California, Executive UNDERSTANDS THAT THIS PARAGRAPH DOES NOT APPLY TO ANY CREATION WHICH QUALIFIES FULLY UNDER THE PROVISIONS OF SECTION 2870 OF THE LABOR CODE OF THE STATE OF CALIFORNIA, A COPY OF WHICH IS ATTACHED BELOW. Executive understands that nothing in this Agreement is intended to expand the scope of protection provided to Executive by Sections 2870 through 2872 of the California Labor Code.</w:t>
      </w:r>
    </w:p>
    <w:p>
      <w:pPr>
        <w:spacing w:after="0" w:line="149" w:lineRule="exact"/>
        <w:rPr>
          <w:rFonts w:ascii="Times New Roman" w:cs="Times New Roman" w:eastAsia="Times New Roman" w:hAnsi="Times New Roman"/>
          <w:sz w:val="22"/>
          <w:szCs w:val="22"/>
          <w:color w:val="auto"/>
        </w:rPr>
      </w:pPr>
    </w:p>
    <w:p>
      <w:pPr>
        <w:jc w:val="both"/>
        <w:ind w:left="1260" w:hanging="643"/>
        <w:spacing w:after="0" w:line="246" w:lineRule="auto"/>
        <w:tabs>
          <w:tab w:leader="none" w:pos="12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DISCLOSURE. Executive agrees to disclose promptly and fully to Executive’s immediate supervisor at the Company, and to hold in confidence for the sole right, benefit and use of Company, any and all Creations made, conceived or developed by Executive (either alone or jointly with others) during Executive’s employment with the Company, or within one (1) year after the termination of Executive’s employment if based on Confidential Information. Such disclosure will be received and held in confidence by the Company. In addition, Executive agrees to keep and maintain adequate and current written records on the development of all Creations made, conceived or developed by Executive (either alone or jointly with others) during Executive’s period of employment or during the one-year period following termination of Executive’s employment, which records will be available to and remain the sole property of the Company at all times.</w:t>
      </w:r>
    </w:p>
    <w:p>
      <w:pPr>
        <w:spacing w:after="0" w:line="35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300"/>
          </w:cols>
          <w:pgMar w:left="360" w:top="999" w:right="239" w:bottom="1440" w:gutter="0" w:footer="0" w:header="0"/>
        </w:sectPr>
      </w:pPr>
    </w:p>
    <w:bookmarkStart w:id="127" w:name="page128"/>
    <w:bookmarkEnd w:id="127"/>
    <w:p>
      <w:pPr>
        <w:jc w:val="both"/>
        <w:ind w:left="1300" w:hanging="643"/>
        <w:spacing w:after="0" w:line="245" w:lineRule="auto"/>
        <w:tabs>
          <w:tab w:leader="none" w:pos="130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ASSIST WITH REGISTRATION. Executive agrees that Executive will, at the Company’s request, promptly execute a written assignment of title for any Creation required to be assigned by Section B. Executive further agrees to perform, during and after Executive’s employment, all acts deemed necessary or desirable by the Company to assist it (at its expense) in obtaining and enforcing the full benefits, enjoyment, rights and title throughout the world in the Creation assigned to the Company pursuant to Section B. Such acts may include, but are not limited to, execution of documents and assistance or cooperation in legal proceedings. Should the Company be unable to secure Executive’s signature on any document necessary to apply for, prosecute, obtain, or enforce any patent, copyright, or other right or protection relating to any Creation, whether due to Executive’s mental or physical incapacity or any other cause, Executive hereby irrevocably designates and appoints the Company and each of its duly authorized officers and agents as Executive’s agent and attorney-in-fact, to undertake such acts in Executive’s name as if executed and delivered by Executive, and Executive waives and quitclaims to the Company any and all claims of any nature whatsoever that Executive may not have or may later have for infringement of any intellectual property rights in the Creations. The Company will compensate Executive at a reasonable rate for time actually spent by Executive at the Company’s request on such assistance at any time following termination of Executive’s employment with the Company.</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CALIFORNIA LABOR CODE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2870-2872</w:t>
      </w:r>
    </w:p>
    <w:p>
      <w:pPr>
        <w:spacing w:after="0" w:line="1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2870. (a) 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spacing w:after="0" w:line="126" w:lineRule="exact"/>
        <w:rPr>
          <w:sz w:val="20"/>
          <w:szCs w:val="20"/>
          <w:color w:val="auto"/>
        </w:rPr>
      </w:pPr>
    </w:p>
    <w:p>
      <w:pPr>
        <w:ind w:left="1340" w:hanging="656"/>
        <w:spacing w:after="0" w:line="271" w:lineRule="auto"/>
        <w:tabs>
          <w:tab w:leader="none" w:pos="1340" w:val="left"/>
        </w:tabs>
        <w:numPr>
          <w:ilvl w:val="2"/>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Relate at the time of conception or reduction to practice of the invention to the employer’s business, or actual or demonstrably anticipated research or development of the employer; or</w:t>
      </w:r>
    </w:p>
    <w:p>
      <w:pPr>
        <w:spacing w:after="0" w:line="103" w:lineRule="exact"/>
        <w:rPr>
          <w:rFonts w:ascii="Times New Roman" w:cs="Times New Roman" w:eastAsia="Times New Roman" w:hAnsi="Times New Roman"/>
          <w:sz w:val="22"/>
          <w:szCs w:val="22"/>
          <w:color w:val="auto"/>
        </w:rPr>
      </w:pPr>
    </w:p>
    <w:p>
      <w:pPr>
        <w:ind w:left="1300" w:hanging="643"/>
        <w:spacing w:after="0"/>
        <w:tabs>
          <w:tab w:leader="none" w:pos="130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 from any work performed by the employee for the employer.</w:t>
      </w:r>
    </w:p>
    <w:p>
      <w:pPr>
        <w:spacing w:after="0" w:line="165" w:lineRule="exact"/>
        <w:rPr>
          <w:rFonts w:ascii="Times New Roman" w:cs="Times New Roman" w:eastAsia="Times New Roman" w:hAnsi="Times New Roman"/>
          <w:sz w:val="22"/>
          <w:szCs w:val="22"/>
          <w:color w:val="auto"/>
        </w:rPr>
      </w:pPr>
    </w:p>
    <w:p>
      <w:pPr>
        <w:jc w:val="both"/>
        <w:ind w:firstLine="9"/>
        <w:spacing w:after="0" w:line="257" w:lineRule="auto"/>
        <w:tabs>
          <w:tab w:leader="none" w:pos="34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 provision in an employment agreement purports to require an employee to assign an invention otherwise excluded from being required to be assigned under subdivision (a), the provision is against the public policy of this state and is unenforceable.</w:t>
      </w:r>
    </w:p>
    <w:p>
      <w:pPr>
        <w:spacing w:after="0" w:line="6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2871. No employer shall require a provision made void and unenforceable by Section 2870 as a condition of employment or continued employment. Nothing in this article shall be construed to forbid or restrict the right of an employer to provide in contracts of employment for disclosure, provided that any such disclosures be received in confidence, of all of the employee’s inventions made solely or jointly with others during the term of his or her employment, a review process by the employer to determine such issues as may arise, and for full title to certain patents and inventions to be in the United States, as required by contracts between the employer and the United States or any of its agencies.</w:t>
      </w:r>
    </w:p>
    <w:p>
      <w:pPr>
        <w:spacing w:after="0" w:line="18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340"/>
          </w:cols>
          <w:pgMar w:left="320" w:top="342" w:right="239" w:bottom="1440" w:gutter="0" w:footer="0" w:header="0"/>
        </w:sectPr>
      </w:pPr>
    </w:p>
    <w:bookmarkStart w:id="128" w:name="page129"/>
    <w:bookmarkEnd w:id="128"/>
    <w:p>
      <w:pPr>
        <w:jc w:val="both"/>
        <w:spacing w:after="0" w:line="250" w:lineRule="auto"/>
        <w:rPr>
          <w:sz w:val="20"/>
          <w:szCs w:val="20"/>
          <w:color w:val="auto"/>
        </w:rPr>
      </w:pPr>
      <w:r>
        <w:rPr>
          <w:rFonts w:ascii="Times New Roman" w:cs="Times New Roman" w:eastAsia="Times New Roman" w:hAnsi="Times New Roman"/>
          <w:sz w:val="22"/>
          <w:szCs w:val="22"/>
          <w:color w:val="auto"/>
        </w:rPr>
        <w:t>2872. If an employment agreement entered into after January 1, 1980, contains a provision requiring the employee to assign or offer to assign any of his or her rights in any invention to his or her employer, the employer must also, at the time the agreement is made provide a written notification to the employee that the agreement does not apply to an invention which qualifies fully under the provisions of Section 2870. In any suit or action arising thereunder, the burden of proof shall be on the employee claiming the benefits of its provisions.</w:t>
      </w:r>
    </w:p>
    <w:p>
      <w:pPr>
        <w:spacing w:after="0" w:line="200" w:lineRule="exact"/>
        <w:rPr>
          <w:sz w:val="20"/>
          <w:szCs w:val="20"/>
          <w:color w:val="auto"/>
        </w:rPr>
      </w:pPr>
    </w:p>
    <w:p>
      <w:pPr>
        <w:spacing w:after="0" w:line="40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340"/>
          </w:cols>
          <w:pgMar w:left="320" w:top="396" w:right="2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22"/>
          <w:szCs w:val="22"/>
          <w:b w:val="1"/>
          <w:bCs w:val="1"/>
          <w:color w:val="auto"/>
        </w:rPr>
        <w:t>Exhibit 21.1</w:t>
      </w:r>
    </w:p>
    <w:p>
      <w:pPr>
        <w:spacing w:after="0" w:line="200" w:lineRule="exact"/>
        <w:rPr>
          <w:sz w:val="20"/>
          <w:szCs w:val="20"/>
          <w:color w:val="auto"/>
        </w:rPr>
      </w:pPr>
    </w:p>
    <w:p>
      <w:pPr>
        <w:spacing w:after="0" w:line="23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SUBSIDIARIES OF ABM INDUSTRIES INCORPORATED</w:t>
      </w:r>
    </w:p>
    <w:p>
      <w:pPr>
        <w:spacing w:after="0" w:line="39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is a list of subsidiaries of the company as of October 31, 2019, omitting subsidiaries which, considered in the aggregate, would not constitute a significant subsidiary.</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tcPr>
          <w:p>
            <w:pPr>
              <w:spacing w:after="0"/>
              <w:rPr>
                <w:sz w:val="18"/>
                <w:szCs w:val="18"/>
                <w:color w:val="auto"/>
              </w:rPr>
            </w:pPr>
          </w:p>
        </w:tc>
        <w:tc>
          <w:tcPr>
            <w:tcW w:w="382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rPr>
              <w:t>Where</w:t>
            </w:r>
          </w:p>
        </w:tc>
      </w:tr>
      <w:tr>
        <w:trPr>
          <w:trHeight w:val="216"/>
        </w:trPr>
        <w:tc>
          <w:tcPr>
            <w:tcW w:w="6160" w:type="dxa"/>
            <w:vAlign w:val="bottom"/>
          </w:tcPr>
          <w:p>
            <w:pPr>
              <w:spacing w:after="0"/>
              <w:rPr>
                <w:sz w:val="18"/>
                <w:szCs w:val="18"/>
                <w:color w:val="auto"/>
              </w:rPr>
            </w:pPr>
          </w:p>
        </w:tc>
        <w:tc>
          <w:tcPr>
            <w:tcW w:w="382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rPr>
              <w:t>Incorporated or</w:t>
            </w:r>
          </w:p>
        </w:tc>
      </w:tr>
      <w:tr>
        <w:trPr>
          <w:trHeight w:val="238"/>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382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rPr>
              <w:t>Organized</w:t>
            </w:r>
          </w:p>
        </w:tc>
      </w:tr>
      <w:tr>
        <w:trPr>
          <w:trHeight w:val="27"/>
        </w:trPr>
        <w:tc>
          <w:tcPr>
            <w:tcW w:w="616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r>
      <w:tr>
        <w:trPr>
          <w:trHeight w:val="237"/>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ABM INDUSTRIES INCORPORATED</w:t>
            </w:r>
          </w:p>
        </w:tc>
        <w:tc>
          <w:tcPr>
            <w:tcW w:w="38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(*)ABM Aviation, Inc.</w:t>
            </w:r>
          </w:p>
        </w:tc>
        <w:tc>
          <w:tcPr>
            <w:tcW w:w="38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Georgia</w:t>
            </w:r>
          </w:p>
        </w:tc>
      </w:tr>
      <w:tr>
        <w:trPr>
          <w:trHeight w:val="270"/>
        </w:trPr>
        <w:tc>
          <w:tcPr>
            <w:tcW w:w="61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Omni Serv Limited</w:t>
            </w:r>
          </w:p>
        </w:tc>
        <w:tc>
          <w:tcPr>
            <w:tcW w:w="38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England</w:t>
            </w:r>
          </w:p>
        </w:tc>
      </w:tr>
      <w:tr>
        <w:trPr>
          <w:trHeight w:val="270"/>
        </w:trPr>
        <w:tc>
          <w:tcPr>
            <w:tcW w:w="61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Air Serv Middle East Hospitality Services LLC</w:t>
            </w:r>
          </w:p>
        </w:tc>
        <w:tc>
          <w:tcPr>
            <w:tcW w:w="38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UAE</w:t>
            </w:r>
          </w:p>
        </w:tc>
      </w:tr>
      <w:tr>
        <w:trPr>
          <w:trHeight w:val="270"/>
        </w:trPr>
        <w:tc>
          <w:tcPr>
            <w:tcW w:w="61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OFJ Connections</w:t>
            </w:r>
          </w:p>
        </w:tc>
        <w:tc>
          <w:tcPr>
            <w:tcW w:w="38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England</w:t>
            </w:r>
          </w:p>
        </w:tc>
      </w:tr>
      <w:tr>
        <w:trPr>
          <w:trHeight w:val="270"/>
        </w:trPr>
        <w:tc>
          <w:tcPr>
            <w:tcW w:w="61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OFJ Airlinks Limited</w:t>
            </w:r>
          </w:p>
        </w:tc>
        <w:tc>
          <w:tcPr>
            <w:tcW w:w="38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England</w:t>
            </w:r>
          </w:p>
        </w:tc>
      </w:tr>
      <w:tr>
        <w:trPr>
          <w:trHeight w:val="270"/>
        </w:trPr>
        <w:tc>
          <w:tcPr>
            <w:tcW w:w="61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ABM International (Holdings) B.V.</w:t>
            </w:r>
          </w:p>
        </w:tc>
        <w:tc>
          <w:tcPr>
            <w:tcW w:w="38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Holland</w:t>
            </w:r>
          </w:p>
        </w:tc>
      </w:tr>
      <w:tr>
        <w:trPr>
          <w:trHeight w:val="270"/>
        </w:trPr>
        <w:tc>
          <w:tcPr>
            <w:tcW w:w="61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ABM International Limited</w:t>
            </w:r>
          </w:p>
        </w:tc>
        <w:tc>
          <w:tcPr>
            <w:tcW w:w="38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Bermuda</w:t>
            </w:r>
          </w:p>
        </w:tc>
      </w:tr>
      <w:tr>
        <w:trPr>
          <w:trHeight w:val="270"/>
        </w:trPr>
        <w:tc>
          <w:tcPr>
            <w:tcW w:w="61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ABM Group UK Limited</w:t>
            </w:r>
          </w:p>
        </w:tc>
        <w:tc>
          <w:tcPr>
            <w:tcW w:w="38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England</w:t>
            </w:r>
          </w:p>
        </w:tc>
      </w:tr>
      <w:tr>
        <w:trPr>
          <w:trHeight w:val="270"/>
        </w:trPr>
        <w:tc>
          <w:tcPr>
            <w:tcW w:w="61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ABM Facility Services UK Limited</w:t>
            </w:r>
          </w:p>
        </w:tc>
        <w:tc>
          <w:tcPr>
            <w:tcW w:w="38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England</w:t>
            </w:r>
          </w:p>
        </w:tc>
      </w:tr>
      <w:tr>
        <w:trPr>
          <w:trHeight w:val="270"/>
        </w:trPr>
        <w:tc>
          <w:tcPr>
            <w:tcW w:w="61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ABM Facility Services Scotland Limited</w:t>
            </w:r>
          </w:p>
        </w:tc>
        <w:tc>
          <w:tcPr>
            <w:tcW w:w="38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England</w:t>
            </w:r>
          </w:p>
        </w:tc>
      </w:tr>
      <w:tr>
        <w:trPr>
          <w:trHeight w:val="270"/>
        </w:trPr>
        <w:tc>
          <w:tcPr>
            <w:tcW w:w="61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Eclipse Contract Cleaning Limited</w:t>
            </w:r>
          </w:p>
        </w:tc>
        <w:tc>
          <w:tcPr>
            <w:tcW w:w="38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Scotland</w:t>
            </w:r>
          </w:p>
        </w:tc>
      </w:tr>
      <w:tr>
        <w:trPr>
          <w:trHeight w:val="270"/>
        </w:trPr>
        <w:tc>
          <w:tcPr>
            <w:tcW w:w="61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GBM Services (Civic) Limited</w:t>
            </w:r>
          </w:p>
        </w:tc>
        <w:tc>
          <w:tcPr>
            <w:tcW w:w="38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England</w:t>
            </w:r>
          </w:p>
        </w:tc>
      </w:tr>
      <w:tr>
        <w:trPr>
          <w:trHeight w:val="270"/>
        </w:trPr>
        <w:tc>
          <w:tcPr>
            <w:tcW w:w="61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BRBIBR Limited</w:t>
            </w:r>
          </w:p>
        </w:tc>
        <w:tc>
          <w:tcPr>
            <w:tcW w:w="38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England</w:t>
            </w:r>
          </w:p>
        </w:tc>
      </w:tr>
      <w:tr>
        <w:trPr>
          <w:trHeight w:val="270"/>
        </w:trPr>
        <w:tc>
          <w:tcPr>
            <w:tcW w:w="61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ABM Critical Solutions Limited</w:t>
            </w:r>
          </w:p>
        </w:tc>
        <w:tc>
          <w:tcPr>
            <w:tcW w:w="38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England</w:t>
            </w:r>
          </w:p>
        </w:tc>
      </w:tr>
      <w:tr>
        <w:trPr>
          <w:trHeight w:val="270"/>
        </w:trPr>
        <w:tc>
          <w:tcPr>
            <w:tcW w:w="61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Westway Services Holdings (2014) Ltd.</w:t>
            </w:r>
          </w:p>
        </w:tc>
        <w:tc>
          <w:tcPr>
            <w:tcW w:w="38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England</w:t>
            </w:r>
          </w:p>
        </w:tc>
      </w:tr>
      <w:tr>
        <w:trPr>
          <w:trHeight w:val="270"/>
        </w:trPr>
        <w:tc>
          <w:tcPr>
            <w:tcW w:w="61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Westway Services Holdings (2010) Ltd.</w:t>
            </w:r>
          </w:p>
        </w:tc>
        <w:tc>
          <w:tcPr>
            <w:tcW w:w="38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England</w:t>
            </w:r>
          </w:p>
        </w:tc>
      </w:tr>
      <w:tr>
        <w:trPr>
          <w:trHeight w:val="270"/>
        </w:trPr>
        <w:tc>
          <w:tcPr>
            <w:tcW w:w="61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ABM Technical Solutions Limited</w:t>
            </w:r>
          </w:p>
        </w:tc>
        <w:tc>
          <w:tcPr>
            <w:tcW w:w="38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England</w:t>
            </w:r>
          </w:p>
        </w:tc>
      </w:tr>
      <w:tr>
        <w:trPr>
          <w:trHeight w:val="270"/>
        </w:trPr>
        <w:tc>
          <w:tcPr>
            <w:tcW w:w="61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ABM Onsite Services - Canada ULC</w:t>
            </w:r>
          </w:p>
        </w:tc>
        <w:tc>
          <w:tcPr>
            <w:tcW w:w="38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Canada</w:t>
            </w:r>
          </w:p>
        </w:tc>
      </w:tr>
      <w:tr>
        <w:trPr>
          <w:trHeight w:val="270"/>
        </w:trPr>
        <w:tc>
          <w:tcPr>
            <w:tcW w:w="61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ABM Building &amp; Energy Solutions, LLC</w:t>
            </w:r>
          </w:p>
        </w:tc>
        <w:tc>
          <w:tcPr>
            <w:tcW w:w="38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1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ABM Building Services, LLC</w:t>
            </w:r>
          </w:p>
        </w:tc>
        <w:tc>
          <w:tcPr>
            <w:tcW w:w="38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1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ABM Building Solutions, LLC</w:t>
            </w:r>
          </w:p>
        </w:tc>
        <w:tc>
          <w:tcPr>
            <w:tcW w:w="38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1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ABM Electrical &amp; Lighting Services, LLC</w:t>
            </w:r>
          </w:p>
        </w:tc>
        <w:tc>
          <w:tcPr>
            <w:tcW w:w="38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1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ABM Electrical &amp; Lighting Solutions, Inc.</w:t>
            </w:r>
          </w:p>
        </w:tc>
        <w:tc>
          <w:tcPr>
            <w:tcW w:w="38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1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ABM Electrical Power Services, LLC</w:t>
            </w:r>
          </w:p>
        </w:tc>
        <w:tc>
          <w:tcPr>
            <w:tcW w:w="38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1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ABM Electrical Power Solutions, LLC</w:t>
            </w:r>
          </w:p>
        </w:tc>
        <w:tc>
          <w:tcPr>
            <w:tcW w:w="38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1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ABM Facility Support Services, LLC</w:t>
            </w:r>
          </w:p>
        </w:tc>
        <w:tc>
          <w:tcPr>
            <w:tcW w:w="38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1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RenewEnergy Solutions, LLC</w:t>
            </w:r>
          </w:p>
        </w:tc>
        <w:tc>
          <w:tcPr>
            <w:tcW w:w="38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1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ABM Franchising Group, LLC</w:t>
            </w:r>
          </w:p>
        </w:tc>
        <w:tc>
          <w:tcPr>
            <w:tcW w:w="38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1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ABM General Services, Inc.</w:t>
            </w:r>
          </w:p>
        </w:tc>
        <w:tc>
          <w:tcPr>
            <w:tcW w:w="38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1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ABM Healthcare Support Services, Inc.</w:t>
            </w:r>
          </w:p>
        </w:tc>
        <w:tc>
          <w:tcPr>
            <w:tcW w:w="38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Michigan</w:t>
            </w:r>
          </w:p>
        </w:tc>
      </w:tr>
      <w:tr>
        <w:trPr>
          <w:trHeight w:val="270"/>
        </w:trPr>
        <w:tc>
          <w:tcPr>
            <w:tcW w:w="61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ABM Industrial Services, Inc.</w:t>
            </w:r>
          </w:p>
        </w:tc>
        <w:tc>
          <w:tcPr>
            <w:tcW w:w="38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1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ABM Industry Groups, LLC</w:t>
            </w:r>
          </w:p>
        </w:tc>
        <w:tc>
          <w:tcPr>
            <w:tcW w:w="38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1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ABM Security Services, Inc.</w:t>
            </w:r>
          </w:p>
        </w:tc>
        <w:tc>
          <w:tcPr>
            <w:tcW w:w="38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California</w:t>
            </w:r>
          </w:p>
        </w:tc>
      </w:tr>
      <w:tr>
        <w:trPr>
          <w:trHeight w:val="270"/>
        </w:trPr>
        <w:tc>
          <w:tcPr>
            <w:tcW w:w="61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ABM Texas General Services, Inc.</w:t>
            </w:r>
          </w:p>
        </w:tc>
        <w:tc>
          <w:tcPr>
            <w:tcW w:w="38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1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Grade Sub Two, LLC</w:t>
            </w:r>
          </w:p>
        </w:tc>
        <w:tc>
          <w:tcPr>
            <w:tcW w:w="38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1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GCA Services Group, Inc.</w:t>
            </w:r>
          </w:p>
        </w:tc>
        <w:tc>
          <w:tcPr>
            <w:tcW w:w="38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1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Associated Facility Management, LLC</w:t>
            </w:r>
          </w:p>
        </w:tc>
        <w:tc>
          <w:tcPr>
            <w:tcW w:w="38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Nevada</w:t>
            </w:r>
          </w:p>
        </w:tc>
      </w:tr>
      <w:tr>
        <w:trPr>
          <w:trHeight w:val="270"/>
        </w:trPr>
        <w:tc>
          <w:tcPr>
            <w:tcW w:w="61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GCA Cleaning Specialties, LP</w:t>
            </w:r>
          </w:p>
        </w:tc>
        <w:tc>
          <w:tcPr>
            <w:tcW w:w="38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Texas</w:t>
            </w:r>
          </w:p>
        </w:tc>
      </w:tr>
      <w:tr>
        <w:trPr>
          <w:trHeight w:val="270"/>
        </w:trPr>
        <w:tc>
          <w:tcPr>
            <w:tcW w:w="61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GCA Services Group Mountain States, LP</w:t>
            </w:r>
          </w:p>
        </w:tc>
        <w:tc>
          <w:tcPr>
            <w:tcW w:w="38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Texas</w:t>
            </w:r>
          </w:p>
        </w:tc>
      </w:tr>
    </w:tbl>
    <w:p>
      <w:pPr>
        <w:sectPr>
          <w:pgSz w:w="11900" w:h="16838" w:orient="portrait"/>
          <w:cols w:equalWidth="0" w:num="1">
            <w:col w:w="10760"/>
          </w:cols>
          <w:pgMar w:left="900" w:top="122" w:right="239" w:bottom="1440" w:gutter="0" w:footer="0" w:header="0"/>
        </w:sectPr>
      </w:pPr>
    </w:p>
    <w:bookmarkStart w:id="130" w:name="page131"/>
    <w:bookmarkEnd w:id="130"/>
    <w:p>
      <w:pPr>
        <w:ind w:left="1880"/>
        <w:spacing w:after="0"/>
        <w:rPr>
          <w:sz w:val="20"/>
          <w:szCs w:val="20"/>
          <w:color w:val="auto"/>
        </w:rPr>
      </w:pPr>
      <w:r>
        <w:rPr>
          <w:rFonts w:ascii="Times New Roman" w:cs="Times New Roman" w:eastAsia="Times New Roman" w:hAnsi="Times New Roman"/>
          <w:sz w:val="18"/>
          <w:szCs w:val="18"/>
          <w:color w:val="auto"/>
        </w:rPr>
        <w:t>GCA Services Group of Texas, LP</w:t>
      </w:r>
    </w:p>
    <w:p>
      <w:pPr>
        <w:spacing w:after="0" w:line="6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Associated Facility Ventures, LLC</w:t>
      </w:r>
    </w:p>
    <w:p>
      <w:pPr>
        <w:spacing w:after="0" w:line="6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GCA Education Services, Inc.</w:t>
      </w:r>
    </w:p>
    <w:p>
      <w:pPr>
        <w:spacing w:after="0" w:line="6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GCA Education Services Central States, Inc.</w:t>
      </w:r>
    </w:p>
    <w:p>
      <w:pPr>
        <w:spacing w:after="0" w:line="6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GCA Education Services of New England, Inc.</w:t>
      </w:r>
    </w:p>
    <w:p>
      <w:pPr>
        <w:spacing w:after="0" w:line="6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GCA K12 Education Services, Inc.</w:t>
      </w:r>
    </w:p>
    <w:p>
      <w:pPr>
        <w:spacing w:after="0" w:line="6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GCA Nuclear Facility Services, Inc.</w:t>
      </w:r>
    </w:p>
    <w:p>
      <w:pPr>
        <w:spacing w:after="0" w:line="6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GCA Production Services, Inc.</w:t>
      </w:r>
    </w:p>
    <w:p>
      <w:pPr>
        <w:spacing w:after="0" w:line="6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GCA Services Group of California, Inc.</w:t>
      </w:r>
    </w:p>
    <w:p>
      <w:pPr>
        <w:spacing w:after="0" w:line="6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GCA Services Group of Colorado, Inc.</w:t>
      </w:r>
    </w:p>
    <w:p>
      <w:pPr>
        <w:spacing w:after="0" w:line="6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GCA Services Group of North Carolina, Inc.</w:t>
      </w:r>
    </w:p>
    <w:p>
      <w:pPr>
        <w:spacing w:after="0" w:line="6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GCA Services Group of Northwestern States, Inc.</w:t>
      </w:r>
    </w:p>
    <w:p>
      <w:pPr>
        <w:spacing w:after="0" w:line="6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GCA Staffing Services, Inc.</w:t>
      </w:r>
    </w:p>
    <w:p>
      <w:pPr>
        <w:spacing w:after="0" w:line="6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National Building Maintenance Corp.</w:t>
      </w:r>
    </w:p>
    <w:p>
      <w:pPr>
        <w:spacing w:after="0" w:line="6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IFM Assurance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Texas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Nevada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Tennessee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Illinois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Colorado</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North Carolina</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w:t>
      </w:r>
    </w:p>
    <w:p>
      <w:pPr>
        <w:spacing w:after="0" w:line="200" w:lineRule="exact"/>
        <w:rPr>
          <w:sz w:val="20"/>
          <w:szCs w:val="20"/>
          <w:color w:val="auto"/>
        </w:rPr>
      </w:pPr>
    </w:p>
    <w:p>
      <w:pPr>
        <w:sectPr>
          <w:pgSz w:w="11900" w:h="16838" w:orient="portrait"/>
          <w:cols w:equalWidth="0" w:num="2">
            <w:col w:w="7860" w:space="720"/>
            <w:col w:w="1639"/>
          </w:cols>
          <w:pgMar w:left="240" w:top="499" w:right="1440" w:bottom="1440" w:gutter="0" w:footer="0" w:header="0"/>
        </w:sectPr>
      </w:pP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*Subsidiary relationship to Company or to subsidiary parents shown by progressive indentation.</w:t>
      </w:r>
    </w:p>
    <w:p>
      <w:pPr>
        <w:sectPr>
          <w:pgSz w:w="11900" w:h="16838" w:orient="portrait"/>
          <w:cols w:equalWidth="0" w:num="1">
            <w:col w:w="10219"/>
          </w:cols>
          <w:pgMar w:left="240" w:top="499" w:right="1440" w:bottom="1440" w:gutter="0" w:footer="0" w:header="0"/>
          <w:type w:val="continuous"/>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ABM Industries Incorporated:</w:t>
      </w:r>
    </w:p>
    <w:p>
      <w:pPr>
        <w:spacing w:after="0" w:line="203" w:lineRule="exact"/>
        <w:rPr>
          <w:sz w:val="20"/>
          <w:szCs w:val="20"/>
          <w:color w:val="auto"/>
        </w:rPr>
      </w:pPr>
    </w:p>
    <w:p>
      <w:pPr>
        <w:ind w:right="80"/>
        <w:spacing w:after="0" w:line="223" w:lineRule="exact"/>
        <w:rPr>
          <w:sz w:val="20"/>
          <w:szCs w:val="20"/>
          <w:color w:val="auto"/>
        </w:rPr>
      </w:pPr>
      <w:r>
        <w:rPr>
          <w:rFonts w:ascii="Arial" w:cs="Arial" w:eastAsia="Arial" w:hAnsi="Arial"/>
          <w:sz w:val="18"/>
          <w:szCs w:val="18"/>
          <w:color w:val="auto"/>
        </w:rPr>
        <w:t>We consent to the incorporation by reference in the registration statements listed below of ABM Industries Incorporated and subsidiaries of our reports dated December 20, 2019, with respect to the consolidated balance sheets of ABM Industries Incorporated and subsidiaries as of October 31, 2019 and 2018, and the related consolidated statements of comprehensive income, stockholders’ equity, and cash flows for each of the years in the three-year period ended October 31, 2019, and the related notes and financial statement Schedule II (collectively, the consolidated financial statements), and the effectiveness of internal control over financial reporting as of October 31, 2019, which reports appear in the October 31, 2019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ABM Industries Incorporated.</w:t>
      </w:r>
    </w:p>
    <w:p>
      <w:pPr>
        <w:spacing w:after="0" w:line="299" w:lineRule="exact"/>
        <w:rPr>
          <w:sz w:val="20"/>
          <w:szCs w:val="20"/>
          <w:color w:val="auto"/>
        </w:rPr>
      </w:pPr>
    </w:p>
    <w:tbl>
      <w:tblPr>
        <w:tblLayout w:type="fixed"/>
        <w:tblInd w:w="740" w:type="dxa"/>
        <w:tblCellMar>
          <w:top w:w="0" w:type="dxa"/>
          <w:left w:w="0" w:type="dxa"/>
          <w:bottom w:w="0" w:type="dxa"/>
          <w:right w:w="0" w:type="dxa"/>
        </w:tblCellMar>
      </w:tblPr>
      <w:tr>
        <w:trPr>
          <w:trHeight w:val="248"/>
        </w:trPr>
        <w:tc>
          <w:tcPr>
            <w:tcW w:w="1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Registration No.</w:t>
            </w:r>
          </w:p>
        </w:tc>
        <w:tc>
          <w:tcPr>
            <w:tcW w:w="13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Form</w:t>
            </w:r>
          </w:p>
        </w:tc>
        <w:tc>
          <w:tcPr>
            <w:tcW w:w="8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Plan</w:t>
            </w:r>
          </w:p>
        </w:tc>
        <w:tc>
          <w:tcPr>
            <w:tcW w:w="5920" w:type="dxa"/>
            <w:vAlign w:val="bottom"/>
            <w:tcBorders>
              <w:bottom w:val="single" w:sz="8" w:color="auto"/>
            </w:tcBorders>
          </w:tcPr>
          <w:p>
            <w:pPr>
              <w:spacing w:after="0"/>
              <w:rPr>
                <w:sz w:val="21"/>
                <w:szCs w:val="21"/>
                <w:color w:val="auto"/>
              </w:rPr>
            </w:pPr>
          </w:p>
        </w:tc>
      </w:tr>
      <w:tr>
        <w:trPr>
          <w:trHeight w:val="245"/>
        </w:trPr>
        <w:tc>
          <w:tcPr>
            <w:tcW w:w="1820" w:type="dxa"/>
            <w:vAlign w:val="bottom"/>
          </w:tcPr>
          <w:p>
            <w:pPr>
              <w:ind w:left="20"/>
              <w:spacing w:after="0"/>
              <w:rPr>
                <w:sz w:val="20"/>
                <w:szCs w:val="20"/>
                <w:color w:val="auto"/>
              </w:rPr>
            </w:pPr>
            <w:r>
              <w:rPr>
                <w:rFonts w:ascii="Arial" w:cs="Arial" w:eastAsia="Arial" w:hAnsi="Arial"/>
                <w:sz w:val="18"/>
                <w:szCs w:val="18"/>
                <w:color w:val="auto"/>
              </w:rPr>
              <w:t>333-167464</w:t>
            </w:r>
          </w:p>
        </w:tc>
        <w:tc>
          <w:tcPr>
            <w:tcW w:w="1360" w:type="dxa"/>
            <w:vAlign w:val="bottom"/>
          </w:tcPr>
          <w:p>
            <w:pPr>
              <w:ind w:left="500"/>
              <w:spacing w:after="0"/>
              <w:rPr>
                <w:sz w:val="20"/>
                <w:szCs w:val="20"/>
                <w:color w:val="auto"/>
              </w:rPr>
            </w:pPr>
            <w:r>
              <w:rPr>
                <w:rFonts w:ascii="Arial" w:cs="Arial" w:eastAsia="Arial" w:hAnsi="Arial"/>
                <w:sz w:val="18"/>
                <w:szCs w:val="18"/>
                <w:color w:val="auto"/>
              </w:rPr>
              <w:t>S-8</w:t>
            </w:r>
          </w:p>
        </w:tc>
        <w:tc>
          <w:tcPr>
            <w:tcW w:w="860" w:type="dxa"/>
            <w:vAlign w:val="bottom"/>
          </w:tcPr>
          <w:p>
            <w:pPr>
              <w:ind w:left="440"/>
              <w:spacing w:after="0"/>
              <w:rPr>
                <w:sz w:val="20"/>
                <w:szCs w:val="20"/>
                <w:color w:val="auto"/>
              </w:rPr>
            </w:pPr>
            <w:r>
              <w:rPr>
                <w:rFonts w:ascii="Arial" w:cs="Arial" w:eastAsia="Arial" w:hAnsi="Arial"/>
                <w:sz w:val="18"/>
                <w:szCs w:val="18"/>
                <w:color w:val="auto"/>
                <w:w w:val="99"/>
              </w:rPr>
              <w:t>2004</w:t>
            </w:r>
          </w:p>
        </w:tc>
        <w:tc>
          <w:tcPr>
            <w:tcW w:w="592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r>
      <w:tr>
        <w:trPr>
          <w:trHeight w:val="257"/>
        </w:trPr>
        <w:tc>
          <w:tcPr>
            <w:tcW w:w="1820" w:type="dxa"/>
            <w:vAlign w:val="bottom"/>
          </w:tcPr>
          <w:p>
            <w:pPr>
              <w:ind w:left="20"/>
              <w:spacing w:after="0"/>
              <w:rPr>
                <w:sz w:val="20"/>
                <w:szCs w:val="20"/>
                <w:color w:val="auto"/>
              </w:rPr>
            </w:pPr>
            <w:r>
              <w:rPr>
                <w:rFonts w:ascii="Arial" w:cs="Arial" w:eastAsia="Arial" w:hAnsi="Arial"/>
                <w:sz w:val="18"/>
                <w:szCs w:val="18"/>
                <w:color w:val="auto"/>
              </w:rPr>
              <w:t>333-78423</w:t>
            </w:r>
          </w:p>
        </w:tc>
        <w:tc>
          <w:tcPr>
            <w:tcW w:w="1360" w:type="dxa"/>
            <w:vAlign w:val="bottom"/>
          </w:tcPr>
          <w:p>
            <w:pPr>
              <w:ind w:left="500"/>
              <w:spacing w:after="0"/>
              <w:rPr>
                <w:sz w:val="20"/>
                <w:szCs w:val="20"/>
                <w:color w:val="auto"/>
              </w:rPr>
            </w:pPr>
            <w:r>
              <w:rPr>
                <w:rFonts w:ascii="Arial" w:cs="Arial" w:eastAsia="Arial" w:hAnsi="Arial"/>
                <w:sz w:val="18"/>
                <w:szCs w:val="18"/>
                <w:color w:val="auto"/>
              </w:rPr>
              <w:t>S-8</w:t>
            </w:r>
          </w:p>
        </w:tc>
        <w:tc>
          <w:tcPr>
            <w:tcW w:w="6780" w:type="dxa"/>
            <w:vAlign w:val="bottom"/>
            <w:gridSpan w:val="2"/>
          </w:tcPr>
          <w:p>
            <w:pPr>
              <w:ind w:left="440"/>
              <w:spacing w:after="0"/>
              <w:rPr>
                <w:sz w:val="20"/>
                <w:szCs w:val="20"/>
                <w:color w:val="auto"/>
              </w:rPr>
            </w:pPr>
            <w:r>
              <w:rPr>
                <w:rFonts w:ascii="Arial" w:cs="Arial" w:eastAsia="Arial" w:hAnsi="Arial"/>
                <w:sz w:val="18"/>
                <w:szCs w:val="18"/>
                <w:color w:val="auto"/>
              </w:rPr>
              <w:t>“Age-Vested” Career Stock Option Plan</w:t>
            </w:r>
          </w:p>
        </w:tc>
      </w:tr>
      <w:tr>
        <w:trPr>
          <w:trHeight w:val="257"/>
        </w:trPr>
        <w:tc>
          <w:tcPr>
            <w:tcW w:w="1820" w:type="dxa"/>
            <w:vAlign w:val="bottom"/>
          </w:tcPr>
          <w:p>
            <w:pPr>
              <w:ind w:left="20"/>
              <w:spacing w:after="0"/>
              <w:rPr>
                <w:sz w:val="20"/>
                <w:szCs w:val="20"/>
                <w:color w:val="auto"/>
              </w:rPr>
            </w:pPr>
            <w:r>
              <w:rPr>
                <w:rFonts w:ascii="Arial" w:cs="Arial" w:eastAsia="Arial" w:hAnsi="Arial"/>
                <w:sz w:val="18"/>
                <w:szCs w:val="18"/>
                <w:color w:val="auto"/>
              </w:rPr>
              <w:t>333-78421</w:t>
            </w:r>
          </w:p>
        </w:tc>
        <w:tc>
          <w:tcPr>
            <w:tcW w:w="1360" w:type="dxa"/>
            <w:vAlign w:val="bottom"/>
          </w:tcPr>
          <w:p>
            <w:pPr>
              <w:ind w:left="500"/>
              <w:spacing w:after="0"/>
              <w:rPr>
                <w:sz w:val="20"/>
                <w:szCs w:val="20"/>
                <w:color w:val="auto"/>
              </w:rPr>
            </w:pPr>
            <w:r>
              <w:rPr>
                <w:rFonts w:ascii="Arial" w:cs="Arial" w:eastAsia="Arial" w:hAnsi="Arial"/>
                <w:sz w:val="18"/>
                <w:szCs w:val="18"/>
                <w:color w:val="auto"/>
              </w:rPr>
              <w:t>S-8</w:t>
            </w:r>
          </w:p>
        </w:tc>
        <w:tc>
          <w:tcPr>
            <w:tcW w:w="6780" w:type="dxa"/>
            <w:vAlign w:val="bottom"/>
            <w:gridSpan w:val="2"/>
          </w:tcPr>
          <w:p>
            <w:pPr>
              <w:ind w:left="440"/>
              <w:spacing w:after="0"/>
              <w:rPr>
                <w:sz w:val="20"/>
                <w:szCs w:val="20"/>
                <w:color w:val="auto"/>
              </w:rPr>
            </w:pPr>
            <w:r>
              <w:rPr>
                <w:rFonts w:ascii="Arial" w:cs="Arial" w:eastAsia="Arial" w:hAnsi="Arial"/>
                <w:sz w:val="18"/>
                <w:szCs w:val="18"/>
                <w:color w:val="auto"/>
              </w:rPr>
              <w:t>“Time-Vested” Incentive Stock Option Plan</w:t>
            </w:r>
          </w:p>
        </w:tc>
      </w:tr>
      <w:tr>
        <w:trPr>
          <w:trHeight w:val="257"/>
        </w:trPr>
        <w:tc>
          <w:tcPr>
            <w:tcW w:w="1820" w:type="dxa"/>
            <w:vAlign w:val="bottom"/>
          </w:tcPr>
          <w:p>
            <w:pPr>
              <w:ind w:left="20"/>
              <w:spacing w:after="0"/>
              <w:rPr>
                <w:sz w:val="20"/>
                <w:szCs w:val="20"/>
                <w:color w:val="auto"/>
              </w:rPr>
            </w:pPr>
            <w:r>
              <w:rPr>
                <w:rFonts w:ascii="Arial" w:cs="Arial" w:eastAsia="Arial" w:hAnsi="Arial"/>
                <w:sz w:val="18"/>
                <w:szCs w:val="18"/>
                <w:color w:val="auto"/>
              </w:rPr>
              <w:t>333-48857</w:t>
            </w:r>
          </w:p>
        </w:tc>
        <w:tc>
          <w:tcPr>
            <w:tcW w:w="1360" w:type="dxa"/>
            <w:vAlign w:val="bottom"/>
          </w:tcPr>
          <w:p>
            <w:pPr>
              <w:ind w:left="500"/>
              <w:spacing w:after="0"/>
              <w:rPr>
                <w:sz w:val="20"/>
                <w:szCs w:val="20"/>
                <w:color w:val="auto"/>
              </w:rPr>
            </w:pPr>
            <w:r>
              <w:rPr>
                <w:rFonts w:ascii="Arial" w:cs="Arial" w:eastAsia="Arial" w:hAnsi="Arial"/>
                <w:sz w:val="18"/>
                <w:szCs w:val="18"/>
                <w:color w:val="auto"/>
              </w:rPr>
              <w:t>S-8</w:t>
            </w:r>
          </w:p>
        </w:tc>
        <w:tc>
          <w:tcPr>
            <w:tcW w:w="860" w:type="dxa"/>
            <w:vAlign w:val="bottom"/>
          </w:tcPr>
          <w:p>
            <w:pPr>
              <w:ind w:left="440"/>
              <w:spacing w:after="0"/>
              <w:rPr>
                <w:sz w:val="20"/>
                <w:szCs w:val="20"/>
                <w:color w:val="auto"/>
              </w:rPr>
            </w:pPr>
            <w:r>
              <w:rPr>
                <w:rFonts w:ascii="Arial" w:cs="Arial" w:eastAsia="Arial" w:hAnsi="Arial"/>
                <w:sz w:val="18"/>
                <w:szCs w:val="18"/>
                <w:color w:val="auto"/>
                <w:w w:val="99"/>
              </w:rPr>
              <w:t>1996</w:t>
            </w:r>
          </w:p>
        </w:tc>
        <w:tc>
          <w:tcPr>
            <w:tcW w:w="5920" w:type="dxa"/>
            <w:vAlign w:val="bottom"/>
          </w:tcPr>
          <w:p>
            <w:pPr>
              <w:ind w:left="20"/>
              <w:spacing w:after="0"/>
              <w:rPr>
                <w:sz w:val="20"/>
                <w:szCs w:val="20"/>
                <w:color w:val="auto"/>
              </w:rPr>
            </w:pPr>
            <w:r>
              <w:rPr>
                <w:rFonts w:ascii="Arial" w:cs="Arial" w:eastAsia="Arial" w:hAnsi="Arial"/>
                <w:sz w:val="18"/>
                <w:szCs w:val="18"/>
                <w:color w:val="auto"/>
              </w:rPr>
              <w:t>Price Vested Performance Stock Option Plan</w:t>
            </w:r>
          </w:p>
        </w:tc>
      </w:tr>
      <w:tr>
        <w:trPr>
          <w:trHeight w:val="257"/>
        </w:trPr>
        <w:tc>
          <w:tcPr>
            <w:tcW w:w="1820" w:type="dxa"/>
            <w:vAlign w:val="bottom"/>
          </w:tcPr>
          <w:p>
            <w:pPr>
              <w:ind w:left="20"/>
              <w:spacing w:after="0"/>
              <w:rPr>
                <w:sz w:val="20"/>
                <w:szCs w:val="20"/>
                <w:color w:val="auto"/>
              </w:rPr>
            </w:pPr>
            <w:r>
              <w:rPr>
                <w:rFonts w:ascii="Arial" w:cs="Arial" w:eastAsia="Arial" w:hAnsi="Arial"/>
                <w:sz w:val="18"/>
                <w:szCs w:val="18"/>
                <w:color w:val="auto"/>
              </w:rPr>
              <w:t>333-85390</w:t>
            </w:r>
          </w:p>
        </w:tc>
        <w:tc>
          <w:tcPr>
            <w:tcW w:w="1360" w:type="dxa"/>
            <w:vAlign w:val="bottom"/>
          </w:tcPr>
          <w:p>
            <w:pPr>
              <w:ind w:left="500"/>
              <w:spacing w:after="0"/>
              <w:rPr>
                <w:sz w:val="20"/>
                <w:szCs w:val="20"/>
                <w:color w:val="auto"/>
              </w:rPr>
            </w:pPr>
            <w:r>
              <w:rPr>
                <w:rFonts w:ascii="Arial" w:cs="Arial" w:eastAsia="Arial" w:hAnsi="Arial"/>
                <w:sz w:val="18"/>
                <w:szCs w:val="18"/>
                <w:color w:val="auto"/>
              </w:rPr>
              <w:t>S-8</w:t>
            </w:r>
          </w:p>
        </w:tc>
        <w:tc>
          <w:tcPr>
            <w:tcW w:w="860" w:type="dxa"/>
            <w:vAlign w:val="bottom"/>
          </w:tcPr>
          <w:p>
            <w:pPr>
              <w:ind w:left="440"/>
              <w:spacing w:after="0"/>
              <w:rPr>
                <w:sz w:val="20"/>
                <w:szCs w:val="20"/>
                <w:color w:val="auto"/>
              </w:rPr>
            </w:pPr>
            <w:r>
              <w:rPr>
                <w:rFonts w:ascii="Arial" w:cs="Arial" w:eastAsia="Arial" w:hAnsi="Arial"/>
                <w:sz w:val="18"/>
                <w:szCs w:val="18"/>
                <w:color w:val="auto"/>
                <w:w w:val="99"/>
              </w:rPr>
              <w:t>2002</w:t>
            </w:r>
          </w:p>
        </w:tc>
        <w:tc>
          <w:tcPr>
            <w:tcW w:w="5920" w:type="dxa"/>
            <w:vAlign w:val="bottom"/>
          </w:tcPr>
          <w:p>
            <w:pPr>
              <w:ind w:left="20"/>
              <w:spacing w:after="0"/>
              <w:rPr>
                <w:sz w:val="20"/>
                <w:szCs w:val="20"/>
                <w:color w:val="auto"/>
              </w:rPr>
            </w:pPr>
            <w:r>
              <w:rPr>
                <w:rFonts w:ascii="Arial" w:cs="Arial" w:eastAsia="Arial" w:hAnsi="Arial"/>
                <w:sz w:val="18"/>
                <w:szCs w:val="18"/>
                <w:color w:val="auto"/>
              </w:rPr>
              <w:t>Price Vested Performance Stock Option Plan</w:t>
            </w:r>
          </w:p>
        </w:tc>
      </w:tr>
      <w:tr>
        <w:trPr>
          <w:trHeight w:val="257"/>
        </w:trPr>
        <w:tc>
          <w:tcPr>
            <w:tcW w:w="1820" w:type="dxa"/>
            <w:vAlign w:val="bottom"/>
          </w:tcPr>
          <w:p>
            <w:pPr>
              <w:ind w:left="20"/>
              <w:spacing w:after="0"/>
              <w:rPr>
                <w:sz w:val="20"/>
                <w:szCs w:val="20"/>
                <w:color w:val="auto"/>
              </w:rPr>
            </w:pPr>
            <w:r>
              <w:rPr>
                <w:rFonts w:ascii="Arial" w:cs="Arial" w:eastAsia="Arial" w:hAnsi="Arial"/>
                <w:sz w:val="18"/>
                <w:szCs w:val="18"/>
                <w:color w:val="auto"/>
              </w:rPr>
              <w:t>333-116487</w:t>
            </w:r>
          </w:p>
        </w:tc>
        <w:tc>
          <w:tcPr>
            <w:tcW w:w="1360" w:type="dxa"/>
            <w:vAlign w:val="bottom"/>
          </w:tcPr>
          <w:p>
            <w:pPr>
              <w:ind w:left="500"/>
              <w:spacing w:after="0"/>
              <w:rPr>
                <w:sz w:val="20"/>
                <w:szCs w:val="20"/>
                <w:color w:val="auto"/>
              </w:rPr>
            </w:pPr>
            <w:r>
              <w:rPr>
                <w:rFonts w:ascii="Arial" w:cs="Arial" w:eastAsia="Arial" w:hAnsi="Arial"/>
                <w:sz w:val="18"/>
                <w:szCs w:val="18"/>
                <w:color w:val="auto"/>
              </w:rPr>
              <w:t>S-8</w:t>
            </w:r>
          </w:p>
        </w:tc>
        <w:tc>
          <w:tcPr>
            <w:tcW w:w="860" w:type="dxa"/>
            <w:vAlign w:val="bottom"/>
          </w:tcPr>
          <w:p>
            <w:pPr>
              <w:ind w:left="440"/>
              <w:spacing w:after="0"/>
              <w:rPr>
                <w:sz w:val="20"/>
                <w:szCs w:val="20"/>
                <w:color w:val="auto"/>
              </w:rPr>
            </w:pPr>
            <w:r>
              <w:rPr>
                <w:rFonts w:ascii="Arial" w:cs="Arial" w:eastAsia="Arial" w:hAnsi="Arial"/>
                <w:sz w:val="18"/>
                <w:szCs w:val="18"/>
                <w:color w:val="auto"/>
                <w:w w:val="99"/>
              </w:rPr>
              <w:t>2004</w:t>
            </w:r>
          </w:p>
        </w:tc>
        <w:tc>
          <w:tcPr>
            <w:tcW w:w="592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r>
      <w:tr>
        <w:trPr>
          <w:trHeight w:val="257"/>
        </w:trPr>
        <w:tc>
          <w:tcPr>
            <w:tcW w:w="1820" w:type="dxa"/>
            <w:vAlign w:val="bottom"/>
          </w:tcPr>
          <w:p>
            <w:pPr>
              <w:ind w:left="20"/>
              <w:spacing w:after="0"/>
              <w:rPr>
                <w:sz w:val="20"/>
                <w:szCs w:val="20"/>
                <w:color w:val="auto"/>
              </w:rPr>
            </w:pPr>
            <w:r>
              <w:rPr>
                <w:rFonts w:ascii="Arial" w:cs="Arial" w:eastAsia="Arial" w:hAnsi="Arial"/>
                <w:sz w:val="18"/>
                <w:szCs w:val="18"/>
                <w:color w:val="auto"/>
              </w:rPr>
              <w:t>333-137241</w:t>
            </w:r>
          </w:p>
        </w:tc>
        <w:tc>
          <w:tcPr>
            <w:tcW w:w="1360" w:type="dxa"/>
            <w:vAlign w:val="bottom"/>
          </w:tcPr>
          <w:p>
            <w:pPr>
              <w:ind w:left="500"/>
              <w:spacing w:after="0"/>
              <w:rPr>
                <w:sz w:val="20"/>
                <w:szCs w:val="20"/>
                <w:color w:val="auto"/>
              </w:rPr>
            </w:pPr>
            <w:r>
              <w:rPr>
                <w:rFonts w:ascii="Arial" w:cs="Arial" w:eastAsia="Arial" w:hAnsi="Arial"/>
                <w:sz w:val="18"/>
                <w:szCs w:val="18"/>
                <w:color w:val="auto"/>
              </w:rPr>
              <w:t>S-8</w:t>
            </w:r>
          </w:p>
        </w:tc>
        <w:tc>
          <w:tcPr>
            <w:tcW w:w="860" w:type="dxa"/>
            <w:vAlign w:val="bottom"/>
          </w:tcPr>
          <w:p>
            <w:pPr>
              <w:ind w:left="440"/>
              <w:spacing w:after="0"/>
              <w:rPr>
                <w:sz w:val="20"/>
                <w:szCs w:val="20"/>
                <w:color w:val="auto"/>
              </w:rPr>
            </w:pPr>
            <w:r>
              <w:rPr>
                <w:rFonts w:ascii="Arial" w:cs="Arial" w:eastAsia="Arial" w:hAnsi="Arial"/>
                <w:sz w:val="18"/>
                <w:szCs w:val="18"/>
                <w:color w:val="auto"/>
                <w:w w:val="99"/>
              </w:rPr>
              <w:t>2006</w:t>
            </w:r>
          </w:p>
        </w:tc>
        <w:tc>
          <w:tcPr>
            <w:tcW w:w="5920" w:type="dxa"/>
            <w:vAlign w:val="bottom"/>
          </w:tcPr>
          <w:p>
            <w:pPr>
              <w:ind w:left="20"/>
              <w:spacing w:after="0"/>
              <w:rPr>
                <w:sz w:val="20"/>
                <w:szCs w:val="20"/>
                <w:color w:val="auto"/>
              </w:rPr>
            </w:pPr>
            <w:r>
              <w:rPr>
                <w:rFonts w:ascii="Arial" w:cs="Arial" w:eastAsia="Arial" w:hAnsi="Arial"/>
                <w:sz w:val="18"/>
                <w:szCs w:val="18"/>
                <w:color w:val="auto"/>
              </w:rPr>
              <w:t>Equity Incentive Plan</w:t>
            </w:r>
          </w:p>
        </w:tc>
      </w:tr>
      <w:tr>
        <w:trPr>
          <w:trHeight w:val="257"/>
        </w:trPr>
        <w:tc>
          <w:tcPr>
            <w:tcW w:w="1820" w:type="dxa"/>
            <w:vAlign w:val="bottom"/>
          </w:tcPr>
          <w:p>
            <w:pPr>
              <w:ind w:left="20"/>
              <w:spacing w:after="0"/>
              <w:rPr>
                <w:sz w:val="20"/>
                <w:szCs w:val="20"/>
                <w:color w:val="auto"/>
              </w:rPr>
            </w:pPr>
            <w:r>
              <w:rPr>
                <w:rFonts w:ascii="Arial" w:cs="Arial" w:eastAsia="Arial" w:hAnsi="Arial"/>
                <w:sz w:val="18"/>
                <w:szCs w:val="18"/>
                <w:color w:val="auto"/>
              </w:rPr>
              <w:t>333-159770</w:t>
            </w:r>
          </w:p>
        </w:tc>
        <w:tc>
          <w:tcPr>
            <w:tcW w:w="1360" w:type="dxa"/>
            <w:vAlign w:val="bottom"/>
          </w:tcPr>
          <w:p>
            <w:pPr>
              <w:ind w:left="500"/>
              <w:spacing w:after="0"/>
              <w:rPr>
                <w:sz w:val="20"/>
                <w:szCs w:val="20"/>
                <w:color w:val="auto"/>
              </w:rPr>
            </w:pPr>
            <w:r>
              <w:rPr>
                <w:rFonts w:ascii="Arial" w:cs="Arial" w:eastAsia="Arial" w:hAnsi="Arial"/>
                <w:sz w:val="18"/>
                <w:szCs w:val="18"/>
                <w:color w:val="auto"/>
              </w:rPr>
              <w:t>S-8</w:t>
            </w:r>
          </w:p>
        </w:tc>
        <w:tc>
          <w:tcPr>
            <w:tcW w:w="860" w:type="dxa"/>
            <w:vAlign w:val="bottom"/>
          </w:tcPr>
          <w:p>
            <w:pPr>
              <w:ind w:left="440"/>
              <w:spacing w:after="0"/>
              <w:rPr>
                <w:sz w:val="20"/>
                <w:szCs w:val="20"/>
                <w:color w:val="auto"/>
              </w:rPr>
            </w:pPr>
            <w:r>
              <w:rPr>
                <w:rFonts w:ascii="Arial" w:cs="Arial" w:eastAsia="Arial" w:hAnsi="Arial"/>
                <w:sz w:val="18"/>
                <w:szCs w:val="18"/>
                <w:color w:val="auto"/>
                <w:w w:val="99"/>
              </w:rPr>
              <w:t>2006</w:t>
            </w:r>
          </w:p>
        </w:tc>
        <w:tc>
          <w:tcPr>
            <w:tcW w:w="5920" w:type="dxa"/>
            <w:vAlign w:val="bottom"/>
          </w:tcPr>
          <w:p>
            <w:pPr>
              <w:ind w:left="20"/>
              <w:spacing w:after="0"/>
              <w:rPr>
                <w:sz w:val="20"/>
                <w:szCs w:val="20"/>
                <w:color w:val="auto"/>
              </w:rPr>
            </w:pPr>
            <w:r>
              <w:rPr>
                <w:rFonts w:ascii="Arial" w:cs="Arial" w:eastAsia="Arial" w:hAnsi="Arial"/>
                <w:sz w:val="18"/>
                <w:szCs w:val="18"/>
                <w:color w:val="auto"/>
              </w:rPr>
              <w:t>Equity Incentive Plan</w:t>
            </w:r>
          </w:p>
        </w:tc>
      </w:tr>
      <w:tr>
        <w:trPr>
          <w:trHeight w:val="257"/>
        </w:trPr>
        <w:tc>
          <w:tcPr>
            <w:tcW w:w="1820" w:type="dxa"/>
            <w:vAlign w:val="bottom"/>
          </w:tcPr>
          <w:p>
            <w:pPr>
              <w:ind w:left="20"/>
              <w:spacing w:after="0"/>
              <w:rPr>
                <w:sz w:val="20"/>
                <w:szCs w:val="20"/>
                <w:color w:val="auto"/>
              </w:rPr>
            </w:pPr>
            <w:r>
              <w:rPr>
                <w:rFonts w:ascii="Arial" w:cs="Arial" w:eastAsia="Arial" w:hAnsi="Arial"/>
                <w:sz w:val="18"/>
                <w:szCs w:val="18"/>
                <w:color w:val="auto"/>
              </w:rPr>
              <w:t>333-179991</w:t>
            </w:r>
          </w:p>
        </w:tc>
        <w:tc>
          <w:tcPr>
            <w:tcW w:w="1360" w:type="dxa"/>
            <w:vAlign w:val="bottom"/>
          </w:tcPr>
          <w:p>
            <w:pPr>
              <w:ind w:left="500"/>
              <w:spacing w:after="0"/>
              <w:rPr>
                <w:sz w:val="20"/>
                <w:szCs w:val="20"/>
                <w:color w:val="auto"/>
              </w:rPr>
            </w:pPr>
            <w:r>
              <w:rPr>
                <w:rFonts w:ascii="Arial" w:cs="Arial" w:eastAsia="Arial" w:hAnsi="Arial"/>
                <w:sz w:val="18"/>
                <w:szCs w:val="18"/>
                <w:color w:val="auto"/>
              </w:rPr>
              <w:t>S-8</w:t>
            </w:r>
          </w:p>
        </w:tc>
        <w:tc>
          <w:tcPr>
            <w:tcW w:w="860" w:type="dxa"/>
            <w:vAlign w:val="bottom"/>
          </w:tcPr>
          <w:p>
            <w:pPr>
              <w:ind w:left="440"/>
              <w:spacing w:after="0"/>
              <w:rPr>
                <w:sz w:val="20"/>
                <w:szCs w:val="20"/>
                <w:color w:val="auto"/>
              </w:rPr>
            </w:pPr>
            <w:r>
              <w:rPr>
                <w:rFonts w:ascii="Arial" w:cs="Arial" w:eastAsia="Arial" w:hAnsi="Arial"/>
                <w:sz w:val="18"/>
                <w:szCs w:val="18"/>
                <w:color w:val="auto"/>
                <w:w w:val="99"/>
              </w:rPr>
              <w:t>2006</w:t>
            </w:r>
          </w:p>
        </w:tc>
        <w:tc>
          <w:tcPr>
            <w:tcW w:w="5920" w:type="dxa"/>
            <w:vAlign w:val="bottom"/>
          </w:tcPr>
          <w:p>
            <w:pPr>
              <w:ind w:left="20"/>
              <w:spacing w:after="0"/>
              <w:rPr>
                <w:sz w:val="20"/>
                <w:szCs w:val="20"/>
                <w:color w:val="auto"/>
              </w:rPr>
            </w:pPr>
            <w:r>
              <w:rPr>
                <w:rFonts w:ascii="Arial" w:cs="Arial" w:eastAsia="Arial" w:hAnsi="Arial"/>
                <w:sz w:val="18"/>
                <w:szCs w:val="18"/>
                <w:color w:val="auto"/>
              </w:rPr>
              <w:t>Equity Incentive Plan</w:t>
            </w:r>
          </w:p>
        </w:tc>
      </w:tr>
      <w:tr>
        <w:trPr>
          <w:trHeight w:val="257"/>
        </w:trPr>
        <w:tc>
          <w:tcPr>
            <w:tcW w:w="1820" w:type="dxa"/>
            <w:vAlign w:val="bottom"/>
          </w:tcPr>
          <w:p>
            <w:pPr>
              <w:ind w:left="20"/>
              <w:spacing w:after="0"/>
              <w:rPr>
                <w:sz w:val="20"/>
                <w:szCs w:val="20"/>
                <w:color w:val="auto"/>
              </w:rPr>
            </w:pPr>
            <w:r>
              <w:rPr>
                <w:rFonts w:ascii="Arial" w:cs="Arial" w:eastAsia="Arial" w:hAnsi="Arial"/>
                <w:sz w:val="18"/>
                <w:szCs w:val="18"/>
                <w:color w:val="auto"/>
              </w:rPr>
              <w:t>333-202521</w:t>
            </w:r>
          </w:p>
        </w:tc>
        <w:tc>
          <w:tcPr>
            <w:tcW w:w="1360" w:type="dxa"/>
            <w:vAlign w:val="bottom"/>
          </w:tcPr>
          <w:p>
            <w:pPr>
              <w:ind w:left="500"/>
              <w:spacing w:after="0"/>
              <w:rPr>
                <w:sz w:val="20"/>
                <w:szCs w:val="20"/>
                <w:color w:val="auto"/>
              </w:rPr>
            </w:pPr>
            <w:r>
              <w:rPr>
                <w:rFonts w:ascii="Arial" w:cs="Arial" w:eastAsia="Arial" w:hAnsi="Arial"/>
                <w:sz w:val="18"/>
                <w:szCs w:val="18"/>
                <w:color w:val="auto"/>
              </w:rPr>
              <w:t>S-8</w:t>
            </w:r>
          </w:p>
        </w:tc>
        <w:tc>
          <w:tcPr>
            <w:tcW w:w="860" w:type="dxa"/>
            <w:vAlign w:val="bottom"/>
          </w:tcPr>
          <w:p>
            <w:pPr>
              <w:ind w:left="440"/>
              <w:spacing w:after="0"/>
              <w:rPr>
                <w:sz w:val="20"/>
                <w:szCs w:val="20"/>
                <w:color w:val="auto"/>
              </w:rPr>
            </w:pPr>
            <w:r>
              <w:rPr>
                <w:rFonts w:ascii="Arial" w:cs="Arial" w:eastAsia="Arial" w:hAnsi="Arial"/>
                <w:sz w:val="18"/>
                <w:szCs w:val="18"/>
                <w:color w:val="auto"/>
                <w:w w:val="99"/>
              </w:rPr>
              <w:t>2006</w:t>
            </w:r>
          </w:p>
        </w:tc>
        <w:tc>
          <w:tcPr>
            <w:tcW w:w="5920" w:type="dxa"/>
            <w:vAlign w:val="bottom"/>
          </w:tcPr>
          <w:p>
            <w:pPr>
              <w:ind w:left="20"/>
              <w:spacing w:after="0"/>
              <w:rPr>
                <w:sz w:val="20"/>
                <w:szCs w:val="20"/>
                <w:color w:val="auto"/>
              </w:rPr>
            </w:pPr>
            <w:r>
              <w:rPr>
                <w:rFonts w:ascii="Arial" w:cs="Arial" w:eastAsia="Arial" w:hAnsi="Arial"/>
                <w:sz w:val="18"/>
                <w:szCs w:val="18"/>
                <w:color w:val="auto"/>
              </w:rPr>
              <w:t>Equity Incentive Plan</w:t>
            </w:r>
          </w:p>
        </w:tc>
      </w:tr>
      <w:tr>
        <w:trPr>
          <w:trHeight w:val="257"/>
        </w:trPr>
        <w:tc>
          <w:tcPr>
            <w:tcW w:w="1820" w:type="dxa"/>
            <w:vAlign w:val="bottom"/>
          </w:tcPr>
          <w:p>
            <w:pPr>
              <w:ind w:left="20"/>
              <w:spacing w:after="0"/>
              <w:rPr>
                <w:sz w:val="20"/>
                <w:szCs w:val="20"/>
                <w:color w:val="auto"/>
              </w:rPr>
            </w:pPr>
            <w:r>
              <w:rPr>
                <w:rFonts w:ascii="Arial" w:cs="Arial" w:eastAsia="Arial" w:hAnsi="Arial"/>
                <w:sz w:val="18"/>
                <w:szCs w:val="18"/>
                <w:color w:val="auto"/>
              </w:rPr>
              <w:t>333-211991</w:t>
            </w:r>
          </w:p>
        </w:tc>
        <w:tc>
          <w:tcPr>
            <w:tcW w:w="1360" w:type="dxa"/>
            <w:vAlign w:val="bottom"/>
          </w:tcPr>
          <w:p>
            <w:pPr>
              <w:ind w:left="500"/>
              <w:spacing w:after="0"/>
              <w:rPr>
                <w:sz w:val="20"/>
                <w:szCs w:val="20"/>
                <w:color w:val="auto"/>
              </w:rPr>
            </w:pPr>
            <w:r>
              <w:rPr>
                <w:rFonts w:ascii="Arial" w:cs="Arial" w:eastAsia="Arial" w:hAnsi="Arial"/>
                <w:sz w:val="18"/>
                <w:szCs w:val="18"/>
                <w:color w:val="auto"/>
              </w:rPr>
              <w:t>S-8</w:t>
            </w:r>
          </w:p>
        </w:tc>
        <w:tc>
          <w:tcPr>
            <w:tcW w:w="860" w:type="dxa"/>
            <w:vAlign w:val="bottom"/>
          </w:tcPr>
          <w:p>
            <w:pPr>
              <w:ind w:left="440"/>
              <w:spacing w:after="0"/>
              <w:rPr>
                <w:sz w:val="20"/>
                <w:szCs w:val="20"/>
                <w:color w:val="auto"/>
              </w:rPr>
            </w:pPr>
            <w:r>
              <w:rPr>
                <w:rFonts w:ascii="Arial" w:cs="Arial" w:eastAsia="Arial" w:hAnsi="Arial"/>
                <w:sz w:val="18"/>
                <w:szCs w:val="18"/>
                <w:color w:val="auto"/>
                <w:w w:val="99"/>
              </w:rPr>
              <w:t>2004</w:t>
            </w:r>
          </w:p>
        </w:tc>
        <w:tc>
          <w:tcPr>
            <w:tcW w:w="592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r>
      <w:tr>
        <w:trPr>
          <w:trHeight w:val="257"/>
        </w:trPr>
        <w:tc>
          <w:tcPr>
            <w:tcW w:w="1820" w:type="dxa"/>
            <w:vAlign w:val="bottom"/>
          </w:tcPr>
          <w:p>
            <w:pPr>
              <w:ind w:left="20"/>
              <w:spacing w:after="0"/>
              <w:rPr>
                <w:sz w:val="20"/>
                <w:szCs w:val="20"/>
                <w:color w:val="auto"/>
              </w:rPr>
            </w:pPr>
            <w:r>
              <w:rPr>
                <w:rFonts w:ascii="Arial" w:cs="Arial" w:eastAsia="Arial" w:hAnsi="Arial"/>
                <w:sz w:val="18"/>
                <w:szCs w:val="18"/>
                <w:color w:val="auto"/>
              </w:rPr>
              <w:t>333-224183</w:t>
            </w:r>
          </w:p>
        </w:tc>
        <w:tc>
          <w:tcPr>
            <w:tcW w:w="1360" w:type="dxa"/>
            <w:vAlign w:val="bottom"/>
          </w:tcPr>
          <w:p>
            <w:pPr>
              <w:ind w:left="500"/>
              <w:spacing w:after="0"/>
              <w:rPr>
                <w:sz w:val="20"/>
                <w:szCs w:val="20"/>
                <w:color w:val="auto"/>
              </w:rPr>
            </w:pPr>
            <w:r>
              <w:rPr>
                <w:rFonts w:ascii="Arial" w:cs="Arial" w:eastAsia="Arial" w:hAnsi="Arial"/>
                <w:sz w:val="18"/>
                <w:szCs w:val="18"/>
                <w:color w:val="auto"/>
              </w:rPr>
              <w:t>S-8</w:t>
            </w:r>
          </w:p>
        </w:tc>
        <w:tc>
          <w:tcPr>
            <w:tcW w:w="6780" w:type="dxa"/>
            <w:vAlign w:val="bottom"/>
            <w:gridSpan w:val="2"/>
          </w:tcPr>
          <w:p>
            <w:pPr>
              <w:ind w:left="440"/>
              <w:spacing w:after="0"/>
              <w:rPr>
                <w:sz w:val="20"/>
                <w:szCs w:val="20"/>
                <w:color w:val="auto"/>
              </w:rPr>
            </w:pPr>
            <w:r>
              <w:rPr>
                <w:rFonts w:ascii="Arial" w:cs="Arial" w:eastAsia="Arial" w:hAnsi="Arial"/>
                <w:sz w:val="18"/>
                <w:szCs w:val="18"/>
                <w:color w:val="auto"/>
              </w:rPr>
              <w:t>Amended and Restated 2016 Equity Incentive Plan</w:t>
            </w:r>
          </w:p>
        </w:tc>
      </w:tr>
      <w:tr>
        <w:trPr>
          <w:trHeight w:val="257"/>
        </w:trPr>
        <w:tc>
          <w:tcPr>
            <w:tcW w:w="1820" w:type="dxa"/>
            <w:vAlign w:val="bottom"/>
          </w:tcPr>
          <w:p>
            <w:pPr>
              <w:ind w:left="20"/>
              <w:spacing w:after="0"/>
              <w:rPr>
                <w:sz w:val="20"/>
                <w:szCs w:val="20"/>
                <w:color w:val="auto"/>
              </w:rPr>
            </w:pPr>
            <w:r>
              <w:rPr>
                <w:rFonts w:ascii="Arial" w:cs="Arial" w:eastAsia="Arial" w:hAnsi="Arial"/>
                <w:sz w:val="18"/>
                <w:szCs w:val="18"/>
                <w:color w:val="auto"/>
              </w:rPr>
              <w:t>333-223233</w:t>
            </w:r>
          </w:p>
        </w:tc>
        <w:tc>
          <w:tcPr>
            <w:tcW w:w="1360" w:type="dxa"/>
            <w:vAlign w:val="bottom"/>
          </w:tcPr>
          <w:p>
            <w:pPr>
              <w:ind w:left="500"/>
              <w:spacing w:after="0"/>
              <w:rPr>
                <w:sz w:val="20"/>
                <w:szCs w:val="20"/>
                <w:color w:val="auto"/>
              </w:rPr>
            </w:pPr>
            <w:r>
              <w:rPr>
                <w:rFonts w:ascii="Arial" w:cs="Arial" w:eastAsia="Arial" w:hAnsi="Arial"/>
                <w:sz w:val="18"/>
                <w:szCs w:val="18"/>
                <w:color w:val="auto"/>
              </w:rPr>
              <w:t>S-3</w:t>
            </w:r>
          </w:p>
        </w:tc>
        <w:tc>
          <w:tcPr>
            <w:tcW w:w="6780" w:type="dxa"/>
            <w:vAlign w:val="bottom"/>
            <w:gridSpan w:val="2"/>
          </w:tcPr>
          <w:p>
            <w:pPr>
              <w:ind w:left="440"/>
              <w:spacing w:after="0"/>
              <w:rPr>
                <w:sz w:val="20"/>
                <w:szCs w:val="20"/>
                <w:color w:val="auto"/>
              </w:rPr>
            </w:pPr>
            <w:r>
              <w:rPr>
                <w:rFonts w:ascii="Arial" w:cs="Arial" w:eastAsia="Arial" w:hAnsi="Arial"/>
                <w:sz w:val="18"/>
                <w:szCs w:val="18"/>
                <w:color w:val="auto"/>
              </w:rPr>
              <w:t>ABM Industries Automatic Shelf Registration Statement</w:t>
            </w: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December 20, 2019</w:t>
      </w:r>
    </w:p>
    <w:p>
      <w:pPr>
        <w:sectPr>
          <w:pgSz w:w="11900" w:h="16838" w:orient="portrait"/>
          <w:cols w:equalWidth="0" w:num="1">
            <w:col w:w="11420"/>
          </w:cols>
          <w:pgMar w:left="240" w:top="114"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I, Scott Salmirs, certify that:</w:t>
      </w:r>
    </w:p>
    <w:p>
      <w:pPr>
        <w:spacing w:after="0" w:line="225" w:lineRule="exact"/>
        <w:rPr>
          <w:sz w:val="20"/>
          <w:szCs w:val="20"/>
          <w:color w:val="auto"/>
        </w:rPr>
      </w:pPr>
    </w:p>
    <w:p>
      <w:pPr>
        <w:ind w:left="340" w:hanging="332"/>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ABM Industries Incorporated;</w:t>
      </w:r>
    </w:p>
    <w:p>
      <w:pPr>
        <w:spacing w:after="0" w:line="225" w:lineRule="exact"/>
        <w:rPr>
          <w:rFonts w:ascii="Arial" w:cs="Arial" w:eastAsia="Arial" w:hAnsi="Arial"/>
          <w:sz w:val="18"/>
          <w:szCs w:val="18"/>
          <w:color w:val="auto"/>
        </w:rPr>
      </w:pPr>
    </w:p>
    <w:p>
      <w:pPr>
        <w:ind w:left="340" w:right="240" w:hanging="332"/>
        <w:spacing w:after="0" w:line="271"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340" w:right="340" w:hanging="332"/>
        <w:spacing w:after="0" w:line="323" w:lineRule="auto"/>
        <w:tabs>
          <w:tab w:leader="none" w:pos="3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7"/>
          <w:szCs w:val="17"/>
          <w:color w:val="auto"/>
        </w:rPr>
      </w:pPr>
    </w:p>
    <w:p>
      <w:pPr>
        <w:ind w:left="340" w:right="320" w:hanging="332"/>
        <w:spacing w:after="0" w:line="278" w:lineRule="auto"/>
        <w:tabs>
          <w:tab w:leader="none" w:pos="3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203" w:lineRule="exact"/>
        <w:rPr>
          <w:rFonts w:ascii="Arial" w:cs="Arial" w:eastAsia="Arial" w:hAnsi="Arial"/>
          <w:sz w:val="17"/>
          <w:szCs w:val="17"/>
          <w:color w:val="auto"/>
        </w:rPr>
      </w:pPr>
    </w:p>
    <w:p>
      <w:pPr>
        <w:ind w:left="660" w:right="240" w:hanging="328"/>
        <w:spacing w:after="0" w:line="271" w:lineRule="auto"/>
        <w:tabs>
          <w:tab w:leader="none" w:pos="6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8"/>
          <w:szCs w:val="18"/>
          <w:color w:val="auto"/>
        </w:rPr>
      </w:pPr>
    </w:p>
    <w:p>
      <w:pPr>
        <w:ind w:left="660" w:right="300" w:hanging="328"/>
        <w:spacing w:after="0" w:line="271" w:lineRule="auto"/>
        <w:tabs>
          <w:tab w:leader="none" w:pos="6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Arial" w:cs="Arial" w:eastAsia="Arial" w:hAnsi="Arial"/>
          <w:sz w:val="18"/>
          <w:szCs w:val="18"/>
          <w:color w:val="auto"/>
        </w:rPr>
      </w:pPr>
    </w:p>
    <w:p>
      <w:pPr>
        <w:ind w:left="660" w:right="260" w:hanging="328"/>
        <w:spacing w:after="0" w:line="271" w:lineRule="auto"/>
        <w:tabs>
          <w:tab w:leader="none" w:pos="6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660" w:right="120" w:hanging="328"/>
        <w:spacing w:after="0" w:line="271" w:lineRule="auto"/>
        <w:tabs>
          <w:tab w:leader="none" w:pos="6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Arial" w:cs="Arial" w:eastAsia="Arial" w:hAnsi="Arial"/>
          <w:sz w:val="18"/>
          <w:szCs w:val="18"/>
          <w:color w:val="auto"/>
        </w:rPr>
      </w:pPr>
    </w:p>
    <w:p>
      <w:pPr>
        <w:ind w:left="340" w:right="320" w:hanging="332"/>
        <w:spacing w:after="0" w:line="271"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660" w:right="440" w:hanging="328"/>
        <w:spacing w:after="0" w:line="292" w:lineRule="auto"/>
        <w:tabs>
          <w:tab w:leader="none" w:pos="6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4" w:lineRule="exact"/>
        <w:rPr>
          <w:rFonts w:ascii="Arial" w:cs="Arial" w:eastAsia="Arial" w:hAnsi="Arial"/>
          <w:sz w:val="18"/>
          <w:szCs w:val="18"/>
          <w:color w:val="auto"/>
        </w:rPr>
      </w:pPr>
    </w:p>
    <w:p>
      <w:pPr>
        <w:ind w:left="660" w:right="40" w:hanging="328"/>
        <w:spacing w:after="0" w:line="292" w:lineRule="auto"/>
        <w:tabs>
          <w:tab w:leader="none" w:pos="6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tcPr>
          <w:p>
            <w:pPr>
              <w:spacing w:after="0"/>
              <w:rPr>
                <w:sz w:val="20"/>
                <w:szCs w:val="20"/>
                <w:color w:val="auto"/>
              </w:rPr>
            </w:pPr>
            <w:r>
              <w:rPr>
                <w:rFonts w:ascii="Arial" w:cs="Arial" w:eastAsia="Arial" w:hAnsi="Arial"/>
                <w:sz w:val="18"/>
                <w:szCs w:val="18"/>
                <w:color w:val="auto"/>
              </w:rPr>
              <w:t>December 20, 2019</w:t>
            </w:r>
          </w:p>
        </w:tc>
        <w:tc>
          <w:tcPr>
            <w:tcW w:w="2880" w:type="dxa"/>
            <w:vAlign w:val="bottom"/>
            <w:gridSpan w:val="2"/>
          </w:tcPr>
          <w:p>
            <w:pPr>
              <w:spacing w:after="0"/>
              <w:rPr>
                <w:sz w:val="20"/>
                <w:szCs w:val="20"/>
                <w:color w:val="auto"/>
              </w:rPr>
            </w:pPr>
            <w:r>
              <w:rPr>
                <w:rFonts w:ascii="Arial" w:cs="Arial" w:eastAsia="Arial" w:hAnsi="Arial"/>
                <w:sz w:val="18"/>
                <w:szCs w:val="18"/>
                <w:color w:val="auto"/>
              </w:rPr>
              <w:t>/s/ Scott Salmirs</w:t>
            </w:r>
          </w:p>
        </w:tc>
      </w:tr>
      <w:tr>
        <w:trPr>
          <w:trHeight w:val="20"/>
        </w:trPr>
        <w:tc>
          <w:tcPr>
            <w:tcW w:w="4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14"/>
        </w:trPr>
        <w:tc>
          <w:tcPr>
            <w:tcW w:w="4540" w:type="dxa"/>
            <w:vAlign w:val="bottom"/>
          </w:tcPr>
          <w:p>
            <w:pPr>
              <w:spacing w:after="0"/>
              <w:rPr>
                <w:sz w:val="18"/>
                <w:szCs w:val="18"/>
                <w:color w:val="auto"/>
              </w:rPr>
            </w:pPr>
          </w:p>
        </w:tc>
        <w:tc>
          <w:tcPr>
            <w:tcW w:w="2880" w:type="dxa"/>
            <w:vAlign w:val="bottom"/>
            <w:gridSpan w:val="2"/>
          </w:tcPr>
          <w:p>
            <w:pPr>
              <w:ind w:left="660"/>
              <w:spacing w:after="0"/>
              <w:rPr>
                <w:sz w:val="20"/>
                <w:szCs w:val="20"/>
                <w:color w:val="auto"/>
              </w:rPr>
            </w:pPr>
            <w:r>
              <w:rPr>
                <w:rFonts w:ascii="Arial" w:cs="Arial" w:eastAsia="Arial" w:hAnsi="Arial"/>
                <w:sz w:val="18"/>
                <w:szCs w:val="18"/>
                <w:color w:val="auto"/>
              </w:rPr>
              <w:t>Scott Salmirs</w:t>
            </w:r>
          </w:p>
        </w:tc>
      </w:tr>
      <w:tr>
        <w:trPr>
          <w:trHeight w:val="216"/>
        </w:trPr>
        <w:tc>
          <w:tcPr>
            <w:tcW w:w="4540" w:type="dxa"/>
            <w:vAlign w:val="bottom"/>
          </w:tcPr>
          <w:p>
            <w:pPr>
              <w:spacing w:after="0"/>
              <w:rPr>
                <w:sz w:val="18"/>
                <w:szCs w:val="18"/>
                <w:color w:val="auto"/>
              </w:rPr>
            </w:pPr>
          </w:p>
        </w:tc>
        <w:tc>
          <w:tcPr>
            <w:tcW w:w="2880" w:type="dxa"/>
            <w:vAlign w:val="bottom"/>
            <w:gridSpan w:val="2"/>
          </w:tcPr>
          <w:p>
            <w:pPr>
              <w:ind w:left="660"/>
              <w:spacing w:after="0"/>
              <w:rPr>
                <w:sz w:val="20"/>
                <w:szCs w:val="20"/>
                <w:color w:val="auto"/>
              </w:rPr>
            </w:pPr>
            <w:r>
              <w:rPr>
                <w:rFonts w:ascii="Arial" w:cs="Arial" w:eastAsia="Arial" w:hAnsi="Arial"/>
                <w:sz w:val="18"/>
                <w:szCs w:val="18"/>
                <w:color w:val="auto"/>
              </w:rPr>
              <w:t>Chief Executive Officer</w:t>
            </w:r>
          </w:p>
        </w:tc>
      </w:tr>
      <w:tr>
        <w:trPr>
          <w:trHeight w:val="243"/>
        </w:trPr>
        <w:tc>
          <w:tcPr>
            <w:tcW w:w="4540" w:type="dxa"/>
            <w:vAlign w:val="bottom"/>
          </w:tcPr>
          <w:p>
            <w:pPr>
              <w:spacing w:after="0"/>
              <w:rPr>
                <w:sz w:val="21"/>
                <w:szCs w:val="21"/>
                <w:color w:val="auto"/>
              </w:rPr>
            </w:pPr>
          </w:p>
        </w:tc>
        <w:tc>
          <w:tcPr>
            <w:tcW w:w="2880" w:type="dxa"/>
            <w:vAlign w:val="bottom"/>
            <w:gridSpan w:val="2"/>
          </w:tcPr>
          <w:p>
            <w:pPr>
              <w:ind w:left="660"/>
              <w:spacing w:after="0"/>
              <w:rPr>
                <w:sz w:val="20"/>
                <w:szCs w:val="20"/>
                <w:color w:val="auto"/>
              </w:rPr>
            </w:pPr>
            <w:r>
              <w:rPr>
                <w:rFonts w:ascii="Arial" w:cs="Arial" w:eastAsia="Arial" w:hAnsi="Arial"/>
                <w:sz w:val="18"/>
                <w:szCs w:val="18"/>
                <w:color w:val="auto"/>
                <w:w w:val="99"/>
              </w:rPr>
              <w:t>(Principal Executive Officer)</w:t>
            </w:r>
          </w:p>
        </w:tc>
      </w:tr>
    </w:tbl>
    <w:p>
      <w:pPr>
        <w:sectPr>
          <w:pgSz w:w="11900" w:h="16838" w:orient="portrait"/>
          <w:cols w:equalWidth="0" w:num="1">
            <w:col w:w="11420"/>
          </w:cols>
          <w:pgMar w:left="240" w:top="169"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D. Anthony Scaglione, certify that:</w:t>
      </w:r>
    </w:p>
    <w:p>
      <w:pPr>
        <w:spacing w:after="0" w:line="225" w:lineRule="exact"/>
        <w:rPr>
          <w:sz w:val="20"/>
          <w:szCs w:val="20"/>
          <w:color w:val="auto"/>
        </w:rPr>
      </w:pPr>
    </w:p>
    <w:p>
      <w:pPr>
        <w:ind w:left="200" w:hanging="192"/>
        <w:spacing w:after="0"/>
        <w:tabs>
          <w:tab w:leader="none" w:pos="2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ABM Industries Incorporated;</w:t>
      </w:r>
    </w:p>
    <w:p>
      <w:pPr>
        <w:spacing w:after="0" w:line="225" w:lineRule="exact"/>
        <w:rPr>
          <w:rFonts w:ascii="Arial" w:cs="Arial" w:eastAsia="Arial" w:hAnsi="Arial"/>
          <w:sz w:val="18"/>
          <w:szCs w:val="18"/>
          <w:color w:val="auto"/>
        </w:rPr>
      </w:pPr>
    </w:p>
    <w:p>
      <w:pPr>
        <w:ind w:left="340" w:right="240" w:hanging="332"/>
        <w:spacing w:after="0" w:line="271"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340" w:right="340" w:hanging="332"/>
        <w:spacing w:after="0" w:line="323" w:lineRule="auto"/>
        <w:tabs>
          <w:tab w:leader="none" w:pos="3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7"/>
          <w:szCs w:val="17"/>
          <w:color w:val="auto"/>
        </w:rPr>
      </w:pPr>
    </w:p>
    <w:p>
      <w:pPr>
        <w:ind w:left="340" w:right="320" w:hanging="332"/>
        <w:spacing w:after="0" w:line="278" w:lineRule="auto"/>
        <w:tabs>
          <w:tab w:leader="none" w:pos="3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203" w:lineRule="exact"/>
        <w:rPr>
          <w:rFonts w:ascii="Arial" w:cs="Arial" w:eastAsia="Arial" w:hAnsi="Arial"/>
          <w:sz w:val="17"/>
          <w:szCs w:val="17"/>
          <w:color w:val="auto"/>
        </w:rPr>
      </w:pPr>
    </w:p>
    <w:p>
      <w:pPr>
        <w:ind w:left="660" w:right="240" w:hanging="328"/>
        <w:spacing w:after="0" w:line="271" w:lineRule="auto"/>
        <w:tabs>
          <w:tab w:leader="none" w:pos="6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8"/>
          <w:szCs w:val="18"/>
          <w:color w:val="auto"/>
        </w:rPr>
      </w:pPr>
    </w:p>
    <w:p>
      <w:pPr>
        <w:ind w:left="660" w:right="300" w:hanging="328"/>
        <w:spacing w:after="0" w:line="271" w:lineRule="auto"/>
        <w:tabs>
          <w:tab w:leader="none" w:pos="6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Arial" w:cs="Arial" w:eastAsia="Arial" w:hAnsi="Arial"/>
          <w:sz w:val="18"/>
          <w:szCs w:val="18"/>
          <w:color w:val="auto"/>
        </w:rPr>
      </w:pPr>
    </w:p>
    <w:p>
      <w:pPr>
        <w:ind w:left="660" w:right="260" w:hanging="328"/>
        <w:spacing w:after="0" w:line="271" w:lineRule="auto"/>
        <w:tabs>
          <w:tab w:leader="none" w:pos="6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660" w:right="120" w:hanging="328"/>
        <w:spacing w:after="0" w:line="271" w:lineRule="auto"/>
        <w:tabs>
          <w:tab w:leader="none" w:pos="6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Arial" w:cs="Arial" w:eastAsia="Arial" w:hAnsi="Arial"/>
          <w:sz w:val="18"/>
          <w:szCs w:val="18"/>
          <w:color w:val="auto"/>
        </w:rPr>
      </w:pPr>
    </w:p>
    <w:p>
      <w:pPr>
        <w:ind w:left="340" w:right="320" w:hanging="332"/>
        <w:spacing w:after="0" w:line="271"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660" w:right="440" w:hanging="328"/>
        <w:spacing w:after="0" w:line="292" w:lineRule="auto"/>
        <w:tabs>
          <w:tab w:leader="none" w:pos="6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4" w:lineRule="exact"/>
        <w:rPr>
          <w:rFonts w:ascii="Arial" w:cs="Arial" w:eastAsia="Arial" w:hAnsi="Arial"/>
          <w:sz w:val="18"/>
          <w:szCs w:val="18"/>
          <w:color w:val="auto"/>
        </w:rPr>
      </w:pPr>
    </w:p>
    <w:p>
      <w:pPr>
        <w:ind w:left="660" w:right="40" w:hanging="328"/>
        <w:spacing w:after="0" w:line="292" w:lineRule="auto"/>
        <w:tabs>
          <w:tab w:leader="none" w:pos="6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20"/>
                <w:szCs w:val="20"/>
                <w:color w:val="auto"/>
              </w:rPr>
            </w:pPr>
            <w:r>
              <w:rPr>
                <w:rFonts w:ascii="Arial" w:cs="Arial" w:eastAsia="Arial" w:hAnsi="Arial"/>
                <w:sz w:val="18"/>
                <w:szCs w:val="18"/>
                <w:color w:val="auto"/>
              </w:rPr>
              <w:t>December 20, 2019</w:t>
            </w:r>
          </w:p>
        </w:tc>
        <w:tc>
          <w:tcPr>
            <w:tcW w:w="2800" w:type="dxa"/>
            <w:vAlign w:val="bottom"/>
            <w:gridSpan w:val="2"/>
          </w:tcPr>
          <w:p>
            <w:pPr>
              <w:spacing w:after="0"/>
              <w:rPr>
                <w:sz w:val="20"/>
                <w:szCs w:val="20"/>
                <w:color w:val="auto"/>
              </w:rPr>
            </w:pPr>
            <w:r>
              <w:rPr>
                <w:rFonts w:ascii="Arial" w:cs="Arial" w:eastAsia="Arial" w:hAnsi="Arial"/>
                <w:sz w:val="18"/>
                <w:szCs w:val="18"/>
                <w:color w:val="auto"/>
              </w:rPr>
              <w:t>/s/ D. Anthony Scaglione</w:t>
            </w:r>
          </w:p>
        </w:tc>
      </w:tr>
      <w:tr>
        <w:trPr>
          <w:trHeight w:val="20"/>
        </w:trPr>
        <w:tc>
          <w:tcPr>
            <w:tcW w:w="390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4"/>
        </w:trPr>
        <w:tc>
          <w:tcPr>
            <w:tcW w:w="3900" w:type="dxa"/>
            <w:vAlign w:val="bottom"/>
          </w:tcPr>
          <w:p>
            <w:pPr>
              <w:spacing w:after="0"/>
              <w:rPr>
                <w:sz w:val="18"/>
                <w:szCs w:val="18"/>
                <w:color w:val="auto"/>
              </w:rPr>
            </w:pPr>
          </w:p>
        </w:tc>
        <w:tc>
          <w:tcPr>
            <w:tcW w:w="2800" w:type="dxa"/>
            <w:vAlign w:val="bottom"/>
            <w:gridSpan w:val="2"/>
          </w:tcPr>
          <w:p>
            <w:pPr>
              <w:ind w:left="640"/>
              <w:spacing w:after="0"/>
              <w:rPr>
                <w:sz w:val="20"/>
                <w:szCs w:val="20"/>
                <w:color w:val="auto"/>
              </w:rPr>
            </w:pPr>
            <w:r>
              <w:rPr>
                <w:rFonts w:ascii="Arial" w:cs="Arial" w:eastAsia="Arial" w:hAnsi="Arial"/>
                <w:sz w:val="18"/>
                <w:szCs w:val="18"/>
                <w:color w:val="auto"/>
              </w:rPr>
              <w:t>D. Anthony Scaglione</w:t>
            </w:r>
          </w:p>
        </w:tc>
      </w:tr>
      <w:tr>
        <w:trPr>
          <w:trHeight w:val="216"/>
        </w:trPr>
        <w:tc>
          <w:tcPr>
            <w:tcW w:w="3900" w:type="dxa"/>
            <w:vAlign w:val="bottom"/>
          </w:tcPr>
          <w:p>
            <w:pPr>
              <w:spacing w:after="0"/>
              <w:rPr>
                <w:sz w:val="18"/>
                <w:szCs w:val="18"/>
                <w:color w:val="auto"/>
              </w:rPr>
            </w:pPr>
          </w:p>
        </w:tc>
        <w:tc>
          <w:tcPr>
            <w:tcW w:w="2800" w:type="dxa"/>
            <w:vAlign w:val="bottom"/>
            <w:gridSpan w:val="2"/>
          </w:tcPr>
          <w:p>
            <w:pPr>
              <w:ind w:left="640"/>
              <w:spacing w:after="0"/>
              <w:rPr>
                <w:sz w:val="20"/>
                <w:szCs w:val="20"/>
                <w:color w:val="auto"/>
              </w:rPr>
            </w:pPr>
            <w:r>
              <w:rPr>
                <w:rFonts w:ascii="Arial" w:cs="Arial" w:eastAsia="Arial" w:hAnsi="Arial"/>
                <w:sz w:val="18"/>
                <w:szCs w:val="18"/>
                <w:color w:val="auto"/>
              </w:rPr>
              <w:t>Chief Financial Officer</w:t>
            </w:r>
          </w:p>
        </w:tc>
      </w:tr>
      <w:tr>
        <w:trPr>
          <w:trHeight w:val="243"/>
        </w:trPr>
        <w:tc>
          <w:tcPr>
            <w:tcW w:w="3900" w:type="dxa"/>
            <w:vAlign w:val="bottom"/>
          </w:tcPr>
          <w:p>
            <w:pPr>
              <w:spacing w:after="0"/>
              <w:rPr>
                <w:sz w:val="21"/>
                <w:szCs w:val="21"/>
                <w:color w:val="auto"/>
              </w:rPr>
            </w:pPr>
          </w:p>
        </w:tc>
        <w:tc>
          <w:tcPr>
            <w:tcW w:w="2800" w:type="dxa"/>
            <w:vAlign w:val="bottom"/>
            <w:gridSpan w:val="2"/>
          </w:tcPr>
          <w:p>
            <w:pPr>
              <w:ind w:left="640"/>
              <w:spacing w:after="0"/>
              <w:rPr>
                <w:sz w:val="20"/>
                <w:szCs w:val="20"/>
                <w:color w:val="auto"/>
              </w:rPr>
            </w:pPr>
            <w:r>
              <w:rPr>
                <w:rFonts w:ascii="Arial" w:cs="Arial" w:eastAsia="Arial" w:hAnsi="Arial"/>
                <w:sz w:val="18"/>
                <w:szCs w:val="18"/>
                <w:color w:val="auto"/>
                <w:w w:val="99"/>
              </w:rPr>
              <w:t>(Principal Financial Officer)</w:t>
            </w:r>
          </w:p>
        </w:tc>
      </w:tr>
    </w:tbl>
    <w:p>
      <w:pPr>
        <w:sectPr>
          <w:pgSz w:w="11900" w:h="16838" w:orient="portrait"/>
          <w:cols w:equalWidth="0" w:num="1">
            <w:col w:w="11420"/>
          </w:cols>
          <w:pgMar w:left="240" w:top="114"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SECURITIES EXCHANGE ACT OF 1934</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13a-14(b) OR 15d-14(b)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19" w:lineRule="exact"/>
        <w:rPr>
          <w:sz w:val="20"/>
          <w:szCs w:val="20"/>
          <w:color w:val="auto"/>
        </w:rPr>
      </w:pPr>
    </w:p>
    <w:p>
      <w:pPr>
        <w:ind w:right="180" w:firstLine="324"/>
        <w:spacing w:after="0" w:line="260" w:lineRule="auto"/>
        <w:rPr>
          <w:sz w:val="20"/>
          <w:szCs w:val="20"/>
          <w:color w:val="auto"/>
        </w:rPr>
      </w:pPr>
      <w:r>
        <w:rPr>
          <w:rFonts w:ascii="Arial" w:cs="Arial" w:eastAsia="Arial" w:hAnsi="Arial"/>
          <w:sz w:val="18"/>
          <w:szCs w:val="18"/>
          <w:color w:val="auto"/>
        </w:rPr>
        <w:t>In connection with the Annual Report of ABM Industries Incorporated (the “Company”) for the year ended October 31, 2019, as filed with the Securities and Exchange Commission on the date hereof (the “Report”), Scott Salmirs, Chief Executive Officer of the Company, and D. Anthony Scaglione, Chief Financial Officer of the Company, each certifies for the purpose of complying with Rule 13a-14(b) or Rule 15d-14(b) of the Securities Exchange Act of 1934, as amended (the “Exchange Act”) and Section 1350 of Chapter 63 of Title 18 of the United States Code, that:</w:t>
      </w:r>
    </w:p>
    <w:p>
      <w:pPr>
        <w:spacing w:after="0" w:line="175" w:lineRule="exact"/>
        <w:rPr>
          <w:sz w:val="20"/>
          <w:szCs w:val="20"/>
          <w:color w:val="auto"/>
        </w:rPr>
      </w:pPr>
    </w:p>
    <w:p>
      <w:pPr>
        <w:ind w:left="980" w:hanging="648"/>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31" w:lineRule="exact"/>
        <w:rPr>
          <w:rFonts w:ascii="Arial" w:cs="Arial" w:eastAsia="Arial" w:hAnsi="Arial"/>
          <w:sz w:val="18"/>
          <w:szCs w:val="18"/>
          <w:color w:val="auto"/>
        </w:rPr>
      </w:pPr>
    </w:p>
    <w:p>
      <w:pPr>
        <w:ind w:left="980" w:right="220" w:hanging="648"/>
        <w:spacing w:after="0" w:line="266" w:lineRule="auto"/>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20"/>
                <w:szCs w:val="20"/>
                <w:color w:val="auto"/>
              </w:rPr>
            </w:pPr>
            <w:r>
              <w:rPr>
                <w:rFonts w:ascii="Arial" w:cs="Arial" w:eastAsia="Arial" w:hAnsi="Arial"/>
                <w:sz w:val="18"/>
                <w:szCs w:val="18"/>
                <w:color w:val="auto"/>
              </w:rPr>
              <w:t>December 20, 2019</w:t>
            </w:r>
          </w:p>
        </w:tc>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/s/ Scott Salmirs</w:t>
            </w:r>
          </w:p>
        </w:tc>
        <w:tc>
          <w:tcPr>
            <w:tcW w:w="1560" w:type="dxa"/>
            <w:vAlign w:val="bottom"/>
            <w:gridSpan w:val="2"/>
          </w:tcPr>
          <w:p>
            <w:pPr>
              <w:spacing w:after="0"/>
              <w:rPr>
                <w:sz w:val="17"/>
                <w:szCs w:val="17"/>
                <w:color w:val="auto"/>
              </w:rPr>
            </w:pPr>
          </w:p>
        </w:tc>
      </w:tr>
      <w:tr>
        <w:trPr>
          <w:trHeight w:val="214"/>
        </w:trPr>
        <w:tc>
          <w:tcPr>
            <w:tcW w:w="3900" w:type="dxa"/>
            <w:vAlign w:val="bottom"/>
          </w:tcPr>
          <w:p>
            <w:pPr>
              <w:spacing w:after="0"/>
              <w:rPr>
                <w:sz w:val="18"/>
                <w:szCs w:val="18"/>
                <w:color w:val="auto"/>
              </w:rPr>
            </w:pPr>
          </w:p>
        </w:tc>
        <w:tc>
          <w:tcPr>
            <w:tcW w:w="2860" w:type="dxa"/>
            <w:vAlign w:val="bottom"/>
            <w:gridSpan w:val="3"/>
          </w:tcPr>
          <w:p>
            <w:pPr>
              <w:ind w:left="640"/>
              <w:spacing w:after="0"/>
              <w:rPr>
                <w:sz w:val="20"/>
                <w:szCs w:val="20"/>
                <w:color w:val="auto"/>
              </w:rPr>
            </w:pPr>
            <w:r>
              <w:rPr>
                <w:rFonts w:ascii="Arial" w:cs="Arial" w:eastAsia="Arial" w:hAnsi="Arial"/>
                <w:sz w:val="18"/>
                <w:szCs w:val="18"/>
                <w:color w:val="auto"/>
              </w:rPr>
              <w:t>Scott Salmirs</w:t>
            </w:r>
          </w:p>
        </w:tc>
      </w:tr>
      <w:tr>
        <w:trPr>
          <w:trHeight w:val="216"/>
        </w:trPr>
        <w:tc>
          <w:tcPr>
            <w:tcW w:w="3900" w:type="dxa"/>
            <w:vAlign w:val="bottom"/>
          </w:tcPr>
          <w:p>
            <w:pPr>
              <w:spacing w:after="0"/>
              <w:rPr>
                <w:sz w:val="18"/>
                <w:szCs w:val="18"/>
                <w:color w:val="auto"/>
              </w:rPr>
            </w:pPr>
          </w:p>
        </w:tc>
        <w:tc>
          <w:tcPr>
            <w:tcW w:w="2860" w:type="dxa"/>
            <w:vAlign w:val="bottom"/>
            <w:gridSpan w:val="3"/>
          </w:tcPr>
          <w:p>
            <w:pPr>
              <w:ind w:left="640"/>
              <w:spacing w:after="0"/>
              <w:rPr>
                <w:sz w:val="20"/>
                <w:szCs w:val="20"/>
                <w:color w:val="auto"/>
              </w:rPr>
            </w:pPr>
            <w:r>
              <w:rPr>
                <w:rFonts w:ascii="Arial" w:cs="Arial" w:eastAsia="Arial" w:hAnsi="Arial"/>
                <w:sz w:val="18"/>
                <w:szCs w:val="18"/>
                <w:color w:val="auto"/>
              </w:rPr>
              <w:t>Chief Executive Officer</w:t>
            </w:r>
          </w:p>
        </w:tc>
      </w:tr>
      <w:tr>
        <w:trPr>
          <w:trHeight w:val="243"/>
        </w:trPr>
        <w:tc>
          <w:tcPr>
            <w:tcW w:w="3900" w:type="dxa"/>
            <w:vAlign w:val="bottom"/>
          </w:tcPr>
          <w:p>
            <w:pPr>
              <w:spacing w:after="0"/>
              <w:rPr>
                <w:sz w:val="21"/>
                <w:szCs w:val="21"/>
                <w:color w:val="auto"/>
              </w:rPr>
            </w:pPr>
          </w:p>
        </w:tc>
        <w:tc>
          <w:tcPr>
            <w:tcW w:w="2860" w:type="dxa"/>
            <w:vAlign w:val="bottom"/>
            <w:gridSpan w:val="3"/>
          </w:tcPr>
          <w:p>
            <w:pPr>
              <w:ind w:left="640"/>
              <w:spacing w:after="0"/>
              <w:rPr>
                <w:sz w:val="20"/>
                <w:szCs w:val="20"/>
                <w:color w:val="auto"/>
              </w:rPr>
            </w:pPr>
            <w:r>
              <w:rPr>
                <w:rFonts w:ascii="Arial" w:cs="Arial" w:eastAsia="Arial" w:hAnsi="Arial"/>
                <w:sz w:val="18"/>
                <w:szCs w:val="18"/>
                <w:color w:val="auto"/>
                <w:w w:val="99"/>
              </w:rPr>
              <w:t>(Principal Executive Officer)</w:t>
            </w:r>
          </w:p>
        </w:tc>
      </w:tr>
      <w:tr>
        <w:trPr>
          <w:trHeight w:val="604"/>
        </w:trPr>
        <w:tc>
          <w:tcPr>
            <w:tcW w:w="3900" w:type="dxa"/>
            <w:vAlign w:val="bottom"/>
          </w:tcPr>
          <w:p>
            <w:pPr>
              <w:spacing w:after="0"/>
              <w:rPr>
                <w:sz w:val="20"/>
                <w:szCs w:val="20"/>
                <w:color w:val="auto"/>
              </w:rPr>
            </w:pPr>
            <w:r>
              <w:rPr>
                <w:rFonts w:ascii="Arial" w:cs="Arial" w:eastAsia="Arial" w:hAnsi="Arial"/>
                <w:sz w:val="18"/>
                <w:szCs w:val="18"/>
                <w:color w:val="auto"/>
              </w:rPr>
              <w:t>December 20, 2019</w:t>
            </w:r>
          </w:p>
        </w:tc>
        <w:tc>
          <w:tcPr>
            <w:tcW w:w="2860" w:type="dxa"/>
            <w:vAlign w:val="bottom"/>
            <w:gridSpan w:val="3"/>
          </w:tcPr>
          <w:p>
            <w:pPr>
              <w:spacing w:after="0"/>
              <w:rPr>
                <w:sz w:val="20"/>
                <w:szCs w:val="20"/>
                <w:color w:val="auto"/>
              </w:rPr>
            </w:pPr>
            <w:r>
              <w:rPr>
                <w:rFonts w:ascii="Arial" w:cs="Arial" w:eastAsia="Arial" w:hAnsi="Arial"/>
                <w:sz w:val="18"/>
                <w:szCs w:val="18"/>
                <w:color w:val="auto"/>
              </w:rPr>
              <w:t>/s/ D. Anthony Scaglione</w:t>
            </w:r>
          </w:p>
        </w:tc>
      </w:tr>
      <w:tr>
        <w:trPr>
          <w:trHeight w:val="20"/>
        </w:trPr>
        <w:tc>
          <w:tcPr>
            <w:tcW w:w="3900" w:type="dxa"/>
            <w:vAlign w:val="bottom"/>
          </w:tcPr>
          <w:p>
            <w:pPr>
              <w:spacing w:after="0" w:line="20" w:lineRule="exact"/>
              <w:rPr>
                <w:sz w:val="1"/>
                <w:szCs w:val="1"/>
                <w:color w:val="auto"/>
              </w:rPr>
            </w:pPr>
          </w:p>
        </w:tc>
        <w:tc>
          <w:tcPr>
            <w:tcW w:w="1960" w:type="dxa"/>
            <w:vAlign w:val="bottom"/>
            <w:gridSpan w:val="2"/>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4"/>
        </w:trPr>
        <w:tc>
          <w:tcPr>
            <w:tcW w:w="3900" w:type="dxa"/>
            <w:vAlign w:val="bottom"/>
          </w:tcPr>
          <w:p>
            <w:pPr>
              <w:spacing w:after="0"/>
              <w:rPr>
                <w:sz w:val="18"/>
                <w:szCs w:val="18"/>
                <w:color w:val="auto"/>
              </w:rPr>
            </w:pPr>
          </w:p>
        </w:tc>
        <w:tc>
          <w:tcPr>
            <w:tcW w:w="2860" w:type="dxa"/>
            <w:vAlign w:val="bottom"/>
            <w:gridSpan w:val="3"/>
          </w:tcPr>
          <w:p>
            <w:pPr>
              <w:ind w:left="640"/>
              <w:spacing w:after="0"/>
              <w:rPr>
                <w:sz w:val="20"/>
                <w:szCs w:val="20"/>
                <w:color w:val="auto"/>
              </w:rPr>
            </w:pPr>
            <w:r>
              <w:rPr>
                <w:rFonts w:ascii="Arial" w:cs="Arial" w:eastAsia="Arial" w:hAnsi="Arial"/>
                <w:sz w:val="18"/>
                <w:szCs w:val="18"/>
                <w:color w:val="auto"/>
              </w:rPr>
              <w:t>D. Anthony Scaglione</w:t>
            </w:r>
          </w:p>
        </w:tc>
      </w:tr>
      <w:tr>
        <w:trPr>
          <w:trHeight w:val="216"/>
        </w:trPr>
        <w:tc>
          <w:tcPr>
            <w:tcW w:w="3900" w:type="dxa"/>
            <w:vAlign w:val="bottom"/>
          </w:tcPr>
          <w:p>
            <w:pPr>
              <w:spacing w:after="0"/>
              <w:rPr>
                <w:sz w:val="18"/>
                <w:szCs w:val="18"/>
                <w:color w:val="auto"/>
              </w:rPr>
            </w:pPr>
          </w:p>
        </w:tc>
        <w:tc>
          <w:tcPr>
            <w:tcW w:w="2860" w:type="dxa"/>
            <w:vAlign w:val="bottom"/>
            <w:gridSpan w:val="3"/>
          </w:tcPr>
          <w:p>
            <w:pPr>
              <w:ind w:left="640"/>
              <w:spacing w:after="0"/>
              <w:rPr>
                <w:sz w:val="20"/>
                <w:szCs w:val="20"/>
                <w:color w:val="auto"/>
              </w:rPr>
            </w:pPr>
            <w:r>
              <w:rPr>
                <w:rFonts w:ascii="Arial" w:cs="Arial" w:eastAsia="Arial" w:hAnsi="Arial"/>
                <w:sz w:val="18"/>
                <w:szCs w:val="18"/>
                <w:color w:val="auto"/>
              </w:rPr>
              <w:t>Chief Financial Officer</w:t>
            </w:r>
          </w:p>
        </w:tc>
      </w:tr>
      <w:tr>
        <w:trPr>
          <w:trHeight w:val="243"/>
        </w:trPr>
        <w:tc>
          <w:tcPr>
            <w:tcW w:w="3900" w:type="dxa"/>
            <w:vAlign w:val="bottom"/>
          </w:tcPr>
          <w:p>
            <w:pPr>
              <w:spacing w:after="0"/>
              <w:rPr>
                <w:sz w:val="21"/>
                <w:szCs w:val="21"/>
                <w:color w:val="auto"/>
              </w:rPr>
            </w:pPr>
          </w:p>
        </w:tc>
        <w:tc>
          <w:tcPr>
            <w:tcW w:w="2860" w:type="dxa"/>
            <w:vAlign w:val="bottom"/>
            <w:gridSpan w:val="3"/>
          </w:tcPr>
          <w:p>
            <w:pPr>
              <w:ind w:left="64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420"/>
      </w:cols>
      <w:pgMar w:left="240" w:top="11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1)"/>
      <w:numFmt w:val="decimal"/>
      <w:start w:val="1"/>
    </w:lvl>
  </w:abstractNum>
  <w:abstractNum w:abstractNumId="4">
    <w:nsid w:val="7724C67E"/>
    <w:multiLevelType w:val="hybridMultilevel"/>
    <w:lvl w:ilvl="0">
      <w:lvlJc w:val="left"/>
      <w:lvlText w:val="(%1)"/>
      <w:numFmt w:val="decimal"/>
      <w:start w:val="1"/>
    </w:lvl>
  </w:abstractNum>
  <w:abstractNum w:abstractNumId="5">
    <w:nsid w:val="5C482A97"/>
    <w:multiLevelType w:val="hybridMultilevel"/>
    <w:lvl w:ilvl="0">
      <w:lvlJc w:val="left"/>
      <w:lvlText w:val="(%1)"/>
      <w:numFmt w:val="decimal"/>
      <w:start w:val="3"/>
    </w:lvl>
    <w:lvl w:ilvl="1">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1)"/>
      <w:numFmt w:val="decimal"/>
      <w:start w:val="1"/>
    </w:lvl>
  </w:abstractNum>
  <w:abstractNum w:abstractNumId="15">
    <w:nsid w:val="2A487CB0"/>
    <w:multiLevelType w:val="hybridMultilevel"/>
    <w:lvl w:ilvl="0">
      <w:lvlJc w:val="left"/>
      <w:lvlText w:val="(%1)"/>
      <w:numFmt w:val="decimal"/>
      <w:start w:val="1"/>
    </w:lvl>
  </w:abstractNum>
  <w:abstractNum w:abstractNumId="16">
    <w:nsid w:val="1D4ED43B"/>
    <w:multiLevelType w:val="hybridMultilevel"/>
    <w:lvl w:ilvl="0">
      <w:lvlJc w:val="left"/>
      <w:lvlText w:val="(%1)"/>
      <w:numFmt w:val="decimal"/>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1)"/>
      <w:numFmt w:val="decimal"/>
      <w:start w:val="1"/>
    </w:lvl>
  </w:abstractNum>
  <w:abstractNum w:abstractNumId="19">
    <w:nsid w:val="57E4CCAF"/>
    <w:multiLevelType w:val="hybridMultilevel"/>
    <w:lvl w:ilvl="0">
      <w:lvlJc w:val="left"/>
      <w:lvlText w:val="(%1)"/>
      <w:numFmt w:val="decimal"/>
      <w:start w:val="2"/>
    </w:lvl>
  </w:abstractNum>
  <w:abstractNum w:abstractNumId="20">
    <w:nsid w:val="7A6D8D3C"/>
    <w:multiLevelType w:val="hybridMultilevel"/>
    <w:lvl w:ilvl="0">
      <w:lvlJc w:val="left"/>
      <w:lvlText w:val="(%1)"/>
      <w:numFmt w:val="decimal"/>
      <w:start w:val="1"/>
    </w:lvl>
  </w:abstractNum>
  <w:abstractNum w:abstractNumId="21">
    <w:nsid w:val="4B588F54"/>
    <w:multiLevelType w:val="hybridMultilevel"/>
    <w:lvl w:ilvl="0">
      <w:lvlJc w:val="left"/>
      <w:lvlText w:val="(%1)"/>
      <w:numFmt w:val="decimal"/>
      <w:start w:val="1"/>
    </w:lvl>
    <w:lvl w:ilvl="1">
      <w:lvlJc w:val="left"/>
      <w:lvlText w:val="(%2)"/>
      <w:numFmt w:val="decimal"/>
      <w:start w:val="3"/>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1."/>
      <w:numFmt w:val="decimal"/>
      <w:start w:val="606"/>
    </w:lvl>
  </w:abstractNum>
  <w:abstractNum w:abstractNumId="25">
    <w:nsid w:val="7644A45C"/>
    <w:multiLevelType w:val="hybridMultilevel"/>
    <w:lvl w:ilvl="0">
      <w:lvlJc w:val="left"/>
      <w:lvlText w:val="(%1)"/>
      <w:numFmt w:val="decimal"/>
      <w:start w:val="1"/>
    </w:lvl>
  </w:abstractNum>
  <w:abstractNum w:abstractNumId="26">
    <w:nsid w:val="32FFF902"/>
    <w:multiLevelType w:val="hybridMultilevel"/>
    <w:lvl w:ilvl="0">
      <w:lvlJc w:val="left"/>
      <w:lvlText w:val="(%1)"/>
      <w:numFmt w:val="decimal"/>
      <w:start w:val="1"/>
    </w:lvl>
  </w:abstractNum>
  <w:abstractNum w:abstractNumId="27">
    <w:nsid w:val="684A481A"/>
    <w:multiLevelType w:val="hybridMultilevel"/>
    <w:lvl w:ilvl="0">
      <w:lvlJc w:val="left"/>
      <w:lvlText w:val="(%1)"/>
      <w:numFmt w:val="decimal"/>
      <w:start w:val="1"/>
    </w:lvl>
  </w:abstractNum>
  <w:abstractNum w:abstractNumId="28">
    <w:nsid w:val="579478FE"/>
    <w:multiLevelType w:val="hybridMultilevel"/>
    <w:lvl w:ilvl="0">
      <w:lvlJc w:val="left"/>
      <w:lvlText w:val="(%1)"/>
      <w:numFmt w:val="decimal"/>
      <w:start w:val="1"/>
    </w:lvl>
  </w:abstractNum>
  <w:abstractNum w:abstractNumId="29">
    <w:nsid w:val="749ABB43"/>
    <w:multiLevelType w:val="hybridMultilevel"/>
    <w:lvl w:ilvl="0">
      <w:lvlJc w:val="left"/>
      <w:lvlText w:val="(%1)"/>
      <w:numFmt w:val="decimal"/>
      <w:start w:val="1"/>
    </w:lvl>
  </w:abstractNum>
  <w:abstractNum w:abstractNumId="30">
    <w:nsid w:val="3DC240FB"/>
    <w:multiLevelType w:val="hybridMultilevel"/>
    <w:lvl w:ilvl="0">
      <w:lvlJc w:val="left"/>
      <w:lvlText w:val="(%1)"/>
      <w:numFmt w:val="decimal"/>
      <w:start w:val="1"/>
    </w:lvl>
  </w:abstractNum>
  <w:abstractNum w:abstractNumId="31">
    <w:nsid w:val="1BA026FA"/>
    <w:multiLevelType w:val="hybridMultilevel"/>
    <w:lvl w:ilvl="0">
      <w:lvlJc w:val="left"/>
      <w:lvlText w:val="(%1)"/>
      <w:numFmt w:val="decimal"/>
      <w:start w:val="1"/>
    </w:lvl>
  </w:abstractNum>
  <w:abstractNum w:abstractNumId="32">
    <w:nsid w:val="79A1DEAA"/>
    <w:multiLevelType w:val="hybridMultilevel"/>
    <w:lvl w:ilvl="0">
      <w:lvlJc w:val="left"/>
      <w:lvlText w:val="%1."/>
      <w:numFmt w:val="decimal"/>
      <w:start w:val="10"/>
    </w:lvl>
  </w:abstractNum>
  <w:abstractNum w:abstractNumId="33">
    <w:nsid w:val="75C6C33A"/>
    <w:multiLevelType w:val="hybridMultilevel"/>
    <w:lvl w:ilvl="0">
      <w:lvlJc w:val="left"/>
      <w:lvlText w:val="(%1)"/>
      <w:numFmt w:val="decimal"/>
      <w:start w:val="1"/>
    </w:lvl>
  </w:abstractNum>
  <w:abstractNum w:abstractNumId="34">
    <w:nsid w:val="12E685FB"/>
    <w:multiLevelType w:val="hybridMultilevel"/>
    <w:lvl w:ilvl="0">
      <w:lvlJc w:val="left"/>
      <w:lvlText w:val="(%1)"/>
      <w:numFmt w:val="decimal"/>
      <w:start w:val="1"/>
    </w:lvl>
  </w:abstractNum>
  <w:abstractNum w:abstractNumId="35">
    <w:nsid w:val="70C6A529"/>
    <w:multiLevelType w:val="hybridMultilevel"/>
    <w:lvl w:ilvl="0">
      <w:lvlJc w:val="left"/>
      <w:lvlText w:val="(%1)"/>
      <w:numFmt w:val="decimal"/>
      <w:start w:val="1"/>
    </w:lvl>
  </w:abstractNum>
  <w:abstractNum w:abstractNumId="36">
    <w:nsid w:val="520EEDD1"/>
    <w:multiLevelType w:val="hybridMultilevel"/>
    <w:lvl w:ilvl="0">
      <w:lvlJc w:val="left"/>
      <w:lvlText w:val="(%1)"/>
      <w:numFmt w:val="decimal"/>
      <w:start w:val="1"/>
    </w:lvl>
  </w:abstractNum>
  <w:abstractNum w:abstractNumId="37">
    <w:nsid w:val="374A3FE6"/>
    <w:multiLevelType w:val="hybridMultilevel"/>
    <w:lvl w:ilvl="0">
      <w:lvlJc w:val="left"/>
      <w:lvlText w:val="(%1)"/>
      <w:numFmt w:val="decimal"/>
      <w:start w:val="1"/>
    </w:lvl>
  </w:abstractNum>
  <w:abstractNum w:abstractNumId="38">
    <w:nsid w:val="4F4EF005"/>
    <w:multiLevelType w:val="hybridMultilevel"/>
    <w:lvl w:ilvl="0">
      <w:lvlJc w:val="left"/>
      <w:lvlText w:val="(%1)"/>
      <w:numFmt w:val="decimal"/>
      <w:start w:val="1"/>
    </w:lvl>
  </w:abstractNum>
  <w:abstractNum w:abstractNumId="39">
    <w:nsid w:val="23F9C13C"/>
    <w:multiLevelType w:val="hybridMultilevel"/>
    <w:lvl w:ilvl="0">
      <w:lvlJc w:val="left"/>
      <w:lvlText w:val="(%1)"/>
      <w:numFmt w:val="decimal"/>
      <w:start w:val="1"/>
    </w:lvl>
  </w:abstractNum>
  <w:abstractNum w:abstractNumId="40">
    <w:nsid w:val="649BB77C"/>
    <w:multiLevelType w:val="hybridMultilevel"/>
    <w:lvl w:ilvl="0">
      <w:lvlJc w:val="left"/>
      <w:lvlText w:val="*"/>
      <w:numFmt w:val="bullet"/>
      <w:start w:val="1"/>
    </w:lvl>
  </w:abstractNum>
  <w:abstractNum w:abstractNumId="41">
    <w:nsid w:val="275AC794"/>
    <w:multiLevelType w:val="hybridMultilevel"/>
    <w:lvl w:ilvl="0">
      <w:lvlJc w:val="left"/>
      <w:lvlText w:val="(%1)"/>
      <w:numFmt w:val="decimal"/>
      <w:start w:val="1"/>
    </w:lvl>
  </w:abstractNum>
  <w:abstractNum w:abstractNumId="42">
    <w:nsid w:val="39386575"/>
    <w:multiLevelType w:val="hybridMultilevel"/>
    <w:lvl w:ilvl="0">
      <w:lvlJc w:val="left"/>
      <w:lvlText w:val="(%1)"/>
      <w:numFmt w:val="decimal"/>
      <w:start w:val="1"/>
    </w:lvl>
  </w:abstractNum>
  <w:abstractNum w:abstractNumId="43">
    <w:nsid w:val="1CF10FD8"/>
    <w:multiLevelType w:val="hybridMultilevel"/>
    <w:lvl w:ilvl="0">
      <w:lvlJc w:val="left"/>
      <w:lvlText w:val="(%1)"/>
      <w:numFmt w:val="decimal"/>
      <w:start w:val="1"/>
    </w:lvl>
  </w:abstractNum>
  <w:abstractNum w:abstractNumId="44">
    <w:nsid w:val="180115BE"/>
    <w:multiLevelType w:val="hybridMultilevel"/>
    <w:lvl w:ilvl="0">
      <w:lvlJc w:val="left"/>
      <w:lvlText w:val="(%1)"/>
      <w:numFmt w:val="decimal"/>
      <w:start w:val="1"/>
    </w:lvl>
  </w:abstractNum>
  <w:abstractNum w:abstractNumId="45">
    <w:nsid w:val="235BA861"/>
    <w:multiLevelType w:val="hybridMultilevel"/>
    <w:lvl w:ilvl="0">
      <w:lvlJc w:val="left"/>
      <w:lvlText w:val="(%1)"/>
      <w:numFmt w:val="decimal"/>
      <w:start w:val="1"/>
    </w:lvl>
  </w:abstractNum>
  <w:abstractNum w:abstractNumId="46">
    <w:nsid w:val="47398C89"/>
    <w:multiLevelType w:val="hybridMultilevel"/>
    <w:lvl w:ilvl="0">
      <w:lvlJc w:val="left"/>
      <w:lvlText w:val="(%1)"/>
      <w:numFmt w:val="decimal"/>
      <w:start w:val="1"/>
    </w:lvl>
  </w:abstractNum>
  <w:abstractNum w:abstractNumId="47">
    <w:nsid w:val="354FE9F9"/>
    <w:multiLevelType w:val="hybridMultilevel"/>
    <w:lvl w:ilvl="0">
      <w:lvlJc w:val="left"/>
      <w:lvlText w:val="(%1)"/>
      <w:numFmt w:val="decimal"/>
      <w:start w:val="1"/>
    </w:lvl>
  </w:abstractNum>
  <w:abstractNum w:abstractNumId="48">
    <w:nsid w:val="15B5AF5C"/>
    <w:multiLevelType w:val="hybridMultilevel"/>
    <w:lvl w:ilvl="0">
      <w:lvlJc w:val="left"/>
      <w:lvlText w:val="(%1)"/>
      <w:numFmt w:val="decimal"/>
      <w:start w:val="1"/>
    </w:lvl>
  </w:abstractNum>
  <w:abstractNum w:abstractNumId="49">
    <w:nsid w:val="741226BB"/>
    <w:multiLevelType w:val="hybridMultilevel"/>
    <w:lvl w:ilvl="0">
      <w:lvlJc w:val="left"/>
      <w:lvlText w:val="*"/>
      <w:numFmt w:val="bullet"/>
      <w:start w:val="1"/>
    </w:lvl>
  </w:abstractNum>
  <w:abstractNum w:abstractNumId="50">
    <w:nsid w:val="D34B6A8"/>
    <w:multiLevelType w:val="hybridMultilevel"/>
    <w:lvl w:ilvl="0">
      <w:lvlJc w:val="left"/>
      <w:lvlText w:val="(%1)"/>
      <w:numFmt w:val="upperLetter"/>
      <w:start w:val="1"/>
    </w:lvl>
  </w:abstractNum>
  <w:abstractNum w:abstractNumId="51">
    <w:nsid w:val="10233C99"/>
    <w:multiLevelType w:val="hybridMultilevel"/>
    <w:lvl w:ilvl="0">
      <w:lvlJc w:val="left"/>
      <w:lvlText w:val="(%1)"/>
      <w:numFmt w:val="upperLetter"/>
      <w:start w:val="1"/>
    </w:lvl>
  </w:abstractNum>
  <w:abstractNum w:abstractNumId="52">
    <w:nsid w:val="3F6AB60F"/>
    <w:multiLevelType w:val="hybridMultilevel"/>
    <w:lvl w:ilvl="0">
      <w:lvlJc w:val="left"/>
      <w:lvlText w:val="%1"/>
      <w:numFmt w:val="decimal"/>
      <w:start w:val="1"/>
    </w:lvl>
    <w:lvl w:ilvl="1">
      <w:lvlJc w:val="left"/>
      <w:lvlText w:val="%2."/>
      <w:numFmt w:val="decimal"/>
      <w:start w:val="1"/>
    </w:lvl>
  </w:abstractNum>
  <w:abstractNum w:abstractNumId="53">
    <w:nsid w:val="61574095"/>
    <w:multiLevelType w:val="hybridMultilevel"/>
    <w:lvl w:ilvl="0">
      <w:lvlJc w:val="left"/>
      <w:lvlText w:val="%1."/>
      <w:numFmt w:val="decimal"/>
      <w:start w:val="2"/>
    </w:lvl>
    <w:lvl w:ilvl="1">
      <w:lvlJc w:val="left"/>
      <w:lvlText w:val="%2"/>
      <w:numFmt w:val="decimal"/>
      <w:start w:val="1"/>
    </w:lvl>
  </w:abstractNum>
  <w:abstractNum w:abstractNumId="54">
    <w:nsid w:val="7E0C57B1"/>
    <w:multiLevelType w:val="hybridMultilevel"/>
    <w:lvl w:ilvl="0">
      <w:lvlJc w:val="left"/>
      <w:lvlText w:val="%1."/>
      <w:numFmt w:val="decimal"/>
      <w:start w:val="4"/>
    </w:lvl>
  </w:abstractNum>
  <w:abstractNum w:abstractNumId="55">
    <w:nsid w:val="77AE35EB"/>
    <w:multiLevelType w:val="hybridMultilevel"/>
    <w:lvl w:ilvl="0">
      <w:lvlJc w:val="left"/>
      <w:lvlText w:val="%1."/>
      <w:numFmt w:val="decimal"/>
      <w:start w:val="5"/>
    </w:lvl>
  </w:abstractNum>
  <w:abstractNum w:abstractNumId="56">
    <w:nsid w:val="579BE4F1"/>
    <w:multiLevelType w:val="hybridMultilevel"/>
    <w:lvl w:ilvl="0">
      <w:lvlJc w:val="left"/>
      <w:lvlText w:val="%1."/>
      <w:numFmt w:val="decimal"/>
      <w:start w:val="6"/>
    </w:lvl>
  </w:abstractNum>
  <w:abstractNum w:abstractNumId="57">
    <w:nsid w:val="310C50B3"/>
    <w:multiLevelType w:val="hybridMultilevel"/>
    <w:lvl w:ilvl="0">
      <w:lvlJc w:val="left"/>
      <w:lvlText w:val="%1."/>
      <w:numFmt w:val="decimal"/>
      <w:start w:val="7"/>
    </w:lvl>
  </w:abstractNum>
  <w:abstractNum w:abstractNumId="58">
    <w:nsid w:val="5FF87E05"/>
    <w:multiLevelType w:val="hybridMultilevel"/>
    <w:lvl w:ilvl="0">
      <w:lvlJc w:val="left"/>
      <w:lvlText w:val="%1."/>
      <w:numFmt w:val="decimal"/>
      <w:start w:val="8"/>
    </w:lvl>
  </w:abstractNum>
  <w:abstractNum w:abstractNumId="59">
    <w:nsid w:val="2F305DEF"/>
    <w:multiLevelType w:val="hybridMultilevel"/>
    <w:lvl w:ilvl="0">
      <w:lvlJc w:val="left"/>
      <w:lvlText w:val="%1."/>
      <w:numFmt w:val="decimal"/>
      <w:start w:val="9"/>
    </w:lvl>
  </w:abstractNum>
  <w:abstractNum w:abstractNumId="60">
    <w:nsid w:val="25A70BF7"/>
    <w:multiLevelType w:val="hybridMultilevel"/>
    <w:lvl w:ilvl="0">
      <w:lvlJc w:val="left"/>
      <w:lvlText w:val="%1."/>
      <w:numFmt w:val="decimal"/>
      <w:start w:val="10"/>
    </w:lvl>
  </w:abstractNum>
  <w:abstractNum w:abstractNumId="61">
    <w:nsid w:val="1DBABF00"/>
    <w:multiLevelType w:val="hybridMultilevel"/>
    <w:lvl w:ilvl="0">
      <w:lvlJc w:val="left"/>
      <w:lvlText w:val="(%1)"/>
      <w:numFmt w:val="lowerRoman"/>
      <w:start w:val="10"/>
    </w:lvl>
  </w:abstractNum>
  <w:abstractNum w:abstractNumId="62">
    <w:nsid w:val="4AD084E9"/>
    <w:multiLevelType w:val="hybridMultilevel"/>
    <w:lvl w:ilvl="0">
      <w:lvlJc w:val="left"/>
      <w:lvlText w:val="%1."/>
      <w:numFmt w:val="upperLetter"/>
      <w:start w:val="1"/>
    </w:lvl>
  </w:abstractNum>
  <w:abstractNum w:abstractNumId="63">
    <w:nsid w:val="1F48EAA1"/>
    <w:multiLevelType w:val="hybridMultilevel"/>
    <w:lvl w:ilvl="0">
      <w:lvlJc w:val="left"/>
      <w:lvlText w:val="%1."/>
      <w:numFmt w:val="upperLetter"/>
      <w:start w:val="3"/>
    </w:lvl>
  </w:abstractNum>
  <w:abstractNum w:abstractNumId="64">
    <w:nsid w:val="1381823A"/>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abstractNum>
  <w:abstractNum w:abstractNumId="65">
    <w:nsid w:val="5DB70AE5"/>
    <w:multiLevelType w:val="hybridMultilevel"/>
    <w:lvl w:ilvl="0">
      <w:lvlJc w:val="left"/>
      <w:lvlText w:val="%1"/>
      <w:numFmt w:val="lowerLetter"/>
      <w:start w:val="1"/>
    </w:lvl>
    <w:lvl w:ilvl="1">
      <w:lvlJc w:val="left"/>
      <w:lvlText w:val="%2."/>
      <w:numFmt w:val="decimal"/>
      <w:start w:val="2"/>
    </w:lvl>
    <w:lvl w:ilvl="2">
      <w:lvlJc w:val="left"/>
      <w:lvlText w:val="%3"/>
      <w:numFmt w:val="decimal"/>
      <w:start w:val="1"/>
    </w:lvl>
  </w:abstractNum>
  <w:abstractNum w:abstractNumId="66">
    <w:nsid w:val="100F8FCA"/>
    <w:multiLevelType w:val="hybridMultilevel"/>
    <w:lvl w:ilvl="0">
      <w:lvlJc w:val="left"/>
      <w:lvlText w:val="(%1)"/>
      <w:numFmt w:val="lowerLetter"/>
      <w:start w:val="2"/>
    </w:lvl>
    <w:lvl w:ilvl="1">
      <w:lvlJc w:val="left"/>
      <w:lvlText w:val="%2"/>
      <w:numFmt w:val="decimal"/>
      <w:start w:val="1"/>
    </w:lvl>
    <w:lvl w:ilvl="2">
      <w:lvlJc w:val="left"/>
      <w:lvlText w:val="%3"/>
      <w:numFmt w:val="decimal"/>
      <w:start w:val="1"/>
    </w:lvl>
  </w:abstractNum>
  <w:abstractNum w:abstractNumId="67">
    <w:nsid w:val="6590700B"/>
    <w:multiLevelType w:val="hybridMultilevel"/>
    <w:lvl w:ilvl="0">
      <w:lvlJc w:val="left"/>
      <w:lvlText w:val="%1."/>
      <w:numFmt w:val="decimal"/>
      <w:start w:val="1"/>
    </w:lvl>
    <w:lvl w:ilvl="1">
      <w:lvlJc w:val="left"/>
      <w:lvlText w:val="%2)"/>
      <w:numFmt w:val="lowerLetter"/>
      <w:start w:val="1"/>
    </w:lvl>
  </w:abstractNum>
  <w:abstractNum w:abstractNumId="68">
    <w:nsid w:val="15014ACB"/>
    <w:multiLevelType w:val="hybridMultilevel"/>
    <w:lvl w:ilvl="0">
      <w:lvlJc w:val="left"/>
      <w:lvlText w:val="%1."/>
      <w:numFmt w:val="decimal"/>
      <w:start w:val="1"/>
    </w:lvl>
    <w:lvl w:ilvl="1">
      <w:lvlJc w:val="left"/>
      <w:lvlText w:val="%2)"/>
      <w:numFmt w:val="lowerLetter"/>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130" Type="http://schemas.openxmlformats.org/officeDocument/2006/relationships/image" Target="media/image87.png"/><Relationship Id="rId131" Type="http://schemas.openxmlformats.org/officeDocument/2006/relationships/image" Target="media/image88.png"/><Relationship Id="rId132" Type="http://schemas.openxmlformats.org/officeDocument/2006/relationships/image" Target="media/image89.png"/><Relationship Id="rId133" Type="http://schemas.openxmlformats.org/officeDocument/2006/relationships/image" Target="media/image90.png"/><Relationship Id="rId134" Type="http://schemas.openxmlformats.org/officeDocument/2006/relationships/image" Target="media/image91.png"/><Relationship Id="rId135" Type="http://schemas.openxmlformats.org/officeDocument/2006/relationships/image" Target="media/image92.png"/><Relationship Id="rId136" Type="http://schemas.openxmlformats.org/officeDocument/2006/relationships/image" Target="media/image93.png"/><Relationship Id="rId94" Type="http://schemas.openxmlformats.org/officeDocument/2006/relationships/hyperlink" Target="http://www.sec.gov/Archives/edgar/data/771497/000114420418015512/tv488684_ex1-1.htm" TargetMode="External"/><Relationship Id="rId95" Type="http://schemas.openxmlformats.org/officeDocument/2006/relationships/hyperlink" Target="http://www.sec.gov/Archives/edgar/data/771497/000157104917006648/t1702122_ex2-1.htm" TargetMode="External"/><Relationship Id="rId96" Type="http://schemas.openxmlformats.org/officeDocument/2006/relationships/hyperlink" Target="http://www.sec.gov/Archives/edgar/data/771497/000095014904000137/f95384exv3w1.txt" TargetMode="External"/><Relationship Id="rId97" Type="http://schemas.openxmlformats.org/officeDocument/2006/relationships/hyperlink" Target="http://www.sec.gov/Archives/edgar/data/771497/000114420418063816/tv508525_ex3-1.htm" TargetMode="External"/><Relationship Id="rId98" Type="http://schemas.openxmlformats.org/officeDocument/2006/relationships/hyperlink" Target="http://www.sec.gov/Archives/edgar/data/771497/000157104917007803/t1702518_ex10-1.htm" TargetMode="External"/><Relationship Id="rId99" Type="http://schemas.openxmlformats.org/officeDocument/2006/relationships/hyperlink" Target="http://www.sec.gov/Archives/edgar/data/771497/000157104917007803/t1702518_ex10-2.htm" TargetMode="External"/><Relationship Id="rId100" Type="http://schemas.openxmlformats.org/officeDocument/2006/relationships/hyperlink" Target="http://www.sec.gov/Archives/edgar/data/771497/000162828017012508/exhibit103103117.htm" TargetMode="External"/><Relationship Id="rId101" Type="http://schemas.openxmlformats.org/officeDocument/2006/relationships/hyperlink" Target="http://www.sec.gov/Archives/edgar/data/771497/000162828018011684/abm7312018ex101.htm" TargetMode="External"/><Relationship Id="rId102" Type="http://schemas.openxmlformats.org/officeDocument/2006/relationships/hyperlink" Target="http://www.sec.gov/Archives/edgar/data/771497/000162828018011684/abm7312018ex102.htm" TargetMode="External"/><Relationship Id="rId103" Type="http://schemas.openxmlformats.org/officeDocument/2006/relationships/hyperlink" Target="http://www.sec.gov/Archives/edgar/data/771497/000095013405000777/f04468exv10w17.htm" TargetMode="External"/><Relationship Id="rId104" Type="http://schemas.openxmlformats.org/officeDocument/2006/relationships/hyperlink" Target="http://www.sec.gov/Archives/edgar/data/771497/000095013406017513/f23539exv10w1.htm" TargetMode="External"/><Relationship Id="rId105" Type="http://schemas.openxmlformats.org/officeDocument/2006/relationships/hyperlink" Target="http://www.sec.gov/Archives/edgar/data/771497/000095012310116105/y87222exv10w7.htm" TargetMode="External"/><Relationship Id="rId106" Type="http://schemas.openxmlformats.org/officeDocument/2006/relationships/hyperlink" Target="http://www.sec.gov/Archives/edgar/data/771497/000162828018015372/abm10312018ex109.htm" TargetMode="External"/><Relationship Id="rId107" Type="http://schemas.openxmlformats.org/officeDocument/2006/relationships/hyperlink" Target="http://www.sec.gov/Archives/edgar/data/771497/000095012308010739/y71046exv10w6.htm" TargetMode="External"/><Relationship Id="rId108" Type="http://schemas.openxmlformats.org/officeDocument/2006/relationships/hyperlink" Target="http://www.sec.gov/Archives/edgar/data/771497/000114420418013607/tv488007_ex10-1.htm" TargetMode="External"/><Relationship Id="rId109" Type="http://schemas.openxmlformats.org/officeDocument/2006/relationships/hyperlink" Target="http://www.sec.gov/Archives/edgar/data/771497/000119312513471774/d643440dex101.htm" TargetMode="External"/><Relationship Id="rId110" Type="http://schemas.openxmlformats.org/officeDocument/2006/relationships/hyperlink" Target="http://www.sec.gov/Archives/edgar/data/771497/000162828015004719/abm4302015ex102.htm" TargetMode="External"/><Relationship Id="rId111" Type="http://schemas.openxmlformats.org/officeDocument/2006/relationships/hyperlink" Target="http://www.sec.gov/Archives/edgar/data/771497/000119312513477634/d599535dex1016.htm" TargetMode="External"/><Relationship Id="rId112" Type="http://schemas.openxmlformats.org/officeDocument/2006/relationships/hyperlink" Target="http://www.sec.gov/Archives/edgar/data/771497/000162828015004719/abm4302015ex103.htm" TargetMode="External"/><Relationship Id="rId113" Type="http://schemas.openxmlformats.org/officeDocument/2006/relationships/hyperlink" Target="http://www.sec.gov/Archives/edgar/data/771497/000095012310116105/y87222exv10w13.htm" TargetMode="External"/><Relationship Id="rId114" Type="http://schemas.openxmlformats.org/officeDocument/2006/relationships/hyperlink" Target="http://www.sec.gov/Archives/edgar/data/771497/000095012310055999/c00586exv10w4.htm" TargetMode="External"/><Relationship Id="rId115" Type="http://schemas.openxmlformats.org/officeDocument/2006/relationships/hyperlink" Target="http://www.sec.gov/Archives/edgar/data/771497/000119312512382523/d383898dex101.htm" TargetMode="External"/><Relationship Id="rId116" Type="http://schemas.openxmlformats.org/officeDocument/2006/relationships/hyperlink" Target="http://www.sec.gov/Archives/edgar/data/771497/000095012310116105/y87222exv10w22.htm" TargetMode="External"/><Relationship Id="rId117" Type="http://schemas.openxmlformats.org/officeDocument/2006/relationships/hyperlink" Target="http://www.sec.gov/Archives/edgar/data/771497/000095012308010739/y71046exv10w4.htm" TargetMode="External"/><Relationship Id="rId118" Type="http://schemas.openxmlformats.org/officeDocument/2006/relationships/hyperlink" Target="http://www.sec.gov/Archives/edgar/data/771497/000095012308010739/y71046exv10w5.htm" TargetMode="External"/><Relationship Id="rId119" Type="http://schemas.openxmlformats.org/officeDocument/2006/relationships/hyperlink" Target="http://www.sec.gov/Archives/edgar/data/771497/000095012311023988/c12908exv10w1.htm" TargetMode="External"/><Relationship Id="rId120" Type="http://schemas.openxmlformats.org/officeDocument/2006/relationships/hyperlink" Target="http://www.sec.gov/Archives/edgar/data/771497/000162828017012508/exhibit102810312017.htm" TargetMode="External"/><Relationship Id="rId121" Type="http://schemas.openxmlformats.org/officeDocument/2006/relationships/hyperlink" Target="http://www.sec.gov/Archives/edgar/data/771497/000162828017012508/exhibit102910312017.htm" TargetMode="External"/><Relationship Id="rId122" Type="http://schemas.openxmlformats.org/officeDocument/2006/relationships/hyperlink" Target="http://www.sec.gov/Archives/edgar/data/771497/000162828018002860/abm1312018ex101.htm" TargetMode="External"/><Relationship Id="rId123" Type="http://schemas.openxmlformats.org/officeDocument/2006/relationships/hyperlink" Target="http://www.sec.gov/Archives/edgar/data/771497/000162828018002860/abm1312018ex102.htm" TargetMode="External"/><Relationship Id="rId124" Type="http://schemas.openxmlformats.org/officeDocument/2006/relationships/hyperlink" Target="http://www.sec.gov/Archives/edgar/data/771497/000162828017012508/exhibit103310312017.htm" TargetMode="External"/><Relationship Id="rId125" Type="http://schemas.openxmlformats.org/officeDocument/2006/relationships/hyperlink" Target="http://www.sec.gov/Archives/edgar/data/771497/000162828017012508/exhibit103410312017.htm" TargetMode="External"/><Relationship Id="rId126" Type="http://schemas.openxmlformats.org/officeDocument/2006/relationships/hyperlink" Target="http://www.sec.gov/Archives/edgar/data/771497/000162828018002860/abm1312018ex103.htm" TargetMode="External"/><Relationship Id="rId127" Type="http://schemas.openxmlformats.org/officeDocument/2006/relationships/hyperlink" Target="http://www.sec.gov/Archives/edgar/data/771497/000162828018002860/abm1312018ex104.htm" TargetMode="External"/><Relationship Id="rId128" Type="http://schemas.openxmlformats.org/officeDocument/2006/relationships/hyperlink" Target="http://www.sec.gov/Archives/edgar/data/771497/000162828019002600/abm1312019ex101.htm" TargetMode="External"/><Relationship Id="rId129" Type="http://schemas.openxmlformats.org/officeDocument/2006/relationships/hyperlink" Target="http://www.sec.gov/Archives/edgar/data/771497/000162828019002600/abm1312019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2019-12-28T00:53:35Z</dcterms:created>
  <dcterms:modified xsi:type="dcterms:W3CDTF">2019-12-28T00:53:35Z</dcterms:modified>
</cp:coreProperties>
</file>