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856615</wp:posOffset>
            </wp:positionV>
            <wp:extent cx="7115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81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822960</wp:posOffset>
            </wp:positionV>
            <wp:extent cx="71158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81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14" w:lineRule="exact"/>
        <w:rPr>
          <w:sz w:val="24"/>
          <w:szCs w:val="24"/>
          <w:color w:val="auto"/>
        </w:rPr>
      </w:pPr>
    </w:p>
    <w:p>
      <w:pPr>
        <w:ind w:left="4060"/>
        <w:spacing w:after="0"/>
        <w:rPr>
          <w:sz w:val="20"/>
          <w:szCs w:val="20"/>
          <w:color w:val="auto"/>
        </w:rPr>
      </w:pPr>
      <w:r>
        <w:rPr>
          <w:rFonts w:ascii="Arial" w:cs="Arial" w:eastAsia="Arial" w:hAnsi="Arial"/>
          <w:sz w:val="21"/>
          <w:szCs w:val="21"/>
          <w:color w:val="auto"/>
        </w:rPr>
        <w:t>__________________________</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2" w:lineRule="exact"/>
        <w:rPr>
          <w:sz w:val="24"/>
          <w:szCs w:val="24"/>
          <w:color w:val="auto"/>
        </w:rPr>
      </w:pPr>
    </w:p>
    <w:p>
      <w:pPr>
        <w:ind w:left="680" w:right="60" w:hanging="655"/>
        <w:spacing w:after="0" w:line="268" w:lineRule="auto"/>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0" w:lineRule="exact"/>
        <w:rPr>
          <w:sz w:val="24"/>
          <w:szCs w:val="24"/>
          <w:color w:val="auto"/>
        </w:rPr>
      </w:pPr>
    </w:p>
    <w:p>
      <w:pPr>
        <w:ind w:left="3460"/>
        <w:spacing w:after="0"/>
        <w:rPr>
          <w:sz w:val="20"/>
          <w:szCs w:val="20"/>
          <w:color w:val="auto"/>
        </w:rPr>
      </w:pPr>
      <w:r>
        <w:rPr>
          <w:rFonts w:ascii="Arial" w:cs="Arial" w:eastAsia="Arial" w:hAnsi="Arial"/>
          <w:sz w:val="21"/>
          <w:szCs w:val="21"/>
          <w:b w:val="1"/>
          <w:bCs w:val="1"/>
          <w:color w:val="auto"/>
        </w:rPr>
        <w:t xml:space="preserve">For the quarterly period ended </w:t>
      </w:r>
      <w:r>
        <w:rPr>
          <w:rFonts w:ascii="Arial" w:cs="Arial" w:eastAsia="Arial" w:hAnsi="Arial"/>
          <w:sz w:val="21"/>
          <w:szCs w:val="21"/>
          <w:b w:val="1"/>
          <w:bCs w:val="1"/>
          <w:u w:val="single" w:color="auto"/>
          <w:color w:val="auto"/>
        </w:rPr>
        <w:t>January 31, 2025</w:t>
      </w:r>
    </w:p>
    <w:p>
      <w:pPr>
        <w:spacing w:after="0" w:line="36" w:lineRule="exact"/>
        <w:rPr>
          <w:sz w:val="24"/>
          <w:szCs w:val="24"/>
          <w:color w:val="auto"/>
        </w:rPr>
      </w:pPr>
    </w:p>
    <w:p>
      <w:pPr>
        <w:ind w:left="5520"/>
        <w:spacing w:after="0"/>
        <w:rPr>
          <w:sz w:val="20"/>
          <w:szCs w:val="20"/>
          <w:color w:val="auto"/>
        </w:rPr>
      </w:pPr>
      <w:r>
        <w:rPr>
          <w:rFonts w:ascii="Arial" w:cs="Arial" w:eastAsia="Arial" w:hAnsi="Arial"/>
          <w:sz w:val="21"/>
          <w:szCs w:val="21"/>
          <w:color w:val="auto"/>
        </w:rPr>
        <w:t>or</w:t>
      </w:r>
    </w:p>
    <w:p>
      <w:pPr>
        <w:spacing w:after="0" w:line="180" w:lineRule="exact"/>
        <w:rPr>
          <w:sz w:val="24"/>
          <w:szCs w:val="24"/>
          <w:color w:val="auto"/>
        </w:rPr>
      </w:pPr>
    </w:p>
    <w:p>
      <w:pPr>
        <w:ind w:left="680" w:right="80" w:hanging="655"/>
        <w:spacing w:after="0" w:line="268" w:lineRule="auto"/>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48"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3921760</wp:posOffset>
            </wp:positionH>
            <wp:positionV relativeFrom="paragraph">
              <wp:posOffset>-7620</wp:posOffset>
            </wp:positionV>
            <wp:extent cx="928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spacing w:after="0" w:line="9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ABM INDUSTRIES INCORPORATED</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244475</wp:posOffset>
            </wp:positionV>
            <wp:extent cx="1672590" cy="64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648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jc w:val="center"/>
              <w:ind w:right="38"/>
              <w:spacing w:after="0"/>
              <w:rPr>
                <w:sz w:val="20"/>
                <w:szCs w:val="20"/>
                <w:color w:val="auto"/>
              </w:rPr>
            </w:pPr>
            <w:r>
              <w:rPr>
                <w:rFonts w:ascii="Arial" w:cs="Arial" w:eastAsia="Arial" w:hAnsi="Arial"/>
                <w:sz w:val="16"/>
                <w:szCs w:val="16"/>
                <w:b w:val="1"/>
                <w:bCs w:val="1"/>
                <w:color w:val="auto"/>
              </w:rPr>
              <w:t>Delaware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00" w:type="dxa"/>
            <w:vAlign w:val="bottom"/>
          </w:tcPr>
          <w:p>
            <w:pPr>
              <w:jc w:val="center"/>
              <w:ind w:left="919"/>
              <w:spacing w:after="0"/>
              <w:rPr>
                <w:sz w:val="20"/>
                <w:szCs w:val="20"/>
                <w:color w:val="auto"/>
              </w:rPr>
            </w:pPr>
            <w:r>
              <w:rPr>
                <w:rFonts w:ascii="Arial" w:cs="Arial" w:eastAsia="Arial" w:hAnsi="Arial"/>
                <w:sz w:val="16"/>
                <w:szCs w:val="16"/>
                <w:b w:val="1"/>
                <w:bCs w:val="1"/>
                <w:color w:val="auto"/>
              </w:rPr>
              <w:t>94-1369354</w:t>
            </w:r>
          </w:p>
        </w:tc>
      </w:tr>
      <w:tr>
        <w:trPr>
          <w:trHeight w:val="162"/>
        </w:trPr>
        <w:tc>
          <w:tcPr>
            <w:tcW w:w="3200" w:type="dxa"/>
            <w:vAlign w:val="bottom"/>
          </w:tcPr>
          <w:p>
            <w:pPr>
              <w:jc w:val="center"/>
              <w:ind w:right="38"/>
              <w:spacing w:after="0" w:line="162" w:lineRule="exact"/>
              <w:rPr>
                <w:sz w:val="20"/>
                <w:szCs w:val="20"/>
                <w:color w:val="auto"/>
              </w:rPr>
            </w:pPr>
            <w:r>
              <w:rPr>
                <w:rFonts w:ascii="Arial" w:cs="Arial" w:eastAsia="Arial" w:hAnsi="Arial"/>
                <w:sz w:val="16"/>
                <w:szCs w:val="16"/>
                <w:color w:val="auto"/>
                <w:w w:val="99"/>
              </w:rPr>
              <w:t>(State or other jurisdiction of</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900" w:type="dxa"/>
            <w:vAlign w:val="bottom"/>
          </w:tcPr>
          <w:p>
            <w:pPr>
              <w:jc w:val="center"/>
              <w:ind w:left="919"/>
              <w:spacing w:after="0" w:line="162" w:lineRule="exact"/>
              <w:rPr>
                <w:sz w:val="20"/>
                <w:szCs w:val="20"/>
                <w:color w:val="auto"/>
              </w:rPr>
            </w:pPr>
            <w:r>
              <w:rPr>
                <w:rFonts w:ascii="Arial" w:cs="Arial" w:eastAsia="Arial" w:hAnsi="Arial"/>
                <w:sz w:val="16"/>
                <w:szCs w:val="16"/>
                <w:color w:val="auto"/>
              </w:rPr>
              <w:t>(I.R.S. Employer</w:t>
            </w:r>
          </w:p>
        </w:tc>
      </w:tr>
      <w:tr>
        <w:trPr>
          <w:trHeight w:val="214"/>
        </w:trPr>
        <w:tc>
          <w:tcPr>
            <w:tcW w:w="3200" w:type="dxa"/>
            <w:vAlign w:val="bottom"/>
          </w:tcPr>
          <w:p>
            <w:pPr>
              <w:jc w:val="center"/>
              <w:ind w:right="38"/>
              <w:spacing w:after="0"/>
              <w:rPr>
                <w:sz w:val="20"/>
                <w:szCs w:val="20"/>
                <w:color w:val="auto"/>
              </w:rPr>
            </w:pPr>
            <w:r>
              <w:rPr>
                <w:rFonts w:ascii="Arial" w:cs="Arial" w:eastAsia="Arial" w:hAnsi="Arial"/>
                <w:sz w:val="16"/>
                <w:szCs w:val="16"/>
                <w:color w:val="auto"/>
                <w:w w:val="99"/>
              </w:rPr>
              <w:t>incorporation or organization)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00" w:type="dxa"/>
            <w:vAlign w:val="bottom"/>
          </w:tcPr>
          <w:p>
            <w:pPr>
              <w:jc w:val="center"/>
              <w:ind w:left="919"/>
              <w:spacing w:after="0"/>
              <w:rPr>
                <w:sz w:val="20"/>
                <w:szCs w:val="20"/>
                <w:color w:val="auto"/>
              </w:rPr>
            </w:pPr>
            <w:r>
              <w:rPr>
                <w:rFonts w:ascii="Arial" w:cs="Arial" w:eastAsia="Arial" w:hAnsi="Arial"/>
                <w:sz w:val="16"/>
                <w:szCs w:val="16"/>
                <w:color w:val="auto"/>
              </w:rPr>
              <w:t>Identification No.)</w:t>
            </w:r>
          </w:p>
        </w:tc>
      </w:tr>
      <w:tr>
        <w:trPr>
          <w:trHeight w:val="341"/>
        </w:trPr>
        <w:tc>
          <w:tcPr>
            <w:tcW w:w="3200" w:type="dxa"/>
            <w:vAlign w:val="bottom"/>
          </w:tcPr>
          <w:p>
            <w:pPr>
              <w:spacing w:after="0"/>
              <w:rPr>
                <w:sz w:val="24"/>
                <w:szCs w:val="24"/>
                <w:color w:val="auto"/>
              </w:rPr>
            </w:pPr>
          </w:p>
        </w:tc>
        <w:tc>
          <w:tcPr>
            <w:tcW w:w="4000" w:type="dxa"/>
            <w:vAlign w:val="bottom"/>
            <w:gridSpan w:val="7"/>
          </w:tcPr>
          <w:p>
            <w:pPr>
              <w:jc w:val="center"/>
              <w:ind w:left="750"/>
              <w:spacing w:after="0"/>
              <w:rPr>
                <w:sz w:val="20"/>
                <w:szCs w:val="20"/>
                <w:color w:val="auto"/>
              </w:rPr>
            </w:pPr>
            <w:r>
              <w:rPr>
                <w:rFonts w:ascii="Arial" w:cs="Arial" w:eastAsia="Arial" w:hAnsi="Arial"/>
                <w:sz w:val="18"/>
                <w:szCs w:val="18"/>
                <w:color w:val="auto"/>
                <w:w w:val="99"/>
              </w:rPr>
              <w:t>__________________________</w:t>
            </w:r>
          </w:p>
        </w:tc>
        <w:tc>
          <w:tcPr>
            <w:tcW w:w="3900" w:type="dxa"/>
            <w:vAlign w:val="bottom"/>
          </w:tcPr>
          <w:p>
            <w:pPr>
              <w:spacing w:after="0"/>
              <w:rPr>
                <w:sz w:val="24"/>
                <w:szCs w:val="24"/>
                <w:color w:val="auto"/>
              </w:rPr>
            </w:pPr>
          </w:p>
        </w:tc>
      </w:tr>
      <w:tr>
        <w:trPr>
          <w:trHeight w:val="299"/>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left="234"/>
              <w:spacing w:after="0"/>
              <w:rPr>
                <w:sz w:val="20"/>
                <w:szCs w:val="20"/>
                <w:color w:val="auto"/>
              </w:rPr>
            </w:pPr>
            <w:r>
              <w:rPr>
                <w:rFonts w:ascii="Arial" w:cs="Arial" w:eastAsia="Arial" w:hAnsi="Arial"/>
                <w:sz w:val="18"/>
                <w:szCs w:val="18"/>
                <w:b w:val="1"/>
                <w:bCs w:val="1"/>
                <w:color w:val="auto"/>
                <w:w w:val="98"/>
              </w:rPr>
              <w:t>One Liberty Plaza, 7</w:t>
            </w:r>
            <w:r>
              <w:rPr>
                <w:rFonts w:ascii="Arial" w:cs="Arial" w:eastAsia="Arial" w:hAnsi="Arial"/>
                <w:sz w:val="23"/>
                <w:szCs w:val="23"/>
                <w:b w:val="1"/>
                <w:bCs w:val="1"/>
                <w:color w:val="auto"/>
                <w:w w:val="98"/>
                <w:vertAlign w:val="superscript"/>
              </w:rPr>
              <w:t>th</w:t>
            </w:r>
            <w:r>
              <w:rPr>
                <w:rFonts w:ascii="Arial" w:cs="Arial" w:eastAsia="Arial" w:hAnsi="Arial"/>
                <w:sz w:val="18"/>
                <w:szCs w:val="18"/>
                <w:b w:val="1"/>
                <w:bCs w:val="1"/>
                <w:color w:val="auto"/>
                <w:w w:val="98"/>
              </w:rPr>
              <w:t xml:space="preserve"> Floor</w:t>
            </w:r>
          </w:p>
        </w:tc>
        <w:tc>
          <w:tcPr>
            <w:tcW w:w="3900" w:type="dxa"/>
            <w:vAlign w:val="bottom"/>
          </w:tcPr>
          <w:p>
            <w:pPr>
              <w:spacing w:after="0"/>
              <w:rPr>
                <w:sz w:val="24"/>
                <w:szCs w:val="24"/>
                <w:color w:val="auto"/>
              </w:rPr>
            </w:pPr>
          </w:p>
        </w:tc>
      </w:tr>
      <w:tr>
        <w:trPr>
          <w:trHeight w:val="246"/>
        </w:trPr>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80" w:type="dxa"/>
            <w:vAlign w:val="bottom"/>
            <w:gridSpan w:val="5"/>
          </w:tcPr>
          <w:p>
            <w:pPr>
              <w:jc w:val="center"/>
              <w:ind w:left="234"/>
              <w:spacing w:after="0"/>
              <w:rPr>
                <w:sz w:val="20"/>
                <w:szCs w:val="20"/>
                <w:color w:val="auto"/>
              </w:rPr>
            </w:pPr>
            <w:r>
              <w:rPr>
                <w:rFonts w:ascii="Arial" w:cs="Arial" w:eastAsia="Arial" w:hAnsi="Arial"/>
                <w:sz w:val="18"/>
                <w:szCs w:val="18"/>
                <w:b w:val="1"/>
                <w:bCs w:val="1"/>
                <w:color w:val="auto"/>
                <w:w w:val="97"/>
              </w:rPr>
              <w:t>New York, New York 10006</w:t>
            </w:r>
          </w:p>
        </w:tc>
        <w:tc>
          <w:tcPr>
            <w:tcW w:w="3900" w:type="dxa"/>
            <w:vAlign w:val="bottom"/>
          </w:tcPr>
          <w:p>
            <w:pPr>
              <w:spacing w:after="0"/>
              <w:rPr>
                <w:sz w:val="21"/>
                <w:szCs w:val="21"/>
                <w:color w:val="auto"/>
              </w:rPr>
            </w:pPr>
          </w:p>
        </w:tc>
      </w:tr>
      <w:tr>
        <w:trPr>
          <w:trHeight w:val="314"/>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left="254"/>
              <w:spacing w:after="0"/>
              <w:rPr>
                <w:sz w:val="20"/>
                <w:szCs w:val="20"/>
                <w:color w:val="auto"/>
              </w:rPr>
            </w:pPr>
            <w:r>
              <w:rPr>
                <w:rFonts w:ascii="Arial" w:cs="Arial" w:eastAsia="Arial" w:hAnsi="Arial"/>
                <w:sz w:val="18"/>
                <w:szCs w:val="18"/>
                <w:color w:val="auto"/>
                <w:w w:val="99"/>
              </w:rPr>
              <w:t>(Address of principal executive offices)</w:t>
            </w:r>
          </w:p>
        </w:tc>
        <w:tc>
          <w:tcPr>
            <w:tcW w:w="3900" w:type="dxa"/>
            <w:vAlign w:val="bottom"/>
          </w:tcPr>
          <w:p>
            <w:pPr>
              <w:spacing w:after="0"/>
              <w:rPr>
                <w:sz w:val="24"/>
                <w:szCs w:val="24"/>
                <w:color w:val="auto"/>
              </w:rPr>
            </w:pPr>
          </w:p>
        </w:tc>
      </w:tr>
      <w:tr>
        <w:trPr>
          <w:trHeight w:val="412"/>
        </w:trPr>
        <w:tc>
          <w:tcPr>
            <w:tcW w:w="3200" w:type="dxa"/>
            <w:vAlign w:val="bottom"/>
          </w:tcPr>
          <w:p>
            <w:pPr>
              <w:spacing w:after="0"/>
              <w:rPr>
                <w:sz w:val="24"/>
                <w:szCs w:val="24"/>
                <w:color w:val="auto"/>
              </w:rPr>
            </w:pPr>
          </w:p>
        </w:tc>
        <w:tc>
          <w:tcPr>
            <w:tcW w:w="3040" w:type="dxa"/>
            <w:vAlign w:val="bottom"/>
            <w:gridSpan w:val="4"/>
          </w:tcPr>
          <w:p>
            <w:pPr>
              <w:jc w:val="center"/>
              <w:ind w:left="1730"/>
              <w:spacing w:after="0"/>
              <w:rPr>
                <w:sz w:val="20"/>
                <w:szCs w:val="20"/>
                <w:color w:val="auto"/>
              </w:rPr>
            </w:pPr>
            <w:r>
              <w:rPr>
                <w:rFonts w:ascii="Arial" w:cs="Arial" w:eastAsia="Arial" w:hAnsi="Arial"/>
                <w:sz w:val="18"/>
                <w:szCs w:val="18"/>
                <w:b w:val="1"/>
                <w:bCs w:val="1"/>
                <w:color w:val="auto"/>
                <w:w w:val="99"/>
              </w:rPr>
              <w:t>(212) 297-0200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0"/>
        </w:trPr>
        <w:tc>
          <w:tcPr>
            <w:tcW w:w="3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347"/>
        </w:trPr>
        <w:tc>
          <w:tcPr>
            <w:tcW w:w="3200" w:type="dxa"/>
            <w:vAlign w:val="bottom"/>
          </w:tcPr>
          <w:p>
            <w:pPr>
              <w:spacing w:after="0"/>
              <w:rPr>
                <w:sz w:val="24"/>
                <w:szCs w:val="24"/>
                <w:color w:val="auto"/>
              </w:rPr>
            </w:pPr>
          </w:p>
        </w:tc>
        <w:tc>
          <w:tcPr>
            <w:tcW w:w="7900" w:type="dxa"/>
            <w:vAlign w:val="bottom"/>
            <w:gridSpan w:val="8"/>
          </w:tcPr>
          <w:p>
            <w:pPr>
              <w:jc w:val="center"/>
              <w:ind w:right="2979"/>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299"/>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80" w:type="dxa"/>
            <w:vAlign w:val="bottom"/>
            <w:gridSpan w:val="4"/>
          </w:tcPr>
          <w:p>
            <w:pPr>
              <w:jc w:val="center"/>
              <w:ind w:right="980"/>
              <w:spacing w:after="0"/>
              <w:rPr>
                <w:sz w:val="20"/>
                <w:szCs w:val="20"/>
                <w:color w:val="auto"/>
              </w:rPr>
            </w:pPr>
            <w:r>
              <w:rPr>
                <w:rFonts w:ascii="Arial" w:cs="Arial" w:eastAsia="Arial" w:hAnsi="Arial"/>
                <w:sz w:val="18"/>
                <w:szCs w:val="18"/>
                <w:b w:val="1"/>
                <w:bCs w:val="1"/>
                <w:color w:val="auto"/>
                <w:w w:val="97"/>
              </w:rPr>
              <w:t>None</w:t>
            </w:r>
          </w:p>
        </w:tc>
        <w:tc>
          <w:tcPr>
            <w:tcW w:w="3900" w:type="dxa"/>
            <w:vAlign w:val="bottom"/>
          </w:tcPr>
          <w:p>
            <w:pPr>
              <w:spacing w:after="0"/>
              <w:rPr>
                <w:sz w:val="24"/>
                <w:szCs w:val="24"/>
                <w:color w:val="auto"/>
              </w:rPr>
            </w:pPr>
          </w:p>
        </w:tc>
      </w:tr>
      <w:tr>
        <w:trPr>
          <w:trHeight w:val="215"/>
        </w:trPr>
        <w:tc>
          <w:tcPr>
            <w:tcW w:w="11100" w:type="dxa"/>
            <w:vAlign w:val="bottom"/>
            <w:gridSpan w:val="9"/>
          </w:tcPr>
          <w:p>
            <w:pPr>
              <w:jc w:val="center"/>
              <w:ind w:left="78"/>
              <w:spacing w:after="0"/>
              <w:rPr>
                <w:sz w:val="20"/>
                <w:szCs w:val="20"/>
                <w:color w:val="auto"/>
              </w:rPr>
            </w:pPr>
            <w:r>
              <w:rPr>
                <w:rFonts w:ascii="Arial" w:cs="Arial" w:eastAsia="Arial" w:hAnsi="Arial"/>
                <w:sz w:val="18"/>
                <w:szCs w:val="18"/>
                <w:color w:val="auto"/>
                <w:w w:val="99"/>
              </w:rPr>
              <w:t>(Former name, former address and former fiscal year, if changed since last report)</w:t>
            </w:r>
          </w:p>
        </w:tc>
      </w:tr>
      <w:tr>
        <w:trPr>
          <w:trHeight w:val="238"/>
        </w:trPr>
        <w:tc>
          <w:tcPr>
            <w:tcW w:w="3200" w:type="dxa"/>
            <w:vAlign w:val="bottom"/>
          </w:tcPr>
          <w:p>
            <w:pPr>
              <w:spacing w:after="0"/>
              <w:rPr>
                <w:sz w:val="20"/>
                <w:szCs w:val="20"/>
                <w:color w:val="auto"/>
              </w:rPr>
            </w:pPr>
          </w:p>
        </w:tc>
        <w:tc>
          <w:tcPr>
            <w:tcW w:w="4000" w:type="dxa"/>
            <w:vAlign w:val="bottom"/>
            <w:gridSpan w:val="7"/>
          </w:tcPr>
          <w:p>
            <w:pPr>
              <w:jc w:val="center"/>
              <w:ind w:left="750"/>
              <w:spacing w:after="0"/>
              <w:rPr>
                <w:sz w:val="20"/>
                <w:szCs w:val="20"/>
                <w:color w:val="auto"/>
              </w:rPr>
            </w:pPr>
            <w:r>
              <w:rPr>
                <w:rFonts w:ascii="Arial" w:cs="Arial" w:eastAsia="Arial" w:hAnsi="Arial"/>
                <w:sz w:val="18"/>
                <w:szCs w:val="18"/>
                <w:color w:val="auto"/>
                <w:w w:val="99"/>
              </w:rPr>
              <w:t>__________________________</w:t>
            </w:r>
          </w:p>
        </w:tc>
        <w:tc>
          <w:tcPr>
            <w:tcW w:w="3900" w:type="dxa"/>
            <w:vAlign w:val="bottom"/>
          </w:tcPr>
          <w:p>
            <w:pPr>
              <w:spacing w:after="0"/>
              <w:rPr>
                <w:sz w:val="20"/>
                <w:szCs w:val="20"/>
                <w:color w:val="auto"/>
              </w:rPr>
            </w:pPr>
          </w:p>
        </w:tc>
      </w:tr>
      <w:tr>
        <w:trPr>
          <w:trHeight w:val="322"/>
        </w:trPr>
        <w:tc>
          <w:tcPr>
            <w:tcW w:w="3200" w:type="dxa"/>
            <w:vAlign w:val="bottom"/>
          </w:tcPr>
          <w:p>
            <w:pPr>
              <w:spacing w:after="0"/>
              <w:rPr>
                <w:sz w:val="24"/>
                <w:szCs w:val="24"/>
                <w:color w:val="auto"/>
              </w:rPr>
            </w:pPr>
          </w:p>
        </w:tc>
        <w:tc>
          <w:tcPr>
            <w:tcW w:w="7900" w:type="dxa"/>
            <w:vAlign w:val="bottom"/>
            <w:gridSpan w:val="8"/>
          </w:tcPr>
          <w:p>
            <w:pPr>
              <w:jc w:val="center"/>
              <w:ind w:right="2979"/>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398"/>
        </w:trPr>
        <w:tc>
          <w:tcPr>
            <w:tcW w:w="3200" w:type="dxa"/>
            <w:vAlign w:val="bottom"/>
          </w:tcPr>
          <w:p>
            <w:pPr>
              <w:jc w:val="center"/>
              <w:ind w:left="358"/>
              <w:spacing w:after="0"/>
              <w:rPr>
                <w:sz w:val="20"/>
                <w:szCs w:val="20"/>
                <w:color w:val="auto"/>
              </w:rPr>
            </w:pPr>
            <w:r>
              <w:rPr>
                <w:rFonts w:ascii="Arial" w:cs="Arial" w:eastAsia="Arial" w:hAnsi="Arial"/>
                <w:sz w:val="16"/>
                <w:szCs w:val="16"/>
                <w:color w:val="auto"/>
                <w:w w:val="99"/>
              </w:rPr>
              <w:t>Title of each class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right="680"/>
              <w:spacing w:after="0"/>
              <w:rPr>
                <w:sz w:val="20"/>
                <w:szCs w:val="20"/>
                <w:color w:val="auto"/>
              </w:rPr>
            </w:pPr>
            <w:r>
              <w:rPr>
                <w:rFonts w:ascii="Arial" w:cs="Arial" w:eastAsia="Arial" w:hAnsi="Arial"/>
                <w:sz w:val="16"/>
                <w:szCs w:val="16"/>
                <w:color w:val="auto"/>
                <w:w w:val="99"/>
              </w:rPr>
              <w:t>Trading Symbol</w:t>
            </w:r>
          </w:p>
        </w:tc>
        <w:tc>
          <w:tcPr>
            <w:tcW w:w="3900" w:type="dxa"/>
            <w:vAlign w:val="bottom"/>
          </w:tcPr>
          <w:p>
            <w:pPr>
              <w:jc w:val="center"/>
              <w:ind w:right="519"/>
              <w:spacing w:after="0"/>
              <w:rPr>
                <w:sz w:val="20"/>
                <w:szCs w:val="20"/>
                <w:color w:val="auto"/>
              </w:rPr>
            </w:pPr>
            <w:r>
              <w:rPr>
                <w:rFonts w:ascii="Arial" w:cs="Arial" w:eastAsia="Arial" w:hAnsi="Arial"/>
                <w:sz w:val="16"/>
                <w:szCs w:val="16"/>
                <w:color w:val="auto"/>
              </w:rPr>
              <w:t>Name of each exchange on which registered</w:t>
            </w:r>
          </w:p>
        </w:tc>
      </w:tr>
      <w:tr>
        <w:trPr>
          <w:trHeight w:val="216"/>
        </w:trPr>
        <w:tc>
          <w:tcPr>
            <w:tcW w:w="3200" w:type="dxa"/>
            <w:vAlign w:val="bottom"/>
            <w:tcBorders>
              <w:top w:val="single" w:sz="8" w:color="auto"/>
            </w:tcBorders>
          </w:tcPr>
          <w:p>
            <w:pPr>
              <w:jc w:val="center"/>
              <w:ind w:left="358"/>
              <w:spacing w:after="0"/>
              <w:rPr>
                <w:sz w:val="20"/>
                <w:szCs w:val="20"/>
                <w:color w:val="auto"/>
              </w:rPr>
            </w:pPr>
            <w:r>
              <w:rPr>
                <w:rFonts w:ascii="Arial" w:cs="Arial" w:eastAsia="Arial" w:hAnsi="Arial"/>
                <w:sz w:val="16"/>
                <w:szCs w:val="16"/>
                <w:b w:val="1"/>
                <w:bCs w:val="1"/>
                <w:color w:val="auto"/>
              </w:rPr>
              <w:t>Common Stock, $0.01 par value</w:t>
            </w: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ABM</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jc w:val="center"/>
              <w:ind w:right="519"/>
              <w:spacing w:after="0"/>
              <w:rPr>
                <w:sz w:val="20"/>
                <w:szCs w:val="20"/>
                <w:color w:val="auto"/>
              </w:rPr>
            </w:pPr>
            <w:r>
              <w:rPr>
                <w:rFonts w:ascii="Arial" w:cs="Arial" w:eastAsia="Arial" w:hAnsi="Arial"/>
                <w:sz w:val="16"/>
                <w:szCs w:val="16"/>
                <w:b w:val="1"/>
                <w:bCs w:val="1"/>
                <w:color w:val="auto"/>
              </w:rPr>
              <w:t>New York Stock Exchange</w:t>
            </w:r>
          </w:p>
        </w:tc>
      </w:tr>
    </w:tbl>
    <w:p>
      <w:pPr>
        <w:spacing w:after="0" w:line="200" w:lineRule="exact"/>
        <w:rPr>
          <w:sz w:val="24"/>
          <w:szCs w:val="24"/>
          <w:color w:val="auto"/>
        </w:rPr>
      </w:pPr>
    </w:p>
    <w:p>
      <w:pPr>
        <w:sectPr>
          <w:pgSz w:w="11900" w:h="16838" w:orient="portrait"/>
          <w:cols w:equalWidth="0" w:num="1">
            <w:col w:w="11240"/>
          </w:cols>
          <w:pgMar w:left="320" w:top="1428" w:right="339" w:bottom="1440" w:gutter="0" w:footer="0" w:header="0"/>
        </w:sectPr>
      </w:pPr>
    </w:p>
    <w:p>
      <w:pPr>
        <w:spacing w:after="0" w:line="30" w:lineRule="exact"/>
        <w:rPr>
          <w:sz w:val="24"/>
          <w:szCs w:val="24"/>
          <w:color w:val="auto"/>
        </w:rPr>
      </w:pPr>
    </w:p>
    <w:p>
      <w:pPr>
        <w:jc w:val="both"/>
        <w:spacing w:after="0" w:line="23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550545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type w:val="continuous"/>
        </w:sectPr>
      </w:pPr>
    </w:p>
    <w:bookmarkStart w:id="1" w:name="page2"/>
    <w:bookmarkEnd w:id="1"/>
    <w:p>
      <w:pPr>
        <w:jc w:val="both"/>
        <w:spacing w:after="0" w:line="23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0"/>
          <w:szCs w:val="20"/>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Emerging growth company</w:t>
      </w:r>
      <w:r>
        <w:rPr>
          <w:rFonts w:ascii="MS PGothic" w:cs="MS PGothic" w:eastAsia="MS PGothic" w:hAnsi="MS PGothic"/>
          <w:sz w:val="18"/>
          <w:szCs w:val="18"/>
          <w:color w:val="auto"/>
        </w:rPr>
        <w:t xml:space="preserve">  ☐</w:t>
      </w:r>
    </w:p>
    <w:p>
      <w:pPr>
        <w:spacing w:after="0" w:line="298"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0"/>
          <w:szCs w:val="20"/>
          <w:color w:val="auto"/>
        </w:rPr>
      </w:pPr>
    </w:p>
    <w:p>
      <w:pPr>
        <w:spacing w:after="0" w:line="207" w:lineRule="exact"/>
        <w:tabs>
          <w:tab w:leader="none" w:pos="9080" w:val="left"/>
          <w:tab w:leader="none" w:pos="95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20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Number of shares of the registrant’s common stock outstanding as of March 11, 2025: 62,231,437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814705</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170815</wp:posOffset>
            </wp:positionV>
            <wp:extent cx="7115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81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136525</wp:posOffset>
            </wp:positionV>
            <wp:extent cx="7115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810" cy="825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FORWARD-LOOKING STATEMENTS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1</w:t>
            </w:r>
          </w:p>
        </w:tc>
        <w:tc>
          <w:tcPr>
            <w:tcW w:w="120" w:type="dxa"/>
            <w:vAlign w:val="bottom"/>
          </w:tcPr>
          <w:p>
            <w:pPr>
              <w:spacing w:after="0"/>
              <w:rPr>
                <w:sz w:val="14"/>
                <w:szCs w:val="14"/>
                <w:color w:val="auto"/>
              </w:rPr>
            </w:pPr>
          </w:p>
        </w:tc>
      </w:tr>
      <w:tr>
        <w:trPr>
          <w:trHeight w:val="20"/>
        </w:trPr>
        <w:tc>
          <w:tcPr>
            <w:tcW w:w="10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 FINANCIAL INFORMATION</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3</w:t>
            </w:r>
          </w:p>
        </w:tc>
        <w:tc>
          <w:tcPr>
            <w:tcW w:w="120" w:type="dxa"/>
            <w:vAlign w:val="bottom"/>
          </w:tcPr>
          <w:p>
            <w:pPr>
              <w:spacing w:after="0"/>
              <w:rPr>
                <w:sz w:val="15"/>
                <w:szCs w:val="15"/>
                <w:color w:val="auto"/>
              </w:rPr>
            </w:pPr>
          </w:p>
        </w:tc>
      </w:tr>
      <w:tr>
        <w:trPr>
          <w:trHeight w:val="20"/>
        </w:trPr>
        <w:tc>
          <w:tcPr>
            <w:tcW w:w="10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 Consolidated Financial Statements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3</w:t>
            </w:r>
          </w:p>
        </w:tc>
        <w:tc>
          <w:tcPr>
            <w:tcW w:w="120" w:type="dxa"/>
            <w:vAlign w:val="bottom"/>
          </w:tcPr>
          <w:p>
            <w:pPr>
              <w:spacing w:after="0"/>
              <w:rPr>
                <w:sz w:val="15"/>
                <w:szCs w:val="15"/>
                <w:color w:val="auto"/>
              </w:rPr>
            </w:pPr>
          </w:p>
        </w:tc>
      </w:tr>
      <w:tr>
        <w:trPr>
          <w:trHeight w:val="20"/>
        </w:trPr>
        <w:tc>
          <w:tcPr>
            <w:tcW w:w="10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23</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34</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34</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34</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34</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34</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34</w:t>
            </w:r>
          </w:p>
        </w:tc>
        <w:tc>
          <w:tcPr>
            <w:tcW w:w="120" w:type="dxa"/>
            <w:vAlign w:val="bottom"/>
          </w:tcPr>
          <w:p>
            <w:pPr>
              <w:spacing w:after="0"/>
              <w:rPr>
                <w:sz w:val="15"/>
                <w:szCs w:val="15"/>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4"/>
                <w:szCs w:val="14"/>
                <w:color w:val="auto"/>
              </w:rPr>
              <w:t>Item 3.</w:t>
            </w:r>
          </w:p>
        </w:tc>
        <w:tc>
          <w:tcPr>
            <w:tcW w:w="1046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35</w:t>
            </w:r>
          </w:p>
        </w:tc>
        <w:tc>
          <w:tcPr>
            <w:tcW w:w="120" w:type="dxa"/>
            <w:vAlign w:val="bottom"/>
          </w:tcPr>
          <w:p>
            <w:pPr>
              <w:spacing w:after="0"/>
              <w:rPr>
                <w:sz w:val="15"/>
                <w:szCs w:val="15"/>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4"/>
                <w:szCs w:val="14"/>
                <w:color w:val="auto"/>
              </w:rPr>
              <w:t>Item 4.</w:t>
            </w:r>
          </w:p>
        </w:tc>
        <w:tc>
          <w:tcPr>
            <w:tcW w:w="1046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35</w:t>
            </w:r>
          </w:p>
        </w:tc>
        <w:tc>
          <w:tcPr>
            <w:tcW w:w="120" w:type="dxa"/>
            <w:vAlign w:val="bottom"/>
          </w:tcPr>
          <w:p>
            <w:pPr>
              <w:spacing w:after="0"/>
              <w:rPr>
                <w:sz w:val="15"/>
                <w:szCs w:val="15"/>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4"/>
                <w:szCs w:val="14"/>
                <w:color w:val="auto"/>
              </w:rPr>
              <w:t>Item 5.</w:t>
            </w:r>
          </w:p>
        </w:tc>
        <w:tc>
          <w:tcPr>
            <w:tcW w:w="1046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35</w:t>
            </w:r>
          </w:p>
        </w:tc>
        <w:tc>
          <w:tcPr>
            <w:tcW w:w="120" w:type="dxa"/>
            <w:vAlign w:val="bottom"/>
          </w:tcPr>
          <w:p>
            <w:pPr>
              <w:spacing w:after="0"/>
              <w:rPr>
                <w:sz w:val="15"/>
                <w:szCs w:val="15"/>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4"/>
                <w:szCs w:val="14"/>
                <w:color w:val="auto"/>
              </w:rPr>
              <w:t>Item 6.</w:t>
            </w:r>
          </w:p>
        </w:tc>
        <w:tc>
          <w:tcPr>
            <w:tcW w:w="1046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36</w:t>
            </w:r>
          </w:p>
        </w:tc>
        <w:tc>
          <w:tcPr>
            <w:tcW w:w="120" w:type="dxa"/>
            <w:vAlign w:val="bottom"/>
          </w:tcPr>
          <w:p>
            <w:pPr>
              <w:spacing w:after="0"/>
              <w:rPr>
                <w:sz w:val="15"/>
                <w:szCs w:val="15"/>
                <w:color w:val="auto"/>
              </w:rPr>
            </w:pPr>
          </w:p>
        </w:tc>
      </w:tr>
      <w:tr>
        <w:trPr>
          <w:trHeight w:val="182"/>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37</w:t>
            </w:r>
          </w:p>
        </w:tc>
        <w:tc>
          <w:tcPr>
            <w:tcW w:w="120" w:type="dxa"/>
            <w:vAlign w:val="bottom"/>
          </w:tcPr>
          <w:p>
            <w:pPr>
              <w:spacing w:after="0"/>
              <w:rPr>
                <w:sz w:val="15"/>
                <w:szCs w:val="15"/>
                <w:color w:val="auto"/>
              </w:rPr>
            </w:pPr>
          </w:p>
        </w:tc>
      </w:tr>
      <w:tr>
        <w:trPr>
          <w:trHeight w:val="1048"/>
        </w:trPr>
        <w:tc>
          <w:tcPr>
            <w:tcW w:w="480" w:type="dxa"/>
            <w:vAlign w:val="bottom"/>
            <w:tcBorders>
              <w:bottom w:val="single" w:sz="8" w:color="9A9A9A"/>
            </w:tcBorders>
          </w:tcPr>
          <w:p>
            <w:pPr>
              <w:spacing w:after="0"/>
              <w:rPr>
                <w:sz w:val="24"/>
                <w:szCs w:val="24"/>
                <w:color w:val="auto"/>
              </w:rPr>
            </w:pPr>
          </w:p>
        </w:tc>
        <w:tc>
          <w:tcPr>
            <w:tcW w:w="10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69"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This Form 10-Q contains both historical and forward-looking statements regarding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58" w:lineRule="exact"/>
        <w:rPr>
          <w:sz w:val="20"/>
          <w:szCs w:val="20"/>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our ability to gain profitable business despite competitive market pressures.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results of operations can be adversely affected by labor shortages, turnover, and labor cost increases.</w:t>
      </w:r>
    </w:p>
    <w:p>
      <w:pPr>
        <w:spacing w:after="0" w:line="61"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attract and retain qualified personnel and senior management we need to support our business.</w:t>
      </w:r>
    </w:p>
    <w:p>
      <w:pPr>
        <w:spacing w:after="0" w:line="61" w:lineRule="exact"/>
        <w:rPr>
          <w:rFonts w:ascii="Arial" w:cs="Arial" w:eastAsia="Arial" w:hAnsi="Arial"/>
          <w:sz w:val="18"/>
          <w:szCs w:val="18"/>
          <w:color w:val="auto"/>
        </w:rPr>
      </w:pPr>
    </w:p>
    <w:p>
      <w:pPr>
        <w:jc w:val="both"/>
        <w:ind w:left="660" w:hanging="330"/>
        <w:spacing w:after="0" w:line="26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Investments in and changes to our businesses, operating structure, or personnel relating to our </w:t>
      </w:r>
      <w:r>
        <w:rPr>
          <w:rFonts w:ascii="Arial" w:cs="Arial" w:eastAsia="Arial" w:hAnsi="Arial"/>
          <w:sz w:val="18"/>
          <w:szCs w:val="18"/>
          <w:b w:val="1"/>
          <w:bCs w:val="1"/>
          <w:color w:val="D76428"/>
        </w:rPr>
        <w:t>ELEVATE</w:t>
      </w:r>
      <w:r>
        <w:rPr>
          <w:rFonts w:ascii="Arial" w:cs="Arial" w:eastAsia="Arial" w:hAnsi="Arial"/>
          <w:sz w:val="18"/>
          <w:szCs w:val="18"/>
          <w:color w:val="auto"/>
        </w:rPr>
        <w:t xml:space="preserve"> strategy, including the implementation of strategic transformations, enhanced business processes, and technology initiatives, may not have the desired effects on our financial condition and results of operations.</w:t>
      </w:r>
    </w:p>
    <w:p>
      <w:pPr>
        <w:spacing w:after="0" w:line="7"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preserve long-term client relationships is essential to our continued success.</w:t>
      </w:r>
    </w:p>
    <w:p>
      <w:pPr>
        <w:spacing w:after="0" w:line="61"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subcontractors or joint venture partners to perform work under customer contracts exposes us to liability and financial risk.</w:t>
      </w:r>
    </w:p>
    <w:p>
      <w:pPr>
        <w:spacing w:after="0" w:line="61" w:lineRule="exact"/>
        <w:rPr>
          <w:rFonts w:ascii="Arial" w:cs="Arial" w:eastAsia="Arial" w:hAnsi="Arial"/>
          <w:sz w:val="18"/>
          <w:szCs w:val="18"/>
          <w:color w:val="auto"/>
        </w:rPr>
      </w:pP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business involves risks different from those we face in the United States that could negatively impact our results of operations and financial condition.</w:t>
      </w: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commercial office space utilization due to hybrid work models and increases in office vacancy rates could adversely affect our financial condition.</w:t>
      </w:r>
    </w:p>
    <w:p>
      <w:pPr>
        <w:jc w:val="both"/>
        <w:ind w:left="660" w:hanging="330"/>
        <w:spacing w:after="0" w:line="26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changes in general economic conditions, such as recessionary pressures, high interest rates, durable and non-durable goods pricing, changes in energy prices, or changes in consumer goods pricing could reduce the demand for our services and, as a result, reduce our revenue and earnings and adversely affect our financial condition.</w:t>
      </w:r>
    </w:p>
    <w:p>
      <w:pPr>
        <w:spacing w:after="0" w:line="7" w:lineRule="exact"/>
        <w:rPr>
          <w:rFonts w:ascii="Arial" w:cs="Arial" w:eastAsia="Arial" w:hAnsi="Arial"/>
          <w:sz w:val="18"/>
          <w:szCs w:val="18"/>
          <w:color w:val="auto"/>
        </w:rPr>
      </w:pP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breaches of, or disruptions to, our information technology systems or those of our third-party providers or clients, or other compromises of our data that could adversely affect our business.</w:t>
      </w:r>
    </w:p>
    <w:p>
      <w:pPr>
        <w:ind w:left="660" w:right="2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implementation of new enterprise resource planning (“ERP”) and related boundary systems could adversely impact our ability to operate our business and report our financial results.</w:t>
      </w: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divestitures, and other strategic transactions could fail to achieve financial or strategic objectives, disrupt our ongoing business, and adversely impact our results of operations.</w:t>
      </w:r>
    </w:p>
    <w:p>
      <w:pPr>
        <w:jc w:val="both"/>
        <w:ind w:left="660" w:hanging="330"/>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13" w:lineRule="exact"/>
        <w:rPr>
          <w:rFonts w:ascii="Arial" w:cs="Arial" w:eastAsia="Arial" w:hAnsi="Arial"/>
          <w:sz w:val="18"/>
          <w:szCs w:val="18"/>
          <w:color w:val="auto"/>
        </w:rPr>
      </w:pP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and safety programs may not have the intended effect of reducing our liability for personal injury or property loss.</w:t>
      </w: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 could cause us to incur substantial liabilities.</w:t>
      </w:r>
    </w:p>
    <w:p>
      <w:pPr>
        <w:ind w:left="660" w:right="2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extensive legal and regulatory requirements, which could limit our profitability by increasing the costs of legal and regulatory compliance.</w:t>
      </w:r>
    </w:p>
    <w:p>
      <w:pPr>
        <w:jc w:val="both"/>
        <w:ind w:left="660" w:hanging="330"/>
        <w:spacing w:after="0" w:line="26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7" w:lineRule="exact"/>
        <w:rPr>
          <w:rFonts w:ascii="Arial" w:cs="Arial" w:eastAsia="Arial" w:hAnsi="Arial"/>
          <w:sz w:val="18"/>
          <w:szCs w:val="18"/>
          <w:color w:val="auto"/>
        </w:rPr>
      </w:pPr>
    </w:p>
    <w:p>
      <w:pPr>
        <w:ind w:left="660" w:hanging="330"/>
        <w:spacing w:after="0" w:line="28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materially affected by changes to fiscal and tax policies. Negative or unexpected tax consequences could adversely affect our results of operations.</w:t>
      </w: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increases in the level of our borrowings and interest rates could affect our results of operations.</w:t>
      </w:r>
    </w:p>
    <w:p>
      <w:pPr>
        <w:spacing w:after="0" w:line="61"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 could have a material adverse effect on our financial condition and results of operations.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 w:name="page5"/>
    <w:bookmarkEnd w:id="4"/>
    <w:p>
      <w:pPr>
        <w:jc w:val="both"/>
        <w:ind w:left="660" w:hanging="330"/>
        <w:spacing w:after="0" w:line="2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7" w:lineRule="exact"/>
        <w:rPr>
          <w:rFonts w:ascii="Arial" w:cs="Arial" w:eastAsia="Arial" w:hAnsi="Arial"/>
          <w:sz w:val="18"/>
          <w:szCs w:val="18"/>
          <w:color w:val="auto"/>
        </w:rPr>
      </w:pPr>
    </w:p>
    <w:p>
      <w:pPr>
        <w:ind w:left="640" w:hanging="31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may be negatively impacted by adverse weather conditions.</w:t>
      </w:r>
    </w:p>
    <w:p>
      <w:pPr>
        <w:spacing w:after="0" w:line="61" w:lineRule="exact"/>
        <w:rPr>
          <w:rFonts w:ascii="Arial" w:cs="Arial" w:eastAsia="Arial" w:hAnsi="Arial"/>
          <w:sz w:val="18"/>
          <w:szCs w:val="18"/>
          <w:color w:val="auto"/>
        </w:rPr>
      </w:pPr>
    </w:p>
    <w:p>
      <w:pPr>
        <w:ind w:left="640" w:hanging="31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disasters, pandemics, and terrorist attacks could disrupt our services.</w:t>
      </w:r>
    </w:p>
    <w:p>
      <w:pPr>
        <w:spacing w:after="0" w:line="61" w:lineRule="exact"/>
        <w:rPr>
          <w:rFonts w:ascii="Arial" w:cs="Arial" w:eastAsia="Arial" w:hAnsi="Arial"/>
          <w:sz w:val="18"/>
          <w:szCs w:val="18"/>
          <w:color w:val="auto"/>
        </w:rPr>
      </w:pPr>
    </w:p>
    <w:p>
      <w:pPr>
        <w:ind w:left="640" w:hanging="31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disrupt our business.</w:t>
      </w:r>
    </w:p>
    <w:p>
      <w:pPr>
        <w:spacing w:after="0" w:line="169"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2024, and in other reports (including all amendments to those reports) we file from time to time with the Securities and Exchange Commission (“SEC”).</w:t>
      </w:r>
    </w:p>
    <w:p>
      <w:pPr>
        <w:spacing w:after="0" w:line="115"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PART I.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CONSOLIDATED FINANCIAL STATEMENTS.</w:t>
      </w:r>
    </w:p>
    <w:p>
      <w:pPr>
        <w:spacing w:after="0" w:line="11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2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0046AD"/>
        </w:rPr>
        <w:t>CONSOLIDATED BALANCE SHEETS</w:t>
      </w:r>
    </w:p>
    <w:p>
      <w:pPr>
        <w:spacing w:after="0" w:line="12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0046AD"/>
        </w:rPr>
        <w:t>(UNAUDITED)</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share and per share amounts)</w:t>
            </w:r>
          </w:p>
        </w:tc>
        <w:tc>
          <w:tcPr>
            <w:tcW w:w="180" w:type="dxa"/>
            <w:vAlign w:val="bottom"/>
          </w:tcPr>
          <w:p>
            <w:pPr>
              <w:spacing w:after="0"/>
              <w:rPr>
                <w:sz w:val="16"/>
                <w:szCs w:val="16"/>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31, 2025</w:t>
            </w:r>
          </w:p>
        </w:tc>
        <w:tc>
          <w:tcPr>
            <w:tcW w:w="160" w:type="dxa"/>
            <w:vAlign w:val="bottom"/>
          </w:tcPr>
          <w:p>
            <w:pPr>
              <w:spacing w:after="0"/>
              <w:rPr>
                <w:sz w:val="16"/>
                <w:szCs w:val="16"/>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rPr>
              <w:t>October 31, 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3200" w:type="dxa"/>
            <w:vAlign w:val="bottom"/>
            <w:tcBorders>
              <w:top w:val="single" w:sz="8" w:color="auto"/>
              <w:bottom w:val="single" w:sz="8" w:color="DCE2EF"/>
            </w:tcBorders>
          </w:tcPr>
          <w:p>
            <w:pPr>
              <w:spacing w:after="0" w:line="20" w:lineRule="exact"/>
              <w:rPr>
                <w:sz w:val="1"/>
                <w:szCs w:val="1"/>
                <w:color w:val="auto"/>
              </w:rPr>
            </w:pPr>
          </w:p>
        </w:tc>
        <w:tc>
          <w:tcPr>
            <w:tcW w:w="408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DCE2EF"/>
          </w:tcPr>
          <w:p>
            <w:pPr>
              <w:spacing w:after="0"/>
              <w:rPr>
                <w:sz w:val="16"/>
                <w:szCs w:val="16"/>
                <w:color w:val="auto"/>
              </w:rPr>
            </w:pPr>
          </w:p>
        </w:tc>
        <w:tc>
          <w:tcPr>
            <w:tcW w:w="16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15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gridSpan w:val="2"/>
          </w:tcPr>
          <w:p>
            <w:pPr>
              <w:ind w:left="320"/>
              <w:spacing w:after="0" w:line="161" w:lineRule="exact"/>
              <w:rPr>
                <w:sz w:val="20"/>
                <w:szCs w:val="20"/>
                <w:color w:val="auto"/>
              </w:rPr>
            </w:pPr>
            <w:r>
              <w:rPr>
                <w:rFonts w:ascii="Arial" w:cs="Arial" w:eastAsia="Arial" w:hAnsi="Arial"/>
                <w:sz w:val="16"/>
                <w:szCs w:val="16"/>
                <w:color w:val="auto"/>
              </w:rPr>
              <w:t>Trade accounts receivable, net of allowances of $23.0 and $22.8</w:t>
            </w: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1,549.7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1,384.1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460"/>
              <w:spacing w:after="0"/>
              <w:rPr>
                <w:sz w:val="20"/>
                <w:szCs w:val="20"/>
                <w:color w:val="auto"/>
              </w:rPr>
            </w:pPr>
            <w:r>
              <w:rPr>
                <w:rFonts w:ascii="Arial" w:cs="Arial" w:eastAsia="Arial" w:hAnsi="Arial"/>
                <w:sz w:val="16"/>
                <w:szCs w:val="16"/>
                <w:color w:val="auto"/>
              </w:rPr>
              <w:t>at January 31, 2025 and October 31, 2024, respectively</w:t>
            </w: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Costs incurred in excess of amounts billed</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135.5</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3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DCE2EF"/>
          </w:tcPr>
          <w:p>
            <w:pPr>
              <w:spacing w:after="0"/>
              <w:rPr>
                <w:sz w:val="18"/>
                <w:szCs w:val="18"/>
                <w:color w:val="auto"/>
              </w:rPr>
            </w:pP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tcPr>
          <w:p>
            <w:pPr>
              <w:spacing w:after="0"/>
              <w:rPr>
                <w:sz w:val="18"/>
                <w:szCs w:val="18"/>
                <w:color w:val="auto"/>
              </w:rPr>
            </w:pPr>
          </w:p>
        </w:tc>
        <w:tc>
          <w:tcPr>
            <w:tcW w:w="7280" w:type="dxa"/>
            <w:vAlign w:val="bottom"/>
            <w:tcBorders>
              <w:bottom w:val="single" w:sz="8" w:color="DCE2EF"/>
            </w:tcBorders>
            <w:gridSpan w:val="2"/>
          </w:tcPr>
          <w:p>
            <w:pPr>
              <w:ind w:left="6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1,921.5</w:t>
            </w:r>
          </w:p>
        </w:tc>
        <w:tc>
          <w:tcPr>
            <w:tcW w:w="12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1,788.7</w:t>
            </w:r>
          </w:p>
        </w:tc>
        <w:tc>
          <w:tcPr>
            <w:tcW w:w="0" w:type="dxa"/>
            <w:vAlign w:val="bottom"/>
          </w:tcPr>
          <w:p>
            <w:pPr>
              <w:spacing w:after="0"/>
              <w:rPr>
                <w:sz w:val="1"/>
                <w:szCs w:val="1"/>
                <w:color w:val="auto"/>
              </w:rPr>
            </w:pPr>
          </w:p>
        </w:tc>
      </w:tr>
      <w:tr>
        <w:trPr>
          <w:trHeight w:val="209"/>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Other investments</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161"/>
        </w:trPr>
        <w:tc>
          <w:tcPr>
            <w:tcW w:w="730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Property, plant and equipment, net of accumulated depreciation of $342.9 and $351.3 at January 31,</w:t>
            </w: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153.8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14"/>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2025 and October 31, 2024, respectively</w:t>
            </w: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Right-of-use assets</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102.1</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161"/>
        </w:trPr>
        <w:tc>
          <w:tcPr>
            <w:tcW w:w="730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Other intangible assets, net of accumulated amortization of $491.9 and $479.3</w:t>
            </w: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268.9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180"/>
              <w:spacing w:after="0"/>
              <w:rPr>
                <w:sz w:val="20"/>
                <w:szCs w:val="20"/>
                <w:color w:val="auto"/>
              </w:rPr>
            </w:pPr>
            <w:r>
              <w:rPr>
                <w:rFonts w:ascii="Arial" w:cs="Arial" w:eastAsia="Arial" w:hAnsi="Arial"/>
                <w:sz w:val="16"/>
                <w:szCs w:val="16"/>
                <w:color w:val="auto"/>
              </w:rPr>
              <w:t>at January 31, 2025 and October 31, 2024, respectively</w:t>
            </w: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2,568.8</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2,575.9</w:t>
            </w:r>
          </w:p>
        </w:tc>
        <w:tc>
          <w:tcPr>
            <w:tcW w:w="0" w:type="dxa"/>
            <w:vAlign w:val="bottom"/>
          </w:tcPr>
          <w:p>
            <w:pPr>
              <w:spacing w:after="0"/>
              <w:rPr>
                <w:sz w:val="1"/>
                <w:szCs w:val="1"/>
                <w:color w:val="auto"/>
              </w:rPr>
            </w:pPr>
          </w:p>
        </w:tc>
      </w:tr>
      <w:tr>
        <w:trPr>
          <w:trHeight w:val="214"/>
        </w:trPr>
        <w:tc>
          <w:tcPr>
            <w:tcW w:w="730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w:t>
            </w:r>
          </w:p>
        </w:tc>
        <w:tc>
          <w:tcPr>
            <w:tcW w:w="12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234"/>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5,217.4</w:t>
            </w:r>
          </w:p>
        </w:tc>
        <w:tc>
          <w:tcPr>
            <w:tcW w:w="120" w:type="dxa"/>
            <w:vAlign w:val="bottom"/>
            <w:tcBorders>
              <w:bottom w:val="single" w:sz="8" w:color="DCE2EF"/>
            </w:tcBorders>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5,097.2</w:t>
            </w:r>
          </w:p>
        </w:tc>
        <w:tc>
          <w:tcPr>
            <w:tcW w:w="0" w:type="dxa"/>
            <w:vAlign w:val="bottom"/>
          </w:tcPr>
          <w:p>
            <w:pPr>
              <w:spacing w:after="0"/>
              <w:rPr>
                <w:sz w:val="1"/>
                <w:szCs w:val="1"/>
                <w:color w:val="auto"/>
              </w:rPr>
            </w:pPr>
          </w:p>
        </w:tc>
      </w:tr>
      <w:tr>
        <w:trPr>
          <w:trHeight w:val="20"/>
        </w:trPr>
        <w:tc>
          <w:tcPr>
            <w:tcW w:w="730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66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5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320"/>
              <w:spacing w:after="0"/>
              <w:rPr>
                <w:sz w:val="20"/>
                <w:szCs w:val="20"/>
                <w:color w:val="auto"/>
              </w:rPr>
            </w:pPr>
            <w:r>
              <w:rPr>
                <w:rFonts w:ascii="Arial" w:cs="Arial" w:eastAsia="Arial" w:hAnsi="Arial"/>
                <w:sz w:val="16"/>
                <w:szCs w:val="16"/>
                <w:color w:val="auto"/>
              </w:rPr>
              <w:t>Current portion of debt,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Trade accounts payable</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314.0</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32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Accrued taxes — other than income</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3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Insurance claims</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32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Current portion of lease liabilities</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381.6</w:t>
            </w:r>
          </w:p>
        </w:tc>
        <w:tc>
          <w:tcPr>
            <w:tcW w:w="12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348.2</w:t>
            </w: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6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DCE2EF"/>
          </w:tcPr>
          <w:p>
            <w:pPr>
              <w:spacing w:after="0"/>
              <w:rPr>
                <w:sz w:val="18"/>
                <w:szCs w:val="18"/>
                <w:color w:val="auto"/>
              </w:rPr>
            </w:pP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1,261.0</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1,348.4</w:t>
            </w:r>
          </w:p>
        </w:tc>
        <w:tc>
          <w:tcPr>
            <w:tcW w:w="0" w:type="dxa"/>
            <w:vAlign w:val="bottom"/>
          </w:tcPr>
          <w:p>
            <w:pPr>
              <w:spacing w:after="0"/>
              <w:rPr>
                <w:sz w:val="1"/>
                <w:szCs w:val="1"/>
                <w:color w:val="auto"/>
              </w:rPr>
            </w:pPr>
          </w:p>
        </w:tc>
      </w:tr>
      <w:tr>
        <w:trPr>
          <w:trHeight w:val="208"/>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1,509.3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1,302.2</w:t>
            </w: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Long-term lease liabilities</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91.4</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4"/>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Deferred income tax liability,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Noncurrent insurance claims</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426.8</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14"/>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Noncurrent income taxes payable</w:t>
            </w:r>
          </w:p>
        </w:tc>
        <w:tc>
          <w:tcPr>
            <w:tcW w:w="180" w:type="dxa"/>
            <w:vAlign w:val="bottom"/>
            <w:tcBorders>
              <w:bottom w:val="single" w:sz="8" w:color="auto"/>
            </w:tcBorders>
            <w:shd w:val="clear" w:color="auto" w:fill="DCE2EF"/>
          </w:tcPr>
          <w:p>
            <w:pPr>
              <w:spacing w:after="0"/>
              <w:rPr>
                <w:sz w:val="18"/>
                <w:szCs w:val="18"/>
                <w:color w:val="auto"/>
              </w:rPr>
            </w:pP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tcPr>
          <w:p>
            <w:pPr>
              <w:spacing w:after="0"/>
              <w:rPr>
                <w:sz w:val="18"/>
                <w:szCs w:val="18"/>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3,438.2</w:t>
            </w:r>
          </w:p>
        </w:tc>
        <w:tc>
          <w:tcPr>
            <w:tcW w:w="12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3,315.2</w:t>
            </w:r>
          </w:p>
        </w:tc>
        <w:tc>
          <w:tcPr>
            <w:tcW w:w="0" w:type="dxa"/>
            <w:vAlign w:val="bottom"/>
          </w:tcPr>
          <w:p>
            <w:pPr>
              <w:spacing w:after="0"/>
              <w:rPr>
                <w:sz w:val="1"/>
                <w:szCs w:val="1"/>
                <w:color w:val="auto"/>
              </w:rPr>
            </w:pPr>
          </w:p>
        </w:tc>
      </w:tr>
      <w:tr>
        <w:trPr>
          <w:trHeight w:val="19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DCE2EF"/>
          </w:tcPr>
          <w:p>
            <w:pPr>
              <w:spacing w:after="0"/>
              <w:rPr>
                <w:sz w:val="17"/>
                <w:szCs w:val="17"/>
                <w:color w:val="auto"/>
              </w:rPr>
            </w:pPr>
          </w:p>
        </w:tc>
        <w:tc>
          <w:tcPr>
            <w:tcW w:w="16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5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0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Preferred stock, $0.01 par value; 500,000 shares authorized; none issued</w:t>
            </w:r>
          </w:p>
        </w:tc>
        <w:tc>
          <w:tcPr>
            <w:tcW w:w="180" w:type="dxa"/>
            <w:vAlign w:val="bottom"/>
            <w:shd w:val="clear" w:color="auto" w:fill="DCE2EF"/>
          </w:tcPr>
          <w:p>
            <w:pPr>
              <w:spacing w:after="0"/>
              <w:rPr>
                <w:sz w:val="18"/>
                <w:szCs w:val="18"/>
                <w:color w:val="auto"/>
              </w:rPr>
            </w:pPr>
          </w:p>
        </w:tc>
        <w:tc>
          <w:tcPr>
            <w:tcW w:w="178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730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Common stock, $0.01 par value; 100,000,000 shares authorized;</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gridSpan w:val="2"/>
          </w:tcPr>
          <w:p>
            <w:pPr>
              <w:ind w:left="540"/>
              <w:spacing w:after="0" w:line="161" w:lineRule="exact"/>
              <w:rPr>
                <w:sz w:val="20"/>
                <w:szCs w:val="20"/>
                <w:color w:val="auto"/>
              </w:rPr>
            </w:pPr>
            <w:r>
              <w:rPr>
                <w:rFonts w:ascii="Arial" w:cs="Arial" w:eastAsia="Arial" w:hAnsi="Arial"/>
                <w:sz w:val="16"/>
                <w:szCs w:val="16"/>
                <w:color w:val="auto"/>
              </w:rPr>
              <w:t>62,213,237 and 62,196,665 shares issued and outstanding at</w:t>
            </w: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ind w:left="540"/>
              <w:spacing w:after="0"/>
              <w:rPr>
                <w:sz w:val="20"/>
                <w:szCs w:val="20"/>
                <w:color w:val="auto"/>
              </w:rPr>
            </w:pPr>
            <w:r>
              <w:rPr>
                <w:rFonts w:ascii="Arial" w:cs="Arial" w:eastAsia="Arial" w:hAnsi="Arial"/>
                <w:sz w:val="16"/>
                <w:szCs w:val="16"/>
                <w:color w:val="auto"/>
              </w:rPr>
              <w:t>January 31, 2025 and October 31, 2024, respectively</w:t>
            </w: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DCE2EF"/>
          </w:tcPr>
          <w:p>
            <w:pPr>
              <w:spacing w:after="0"/>
              <w:rPr>
                <w:sz w:val="18"/>
                <w:szCs w:val="18"/>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506.8</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527.4</w:t>
            </w:r>
          </w:p>
        </w:tc>
        <w:tc>
          <w:tcPr>
            <w:tcW w:w="0" w:type="dxa"/>
            <w:vAlign w:val="bottom"/>
          </w:tcPr>
          <w:p>
            <w:pPr>
              <w:spacing w:after="0"/>
              <w:rPr>
                <w:sz w:val="1"/>
                <w:szCs w:val="1"/>
                <w:color w:val="auto"/>
              </w:rPr>
            </w:pPr>
          </w:p>
        </w:tc>
      </w:tr>
      <w:tr>
        <w:trPr>
          <w:trHeight w:val="214"/>
        </w:trPr>
        <w:tc>
          <w:tcPr>
            <w:tcW w:w="7300" w:type="dxa"/>
            <w:vAlign w:val="bottom"/>
            <w:gridSpan w:val="3"/>
          </w:tcPr>
          <w:p>
            <w:pPr>
              <w:ind w:left="20"/>
              <w:spacing w:after="0"/>
              <w:rPr>
                <w:sz w:val="20"/>
                <w:szCs w:val="20"/>
                <w:color w:val="auto"/>
              </w:rPr>
            </w:pPr>
            <w:r>
              <w:rPr>
                <w:rFonts w:ascii="Arial" w:cs="Arial" w:eastAsia="Arial" w:hAnsi="Arial"/>
                <w:sz w:val="16"/>
                <w:szCs w:val="16"/>
                <w:color w:val="auto"/>
              </w:rPr>
              <w:t>Accumulated other comprehensive loss, net of taxes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shd w:val="clear" w:color="auto" w:fill="DCE2EF"/>
          </w:tcPr>
          <w:p>
            <w:pPr>
              <w:spacing w:after="0"/>
              <w:rPr>
                <w:sz w:val="18"/>
                <w:szCs w:val="18"/>
                <w:color w:val="auto"/>
              </w:rPr>
            </w:pP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1,299.3</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1,272.9</w:t>
            </w: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tcPr>
          <w:p>
            <w:pPr>
              <w:spacing w:after="0"/>
              <w:rPr>
                <w:sz w:val="18"/>
                <w:szCs w:val="18"/>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1,779.2</w:t>
            </w:r>
          </w:p>
        </w:tc>
        <w:tc>
          <w:tcPr>
            <w:tcW w:w="12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1,781.9</w:t>
            </w:r>
          </w:p>
        </w:tc>
        <w:tc>
          <w:tcPr>
            <w:tcW w:w="0" w:type="dxa"/>
            <w:vAlign w:val="bottom"/>
          </w:tcPr>
          <w:p>
            <w:pPr>
              <w:spacing w:after="0"/>
              <w:rPr>
                <w:sz w:val="1"/>
                <w:szCs w:val="1"/>
                <w:color w:val="auto"/>
              </w:rPr>
            </w:pPr>
          </w:p>
        </w:tc>
      </w:tr>
      <w:tr>
        <w:trPr>
          <w:trHeight w:val="234"/>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5,217.4</w:t>
            </w:r>
          </w:p>
        </w:tc>
        <w:tc>
          <w:tcPr>
            <w:tcW w:w="120" w:type="dxa"/>
            <w:vAlign w:val="bottom"/>
            <w:tcBorders>
              <w:bottom w:val="single" w:sz="8" w:color="DCE2EF"/>
            </w:tcBorders>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5,097.2</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3200" w:type="dxa"/>
            <w:vAlign w:val="bottom"/>
            <w:tcBorders>
              <w:top w:val="single" w:sz="8" w:color="DCE2EF"/>
            </w:tcBorders>
          </w:tcPr>
          <w:p>
            <w:pPr>
              <w:spacing w:after="0" w:line="20" w:lineRule="exact"/>
              <w:rPr>
                <w:sz w:val="1"/>
                <w:szCs w:val="1"/>
                <w:color w:val="auto"/>
              </w:rPr>
            </w:pPr>
          </w:p>
        </w:tc>
        <w:tc>
          <w:tcPr>
            <w:tcW w:w="408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66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5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120"/>
          </w:cols>
          <w:pgMar w:left="320" w:top="1249" w:right="45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80010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249" w:right="459" w:bottom="1440" w:gutter="0" w:footer="0" w:header="0"/>
          <w:type w:val="continuous"/>
        </w:sectPr>
      </w:pPr>
    </w:p>
    <w:bookmarkStart w:id="6" w:name="page7"/>
    <w:bookmarkEnd w:id="6"/>
    <w:p>
      <w:pPr>
        <w:jc w:val="center"/>
        <w:ind w:right="20"/>
        <w:spacing w:after="0" w:line="391" w:lineRule="auto"/>
        <w:rPr>
          <w:sz w:val="20"/>
          <w:szCs w:val="20"/>
          <w:color w:val="auto"/>
        </w:rPr>
      </w:pPr>
      <w:r>
        <w:rPr>
          <w:rFonts w:ascii="Arial" w:cs="Arial" w:eastAsia="Arial" w:hAnsi="Arial"/>
          <w:sz w:val="18"/>
          <w:szCs w:val="18"/>
          <w:b w:val="1"/>
          <w:bCs w:val="1"/>
          <w:color w:val="0046AD"/>
        </w:rPr>
        <w:t>ABM INDUSTRIES INCORPORATED AND SUBSIDIARIES CONSOLIDATED STATEMENTS OF COMPREHENSIVE INCOME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358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January 31,</w:t>
            </w:r>
          </w:p>
        </w:tc>
        <w:tc>
          <w:tcPr>
            <w:tcW w:w="0" w:type="dxa"/>
            <w:vAlign w:val="bottom"/>
          </w:tcPr>
          <w:p>
            <w:pPr>
              <w:spacing w:after="0"/>
              <w:rPr>
                <w:sz w:val="1"/>
                <w:szCs w:val="1"/>
                <w:color w:val="auto"/>
              </w:rPr>
            </w:pPr>
          </w:p>
        </w:tc>
      </w:tr>
      <w:tr>
        <w:trPr>
          <w:trHeight w:val="175"/>
        </w:trPr>
        <w:tc>
          <w:tcPr>
            <w:tcW w:w="68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ind w:right="61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ind w:right="619"/>
              <w:spacing w:after="0" w:line="175"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
        </w:trPr>
        <w:tc>
          <w:tcPr>
            <w:tcW w:w="2520" w:type="dxa"/>
            <w:vAlign w:val="bottom"/>
            <w:tcBorders>
              <w:top w:val="single" w:sz="8" w:color="auto"/>
              <w:bottom w:val="single" w:sz="8" w:color="DCE2EF"/>
            </w:tcBorders>
          </w:tcPr>
          <w:p>
            <w:pPr>
              <w:spacing w:after="0" w:line="20" w:lineRule="exact"/>
              <w:rPr>
                <w:sz w:val="1"/>
                <w:szCs w:val="1"/>
                <w:color w:val="auto"/>
              </w:rPr>
            </w:pPr>
          </w:p>
        </w:tc>
        <w:tc>
          <w:tcPr>
            <w:tcW w:w="434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68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DCE2EF"/>
          </w:tcPr>
          <w:p>
            <w:pPr>
              <w:spacing w:after="0"/>
              <w:rPr>
                <w:sz w:val="20"/>
                <w:szCs w:val="20"/>
                <w:color w:val="auto"/>
              </w:rPr>
            </w:pPr>
            <w:r>
              <w:rPr>
                <w:rFonts w:ascii="Arial" w:cs="Arial" w:eastAsia="Arial" w:hAnsi="Arial"/>
                <w:sz w:val="16"/>
                <w:szCs w:val="16"/>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2,114.9</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2,069.6</w:t>
            </w:r>
          </w:p>
        </w:tc>
        <w:tc>
          <w:tcPr>
            <w:tcW w:w="0" w:type="dxa"/>
            <w:vAlign w:val="bottom"/>
          </w:tcPr>
          <w:p>
            <w:pPr>
              <w:spacing w:after="0"/>
              <w:rPr>
                <w:sz w:val="1"/>
                <w:szCs w:val="1"/>
                <w:color w:val="auto"/>
              </w:rPr>
            </w:pPr>
          </w:p>
        </w:tc>
      </w:tr>
      <w:tr>
        <w:trPr>
          <w:trHeight w:val="214"/>
        </w:trPr>
        <w:tc>
          <w:tcPr>
            <w:tcW w:w="68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1,855.1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1,826.3</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shd w:val="clear" w:color="auto" w:fill="DCE2EF"/>
          </w:tcPr>
          <w:p>
            <w:pPr>
              <w:spacing w:after="0"/>
              <w:rPr>
                <w:sz w:val="18"/>
                <w:szCs w:val="18"/>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169.0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14"/>
        </w:trPr>
        <w:tc>
          <w:tcPr>
            <w:tcW w:w="686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9"/>
        </w:trPr>
        <w:tc>
          <w:tcPr>
            <w:tcW w:w="68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Operating profit</w:t>
            </w:r>
          </w:p>
        </w:tc>
        <w:tc>
          <w:tcPr>
            <w:tcW w:w="380" w:type="dxa"/>
            <w:vAlign w:val="bottom"/>
            <w:shd w:val="clear" w:color="auto" w:fill="DCE2EF"/>
          </w:tcPr>
          <w:p>
            <w:pPr>
              <w:spacing w:after="0"/>
              <w:rPr>
                <w:sz w:val="18"/>
                <w:szCs w:val="18"/>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4"/>
        </w:trPr>
        <w:tc>
          <w:tcPr>
            <w:tcW w:w="686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shd w:val="clear" w:color="auto" w:fill="DCE2EF"/>
          </w:tcPr>
          <w:p>
            <w:pPr>
              <w:spacing w:after="0"/>
              <w:rPr>
                <w:sz w:val="18"/>
                <w:szCs w:val="18"/>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8"/>
        </w:trPr>
        <w:tc>
          <w:tcPr>
            <w:tcW w:w="686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tax provision</w:t>
            </w:r>
          </w:p>
        </w:tc>
        <w:tc>
          <w:tcPr>
            <w:tcW w:w="380" w:type="dxa"/>
            <w:vAlign w:val="bottom"/>
            <w:tcBorders>
              <w:bottom w:val="single" w:sz="8" w:color="auto"/>
            </w:tcBorders>
            <w:shd w:val="clear" w:color="auto" w:fill="DCE2EF"/>
          </w:tcPr>
          <w:p>
            <w:pPr>
              <w:spacing w:after="0"/>
              <w:rPr>
                <w:sz w:val="18"/>
                <w:szCs w:val="18"/>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8"/>
        </w:trPr>
        <w:tc>
          <w:tcPr>
            <w:tcW w:w="686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96"/>
        </w:trPr>
        <w:tc>
          <w:tcPr>
            <w:tcW w:w="68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Other comprehensive income</w:t>
            </w:r>
          </w:p>
        </w:tc>
        <w:tc>
          <w:tcPr>
            <w:tcW w:w="38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860" w:type="dxa"/>
            <w:vAlign w:val="bottom"/>
            <w:gridSpan w:val="2"/>
          </w:tcPr>
          <w:p>
            <w:pPr>
              <w:ind w:left="320"/>
              <w:spacing w:after="0"/>
              <w:rPr>
                <w:sz w:val="20"/>
                <w:szCs w:val="20"/>
                <w:color w:val="auto"/>
              </w:rPr>
            </w:pPr>
            <w:r>
              <w:rPr>
                <w:rFonts w:ascii="Arial" w:cs="Arial" w:eastAsia="Arial" w:hAnsi="Arial"/>
                <w:sz w:val="16"/>
                <w:szCs w:val="16"/>
                <w:color w:val="auto"/>
              </w:rPr>
              <w:t>Interest rate swaps</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Foreign currency translation and other</w:t>
            </w:r>
          </w:p>
        </w:tc>
        <w:tc>
          <w:tcPr>
            <w:tcW w:w="380" w:type="dxa"/>
            <w:vAlign w:val="bottom"/>
            <w:shd w:val="clear" w:color="auto" w:fill="DCE2EF"/>
          </w:tcPr>
          <w:p>
            <w:pPr>
              <w:spacing w:after="0"/>
              <w:rPr>
                <w:sz w:val="18"/>
                <w:szCs w:val="18"/>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4"/>
        </w:trPr>
        <w:tc>
          <w:tcPr>
            <w:tcW w:w="6860" w:type="dxa"/>
            <w:vAlign w:val="bottom"/>
            <w:tcBorders>
              <w:bottom w:val="single" w:sz="8" w:color="DCE2EF"/>
            </w:tcBorders>
            <w:gridSpan w:val="2"/>
          </w:tcPr>
          <w:p>
            <w:pPr>
              <w:ind w:left="320"/>
              <w:spacing w:after="0"/>
              <w:rPr>
                <w:sz w:val="20"/>
                <w:szCs w:val="20"/>
                <w:color w:val="auto"/>
              </w:rPr>
            </w:pPr>
            <w:r>
              <w:rPr>
                <w:rFonts w:ascii="Arial" w:cs="Arial" w:eastAsia="Arial" w:hAnsi="Arial"/>
                <w:sz w:val="16"/>
                <w:szCs w:val="16"/>
                <w:color w:val="auto"/>
              </w:rPr>
              <w:t>Income tax benefit</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Comprehensive income</w:t>
            </w:r>
          </w:p>
        </w:tc>
        <w:tc>
          <w:tcPr>
            <w:tcW w:w="380" w:type="dxa"/>
            <w:vAlign w:val="bottom"/>
            <w:tcBorders>
              <w:bottom w:val="single" w:sz="8" w:color="auto"/>
            </w:tcBorders>
            <w:shd w:val="clear" w:color="auto" w:fill="DCE2EF"/>
          </w:tcPr>
          <w:p>
            <w:pPr>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DCE2EF"/>
            </w:tcBorders>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
        </w:trPr>
        <w:tc>
          <w:tcPr>
            <w:tcW w:w="686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6"/>
                <w:szCs w:val="16"/>
                <w:b w:val="1"/>
                <w:bCs w:val="1"/>
                <w:color w:val="auto"/>
              </w:rPr>
              <w:t>Net income per common share</w:t>
            </w: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3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3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DCE2EF"/>
          </w:tcPr>
          <w:p>
            <w:pPr>
              <w:spacing w:after="0"/>
              <w:rPr>
                <w:sz w:val="20"/>
                <w:szCs w:val="20"/>
                <w:color w:val="auto"/>
              </w:rPr>
            </w:pPr>
            <w:r>
              <w:rPr>
                <w:rFonts w:ascii="Arial" w:cs="Arial" w:eastAsia="Arial" w:hAnsi="Arial"/>
                <w:sz w:val="16"/>
                <w:szCs w:val="16"/>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14"/>
        </w:trPr>
        <w:tc>
          <w:tcPr>
            <w:tcW w:w="6860" w:type="dxa"/>
            <w:vAlign w:val="bottom"/>
            <w:gridSpan w:val="2"/>
          </w:tcPr>
          <w:p>
            <w:pPr>
              <w:ind w:left="32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162"/>
        </w:trPr>
        <w:tc>
          <w:tcPr>
            <w:tcW w:w="6860" w:type="dxa"/>
            <w:vAlign w:val="bottom"/>
            <w:gridSpan w:val="2"/>
            <w:shd w:val="clear" w:color="auto" w:fill="DCE2EF"/>
          </w:tcPr>
          <w:p>
            <w:pPr>
              <w:spacing w:after="0" w:line="162" w:lineRule="exact"/>
              <w:rPr>
                <w:sz w:val="20"/>
                <w:szCs w:val="20"/>
                <w:color w:val="auto"/>
              </w:rPr>
            </w:pPr>
            <w:r>
              <w:rPr>
                <w:rFonts w:ascii="Arial" w:cs="Arial" w:eastAsia="Arial" w:hAnsi="Arial"/>
                <w:sz w:val="16"/>
                <w:szCs w:val="16"/>
                <w:b w:val="1"/>
                <w:bCs w:val="1"/>
                <w:color w:val="auto"/>
              </w:rPr>
              <w:t>Weighted-average common and common equivalent</w:t>
            </w:r>
          </w:p>
        </w:tc>
        <w:tc>
          <w:tcPr>
            <w:tcW w:w="380" w:type="dxa"/>
            <w:vAlign w:val="bottom"/>
            <w:shd w:val="clear" w:color="auto" w:fill="DCE2EF"/>
          </w:tcPr>
          <w:p>
            <w:pPr>
              <w:spacing w:after="0"/>
              <w:rPr>
                <w:sz w:val="14"/>
                <w:szCs w:val="14"/>
                <w:color w:val="auto"/>
              </w:rPr>
            </w:pPr>
          </w:p>
        </w:tc>
        <w:tc>
          <w:tcPr>
            <w:tcW w:w="13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80" w:type="dxa"/>
            <w:vAlign w:val="bottom"/>
            <w:shd w:val="clear" w:color="auto" w:fill="DCE2EF"/>
          </w:tcPr>
          <w:p>
            <w:pPr>
              <w:spacing w:after="0"/>
              <w:rPr>
                <w:sz w:val="14"/>
                <w:szCs w:val="14"/>
                <w:color w:val="auto"/>
              </w:rPr>
            </w:pPr>
          </w:p>
        </w:tc>
        <w:tc>
          <w:tcPr>
            <w:tcW w:w="136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60" w:type="dxa"/>
            <w:vAlign w:val="bottom"/>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shares outstanding</w:t>
            </w:r>
          </w:p>
        </w:tc>
        <w:tc>
          <w:tcPr>
            <w:tcW w:w="380" w:type="dxa"/>
            <w:vAlign w:val="bottom"/>
            <w:shd w:val="clear" w:color="auto" w:fill="DCE2EF"/>
          </w:tcPr>
          <w:p>
            <w:pPr>
              <w:spacing w:after="0"/>
              <w:rPr>
                <w:sz w:val="18"/>
                <w:szCs w:val="18"/>
                <w:color w:val="auto"/>
              </w:rPr>
            </w:pPr>
          </w:p>
        </w:tc>
        <w:tc>
          <w:tcPr>
            <w:tcW w:w="13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6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60" w:type="dxa"/>
            <w:vAlign w:val="bottom"/>
            <w:gridSpan w:val="2"/>
          </w:tcPr>
          <w:p>
            <w:pPr>
              <w:ind w:left="32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DCE2EF"/>
          </w:tcPr>
          <w:p>
            <w:pPr>
              <w:spacing w:after="0"/>
              <w:rPr>
                <w:sz w:val="18"/>
                <w:szCs w:val="18"/>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40"/>
          </w:cols>
          <w:pgMar w:left="740" w:top="1249" w:right="719" w:bottom="1440" w:gutter="0" w:footer="0" w:header="0"/>
        </w:sectPr>
      </w:pPr>
    </w:p>
    <w:bookmarkStart w:id="7" w:name="page8"/>
    <w:bookmarkEnd w:id="7"/>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2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0046AD"/>
        </w:rPr>
        <w:t>CONSOLIDATED STATEMENTS OF STOCKHOLDERS’ EQUITY</w:t>
      </w:r>
    </w:p>
    <w:p>
      <w:pPr>
        <w:spacing w:after="0" w:line="8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0046AD"/>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1040" w:type="dxa"/>
            <w:vAlign w:val="bottom"/>
          </w:tcPr>
          <w:p>
            <w:pPr>
              <w:spacing w:after="0"/>
              <w:rPr>
                <w:sz w:val="18"/>
                <w:szCs w:val="18"/>
                <w:color w:val="auto"/>
              </w:rPr>
            </w:pPr>
          </w:p>
        </w:tc>
        <w:tc>
          <w:tcPr>
            <w:tcW w:w="17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1360" w:type="dxa"/>
            <w:vAlign w:val="bottom"/>
            <w:tcBorders>
              <w:top w:val="single" w:sz="8" w:color="auto"/>
            </w:tcBorders>
            <w:gridSpan w:val="2"/>
          </w:tcPr>
          <w:p>
            <w:pPr>
              <w:ind w:left="360"/>
              <w:spacing w:after="0" w:line="168" w:lineRule="exact"/>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39"/>
              <w:spacing w:after="0" w:line="168"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4"/>
                <w:szCs w:val="14"/>
                <w:color w:val="auto"/>
              </w:rPr>
            </w:pPr>
          </w:p>
        </w:tc>
        <w:tc>
          <w:tcPr>
            <w:tcW w:w="1360" w:type="dxa"/>
            <w:vAlign w:val="bottom"/>
            <w:tcBorders>
              <w:top w:val="single" w:sz="8" w:color="auto"/>
            </w:tcBorders>
            <w:gridSpan w:val="2"/>
          </w:tcPr>
          <w:p>
            <w:pPr>
              <w:ind w:left="360"/>
              <w:spacing w:after="0" w:line="168" w:lineRule="exact"/>
              <w:rPr>
                <w:sz w:val="20"/>
                <w:szCs w:val="20"/>
                <w:color w:val="auto"/>
              </w:rPr>
            </w:pPr>
            <w:r>
              <w:rPr>
                <w:rFonts w:ascii="Arial" w:cs="Arial" w:eastAsia="Arial" w:hAnsi="Arial"/>
                <w:sz w:val="16"/>
                <w:szCs w:val="16"/>
                <w:b w:val="1"/>
                <w:bCs w:val="1"/>
                <w:color w:val="auto"/>
              </w:rPr>
              <w:t>Shares</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59"/>
              <w:spacing w:after="0" w:line="168"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520" w:type="dxa"/>
            <w:vAlign w:val="bottom"/>
            <w:tcBorders>
              <w:top w:val="single" w:sz="8" w:color="auto"/>
              <w:bottom w:val="single" w:sz="8" w:color="DCE2EF"/>
            </w:tcBorders>
          </w:tcPr>
          <w:p>
            <w:pPr>
              <w:spacing w:after="0" w:line="20" w:lineRule="exact"/>
              <w:rPr>
                <w:sz w:val="1"/>
                <w:szCs w:val="1"/>
                <w:color w:val="auto"/>
              </w:rPr>
            </w:pPr>
          </w:p>
        </w:tc>
        <w:tc>
          <w:tcPr>
            <w:tcW w:w="248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DCE2EF"/>
          </w:tcPr>
          <w:p>
            <w:pPr>
              <w:spacing w:after="0"/>
              <w:rPr>
                <w:sz w:val="16"/>
                <w:szCs w:val="16"/>
                <w:color w:val="auto"/>
              </w:rPr>
            </w:pPr>
          </w:p>
        </w:tc>
        <w:tc>
          <w:tcPr>
            <w:tcW w:w="500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Common Stock</w:t>
            </w:r>
          </w:p>
        </w:tc>
        <w:tc>
          <w:tcPr>
            <w:tcW w:w="12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10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0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tcPr>
          <w:p>
            <w:pPr>
              <w:ind w:left="120"/>
              <w:spacing w:after="0"/>
              <w:rPr>
                <w:sz w:val="20"/>
                <w:szCs w:val="20"/>
                <w:color w:val="auto"/>
              </w:rPr>
            </w:pPr>
            <w:r>
              <w:rPr>
                <w:rFonts w:ascii="Arial" w:cs="Arial" w:eastAsia="Arial" w:hAnsi="Arial"/>
                <w:sz w:val="16"/>
                <w:szCs w:val="16"/>
                <w:color w:val="auto"/>
              </w:rPr>
              <w:t>Balance, beginning of period</w:t>
            </w:r>
          </w:p>
        </w:tc>
        <w:tc>
          <w:tcPr>
            <w:tcW w:w="1240" w:type="dxa"/>
            <w:vAlign w:val="bottom"/>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62"/>
        </w:trPr>
        <w:tc>
          <w:tcPr>
            <w:tcW w:w="20" w:type="dxa"/>
            <w:vAlign w:val="bottom"/>
            <w:shd w:val="clear" w:color="auto" w:fill="DCE2EF"/>
          </w:tcPr>
          <w:p>
            <w:pPr>
              <w:spacing w:after="0"/>
              <w:rPr>
                <w:sz w:val="14"/>
                <w:szCs w:val="14"/>
                <w:color w:val="auto"/>
              </w:rPr>
            </w:pPr>
          </w:p>
        </w:tc>
        <w:tc>
          <w:tcPr>
            <w:tcW w:w="5000" w:type="dxa"/>
            <w:vAlign w:val="bottom"/>
            <w:gridSpan w:val="2"/>
            <w:shd w:val="clear" w:color="auto" w:fill="DCE2EF"/>
          </w:tcPr>
          <w:p>
            <w:pPr>
              <w:ind w:left="120"/>
              <w:spacing w:after="0" w:line="162" w:lineRule="exact"/>
              <w:rPr>
                <w:sz w:val="20"/>
                <w:szCs w:val="20"/>
                <w:color w:val="auto"/>
              </w:rPr>
            </w:pPr>
            <w:r>
              <w:rPr>
                <w:rFonts w:ascii="Arial" w:cs="Arial" w:eastAsia="Arial" w:hAnsi="Arial"/>
                <w:sz w:val="16"/>
                <w:szCs w:val="16"/>
                <w:color w:val="auto"/>
              </w:rPr>
              <w:t>Stock issued under employee stock purchase and share-based</w:t>
            </w:r>
          </w:p>
        </w:tc>
        <w:tc>
          <w:tcPr>
            <w:tcW w:w="12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14"/>
                <w:szCs w:val="14"/>
                <w:color w:val="auto"/>
              </w:rPr>
            </w:pPr>
          </w:p>
        </w:tc>
        <w:tc>
          <w:tcPr>
            <w:tcW w:w="220" w:type="dxa"/>
            <w:vAlign w:val="bottom"/>
            <w:shd w:val="clear" w:color="auto" w:fill="DCE2EF"/>
          </w:tcPr>
          <w:p>
            <w:pPr>
              <w:spacing w:after="0"/>
              <w:rPr>
                <w:sz w:val="14"/>
                <w:szCs w:val="14"/>
                <w:color w:val="auto"/>
              </w:rPr>
            </w:pPr>
          </w:p>
        </w:tc>
        <w:tc>
          <w:tcPr>
            <w:tcW w:w="10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vMerge w:val="restart"/>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DCE2EF"/>
          </w:tcPr>
          <w:p>
            <w:pPr>
              <w:spacing w:after="0"/>
              <w:rPr>
                <w:sz w:val="14"/>
                <w:szCs w:val="14"/>
                <w:color w:val="auto"/>
              </w:rPr>
            </w:pPr>
          </w:p>
        </w:tc>
        <w:tc>
          <w:tcPr>
            <w:tcW w:w="240" w:type="dxa"/>
            <w:vAlign w:val="bottom"/>
            <w:shd w:val="clear" w:color="auto" w:fill="DCE2EF"/>
          </w:tcPr>
          <w:p>
            <w:pPr>
              <w:spacing w:after="0"/>
              <w:rPr>
                <w:sz w:val="14"/>
                <w:szCs w:val="14"/>
                <w:color w:val="auto"/>
              </w:rPr>
            </w:pPr>
          </w:p>
        </w:tc>
        <w:tc>
          <w:tcPr>
            <w:tcW w:w="10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000" w:type="dxa"/>
            <w:vAlign w:val="bottom"/>
            <w:gridSpan w:val="2"/>
            <w:shd w:val="clear" w:color="auto" w:fill="DCE2EF"/>
          </w:tcPr>
          <w:p>
            <w:pPr>
              <w:ind w:left="280"/>
              <w:spacing w:after="0"/>
              <w:rPr>
                <w:sz w:val="20"/>
                <w:szCs w:val="20"/>
                <w:color w:val="auto"/>
              </w:rPr>
            </w:pPr>
            <w:r>
              <w:rPr>
                <w:rFonts w:ascii="Arial" w:cs="Arial" w:eastAsia="Arial" w:hAnsi="Arial"/>
                <w:sz w:val="16"/>
                <w:szCs w:val="16"/>
                <w:color w:val="auto"/>
              </w:rPr>
              <w:t>compensation plans</w:t>
            </w:r>
          </w:p>
        </w:tc>
        <w:tc>
          <w:tcPr>
            <w:tcW w:w="1240" w:type="dxa"/>
            <w:vAlign w:val="bottom"/>
            <w:vMerge w:val="continue"/>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040" w:type="dxa"/>
            <w:vAlign w:val="bottom"/>
            <w:vMerge w:val="continue"/>
            <w:shd w:val="clear" w:color="auto" w:fill="DCE2EF"/>
          </w:tcPr>
          <w:p>
            <w:pPr>
              <w:spacing w:after="0"/>
              <w:rPr>
                <w:sz w:val="18"/>
                <w:szCs w:val="18"/>
                <w:color w:val="auto"/>
              </w:rPr>
            </w:pPr>
          </w:p>
        </w:tc>
        <w:tc>
          <w:tcPr>
            <w:tcW w:w="1360" w:type="dxa"/>
            <w:vAlign w:val="bottom"/>
            <w:gridSpan w:val="2"/>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040" w:type="dxa"/>
            <w:vAlign w:val="bottom"/>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5000" w:type="dxa"/>
            <w:vAlign w:val="bottom"/>
            <w:tcBorders>
              <w:bottom w:val="single" w:sz="8" w:color="DCE2EF"/>
            </w:tcBorders>
            <w:gridSpan w:val="2"/>
          </w:tcPr>
          <w:p>
            <w:pPr>
              <w:ind w:left="120"/>
              <w:spacing w:after="0"/>
              <w:rPr>
                <w:sz w:val="20"/>
                <w:szCs w:val="20"/>
                <w:color w:val="auto"/>
              </w:rPr>
            </w:pPr>
            <w:r>
              <w:rPr>
                <w:rFonts w:ascii="Arial" w:cs="Arial" w:eastAsia="Arial" w:hAnsi="Arial"/>
                <w:sz w:val="16"/>
                <w:szCs w:val="16"/>
                <w:color w:val="auto"/>
              </w:rPr>
              <w:t>Repurchase of common stock</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500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Balance, end of period</w:t>
            </w:r>
          </w:p>
        </w:tc>
        <w:tc>
          <w:tcPr>
            <w:tcW w:w="12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62.2</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136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Additional Paid-in Capital</w:t>
            </w: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00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Balance, beginning of period</w:t>
            </w: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527.4</w:t>
            </w:r>
          </w:p>
        </w:tc>
        <w:tc>
          <w:tcPr>
            <w:tcW w:w="10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558.9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gridSpan w:val="2"/>
          </w:tcPr>
          <w:p>
            <w:pPr>
              <w:ind w:left="120"/>
              <w:spacing w:after="0" w:line="161" w:lineRule="exact"/>
              <w:rPr>
                <w:sz w:val="20"/>
                <w:szCs w:val="20"/>
                <w:color w:val="auto"/>
              </w:rPr>
            </w:pPr>
            <w:r>
              <w:rPr>
                <w:rFonts w:ascii="Arial" w:cs="Arial" w:eastAsia="Arial" w:hAnsi="Arial"/>
                <w:sz w:val="16"/>
                <w:szCs w:val="16"/>
                <w:color w:val="auto"/>
              </w:rPr>
              <w:t>Taxes withheld under employee stock purchase and share-based</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tcPr>
          <w:p>
            <w:pPr>
              <w:ind w:left="280"/>
              <w:spacing w:after="0"/>
              <w:rPr>
                <w:sz w:val="20"/>
                <w:szCs w:val="20"/>
                <w:color w:val="auto"/>
              </w:rPr>
            </w:pPr>
            <w:r>
              <w:rPr>
                <w:rFonts w:ascii="Arial" w:cs="Arial" w:eastAsia="Arial" w:hAnsi="Arial"/>
                <w:sz w:val="16"/>
                <w:szCs w:val="16"/>
                <w:color w:val="auto"/>
              </w:rPr>
              <w:t>compensation plans, net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00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Share-based compensation expense</w:t>
            </w: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5000" w:type="dxa"/>
            <w:vAlign w:val="bottom"/>
            <w:tcBorders>
              <w:bottom w:val="single" w:sz="8" w:color="DCE2EF"/>
            </w:tcBorders>
            <w:gridSpan w:val="2"/>
          </w:tcPr>
          <w:p>
            <w:pPr>
              <w:ind w:left="120"/>
              <w:spacing w:after="0"/>
              <w:rPr>
                <w:sz w:val="20"/>
                <w:szCs w:val="20"/>
                <w:color w:val="auto"/>
              </w:rPr>
            </w:pPr>
            <w:r>
              <w:rPr>
                <w:rFonts w:ascii="Arial" w:cs="Arial" w:eastAsia="Arial" w:hAnsi="Arial"/>
                <w:sz w:val="16"/>
                <w:szCs w:val="16"/>
                <w:color w:val="auto"/>
              </w:rPr>
              <w:t>Repurchase of common stock</w:t>
            </w:r>
          </w:p>
        </w:tc>
        <w:tc>
          <w:tcPr>
            <w:tcW w:w="124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DCE2EF"/>
            </w:tcBorders>
          </w:tcPr>
          <w:p>
            <w:pPr>
              <w:spacing w:after="0"/>
              <w:rPr>
                <w:sz w:val="18"/>
                <w:szCs w:val="18"/>
                <w:color w:val="auto"/>
              </w:rPr>
            </w:pPr>
          </w:p>
        </w:tc>
        <w:tc>
          <w:tcPr>
            <w:tcW w:w="126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500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Balance, end of period</w:t>
            </w: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506.8</w:t>
            </w:r>
          </w:p>
        </w:tc>
        <w:tc>
          <w:tcPr>
            <w:tcW w:w="10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558.5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 Other Comprehensive Loss, Net of Taxes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00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Balance, beginning of period</w:t>
            </w: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5000" w:type="dxa"/>
            <w:vAlign w:val="bottom"/>
            <w:tcBorders>
              <w:bottom w:val="single" w:sz="8" w:color="DCE2EF"/>
            </w:tcBorders>
            <w:gridSpan w:val="2"/>
          </w:tcPr>
          <w:p>
            <w:pPr>
              <w:ind w:left="120"/>
              <w:spacing w:after="0"/>
              <w:rPr>
                <w:sz w:val="20"/>
                <w:szCs w:val="20"/>
                <w:color w:val="auto"/>
              </w:rPr>
            </w:pPr>
            <w:r>
              <w:rPr>
                <w:rFonts w:ascii="Arial" w:cs="Arial" w:eastAsia="Arial" w:hAnsi="Arial"/>
                <w:sz w:val="16"/>
                <w:szCs w:val="16"/>
                <w:color w:val="auto"/>
              </w:rPr>
              <w:t>Other comprehensive loss</w:t>
            </w:r>
          </w:p>
        </w:tc>
        <w:tc>
          <w:tcPr>
            <w:tcW w:w="124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DCE2EF"/>
            </w:tcBorders>
          </w:tcPr>
          <w:p>
            <w:pPr>
              <w:spacing w:after="0"/>
              <w:rPr>
                <w:sz w:val="18"/>
                <w:szCs w:val="18"/>
                <w:color w:val="auto"/>
              </w:rPr>
            </w:pPr>
          </w:p>
        </w:tc>
        <w:tc>
          <w:tcPr>
            <w:tcW w:w="126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500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Balance, end of period</w:t>
            </w: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Retained Earnings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00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Balance, beginning of period</w:t>
            </w: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1,272.9</w:t>
            </w:r>
          </w:p>
        </w:tc>
        <w:tc>
          <w:tcPr>
            <w:tcW w:w="10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1,249.6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00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Dividends</w:t>
            </w: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0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04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gridSpan w:val="2"/>
          </w:tcPr>
          <w:p>
            <w:pPr>
              <w:ind w:left="220"/>
              <w:spacing w:after="0" w:line="215" w:lineRule="exact"/>
              <w:rPr>
                <w:sz w:val="20"/>
                <w:szCs w:val="20"/>
                <w:color w:val="auto"/>
              </w:rPr>
            </w:pPr>
            <w:r>
              <w:rPr>
                <w:rFonts w:ascii="Arial" w:cs="Arial" w:eastAsia="Arial" w:hAnsi="Arial"/>
                <w:sz w:val="16"/>
                <w:szCs w:val="16"/>
                <w:color w:val="auto"/>
              </w:rPr>
              <w:t xml:space="preserve">Common stock </w:t>
            </w:r>
            <w:r>
              <w:rPr>
                <w:rFonts w:ascii="Arial" w:cs="Arial" w:eastAsia="Arial" w:hAnsi="Arial"/>
                <w:sz w:val="20"/>
                <w:szCs w:val="20"/>
                <w:color w:val="auto"/>
                <w:vertAlign w:val="superscript"/>
              </w:rPr>
              <w:t>(1)</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61"/>
        </w:trPr>
        <w:tc>
          <w:tcPr>
            <w:tcW w:w="20" w:type="dxa"/>
            <w:vAlign w:val="bottom"/>
            <w:shd w:val="clear" w:color="auto" w:fill="DCE2EF"/>
          </w:tcPr>
          <w:p>
            <w:pPr>
              <w:spacing w:after="0"/>
              <w:rPr>
                <w:sz w:val="14"/>
                <w:szCs w:val="14"/>
                <w:color w:val="auto"/>
              </w:rPr>
            </w:pPr>
          </w:p>
        </w:tc>
        <w:tc>
          <w:tcPr>
            <w:tcW w:w="5000" w:type="dxa"/>
            <w:vAlign w:val="bottom"/>
            <w:gridSpan w:val="2"/>
            <w:shd w:val="clear" w:color="auto" w:fill="DCE2EF"/>
          </w:tcPr>
          <w:p>
            <w:pPr>
              <w:ind w:left="220"/>
              <w:spacing w:after="0" w:line="161" w:lineRule="exact"/>
              <w:rPr>
                <w:sz w:val="20"/>
                <w:szCs w:val="20"/>
                <w:color w:val="auto"/>
              </w:rPr>
            </w:pPr>
            <w:r>
              <w:rPr>
                <w:rFonts w:ascii="Arial" w:cs="Arial" w:eastAsia="Arial" w:hAnsi="Arial"/>
                <w:sz w:val="16"/>
                <w:szCs w:val="16"/>
                <w:color w:val="auto"/>
              </w:rPr>
              <w:t>Stock issued under share-based compensation</w:t>
            </w:r>
          </w:p>
        </w:tc>
        <w:tc>
          <w:tcPr>
            <w:tcW w:w="124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220" w:type="dxa"/>
            <w:vAlign w:val="bottom"/>
            <w:shd w:val="clear" w:color="auto" w:fill="DCE2EF"/>
          </w:tcPr>
          <w:p>
            <w:pPr>
              <w:spacing w:after="0"/>
              <w:rPr>
                <w:sz w:val="14"/>
                <w:szCs w:val="14"/>
                <w:color w:val="auto"/>
              </w:rPr>
            </w:pPr>
          </w:p>
        </w:tc>
        <w:tc>
          <w:tcPr>
            <w:tcW w:w="10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DCE2EF"/>
          </w:tcPr>
          <w:p>
            <w:pPr>
              <w:spacing w:after="0"/>
              <w:rPr>
                <w:sz w:val="14"/>
                <w:szCs w:val="14"/>
                <w:color w:val="auto"/>
              </w:rPr>
            </w:pPr>
          </w:p>
        </w:tc>
        <w:tc>
          <w:tcPr>
            <w:tcW w:w="12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40" w:type="dxa"/>
            <w:vAlign w:val="bottom"/>
            <w:shd w:val="clear" w:color="auto" w:fill="DCE2EF"/>
          </w:tcPr>
          <w:p>
            <w:pPr>
              <w:spacing w:after="0"/>
              <w:rPr>
                <w:sz w:val="14"/>
                <w:szCs w:val="14"/>
                <w:color w:val="auto"/>
              </w:rPr>
            </w:pPr>
          </w:p>
        </w:tc>
        <w:tc>
          <w:tcPr>
            <w:tcW w:w="104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000" w:type="dxa"/>
            <w:vAlign w:val="bottom"/>
            <w:gridSpan w:val="2"/>
            <w:shd w:val="clear" w:color="auto" w:fill="DCE2EF"/>
          </w:tcPr>
          <w:p>
            <w:pPr>
              <w:ind w:left="400"/>
              <w:spacing w:after="0"/>
              <w:rPr>
                <w:sz w:val="20"/>
                <w:szCs w:val="20"/>
                <w:color w:val="auto"/>
              </w:rPr>
            </w:pPr>
            <w:r>
              <w:rPr>
                <w:rFonts w:ascii="Arial" w:cs="Arial" w:eastAsia="Arial" w:hAnsi="Arial"/>
                <w:sz w:val="16"/>
                <w:szCs w:val="16"/>
                <w:color w:val="auto"/>
              </w:rPr>
              <w:t>plans</w:t>
            </w: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tcPr>
          <w:p>
            <w:pPr>
              <w:spacing w:after="0"/>
              <w:rPr>
                <w:sz w:val="18"/>
                <w:szCs w:val="18"/>
                <w:color w:val="auto"/>
              </w:rPr>
            </w:pPr>
          </w:p>
        </w:tc>
        <w:tc>
          <w:tcPr>
            <w:tcW w:w="5000" w:type="dxa"/>
            <w:vAlign w:val="bottom"/>
            <w:tcBorders>
              <w:bottom w:val="single" w:sz="8" w:color="DCE2EF"/>
            </w:tcBorders>
            <w:gridSpan w:val="2"/>
          </w:tcPr>
          <w:p>
            <w:pPr>
              <w:ind w:left="120"/>
              <w:spacing w:after="0"/>
              <w:rPr>
                <w:sz w:val="20"/>
                <w:szCs w:val="20"/>
                <w:color w:val="auto"/>
              </w:rPr>
            </w:pPr>
            <w:r>
              <w:rPr>
                <w:rFonts w:ascii="Arial" w:cs="Arial" w:eastAsia="Arial" w:hAnsi="Arial"/>
                <w:sz w:val="16"/>
                <w:szCs w:val="16"/>
                <w:color w:val="auto"/>
              </w:rPr>
              <w:t>Balance, end of period</w:t>
            </w:r>
          </w:p>
        </w:tc>
        <w:tc>
          <w:tcPr>
            <w:tcW w:w="124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1,299.3</w:t>
            </w:r>
          </w:p>
        </w:tc>
        <w:tc>
          <w:tcPr>
            <w:tcW w:w="100" w:type="dxa"/>
            <w:vAlign w:val="bottom"/>
            <w:tcBorders>
              <w:bottom w:val="single" w:sz="8" w:color="DCE2EF"/>
            </w:tcBorders>
          </w:tcPr>
          <w:p>
            <w:pPr>
              <w:spacing w:after="0"/>
              <w:rPr>
                <w:sz w:val="18"/>
                <w:szCs w:val="18"/>
                <w:color w:val="auto"/>
              </w:rPr>
            </w:pPr>
          </w:p>
        </w:tc>
        <w:tc>
          <w:tcPr>
            <w:tcW w:w="126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1,279.3</w:t>
            </w:r>
          </w:p>
        </w:tc>
        <w:tc>
          <w:tcPr>
            <w:tcW w:w="0" w:type="dxa"/>
            <w:vAlign w:val="bottom"/>
          </w:tcPr>
          <w:p>
            <w:pPr>
              <w:spacing w:after="0"/>
              <w:rPr>
                <w:sz w:val="1"/>
                <w:szCs w:val="1"/>
                <w:color w:val="auto"/>
              </w:rPr>
            </w:pPr>
          </w:p>
        </w:tc>
      </w:tr>
      <w:tr>
        <w:trPr>
          <w:trHeight w:val="234"/>
        </w:trPr>
        <w:tc>
          <w:tcPr>
            <w:tcW w:w="20" w:type="dxa"/>
            <w:vAlign w:val="bottom"/>
            <w:tcBorders>
              <w:bottom w:val="single" w:sz="8" w:color="DCE2EF"/>
            </w:tcBorders>
            <w:shd w:val="clear" w:color="auto" w:fill="DCE2EF"/>
          </w:tcPr>
          <w:p>
            <w:pPr>
              <w:spacing w:after="0"/>
              <w:rPr>
                <w:sz w:val="19"/>
                <w:szCs w:val="19"/>
                <w:color w:val="auto"/>
              </w:rPr>
            </w:pPr>
          </w:p>
        </w:tc>
        <w:tc>
          <w:tcPr>
            <w:tcW w:w="50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Total Stockholders’ Equity</w:t>
            </w:r>
          </w:p>
        </w:tc>
        <w:tc>
          <w:tcPr>
            <w:tcW w:w="1240" w:type="dxa"/>
            <w:vAlign w:val="bottom"/>
            <w:tcBorders>
              <w:bottom w:val="single" w:sz="8" w:color="DCE2EF"/>
            </w:tcBorders>
            <w:shd w:val="clear" w:color="auto" w:fill="DCE2EF"/>
          </w:tcPr>
          <w:p>
            <w:pPr>
              <w:spacing w:after="0"/>
              <w:rPr>
                <w:sz w:val="19"/>
                <w:szCs w:val="19"/>
                <w:color w:val="auto"/>
              </w:rPr>
            </w:pPr>
          </w:p>
        </w:tc>
        <w:tc>
          <w:tcPr>
            <w:tcW w:w="120" w:type="dxa"/>
            <w:vAlign w:val="bottom"/>
            <w:tcBorders>
              <w:bottom w:val="single" w:sz="8" w:color="DCE2EF"/>
            </w:tcBorders>
            <w:shd w:val="clear" w:color="auto" w:fill="DCE2EF"/>
          </w:tcPr>
          <w:p>
            <w:pPr>
              <w:spacing w:after="0"/>
              <w:rPr>
                <w:sz w:val="19"/>
                <w:szCs w:val="19"/>
                <w:color w:val="auto"/>
              </w:rPr>
            </w:pPr>
          </w:p>
        </w:tc>
        <w:tc>
          <w:tcPr>
            <w:tcW w:w="2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1,779.2</w:t>
            </w:r>
          </w:p>
        </w:tc>
        <w:tc>
          <w:tcPr>
            <w:tcW w:w="100" w:type="dxa"/>
            <w:vAlign w:val="bottom"/>
            <w:tcBorders>
              <w:bottom w:val="single" w:sz="8" w:color="DCE2EF"/>
            </w:tcBorders>
            <w:shd w:val="clear" w:color="auto" w:fill="DCE2EF"/>
          </w:tcPr>
          <w:p>
            <w:pPr>
              <w:spacing w:after="0"/>
              <w:rPr>
                <w:sz w:val="19"/>
                <w:szCs w:val="19"/>
                <w:color w:val="auto"/>
              </w:rPr>
            </w:pPr>
          </w:p>
        </w:tc>
        <w:tc>
          <w:tcPr>
            <w:tcW w:w="1260" w:type="dxa"/>
            <w:vAlign w:val="bottom"/>
            <w:tcBorders>
              <w:bottom w:val="single" w:sz="8" w:color="DCE2EF"/>
            </w:tcBorders>
            <w:shd w:val="clear" w:color="auto" w:fill="DCE2EF"/>
          </w:tcPr>
          <w:p>
            <w:pPr>
              <w:spacing w:after="0"/>
              <w:rPr>
                <w:sz w:val="19"/>
                <w:szCs w:val="19"/>
                <w:color w:val="auto"/>
              </w:rPr>
            </w:pPr>
          </w:p>
        </w:tc>
        <w:tc>
          <w:tcPr>
            <w:tcW w:w="100" w:type="dxa"/>
            <w:vAlign w:val="bottom"/>
            <w:tcBorders>
              <w:bottom w:val="single" w:sz="8" w:color="DCE2EF"/>
            </w:tcBorders>
            <w:shd w:val="clear" w:color="auto" w:fill="DCE2EF"/>
          </w:tcPr>
          <w:p>
            <w:pPr>
              <w:spacing w:after="0"/>
              <w:rPr>
                <w:sz w:val="19"/>
                <w:szCs w:val="19"/>
                <w:color w:val="auto"/>
              </w:rPr>
            </w:pPr>
          </w:p>
        </w:tc>
        <w:tc>
          <w:tcPr>
            <w:tcW w:w="2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1,822.7</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520" w:type="dxa"/>
            <w:vAlign w:val="bottom"/>
            <w:tcBorders>
              <w:top w:val="single" w:sz="8" w:color="DCE2EF"/>
            </w:tcBorders>
          </w:tcPr>
          <w:p>
            <w:pPr>
              <w:spacing w:after="0" w:line="20" w:lineRule="exact"/>
              <w:rPr>
                <w:sz w:val="1"/>
                <w:szCs w:val="1"/>
                <w:color w:val="auto"/>
              </w:rPr>
            </w:pPr>
          </w:p>
        </w:tc>
        <w:tc>
          <w:tcPr>
            <w:tcW w:w="2480" w:type="dxa"/>
            <w:vAlign w:val="bottom"/>
            <w:tcBorders>
              <w:top w:val="single" w:sz="8" w:color="DCE2EF"/>
            </w:tcBorders>
          </w:tcPr>
          <w:p>
            <w:pPr>
              <w:spacing w:after="0" w:line="20" w:lineRule="exact"/>
              <w:rPr>
                <w:sz w:val="1"/>
                <w:szCs w:val="1"/>
                <w:color w:val="auto"/>
              </w:rPr>
            </w:pPr>
          </w:p>
        </w:tc>
        <w:tc>
          <w:tcPr>
            <w:tcW w:w="124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6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60" w:hanging="153"/>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Cash dividends declared per common share were $0.265 and $0.225 for the three months ended January 31, 2025 and 2024, respectively.</w:t>
      </w:r>
    </w:p>
    <w:p>
      <w:pPr>
        <w:spacing w:after="0" w:line="13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9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380"/>
          </w:cols>
          <w:pgMar w:left="320" w:top="1236" w:right="1199" w:bottom="1440" w:gutter="0" w:footer="0" w:header="0"/>
        </w:sectPr>
      </w:pPr>
    </w:p>
    <w:bookmarkStart w:id="8" w:name="page9"/>
    <w:bookmarkEnd w:id="8"/>
    <w:p>
      <w:pPr>
        <w:ind w:left="29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6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January 31,</w:t>
            </w:r>
          </w:p>
        </w:tc>
      </w:tr>
      <w:tr>
        <w:trPr>
          <w:trHeight w:val="168"/>
        </w:trPr>
        <w:tc>
          <w:tcPr>
            <w:tcW w:w="7180" w:type="dxa"/>
            <w:vAlign w:val="bottom"/>
            <w:gridSpan w:val="3"/>
          </w:tcPr>
          <w:p>
            <w:pPr>
              <w:ind w:left="20"/>
              <w:spacing w:after="0" w:line="168" w:lineRule="exact"/>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Pr>
          <w:p>
            <w:pPr>
              <w:spacing w:after="0"/>
              <w:rPr>
                <w:sz w:val="14"/>
                <w:szCs w:val="14"/>
                <w:color w:val="auto"/>
              </w:rPr>
            </w:pPr>
          </w:p>
        </w:tc>
        <w:tc>
          <w:tcPr>
            <w:tcW w:w="1420" w:type="dxa"/>
            <w:vAlign w:val="bottom"/>
          </w:tcPr>
          <w:p>
            <w:pPr>
              <w:jc w:val="right"/>
              <w:ind w:right="599"/>
              <w:spacing w:after="0" w:line="168"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599"/>
              <w:spacing w:after="0" w:line="168" w:lineRule="exact"/>
              <w:rPr>
                <w:sz w:val="20"/>
                <w:szCs w:val="20"/>
                <w:color w:val="auto"/>
              </w:rPr>
            </w:pPr>
            <w:r>
              <w:rPr>
                <w:rFonts w:ascii="Arial" w:cs="Arial" w:eastAsia="Arial" w:hAnsi="Arial"/>
                <w:sz w:val="16"/>
                <w:szCs w:val="16"/>
                <w:b w:val="1"/>
                <w:bCs w:val="1"/>
                <w:color w:val="auto"/>
              </w:rPr>
              <w:t>2024</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80" w:type="dxa"/>
            <w:vAlign w:val="bottom"/>
            <w:tcBorders>
              <w:top w:val="single" w:sz="8" w:color="auto"/>
              <w:bottom w:val="single" w:sz="8" w:color="DCE2EF"/>
            </w:tcBorders>
          </w:tcPr>
          <w:p>
            <w:pPr>
              <w:spacing w:after="0" w:line="20" w:lineRule="exact"/>
              <w:rPr>
                <w:sz w:val="1"/>
                <w:szCs w:val="1"/>
                <w:color w:val="auto"/>
              </w:rPr>
            </w:pPr>
          </w:p>
        </w:tc>
        <w:tc>
          <w:tcPr>
            <w:tcW w:w="638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5"/>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DCE2EF"/>
          </w:tcPr>
          <w:p>
            <w:pPr>
              <w:spacing w:after="0"/>
              <w:rPr>
                <w:sz w:val="16"/>
                <w:szCs w:val="16"/>
                <w:color w:val="auto"/>
              </w:rPr>
            </w:pPr>
          </w:p>
        </w:tc>
        <w:tc>
          <w:tcPr>
            <w:tcW w:w="14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320" w:type="dxa"/>
            <w:vAlign w:val="bottom"/>
            <w:shd w:val="clear" w:color="auto" w:fill="DCE2EF"/>
          </w:tcPr>
          <w:p>
            <w:pPr>
              <w:spacing w:after="0"/>
              <w:rPr>
                <w:sz w:val="16"/>
                <w:szCs w:val="16"/>
                <w:color w:val="auto"/>
              </w:rPr>
            </w:pP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43.6</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162"/>
        </w:trPr>
        <w:tc>
          <w:tcPr>
            <w:tcW w:w="7180" w:type="dxa"/>
            <w:vAlign w:val="bottom"/>
            <w:gridSpan w:val="3"/>
            <w:shd w:val="clear" w:color="auto" w:fill="DCE2EF"/>
          </w:tcPr>
          <w:p>
            <w:pPr>
              <w:ind w:left="20"/>
              <w:spacing w:after="0" w:line="162" w:lineRule="exact"/>
              <w:rPr>
                <w:sz w:val="20"/>
                <w:szCs w:val="20"/>
                <w:color w:val="auto"/>
              </w:rPr>
            </w:pPr>
            <w:r>
              <w:rPr>
                <w:rFonts w:ascii="Arial" w:cs="Arial" w:eastAsia="Arial" w:hAnsi="Arial"/>
                <w:sz w:val="16"/>
                <w:szCs w:val="16"/>
                <w:b w:val="1"/>
                <w:bCs w:val="1"/>
                <w:color w:val="auto"/>
              </w:rPr>
              <w:t>Adjustments to reconcile net income to net cash provided by operating</w:t>
            </w:r>
          </w:p>
        </w:tc>
        <w:tc>
          <w:tcPr>
            <w:tcW w:w="280" w:type="dxa"/>
            <w:vAlign w:val="bottom"/>
            <w:shd w:val="clear" w:color="auto" w:fill="DCE2EF"/>
          </w:tcPr>
          <w:p>
            <w:pPr>
              <w:spacing w:after="0"/>
              <w:rPr>
                <w:sz w:val="14"/>
                <w:szCs w:val="14"/>
                <w:color w:val="auto"/>
              </w:rPr>
            </w:pPr>
          </w:p>
        </w:tc>
        <w:tc>
          <w:tcPr>
            <w:tcW w:w="142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380" w:type="dxa"/>
            <w:vAlign w:val="bottom"/>
            <w:shd w:val="clear" w:color="auto" w:fill="DCE2EF"/>
          </w:tcPr>
          <w:p>
            <w:pPr>
              <w:spacing w:after="0"/>
              <w:rPr>
                <w:sz w:val="14"/>
                <w:szCs w:val="14"/>
                <w:color w:val="auto"/>
              </w:rPr>
            </w:pPr>
          </w:p>
        </w:tc>
        <w:tc>
          <w:tcPr>
            <w:tcW w:w="1320" w:type="dxa"/>
            <w:vAlign w:val="bottom"/>
            <w:shd w:val="clear" w:color="auto" w:fill="DCE2EF"/>
          </w:tcPr>
          <w:p>
            <w:pPr>
              <w:spacing w:after="0"/>
              <w:rPr>
                <w:sz w:val="14"/>
                <w:szCs w:val="14"/>
                <w:color w:val="auto"/>
              </w:rPr>
            </w:pPr>
          </w:p>
        </w:tc>
      </w:tr>
      <w:tr>
        <w:trPr>
          <w:trHeight w:val="215"/>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180"/>
              <w:spacing w:after="0"/>
              <w:rPr>
                <w:sz w:val="20"/>
                <w:szCs w:val="20"/>
                <w:color w:val="auto"/>
              </w:rPr>
            </w:pPr>
            <w:r>
              <w:rPr>
                <w:rFonts w:ascii="Arial" w:cs="Arial" w:eastAsia="Arial" w:hAnsi="Arial"/>
                <w:sz w:val="16"/>
                <w:szCs w:val="16"/>
                <w:b w:val="1"/>
                <w:bCs w:val="1"/>
                <w:color w:val="auto"/>
              </w:rPr>
              <w:t>activities</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spacing w:after="0"/>
              <w:rPr>
                <w:sz w:val="18"/>
                <w:szCs w:val="18"/>
                <w:color w:val="auto"/>
              </w:rPr>
            </w:pP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3.7</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Provision for bad debt</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Discount accretion on insurance claims</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Gain on sale of assets</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Income from unconsolidated affiliates</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Distributions from unconsolidated affiliates</w:t>
            </w:r>
          </w:p>
        </w:tc>
        <w:tc>
          <w:tcPr>
            <w:tcW w:w="280" w:type="dxa"/>
            <w:vAlign w:val="bottom"/>
            <w:shd w:val="clear" w:color="auto" w:fill="DCE2EF"/>
          </w:tcPr>
          <w:p>
            <w:pPr>
              <w:spacing w:after="0"/>
              <w:rPr>
                <w:sz w:val="18"/>
                <w:szCs w:val="18"/>
                <w:color w:val="auto"/>
              </w:rPr>
            </w:pPr>
          </w:p>
        </w:tc>
        <w:tc>
          <w:tcPr>
            <w:tcW w:w="150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Trade accounts receivable and costs incurred in excess of amounts billed</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(139.7)</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r>
      <w:tr>
        <w:trPr>
          <w:trHeight w:val="214"/>
        </w:trPr>
        <w:tc>
          <w:tcPr>
            <w:tcW w:w="20" w:type="dxa"/>
            <w:vAlign w:val="bottom"/>
          </w:tcPr>
          <w:p>
            <w:pPr>
              <w:spacing w:after="0"/>
              <w:rPr>
                <w:sz w:val="18"/>
                <w:szCs w:val="18"/>
                <w:color w:val="auto"/>
              </w:rPr>
            </w:pPr>
          </w:p>
        </w:tc>
        <w:tc>
          <w:tcPr>
            <w:tcW w:w="7160" w:type="dxa"/>
            <w:vAlign w:val="bottom"/>
            <w:gridSpan w:val="2"/>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6"/>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Right-of-use assets</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4.4</w:t>
            </w:r>
          </w:p>
        </w:tc>
      </w:tr>
      <w:tr>
        <w:trPr>
          <w:trHeight w:val="214"/>
        </w:trPr>
        <w:tc>
          <w:tcPr>
            <w:tcW w:w="20" w:type="dxa"/>
            <w:vAlign w:val="bottom"/>
          </w:tcPr>
          <w:p>
            <w:pPr>
              <w:spacing w:after="0"/>
              <w:rPr>
                <w:sz w:val="18"/>
                <w:szCs w:val="18"/>
                <w:color w:val="auto"/>
              </w:rPr>
            </w:pPr>
          </w:p>
        </w:tc>
        <w:tc>
          <w:tcPr>
            <w:tcW w:w="7160" w:type="dxa"/>
            <w:vAlign w:val="bottom"/>
            <w:gridSpan w:val="2"/>
          </w:tcPr>
          <w:p>
            <w:pPr>
              <w:ind w:left="320"/>
              <w:spacing w:after="0"/>
              <w:rPr>
                <w:sz w:val="20"/>
                <w:szCs w:val="20"/>
                <w:color w:val="auto"/>
              </w:rPr>
            </w:pPr>
            <w:r>
              <w:rPr>
                <w:rFonts w:ascii="Arial" w:cs="Arial" w:eastAsia="Arial" w:hAnsi="Arial"/>
                <w:sz w:val="16"/>
                <w:szCs w:val="16"/>
                <w:color w:val="auto"/>
              </w:rPr>
              <w:t>Other noncurrent assets</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16"/>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Trade accounts payable and other accrued liabilities</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(58.2)</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(76.7)</w:t>
            </w:r>
          </w:p>
        </w:tc>
      </w:tr>
      <w:tr>
        <w:trPr>
          <w:trHeight w:val="214"/>
        </w:trPr>
        <w:tc>
          <w:tcPr>
            <w:tcW w:w="20" w:type="dxa"/>
            <w:vAlign w:val="bottom"/>
          </w:tcPr>
          <w:p>
            <w:pPr>
              <w:spacing w:after="0"/>
              <w:rPr>
                <w:sz w:val="18"/>
                <w:szCs w:val="18"/>
                <w:color w:val="auto"/>
              </w:rPr>
            </w:pPr>
          </w:p>
        </w:tc>
        <w:tc>
          <w:tcPr>
            <w:tcW w:w="7160" w:type="dxa"/>
            <w:vAlign w:val="bottom"/>
            <w:gridSpan w:val="2"/>
          </w:tcPr>
          <w:p>
            <w:pPr>
              <w:ind w:left="320"/>
              <w:spacing w:after="0"/>
              <w:rPr>
                <w:sz w:val="20"/>
                <w:szCs w:val="20"/>
                <w:color w:val="auto"/>
              </w:rPr>
            </w:pPr>
            <w:r>
              <w:rPr>
                <w:rFonts w:ascii="Arial" w:cs="Arial" w:eastAsia="Arial" w:hAnsi="Arial"/>
                <w:sz w:val="16"/>
                <w:szCs w:val="16"/>
                <w:color w:val="auto"/>
              </w:rPr>
              <w:t>Long-term lease liabilities</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Insurance claims</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43.2</w:t>
            </w:r>
          </w:p>
        </w:tc>
      </w:tr>
      <w:tr>
        <w:trPr>
          <w:trHeight w:val="214"/>
        </w:trPr>
        <w:tc>
          <w:tcPr>
            <w:tcW w:w="20" w:type="dxa"/>
            <w:vAlign w:val="bottom"/>
          </w:tcPr>
          <w:p>
            <w:pPr>
              <w:spacing w:after="0"/>
              <w:rPr>
                <w:sz w:val="18"/>
                <w:szCs w:val="18"/>
                <w:color w:val="auto"/>
              </w:rPr>
            </w:pPr>
          </w:p>
        </w:tc>
        <w:tc>
          <w:tcPr>
            <w:tcW w:w="7160" w:type="dxa"/>
            <w:vAlign w:val="bottom"/>
            <w:gridSpan w:val="2"/>
          </w:tcPr>
          <w:p>
            <w:pPr>
              <w:ind w:left="320"/>
              <w:spacing w:after="0"/>
              <w:rPr>
                <w:sz w:val="20"/>
                <w:szCs w:val="20"/>
                <w:color w:val="auto"/>
              </w:rPr>
            </w:pPr>
            <w:r>
              <w:rPr>
                <w:rFonts w:ascii="Arial" w:cs="Arial" w:eastAsia="Arial" w:hAnsi="Arial"/>
                <w:sz w:val="16"/>
                <w:szCs w:val="16"/>
                <w:color w:val="auto"/>
              </w:rPr>
              <w:t>Income taxes payable, net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shd w:val="clear" w:color="auto" w:fill="DCE2EF"/>
          </w:tcPr>
          <w:p>
            <w:pPr>
              <w:spacing w:after="0"/>
              <w:rPr>
                <w:sz w:val="18"/>
                <w:szCs w:val="18"/>
                <w:color w:val="auto"/>
              </w:rPr>
            </w:pPr>
          </w:p>
        </w:tc>
        <w:tc>
          <w:tcPr>
            <w:tcW w:w="1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(0.1)</w:t>
            </w:r>
          </w:p>
        </w:tc>
      </w:tr>
      <w:tr>
        <w:trPr>
          <w:trHeight w:val="208"/>
        </w:trPr>
        <w:tc>
          <w:tcPr>
            <w:tcW w:w="71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Total adjustments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w:t>
            </w:r>
          </w:p>
        </w:tc>
        <w:tc>
          <w:tcPr>
            <w:tcW w:w="8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r>
      <w:tr>
        <w:trPr>
          <w:trHeight w:val="209"/>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280" w:type="dxa"/>
            <w:vAlign w:val="bottom"/>
            <w:tcBorders>
              <w:bottom w:val="single" w:sz="8" w:color="auto"/>
            </w:tcBorders>
            <w:shd w:val="clear" w:color="auto" w:fill="DCE2EF"/>
          </w:tcPr>
          <w:p>
            <w:pPr>
              <w:spacing w:after="0"/>
              <w:rPr>
                <w:sz w:val="18"/>
                <w:szCs w:val="18"/>
                <w:color w:val="auto"/>
              </w:rPr>
            </w:pPr>
          </w:p>
        </w:tc>
        <w:tc>
          <w:tcPr>
            <w:tcW w:w="1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(106.2)</w:t>
            </w:r>
          </w:p>
        </w:tc>
        <w:tc>
          <w:tcPr>
            <w:tcW w:w="8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(0.1)</w:t>
            </w:r>
          </w:p>
        </w:tc>
      </w:tr>
      <w:tr>
        <w:trPr>
          <w:trHeight w:val="195"/>
        </w:trPr>
        <w:tc>
          <w:tcPr>
            <w:tcW w:w="7180" w:type="dxa"/>
            <w:vAlign w:val="bottom"/>
            <w:gridSpan w:val="3"/>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5"/>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(13.6)</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Proceeds from sale of assets</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Purchase price adjustment</w:t>
            </w:r>
          </w:p>
        </w:tc>
        <w:tc>
          <w:tcPr>
            <w:tcW w:w="280" w:type="dxa"/>
            <w:vAlign w:val="bottom"/>
            <w:tcBorders>
              <w:bottom w:val="single" w:sz="8" w:color="auto"/>
            </w:tcBorders>
            <w:shd w:val="clear" w:color="auto" w:fill="DCE2EF"/>
          </w:tcPr>
          <w:p>
            <w:pPr>
              <w:spacing w:after="0"/>
              <w:rPr>
                <w:sz w:val="18"/>
                <w:szCs w:val="18"/>
                <w:color w:val="auto"/>
              </w:rPr>
            </w:pPr>
          </w:p>
        </w:tc>
        <w:tc>
          <w:tcPr>
            <w:tcW w:w="1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1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8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195"/>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DCE2EF"/>
          </w:tcPr>
          <w:p>
            <w:pPr>
              <w:spacing w:after="0"/>
              <w:rPr>
                <w:sz w:val="16"/>
                <w:szCs w:val="16"/>
                <w:color w:val="auto"/>
              </w:rPr>
            </w:pPr>
          </w:p>
        </w:tc>
        <w:tc>
          <w:tcPr>
            <w:tcW w:w="14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320" w:type="dxa"/>
            <w:vAlign w:val="bottom"/>
            <w:shd w:val="clear" w:color="auto" w:fill="DCE2EF"/>
          </w:tcPr>
          <w:p>
            <w:pPr>
              <w:spacing w:after="0"/>
              <w:rPr>
                <w:sz w:val="16"/>
                <w:szCs w:val="16"/>
                <w:color w:val="auto"/>
              </w:rPr>
            </w:pP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Taxes withheld from issuance of share-based compensation awards, net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Repurchases of common stock, including excise taxes</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(21.3)</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Borrowings from debt</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579.9</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301.0</w:t>
            </w:r>
          </w:p>
        </w:tc>
      </w:tr>
      <w:tr>
        <w:trPr>
          <w:trHeight w:val="214"/>
        </w:trPr>
        <w:tc>
          <w:tcPr>
            <w:tcW w:w="7180" w:type="dxa"/>
            <w:vAlign w:val="bottom"/>
            <w:gridSpan w:val="3"/>
          </w:tcPr>
          <w:p>
            <w:pPr>
              <w:ind w:left="20"/>
              <w:spacing w:after="0"/>
              <w:rPr>
                <w:sz w:val="20"/>
                <w:szCs w:val="20"/>
                <w:color w:val="auto"/>
              </w:rPr>
            </w:pPr>
            <w:r>
              <w:rPr>
                <w:rFonts w:ascii="Arial" w:cs="Arial" w:eastAsia="Arial" w:hAnsi="Arial"/>
                <w:sz w:val="16"/>
                <w:szCs w:val="16"/>
                <w:color w:val="auto"/>
              </w:rPr>
              <w:t>Repayment of borrowings from debt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(284.1)</w:t>
            </w:r>
          </w:p>
        </w:tc>
      </w:tr>
      <w:tr>
        <w:trPr>
          <w:trHeight w:val="21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Changes in book cash overdrafts</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(40.6)</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8.2</w:t>
            </w:r>
          </w:p>
        </w:tc>
      </w:tr>
      <w:tr>
        <w:trPr>
          <w:trHeight w:val="214"/>
        </w:trPr>
        <w:tc>
          <w:tcPr>
            <w:tcW w:w="71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Repayment of finance lease obligations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280" w:type="dxa"/>
            <w:vAlign w:val="bottom"/>
            <w:tcBorders>
              <w:bottom w:val="single" w:sz="8" w:color="auto"/>
            </w:tcBorders>
            <w:shd w:val="clear" w:color="auto" w:fill="DCE2EF"/>
          </w:tcPr>
          <w:p>
            <w:pPr>
              <w:spacing w:after="0"/>
              <w:rPr>
                <w:sz w:val="18"/>
                <w:szCs w:val="18"/>
                <w:color w:val="auto"/>
              </w:rPr>
            </w:pPr>
          </w:p>
        </w:tc>
        <w:tc>
          <w:tcPr>
            <w:tcW w:w="1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116.9</w:t>
            </w:r>
          </w:p>
        </w:tc>
        <w:tc>
          <w:tcPr>
            <w:tcW w:w="8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0.5</w:t>
            </w:r>
          </w:p>
        </w:tc>
      </w:tr>
      <w:tr>
        <w:trPr>
          <w:trHeight w:val="208"/>
        </w:trPr>
        <w:tc>
          <w:tcPr>
            <w:tcW w:w="71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08"/>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280" w:type="dxa"/>
            <w:vAlign w:val="bottom"/>
            <w:shd w:val="clear" w:color="auto" w:fill="DCE2EF"/>
          </w:tcPr>
          <w:p>
            <w:pPr>
              <w:spacing w:after="0"/>
              <w:rPr>
                <w:sz w:val="18"/>
                <w:szCs w:val="18"/>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(11.5)</w:t>
            </w:r>
          </w:p>
        </w:tc>
      </w:tr>
      <w:tr>
        <w:trPr>
          <w:trHeight w:val="215"/>
        </w:trPr>
        <w:tc>
          <w:tcPr>
            <w:tcW w:w="71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8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r>
      <w:tr>
        <w:trPr>
          <w:trHeight w:val="233"/>
        </w:trPr>
        <w:tc>
          <w:tcPr>
            <w:tcW w:w="718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59.0</w:t>
            </w:r>
          </w:p>
        </w:tc>
        <w:tc>
          <w:tcPr>
            <w:tcW w:w="80" w:type="dxa"/>
            <w:vAlign w:val="bottom"/>
            <w:tcBorders>
              <w:bottom w:val="single" w:sz="8" w:color="DCE2EF"/>
            </w:tcBorders>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58.0</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80" w:type="dxa"/>
            <w:vAlign w:val="bottom"/>
            <w:tcBorders>
              <w:top w:val="single" w:sz="8" w:color="DCE2EF"/>
            </w:tcBorders>
          </w:tcPr>
          <w:p>
            <w:pPr>
              <w:spacing w:after="0" w:line="20" w:lineRule="exact"/>
              <w:rPr>
                <w:sz w:val="1"/>
                <w:szCs w:val="1"/>
                <w:color w:val="auto"/>
              </w:rPr>
            </w:pPr>
          </w:p>
        </w:tc>
        <w:tc>
          <w:tcPr>
            <w:tcW w:w="638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4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320" w:type="dxa"/>
            <w:vAlign w:val="bottom"/>
            <w:tcBorders>
              <w:top w:val="single" w:sz="8" w:color="DCE2E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660"/>
          </w:cols>
          <w:pgMar w:left="620" w:top="1088" w:right="6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ABM is a leading provider of integrated facility services with a mission to make a difference, every person, every day.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74930</wp:posOffset>
            </wp:positionV>
            <wp:extent cx="5179060" cy="878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9060" cy="87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w:t>
      </w:r>
    </w:p>
    <w:p>
      <w:pPr>
        <w:spacing w:after="0" w:line="169"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year ended October 31, 2024. Unless otherwise indicated, all references to years are to our fiscal years, which end on October 31.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Rounding</w:t>
      </w:r>
    </w:p>
    <w:p>
      <w:pPr>
        <w:spacing w:after="0" w:line="16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169"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We operate certain parking facilities under management reimbursement arrangements. Under these arrangements, we manage the parking facilities for management fees and pass through the revenues and expenses associated with the facilities to the owners. These revenues and expenses are reported in equal amounts as costs reimbursed from our managed locations. Management reimbursement revenue was $82.0 million and $80.1 million for the three months ended January 31, 2025 and 2024,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Recently Adopted Accounting Standards</w:t>
      </w:r>
    </w:p>
    <w:p>
      <w:pPr>
        <w:spacing w:after="0" w:line="169"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 xml:space="preserve">In September 2022, the FASB issued ASU 2022-04, </w:t>
      </w:r>
      <w:r>
        <w:rPr>
          <w:rFonts w:ascii="Arial" w:cs="Arial" w:eastAsia="Arial" w:hAnsi="Arial"/>
          <w:sz w:val="18"/>
          <w:szCs w:val="18"/>
          <w:i w:val="1"/>
          <w:iCs w:val="1"/>
          <w:color w:val="auto"/>
        </w:rPr>
        <w:t>Liabilities — Supplier Finance Programs (Subtopic 405-50): 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Supplier Finance Program Obligations</w:t>
      </w:r>
      <w:r>
        <w:rPr>
          <w:rFonts w:ascii="Arial" w:cs="Arial" w:eastAsia="Arial" w:hAnsi="Arial"/>
          <w:sz w:val="18"/>
          <w:szCs w:val="18"/>
          <w:color w:val="auto"/>
        </w:rPr>
        <w:t>, designed to enhance transparency around supplier finance programs by requiring new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allow a user of the financial statements to understand the program’s nature, activity during the period, changes from period to period, and potential magnitude. This ASU is effective for fiscal years beginning after December 15, 2022, including interim periods within those fiscal years, except for the amendment on rollforward information, which is effective for fiscal years beginning after December 15, 2023, with early adoption permitted. We adopted this standard, effective November 1, 2023, and adopted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0" w:name="page11"/>
    <w:bookmarkEnd w:id="10"/>
    <w:p>
      <w:pPr>
        <w:spacing w:after="0" w:line="285" w:lineRule="auto"/>
        <w:rPr>
          <w:sz w:val="20"/>
          <w:szCs w:val="20"/>
          <w:color w:val="auto"/>
        </w:rPr>
      </w:pPr>
      <w:r>
        <w:rPr>
          <w:rFonts w:ascii="Arial" w:cs="Arial" w:eastAsia="Arial" w:hAnsi="Arial"/>
          <w:sz w:val="18"/>
          <w:szCs w:val="18"/>
          <w:color w:val="auto"/>
        </w:rPr>
        <w:t>rollforward requirement, effective November 1, 2024, on a prospective basis. We do not participate in any material supplier finance programs and, as such, the adoption of this guidance did not have an impact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Quality Uptime</w:t>
      </w:r>
    </w:p>
    <w:p>
      <w:pPr>
        <w:spacing w:after="0" w:line="169"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Effective June 21, 2024, we acquired Quality Uptime Services, Inc. (“Quality Uptime”), an uninterrupted power supply system (“UPS”) installation and maintenance company providing customized preventive and emergency service programs for mission-critical data centers and other facilities, for a net cash purchase price of approximately $ 116.3 million. The acquisition was accounted for under the acquisition method. Accordingly, the assets acquired and liabilities assumed were recognized on the date of acquisition at their estimated fair values, with the excess of the purchase price recorded as goodwill. The goodwill is amortizable over 15 years for income tax purposes. As of January 31, 2025, we recorded preliminary goodwill and intangibles of $77.4 million and $35.2 million, respectively. The total assets acquired, excluding goodwill and intangibles, and liabilities assumed amounted to $ 24.0 million and $20.3 million, respectively. The acquisition accounting is subject to change as we obtain additional information about the facts and circumstances that existed as of the acquisition date during the measurement period, not to exceed one year from the acquisition date. The final acquisition accounting may include changes to non-current assets, including intangible assets and working capital.</w:t>
      </w:r>
    </w:p>
    <w:p>
      <w:pPr>
        <w:spacing w:after="0" w:line="12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The unaudited Consolidated Statements of Comprehensive Income for the three months ended January 31, 2025, include revenues of $12.7 million attributable to Quality Uptime, which are included in our Technical Solutions segment.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RavenVolt</w:t>
      </w:r>
    </w:p>
    <w:p>
      <w:pPr>
        <w:spacing w:after="0" w:line="169"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On September 1, 2022, we completed the acquisition of all of the equity interests of RavenVolt, Inc. (“RavenVolt”), a nationwide provider of advanced turn-key microgrid systems utilized by diversified commercial and industrial customers, national retailers, utilities, and municipalities. RavenVolt’s operations are included within our Technical Solutions segment.</w:t>
      </w:r>
    </w:p>
    <w:p>
      <w:pPr>
        <w:spacing w:after="0" w:line="11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purchase price for the acquisition was approximately $170.0 million in cash at closing plus the potential of post-closing contingent consideration of up to $280.0 million. The post-closing contingent consideration would be payable in cash in calendar years 2024, 2025, and 2026 if RavenVolt’s earnings before interest, taxes, depreciation, and amortization (“EBITDA”), as defined in the RavenVolt merger agreement, meets or exceeds certain defined targets. In 2024, defined EBITDA targets were not achieved, and as a result, no contingent consideration payment was made in 2024 for calendar year 2023.</w:t>
      </w:r>
    </w:p>
    <w:p>
      <w:pPr>
        <w:spacing w:after="0" w:line="124"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The maximum remaining contingent consideration that is payable in calendar years 2025 and 2026 is $75.0 million and $130.0 million, respectively. If the EBITDA achieved for calendar years 2023–2025 cumulatively meets the defined EBITDA targets, the entire $280.0 million would be paid in calendar year 2026, minus any earn-out payments made in 2024 and 2025. The estimate of the fair value of the contingent consideration on the date of acquisition was $59.0 million.</w:t>
      </w:r>
    </w:p>
    <w:p>
      <w:pPr>
        <w:spacing w:after="0" w:line="121"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At October 31, 2024, the estimate of the fair value of the contingent consideration was $109.1 million, of which $75.0 million relates to the calendar year 2024 payment to be made in 2025. There was no material change in the fair value of the contingent consideration during the three months ended January 31, 2025.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0046AD"/>
        </w:rPr>
        <w:t>4.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Disaggregation of Revenues</w:t>
      </w:r>
    </w:p>
    <w:p>
      <w:pPr>
        <w:spacing w:after="0" w:line="169"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generate revenues under several types of contracts, which are further explained below.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Education, Aviation, and Technical Solutions, as described in Note 12, “Segment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6"/>
              </w:rPr>
              <w:t>Three Months Ended January 31, 2025</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1"/>
                <w:szCs w:val="11"/>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B&amp;I</w:t>
            </w:r>
          </w:p>
        </w:tc>
        <w:tc>
          <w:tcPr>
            <w:tcW w:w="240" w:type="dxa"/>
            <w:vAlign w:val="bottom"/>
          </w:tcPr>
          <w:p>
            <w:pPr>
              <w:spacing w:after="0"/>
              <w:rPr>
                <w:sz w:val="11"/>
                <w:szCs w:val="11"/>
                <w:color w:val="auto"/>
              </w:rPr>
            </w:pPr>
          </w:p>
        </w:tc>
        <w:tc>
          <w:tcPr>
            <w:tcW w:w="840" w:type="dxa"/>
            <w:vAlign w:val="bottom"/>
            <w:vMerge w:val="restart"/>
          </w:tcPr>
          <w:p>
            <w:pPr>
              <w:jc w:val="right"/>
              <w:ind w:right="332"/>
              <w:spacing w:after="0"/>
              <w:rPr>
                <w:sz w:val="20"/>
                <w:szCs w:val="20"/>
                <w:color w:val="auto"/>
              </w:rPr>
            </w:pPr>
            <w:r>
              <w:rPr>
                <w:rFonts w:ascii="Arial" w:cs="Arial" w:eastAsia="Arial" w:hAnsi="Arial"/>
                <w:sz w:val="13"/>
                <w:szCs w:val="13"/>
                <w:b w:val="1"/>
                <w:bCs w:val="1"/>
                <w:color w:val="auto"/>
              </w:rPr>
              <w:t>M&amp;D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Education</w:t>
            </w:r>
          </w:p>
        </w:tc>
        <w:tc>
          <w:tcPr>
            <w:tcW w:w="18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Aviation</w:t>
            </w:r>
          </w:p>
        </w:tc>
        <w:tc>
          <w:tcPr>
            <w:tcW w:w="160" w:type="dxa"/>
            <w:vAlign w:val="bottom"/>
          </w:tcPr>
          <w:p>
            <w:pPr>
              <w:spacing w:after="0"/>
              <w:rPr>
                <w:sz w:val="11"/>
                <w:szCs w:val="11"/>
                <w:color w:val="auto"/>
              </w:rPr>
            </w:pPr>
          </w:p>
        </w:tc>
        <w:tc>
          <w:tcPr>
            <w:tcW w:w="1020" w:type="dxa"/>
            <w:vAlign w:val="bottom"/>
            <w:gridSpan w:val="2"/>
          </w:tcPr>
          <w:p>
            <w:pPr>
              <w:ind w:left="80"/>
              <w:spacing w:after="0" w:line="130" w:lineRule="exact"/>
              <w:rPr>
                <w:sz w:val="20"/>
                <w:szCs w:val="20"/>
                <w:color w:val="auto"/>
              </w:rPr>
            </w:pPr>
            <w:r>
              <w:rPr>
                <w:rFonts w:ascii="Arial" w:cs="Arial" w:eastAsia="Arial" w:hAnsi="Arial"/>
                <w:sz w:val="13"/>
                <w:szCs w:val="13"/>
                <w:b w:val="1"/>
                <w:bCs w:val="1"/>
                <w:color w:val="auto"/>
              </w:rPr>
              <w:t>Technical</w:t>
            </w:r>
          </w:p>
        </w:tc>
        <w:tc>
          <w:tcPr>
            <w:tcW w:w="240" w:type="dxa"/>
            <w:vAlign w:val="bottom"/>
          </w:tcPr>
          <w:p>
            <w:pPr>
              <w:spacing w:after="0"/>
              <w:rPr>
                <w:sz w:val="11"/>
                <w:szCs w:val="11"/>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80"/>
              <w:spacing w:after="0" w:line="114" w:lineRule="exact"/>
              <w:rPr>
                <w:sz w:val="20"/>
                <w:szCs w:val="20"/>
                <w:color w:val="auto"/>
              </w:rPr>
            </w:pPr>
            <w:r>
              <w:rPr>
                <w:rFonts w:ascii="Arial" w:cs="Arial" w:eastAsia="Arial" w:hAnsi="Arial"/>
                <w:sz w:val="13"/>
                <w:szCs w:val="13"/>
                <w:b w:val="1"/>
                <w:bCs w:val="1"/>
                <w:color w:val="auto"/>
              </w:rPr>
              <w:t>Solutions</w:t>
            </w:r>
          </w:p>
        </w:tc>
        <w:tc>
          <w:tcPr>
            <w:tcW w:w="2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top w:val="single" w:sz="8" w:color="auto"/>
              <w:bottom w:val="single" w:sz="8" w:color="DCE2EF"/>
            </w:tcBorders>
          </w:tcPr>
          <w:p>
            <w:pPr>
              <w:spacing w:after="0" w:line="20" w:lineRule="exact"/>
              <w:rPr>
                <w:sz w:val="1"/>
                <w:szCs w:val="1"/>
                <w:color w:val="auto"/>
              </w:rPr>
            </w:pPr>
          </w:p>
        </w:tc>
        <w:tc>
          <w:tcPr>
            <w:tcW w:w="316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DCE2EF"/>
          </w:tcPr>
          <w:p>
            <w:pPr>
              <w:spacing w:after="0"/>
              <w:rPr>
                <w:sz w:val="14"/>
                <w:szCs w:val="14"/>
                <w:color w:val="auto"/>
              </w:rPr>
            </w:pPr>
          </w:p>
        </w:tc>
        <w:tc>
          <w:tcPr>
            <w:tcW w:w="38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Major Service Line</w:t>
            </w:r>
          </w:p>
        </w:tc>
        <w:tc>
          <w:tcPr>
            <w:tcW w:w="260" w:type="dxa"/>
            <w:vAlign w:val="bottom"/>
            <w:shd w:val="clear" w:color="auto" w:fill="DCE2EF"/>
          </w:tcPr>
          <w:p>
            <w:pPr>
              <w:spacing w:after="0"/>
              <w:rPr>
                <w:sz w:val="14"/>
                <w:szCs w:val="14"/>
                <w:color w:val="auto"/>
              </w:rPr>
            </w:pPr>
          </w:p>
        </w:tc>
        <w:tc>
          <w:tcPr>
            <w:tcW w:w="8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40" w:type="dxa"/>
            <w:vAlign w:val="bottom"/>
            <w:shd w:val="clear" w:color="auto" w:fill="DCE2EF"/>
          </w:tcPr>
          <w:p>
            <w:pPr>
              <w:spacing w:after="0"/>
              <w:rPr>
                <w:sz w:val="14"/>
                <w:szCs w:val="14"/>
                <w:color w:val="auto"/>
              </w:rPr>
            </w:pPr>
          </w:p>
        </w:tc>
        <w:tc>
          <w:tcPr>
            <w:tcW w:w="8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92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80" w:type="dxa"/>
            <w:vAlign w:val="bottom"/>
            <w:shd w:val="clear" w:color="auto" w:fill="DCE2EF"/>
          </w:tcPr>
          <w:p>
            <w:pPr>
              <w:spacing w:after="0"/>
              <w:rPr>
                <w:sz w:val="14"/>
                <w:szCs w:val="14"/>
                <w:color w:val="auto"/>
              </w:rPr>
            </w:pPr>
          </w:p>
        </w:tc>
        <w:tc>
          <w:tcPr>
            <w:tcW w:w="9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9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40" w:type="dxa"/>
            <w:vAlign w:val="bottom"/>
            <w:shd w:val="clear" w:color="auto" w:fill="DCE2EF"/>
          </w:tcPr>
          <w:p>
            <w:pPr>
              <w:spacing w:after="0"/>
              <w:rPr>
                <w:sz w:val="14"/>
                <w:szCs w:val="14"/>
                <w:color w:val="auto"/>
              </w:rPr>
            </w:pPr>
          </w:p>
        </w:tc>
        <w:tc>
          <w:tcPr>
            <w:tcW w:w="86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gridSpan w:val="2"/>
          </w:tcPr>
          <w:p>
            <w:pPr>
              <w:ind w:left="120"/>
              <w:spacing w:after="0" w:line="188" w:lineRule="exact"/>
              <w:rPr>
                <w:sz w:val="20"/>
                <w:szCs w:val="20"/>
                <w:color w:val="auto"/>
              </w:rPr>
            </w:pPr>
            <w:r>
              <w:rPr>
                <w:rFonts w:ascii="Arial" w:cs="Arial" w:eastAsia="Arial" w:hAnsi="Arial"/>
                <w:sz w:val="14"/>
                <w:szCs w:val="14"/>
                <w:color w:val="auto"/>
              </w:rPr>
              <w:t>Janitorial</w:t>
            </w:r>
            <w:r>
              <w:rPr>
                <w:rFonts w:ascii="Arial" w:cs="Arial" w:eastAsia="Arial" w:hAnsi="Arial"/>
                <w:sz w:val="17"/>
                <w:szCs w:val="17"/>
                <w:color w:val="auto"/>
                <w:vertAlign w:val="superscript"/>
              </w:rPr>
              <w:t>(1)</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697.8</w:t>
            </w:r>
          </w:p>
        </w:tc>
        <w:tc>
          <w:tcPr>
            <w:tcW w:w="100" w:type="dxa"/>
            <w:vAlign w:val="bottom"/>
          </w:tcPr>
          <w:p>
            <w:pPr>
              <w:spacing w:after="0"/>
              <w:rPr>
                <w:sz w:val="16"/>
                <w:szCs w:val="16"/>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328.3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197.1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6"/>
                <w:szCs w:val="16"/>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1,276.4</w:t>
            </w:r>
          </w:p>
        </w:tc>
        <w:tc>
          <w:tcPr>
            <w:tcW w:w="0" w:type="dxa"/>
            <w:vAlign w:val="bottom"/>
          </w:tcPr>
          <w:p>
            <w:pPr>
              <w:spacing w:after="0"/>
              <w:rPr>
                <w:sz w:val="1"/>
                <w:szCs w:val="1"/>
                <w:color w:val="auto"/>
              </w:rPr>
            </w:pPr>
          </w:p>
        </w:tc>
      </w:tr>
      <w:tr>
        <w:trPr>
          <w:trHeight w:val="188"/>
        </w:trPr>
        <w:tc>
          <w:tcPr>
            <w:tcW w:w="20" w:type="dxa"/>
            <w:vAlign w:val="bottom"/>
            <w:shd w:val="clear" w:color="auto" w:fill="DCE2EF"/>
          </w:tcPr>
          <w:p>
            <w:pPr>
              <w:spacing w:after="0"/>
              <w:rPr>
                <w:sz w:val="16"/>
                <w:szCs w:val="16"/>
                <w:color w:val="auto"/>
              </w:rPr>
            </w:pPr>
          </w:p>
        </w:tc>
        <w:tc>
          <w:tcPr>
            <w:tcW w:w="3840" w:type="dxa"/>
            <w:vAlign w:val="bottom"/>
            <w:gridSpan w:val="2"/>
            <w:shd w:val="clear" w:color="auto" w:fill="DCE2EF"/>
          </w:tcPr>
          <w:p>
            <w:pPr>
              <w:ind w:left="120"/>
              <w:spacing w:after="0" w:line="188" w:lineRule="exact"/>
              <w:rPr>
                <w:sz w:val="20"/>
                <w:szCs w:val="20"/>
                <w:color w:val="auto"/>
              </w:rPr>
            </w:pPr>
            <w:r>
              <w:rPr>
                <w:rFonts w:ascii="Arial" w:cs="Arial" w:eastAsia="Arial" w:hAnsi="Arial"/>
                <w:sz w:val="14"/>
                <w:szCs w:val="14"/>
                <w:color w:val="auto"/>
              </w:rPr>
              <w:t>Aviation Services</w:t>
            </w:r>
            <w:r>
              <w:rPr>
                <w:rFonts w:ascii="Arial" w:cs="Arial" w:eastAsia="Arial" w:hAnsi="Arial"/>
                <w:sz w:val="17"/>
                <w:szCs w:val="17"/>
                <w:color w:val="auto"/>
                <w:vertAlign w:val="superscript"/>
              </w:rPr>
              <w:t>(2)</w:t>
            </w:r>
          </w:p>
        </w:tc>
        <w:tc>
          <w:tcPr>
            <w:tcW w:w="260" w:type="dxa"/>
            <w:vAlign w:val="bottom"/>
            <w:shd w:val="clear" w:color="auto" w:fill="DCE2EF"/>
          </w:tcPr>
          <w:p>
            <w:pPr>
              <w:spacing w:after="0"/>
              <w:rPr>
                <w:sz w:val="16"/>
                <w:szCs w:val="16"/>
                <w:color w:val="auto"/>
              </w:rPr>
            </w:pPr>
          </w:p>
        </w:tc>
        <w:tc>
          <w:tcPr>
            <w:tcW w:w="9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DCE2EF"/>
          </w:tcPr>
          <w:p>
            <w:pPr>
              <w:spacing w:after="0"/>
              <w:rPr>
                <w:sz w:val="16"/>
                <w:szCs w:val="16"/>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1040" w:type="dxa"/>
            <w:vAlign w:val="bottom"/>
            <w:gridSpan w:val="3"/>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DCE2EF"/>
          </w:tcPr>
          <w:p>
            <w:pPr>
              <w:spacing w:after="0"/>
              <w:rPr>
                <w:sz w:val="16"/>
                <w:szCs w:val="16"/>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DCE2EF"/>
          </w:tcPr>
          <w:p>
            <w:pPr>
              <w:spacing w:after="0"/>
              <w:rPr>
                <w:sz w:val="16"/>
                <w:szCs w:val="16"/>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88"/>
        </w:trPr>
        <w:tc>
          <w:tcPr>
            <w:tcW w:w="20" w:type="dxa"/>
            <w:vAlign w:val="bottom"/>
            <w:tcBorders>
              <w:bottom w:val="single" w:sz="8" w:color="DCE2EF"/>
            </w:tcBorders>
          </w:tcPr>
          <w:p>
            <w:pPr>
              <w:spacing w:after="0"/>
              <w:rPr>
                <w:sz w:val="16"/>
                <w:szCs w:val="16"/>
                <w:color w:val="auto"/>
              </w:rPr>
            </w:pPr>
          </w:p>
        </w:tc>
        <w:tc>
          <w:tcPr>
            <w:tcW w:w="3840" w:type="dxa"/>
            <w:vAlign w:val="bottom"/>
            <w:tcBorders>
              <w:bottom w:val="single" w:sz="8" w:color="DCE2EF"/>
            </w:tcBorders>
            <w:gridSpan w:val="2"/>
          </w:tcPr>
          <w:p>
            <w:pPr>
              <w:ind w:left="120"/>
              <w:spacing w:after="0" w:line="188" w:lineRule="exact"/>
              <w:rPr>
                <w:sz w:val="20"/>
                <w:szCs w:val="20"/>
                <w:color w:val="auto"/>
              </w:rPr>
            </w:pPr>
            <w:r>
              <w:rPr>
                <w:rFonts w:ascii="Arial" w:cs="Arial" w:eastAsia="Arial" w:hAnsi="Arial"/>
                <w:sz w:val="14"/>
                <w:szCs w:val="14"/>
                <w:color w:val="auto"/>
              </w:rPr>
              <w:t>Parking and Transportation</w:t>
            </w:r>
            <w:r>
              <w:rPr>
                <w:rFonts w:ascii="Arial" w:cs="Arial" w:eastAsia="Arial" w:hAnsi="Arial"/>
                <w:sz w:val="17"/>
                <w:szCs w:val="17"/>
                <w:color w:val="auto"/>
                <w:vertAlign w:val="superscript"/>
              </w:rPr>
              <w:t>(3)</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182"/>
        </w:trPr>
        <w:tc>
          <w:tcPr>
            <w:tcW w:w="20" w:type="dxa"/>
            <w:vAlign w:val="bottom"/>
            <w:shd w:val="clear" w:color="auto" w:fill="DCE2EF"/>
          </w:tcPr>
          <w:p>
            <w:pPr>
              <w:spacing w:after="0"/>
              <w:rPr>
                <w:sz w:val="15"/>
                <w:szCs w:val="15"/>
                <w:color w:val="auto"/>
              </w:rPr>
            </w:pPr>
          </w:p>
        </w:tc>
        <w:tc>
          <w:tcPr>
            <w:tcW w:w="3840" w:type="dxa"/>
            <w:vAlign w:val="bottom"/>
            <w:gridSpan w:val="2"/>
            <w:shd w:val="clear" w:color="auto" w:fill="DCE2EF"/>
          </w:tcPr>
          <w:p>
            <w:pPr>
              <w:ind w:left="120"/>
              <w:spacing w:after="0"/>
              <w:rPr>
                <w:sz w:val="20"/>
                <w:szCs w:val="20"/>
                <w:color w:val="auto"/>
              </w:rPr>
            </w:pPr>
            <w:r>
              <w:rPr>
                <w:rFonts w:ascii="Arial" w:cs="Arial" w:eastAsia="Arial" w:hAnsi="Arial"/>
                <w:sz w:val="14"/>
                <w:szCs w:val="14"/>
                <w:b w:val="1"/>
                <w:bCs w:val="1"/>
                <w:color w:val="auto"/>
              </w:rPr>
              <w:t>Facility Solutions</w:t>
            </w:r>
          </w:p>
        </w:tc>
        <w:tc>
          <w:tcPr>
            <w:tcW w:w="260" w:type="dxa"/>
            <w:vAlign w:val="bottom"/>
            <w:shd w:val="clear" w:color="auto" w:fill="DCE2EF"/>
          </w:tcPr>
          <w:p>
            <w:pPr>
              <w:jc w:val="right"/>
              <w:ind w:right="112"/>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802.3</w:t>
            </w:r>
          </w:p>
        </w:tc>
        <w:tc>
          <w:tcPr>
            <w:tcW w:w="100" w:type="dxa"/>
            <w:vAlign w:val="bottom"/>
            <w:shd w:val="clear" w:color="auto" w:fill="DCE2EF"/>
          </w:tcPr>
          <w:p>
            <w:pPr>
              <w:spacing w:after="0"/>
              <w:rPr>
                <w:sz w:val="15"/>
                <w:szCs w:val="15"/>
                <w:color w:val="auto"/>
              </w:rPr>
            </w:pPr>
          </w:p>
        </w:tc>
        <w:tc>
          <w:tcPr>
            <w:tcW w:w="240" w:type="dxa"/>
            <w:vAlign w:val="bottom"/>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341.6</w:t>
            </w:r>
          </w:p>
        </w:tc>
        <w:tc>
          <w:tcPr>
            <w:tcW w:w="260" w:type="dxa"/>
            <w:vAlign w:val="bottom"/>
            <w:gridSpan w:val="2"/>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197.2</w:t>
            </w: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80" w:type="dxa"/>
            <w:vAlign w:val="bottom"/>
            <w:shd w:val="clear" w:color="auto" w:fill="DCE2E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256.9</w:t>
            </w: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1,598.0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DCE2EF"/>
          </w:tcPr>
          <w:p>
            <w:pPr>
              <w:spacing w:after="0"/>
              <w:rPr>
                <w:sz w:val="16"/>
                <w:szCs w:val="16"/>
                <w:color w:val="auto"/>
              </w:rPr>
            </w:pPr>
          </w:p>
        </w:tc>
        <w:tc>
          <w:tcPr>
            <w:tcW w:w="3840" w:type="dxa"/>
            <w:vAlign w:val="bottom"/>
            <w:gridSpan w:val="2"/>
            <w:shd w:val="clear" w:color="auto" w:fill="DCE2EF"/>
          </w:tcPr>
          <w:p>
            <w:pPr>
              <w:ind w:left="120"/>
              <w:spacing w:after="0" w:line="188" w:lineRule="exact"/>
              <w:rPr>
                <w:sz w:val="20"/>
                <w:szCs w:val="20"/>
                <w:color w:val="auto"/>
              </w:rPr>
            </w:pPr>
            <w:r>
              <w:rPr>
                <w:rFonts w:ascii="Arial" w:cs="Arial" w:eastAsia="Arial" w:hAnsi="Arial"/>
                <w:sz w:val="14"/>
                <w:szCs w:val="14"/>
                <w:color w:val="auto"/>
              </w:rPr>
              <w:t>Operations and Maintenance</w:t>
            </w:r>
            <w:r>
              <w:rPr>
                <w:rFonts w:ascii="Arial" w:cs="Arial" w:eastAsia="Arial" w:hAnsi="Arial"/>
                <w:sz w:val="17"/>
                <w:szCs w:val="17"/>
                <w:color w:val="auto"/>
                <w:vertAlign w:val="superscript"/>
              </w:rPr>
              <w:t>(4)</w:t>
            </w:r>
          </w:p>
        </w:tc>
        <w:tc>
          <w:tcPr>
            <w:tcW w:w="2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220.6</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28.1</w:t>
            </w:r>
          </w:p>
        </w:tc>
        <w:tc>
          <w:tcPr>
            <w:tcW w:w="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DCE2EF"/>
          </w:tcPr>
          <w:p>
            <w:pPr>
              <w:spacing w:after="0"/>
              <w:rPr>
                <w:sz w:val="16"/>
                <w:szCs w:val="16"/>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314.6</w:t>
            </w:r>
          </w:p>
        </w:tc>
        <w:tc>
          <w:tcPr>
            <w:tcW w:w="0" w:type="dxa"/>
            <w:vAlign w:val="bottom"/>
          </w:tcPr>
          <w:p>
            <w:pPr>
              <w:spacing w:after="0"/>
              <w:rPr>
                <w:sz w:val="1"/>
                <w:szCs w:val="1"/>
                <w:color w:val="auto"/>
              </w:rPr>
            </w:pPr>
          </w:p>
        </w:tc>
      </w:tr>
      <w:tr>
        <w:trPr>
          <w:trHeight w:val="188"/>
        </w:trPr>
        <w:tc>
          <w:tcPr>
            <w:tcW w:w="20" w:type="dxa"/>
            <w:vAlign w:val="bottom"/>
            <w:tcBorders>
              <w:bottom w:val="single" w:sz="8" w:color="DCE2EF"/>
            </w:tcBorders>
          </w:tcPr>
          <w:p>
            <w:pPr>
              <w:spacing w:after="0"/>
              <w:rPr>
                <w:sz w:val="16"/>
                <w:szCs w:val="16"/>
                <w:color w:val="auto"/>
              </w:rPr>
            </w:pPr>
          </w:p>
        </w:tc>
        <w:tc>
          <w:tcPr>
            <w:tcW w:w="3840" w:type="dxa"/>
            <w:vAlign w:val="bottom"/>
            <w:tcBorders>
              <w:bottom w:val="single" w:sz="8" w:color="DCE2EF"/>
            </w:tcBorders>
            <w:gridSpan w:val="2"/>
          </w:tcPr>
          <w:p>
            <w:pPr>
              <w:ind w:left="120"/>
              <w:spacing w:after="0" w:line="188" w:lineRule="exact"/>
              <w:rPr>
                <w:sz w:val="20"/>
                <w:szCs w:val="20"/>
                <w:color w:val="auto"/>
              </w:rPr>
            </w:pPr>
            <w:r>
              <w:rPr>
                <w:rFonts w:ascii="Arial" w:cs="Arial" w:eastAsia="Arial" w:hAnsi="Arial"/>
                <w:sz w:val="14"/>
                <w:szCs w:val="14"/>
                <w:color w:val="auto"/>
              </w:rPr>
              <w:t>Building &amp; Energy Solutions</w:t>
            </w:r>
            <w:r>
              <w:rPr>
                <w:rFonts w:ascii="Arial" w:cs="Arial" w:eastAsia="Arial" w:hAnsi="Arial"/>
                <w:sz w:val="17"/>
                <w:szCs w:val="17"/>
                <w:color w:val="auto"/>
                <w:vertAlign w:val="superscript"/>
              </w:rPr>
              <w:t>(5)</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2"/>
        </w:trPr>
        <w:tc>
          <w:tcPr>
            <w:tcW w:w="20" w:type="dxa"/>
            <w:vAlign w:val="bottom"/>
            <w:shd w:val="clear" w:color="auto" w:fill="DCE2EF"/>
          </w:tcPr>
          <w:p>
            <w:pPr>
              <w:spacing w:after="0"/>
              <w:rPr>
                <w:sz w:val="15"/>
                <w:szCs w:val="15"/>
                <w:color w:val="auto"/>
              </w:rPr>
            </w:pPr>
          </w:p>
        </w:tc>
        <w:tc>
          <w:tcPr>
            <w:tcW w:w="3840" w:type="dxa"/>
            <w:vAlign w:val="bottom"/>
            <w:gridSpan w:val="2"/>
            <w:shd w:val="clear" w:color="auto" w:fill="DCE2EF"/>
          </w:tcPr>
          <w:p>
            <w:pPr>
              <w:ind w:left="120"/>
              <w:spacing w:after="0"/>
              <w:rPr>
                <w:sz w:val="20"/>
                <w:szCs w:val="20"/>
                <w:color w:val="auto"/>
              </w:rPr>
            </w:pPr>
            <w:r>
              <w:rPr>
                <w:rFonts w:ascii="Arial" w:cs="Arial" w:eastAsia="Arial" w:hAnsi="Arial"/>
                <w:sz w:val="14"/>
                <w:szCs w:val="14"/>
                <w:b w:val="1"/>
                <w:bCs w:val="1"/>
                <w:color w:val="auto"/>
              </w:rPr>
              <w:t>Engineering and Infrastructure Solutions</w:t>
            </w:r>
          </w:p>
        </w:tc>
        <w:tc>
          <w:tcPr>
            <w:tcW w:w="260" w:type="dxa"/>
            <w:vAlign w:val="bottom"/>
            <w:shd w:val="clear" w:color="auto" w:fill="DCE2EF"/>
          </w:tcPr>
          <w:p>
            <w:pPr>
              <w:jc w:val="right"/>
              <w:ind w:right="112"/>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220.6</w:t>
            </w:r>
          </w:p>
        </w:tc>
        <w:tc>
          <w:tcPr>
            <w:tcW w:w="100" w:type="dxa"/>
            <w:vAlign w:val="bottom"/>
            <w:shd w:val="clear" w:color="auto" w:fill="DCE2EF"/>
          </w:tcPr>
          <w:p>
            <w:pPr>
              <w:spacing w:after="0"/>
              <w:rPr>
                <w:sz w:val="15"/>
                <w:szCs w:val="15"/>
                <w:color w:val="auto"/>
              </w:rPr>
            </w:pPr>
          </w:p>
        </w:tc>
        <w:tc>
          <w:tcPr>
            <w:tcW w:w="240" w:type="dxa"/>
            <w:vAlign w:val="bottom"/>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52.7</w:t>
            </w:r>
          </w:p>
        </w:tc>
        <w:tc>
          <w:tcPr>
            <w:tcW w:w="260" w:type="dxa"/>
            <w:vAlign w:val="bottom"/>
            <w:gridSpan w:val="2"/>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28.1</w:t>
            </w: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80" w:type="dxa"/>
            <w:vAlign w:val="bottom"/>
            <w:shd w:val="clear" w:color="auto" w:fill="DCE2E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shd w:val="clear" w:color="auto" w:fill="DCE2EF"/>
          </w:tcPr>
          <w:p>
            <w:pPr>
              <w:spacing w:after="0"/>
              <w:rPr>
                <w:sz w:val="15"/>
                <w:szCs w:val="15"/>
                <w:color w:val="auto"/>
              </w:rPr>
            </w:pPr>
          </w:p>
        </w:tc>
        <w:tc>
          <w:tcPr>
            <w:tcW w:w="240" w:type="dxa"/>
            <w:vAlign w:val="bottom"/>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516.9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shd w:val="clear" w:color="auto" w:fill="DCE2EF"/>
          </w:tcPr>
          <w:p>
            <w:pPr>
              <w:spacing w:after="0"/>
              <w:rPr>
                <w:sz w:val="18"/>
                <w:szCs w:val="18"/>
                <w:color w:val="auto"/>
              </w:rPr>
            </w:pPr>
          </w:p>
        </w:tc>
        <w:tc>
          <w:tcPr>
            <w:tcW w:w="38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shd w:val="clear" w:color="auto" w:fill="DCE2EF"/>
          </w:tcPr>
          <w:p>
            <w:pPr>
              <w:jc w:val="right"/>
              <w:ind w:right="112"/>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1,022.9</w:t>
            </w:r>
          </w:p>
        </w:tc>
        <w:tc>
          <w:tcPr>
            <w:tcW w:w="100" w:type="dxa"/>
            <w:vAlign w:val="bottom"/>
            <w:tcBorders>
              <w:bottom w:val="single" w:sz="8" w:color="DCE2EF"/>
            </w:tcBorders>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394.3</w:t>
            </w:r>
          </w:p>
        </w:tc>
        <w:tc>
          <w:tcPr>
            <w:tcW w:w="100" w:type="dxa"/>
            <w:vAlign w:val="bottom"/>
            <w:tcBorders>
              <w:bottom w:val="single" w:sz="8" w:color="DCE2EF"/>
            </w:tcBorders>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225.3</w:t>
            </w:r>
          </w:p>
        </w:tc>
        <w:tc>
          <w:tcPr>
            <w:tcW w:w="20" w:type="dxa"/>
            <w:vAlign w:val="bottom"/>
            <w:tcBorders>
              <w:bottom w:val="single" w:sz="8" w:color="auto"/>
            </w:tcBorders>
            <w:shd w:val="clear" w:color="auto" w:fill="DCE2EF"/>
          </w:tcPr>
          <w:p>
            <w:pPr>
              <w:spacing w:after="0"/>
              <w:rPr>
                <w:sz w:val="18"/>
                <w:szCs w:val="18"/>
                <w:color w:val="auto"/>
              </w:rPr>
            </w:pPr>
          </w:p>
        </w:tc>
        <w:tc>
          <w:tcPr>
            <w:tcW w:w="100" w:type="dxa"/>
            <w:vAlign w:val="bottom"/>
            <w:tcBorders>
              <w:bottom w:val="single" w:sz="8" w:color="DCE2EF"/>
            </w:tcBorders>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270.1</w:t>
            </w:r>
          </w:p>
        </w:tc>
        <w:tc>
          <w:tcPr>
            <w:tcW w:w="100" w:type="dxa"/>
            <w:vAlign w:val="bottom"/>
            <w:tcBorders>
              <w:bottom w:val="single" w:sz="8" w:color="DCE2EF"/>
            </w:tcBorders>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CE2EF"/>
            </w:tcBorders>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b w:val="1"/>
                <w:bCs w:val="1"/>
                <w:color w:val="auto"/>
              </w:rPr>
              <w:t>2,114.9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6"/>
              </w:rPr>
              <w:t>Three Months Ended January 31, 2024</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B&amp;I</w:t>
            </w:r>
          </w:p>
        </w:tc>
        <w:tc>
          <w:tcPr>
            <w:tcW w:w="240" w:type="dxa"/>
            <w:vAlign w:val="bottom"/>
          </w:tcPr>
          <w:p>
            <w:pPr>
              <w:spacing w:after="0"/>
              <w:rPr>
                <w:sz w:val="10"/>
                <w:szCs w:val="10"/>
                <w:color w:val="auto"/>
              </w:rPr>
            </w:pPr>
          </w:p>
        </w:tc>
        <w:tc>
          <w:tcPr>
            <w:tcW w:w="840" w:type="dxa"/>
            <w:vAlign w:val="bottom"/>
            <w:vMerge w:val="restart"/>
          </w:tcPr>
          <w:p>
            <w:pPr>
              <w:jc w:val="right"/>
              <w:ind w:right="332"/>
              <w:spacing w:after="0"/>
              <w:rPr>
                <w:sz w:val="20"/>
                <w:szCs w:val="20"/>
                <w:color w:val="auto"/>
              </w:rPr>
            </w:pPr>
            <w:r>
              <w:rPr>
                <w:rFonts w:ascii="Arial" w:cs="Arial" w:eastAsia="Arial" w:hAnsi="Arial"/>
                <w:sz w:val="13"/>
                <w:szCs w:val="13"/>
                <w:b w:val="1"/>
                <w:bCs w:val="1"/>
                <w:color w:val="auto"/>
              </w:rPr>
              <w:t>M&amp;D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Education</w:t>
            </w:r>
          </w:p>
        </w:tc>
        <w:tc>
          <w:tcPr>
            <w:tcW w:w="180" w:type="dxa"/>
            <w:vAlign w:val="bottom"/>
          </w:tcPr>
          <w:p>
            <w:pPr>
              <w:spacing w:after="0"/>
              <w:rPr>
                <w:sz w:val="10"/>
                <w:szCs w:val="10"/>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Aviation</w:t>
            </w:r>
          </w:p>
        </w:tc>
        <w:tc>
          <w:tcPr>
            <w:tcW w:w="160" w:type="dxa"/>
            <w:vAlign w:val="bottom"/>
          </w:tcPr>
          <w:p>
            <w:pPr>
              <w:spacing w:after="0"/>
              <w:rPr>
                <w:sz w:val="10"/>
                <w:szCs w:val="10"/>
                <w:color w:val="auto"/>
              </w:rPr>
            </w:pPr>
          </w:p>
        </w:tc>
        <w:tc>
          <w:tcPr>
            <w:tcW w:w="1020" w:type="dxa"/>
            <w:vAlign w:val="bottom"/>
            <w:gridSpan w:val="2"/>
          </w:tcPr>
          <w:p>
            <w:pPr>
              <w:ind w:left="100"/>
              <w:spacing w:after="0" w:line="125" w:lineRule="exact"/>
              <w:rPr>
                <w:sz w:val="20"/>
                <w:szCs w:val="20"/>
                <w:color w:val="auto"/>
              </w:rPr>
            </w:pPr>
            <w:r>
              <w:rPr>
                <w:rFonts w:ascii="Arial" w:cs="Arial" w:eastAsia="Arial" w:hAnsi="Arial"/>
                <w:sz w:val="13"/>
                <w:szCs w:val="13"/>
                <w:b w:val="1"/>
                <w:bCs w:val="1"/>
                <w:color w:val="auto"/>
              </w:rPr>
              <w:t>Technical</w:t>
            </w:r>
          </w:p>
        </w:tc>
        <w:tc>
          <w:tcPr>
            <w:tcW w:w="240" w:type="dxa"/>
            <w:vAlign w:val="bottom"/>
          </w:tcPr>
          <w:p>
            <w:pPr>
              <w:spacing w:after="0"/>
              <w:rPr>
                <w:sz w:val="10"/>
                <w:szCs w:val="10"/>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00"/>
              <w:spacing w:after="0" w:line="139" w:lineRule="exact"/>
              <w:rPr>
                <w:sz w:val="20"/>
                <w:szCs w:val="20"/>
                <w:color w:val="auto"/>
              </w:rPr>
            </w:pPr>
            <w:r>
              <w:rPr>
                <w:rFonts w:ascii="Arial" w:cs="Arial" w:eastAsia="Arial" w:hAnsi="Arial"/>
                <w:sz w:val="13"/>
                <w:szCs w:val="13"/>
                <w:b w:val="1"/>
                <w:bCs w:val="1"/>
                <w:color w:val="auto"/>
              </w:rPr>
              <w:t>Solutions</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top w:val="single" w:sz="8" w:color="auto"/>
              <w:bottom w:val="single" w:sz="8" w:color="DCE2EF"/>
            </w:tcBorders>
          </w:tcPr>
          <w:p>
            <w:pPr>
              <w:spacing w:after="0" w:line="20" w:lineRule="exact"/>
              <w:rPr>
                <w:sz w:val="1"/>
                <w:szCs w:val="1"/>
                <w:color w:val="auto"/>
              </w:rPr>
            </w:pPr>
          </w:p>
        </w:tc>
        <w:tc>
          <w:tcPr>
            <w:tcW w:w="316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DCE2EF"/>
          </w:tcPr>
          <w:p>
            <w:pPr>
              <w:spacing w:after="0"/>
              <w:rPr>
                <w:sz w:val="14"/>
                <w:szCs w:val="14"/>
                <w:color w:val="auto"/>
              </w:rPr>
            </w:pPr>
          </w:p>
        </w:tc>
        <w:tc>
          <w:tcPr>
            <w:tcW w:w="38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Major Service Line</w:t>
            </w:r>
          </w:p>
        </w:tc>
        <w:tc>
          <w:tcPr>
            <w:tcW w:w="260" w:type="dxa"/>
            <w:vAlign w:val="bottom"/>
            <w:shd w:val="clear" w:color="auto" w:fill="DCE2EF"/>
          </w:tcPr>
          <w:p>
            <w:pPr>
              <w:spacing w:after="0"/>
              <w:rPr>
                <w:sz w:val="14"/>
                <w:szCs w:val="14"/>
                <w:color w:val="auto"/>
              </w:rPr>
            </w:pPr>
          </w:p>
        </w:tc>
        <w:tc>
          <w:tcPr>
            <w:tcW w:w="8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40" w:type="dxa"/>
            <w:vAlign w:val="bottom"/>
            <w:shd w:val="clear" w:color="auto" w:fill="DCE2EF"/>
          </w:tcPr>
          <w:p>
            <w:pPr>
              <w:spacing w:after="0"/>
              <w:rPr>
                <w:sz w:val="14"/>
                <w:szCs w:val="14"/>
                <w:color w:val="auto"/>
              </w:rPr>
            </w:pPr>
          </w:p>
        </w:tc>
        <w:tc>
          <w:tcPr>
            <w:tcW w:w="8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920" w:type="dxa"/>
            <w:vAlign w:val="bottom"/>
            <w:shd w:val="clear" w:color="auto" w:fill="DCE2EF"/>
          </w:tcPr>
          <w:p>
            <w:pPr>
              <w:spacing w:after="0"/>
              <w:rPr>
                <w:sz w:val="14"/>
                <w:szCs w:val="14"/>
                <w:color w:val="auto"/>
              </w:rPr>
            </w:pPr>
          </w:p>
        </w:tc>
        <w:tc>
          <w:tcPr>
            <w:tcW w:w="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80" w:type="dxa"/>
            <w:vAlign w:val="bottom"/>
            <w:shd w:val="clear" w:color="auto" w:fill="DCE2EF"/>
          </w:tcPr>
          <w:p>
            <w:pPr>
              <w:spacing w:after="0"/>
              <w:rPr>
                <w:sz w:val="14"/>
                <w:szCs w:val="14"/>
                <w:color w:val="auto"/>
              </w:rPr>
            </w:pPr>
          </w:p>
        </w:tc>
        <w:tc>
          <w:tcPr>
            <w:tcW w:w="9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9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40" w:type="dxa"/>
            <w:vAlign w:val="bottom"/>
            <w:shd w:val="clear" w:color="auto" w:fill="DCE2EF"/>
          </w:tcPr>
          <w:p>
            <w:pPr>
              <w:spacing w:after="0"/>
              <w:rPr>
                <w:sz w:val="14"/>
                <w:szCs w:val="14"/>
                <w:color w:val="auto"/>
              </w:rPr>
            </w:pPr>
          </w:p>
        </w:tc>
        <w:tc>
          <w:tcPr>
            <w:tcW w:w="86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gridSpan w:val="2"/>
          </w:tcPr>
          <w:p>
            <w:pPr>
              <w:ind w:left="120"/>
              <w:spacing w:after="0" w:line="188" w:lineRule="exact"/>
              <w:rPr>
                <w:sz w:val="20"/>
                <w:szCs w:val="20"/>
                <w:color w:val="auto"/>
              </w:rPr>
            </w:pPr>
            <w:r>
              <w:rPr>
                <w:rFonts w:ascii="Arial" w:cs="Arial" w:eastAsia="Arial" w:hAnsi="Arial"/>
                <w:sz w:val="14"/>
                <w:szCs w:val="14"/>
                <w:color w:val="auto"/>
              </w:rPr>
              <w:t>Janitorial</w:t>
            </w:r>
            <w:r>
              <w:rPr>
                <w:rFonts w:ascii="Arial" w:cs="Arial" w:eastAsia="Arial" w:hAnsi="Arial"/>
                <w:sz w:val="17"/>
                <w:szCs w:val="17"/>
                <w:color w:val="auto"/>
                <w:vertAlign w:val="superscript"/>
              </w:rPr>
              <w:t>(1)</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692.4</w:t>
            </w:r>
          </w:p>
        </w:tc>
        <w:tc>
          <w:tcPr>
            <w:tcW w:w="100" w:type="dxa"/>
            <w:vAlign w:val="bottom"/>
          </w:tcPr>
          <w:p>
            <w:pPr>
              <w:spacing w:after="0"/>
              <w:rPr>
                <w:sz w:val="16"/>
                <w:szCs w:val="16"/>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348.9</w:t>
            </w:r>
          </w:p>
        </w:tc>
        <w:tc>
          <w:tcPr>
            <w:tcW w:w="26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1,275.8</w:t>
            </w:r>
          </w:p>
        </w:tc>
        <w:tc>
          <w:tcPr>
            <w:tcW w:w="0" w:type="dxa"/>
            <w:vAlign w:val="bottom"/>
          </w:tcPr>
          <w:p>
            <w:pPr>
              <w:spacing w:after="0"/>
              <w:rPr>
                <w:sz w:val="1"/>
                <w:szCs w:val="1"/>
                <w:color w:val="auto"/>
              </w:rPr>
            </w:pPr>
          </w:p>
        </w:tc>
      </w:tr>
      <w:tr>
        <w:trPr>
          <w:trHeight w:val="188"/>
        </w:trPr>
        <w:tc>
          <w:tcPr>
            <w:tcW w:w="20" w:type="dxa"/>
            <w:vAlign w:val="bottom"/>
            <w:shd w:val="clear" w:color="auto" w:fill="DCE2EF"/>
          </w:tcPr>
          <w:p>
            <w:pPr>
              <w:spacing w:after="0"/>
              <w:rPr>
                <w:sz w:val="16"/>
                <w:szCs w:val="16"/>
                <w:color w:val="auto"/>
              </w:rPr>
            </w:pPr>
          </w:p>
        </w:tc>
        <w:tc>
          <w:tcPr>
            <w:tcW w:w="3840" w:type="dxa"/>
            <w:vAlign w:val="bottom"/>
            <w:gridSpan w:val="2"/>
            <w:shd w:val="clear" w:color="auto" w:fill="DCE2EF"/>
          </w:tcPr>
          <w:p>
            <w:pPr>
              <w:ind w:left="120"/>
              <w:spacing w:after="0" w:line="188" w:lineRule="exact"/>
              <w:rPr>
                <w:sz w:val="20"/>
                <w:szCs w:val="20"/>
                <w:color w:val="auto"/>
              </w:rPr>
            </w:pPr>
            <w:r>
              <w:rPr>
                <w:rFonts w:ascii="Arial" w:cs="Arial" w:eastAsia="Arial" w:hAnsi="Arial"/>
                <w:sz w:val="14"/>
                <w:szCs w:val="14"/>
                <w:color w:val="auto"/>
              </w:rPr>
              <w:t>Aviation Services</w:t>
            </w:r>
            <w:r>
              <w:rPr>
                <w:rFonts w:ascii="Arial" w:cs="Arial" w:eastAsia="Arial" w:hAnsi="Arial"/>
                <w:sz w:val="17"/>
                <w:szCs w:val="17"/>
                <w:color w:val="auto"/>
                <w:vertAlign w:val="superscript"/>
              </w:rPr>
              <w:t>(2)</w:t>
            </w:r>
          </w:p>
        </w:tc>
        <w:tc>
          <w:tcPr>
            <w:tcW w:w="260" w:type="dxa"/>
            <w:vAlign w:val="bottom"/>
            <w:shd w:val="clear" w:color="auto" w:fill="DCE2EF"/>
          </w:tcPr>
          <w:p>
            <w:pPr>
              <w:spacing w:after="0"/>
              <w:rPr>
                <w:sz w:val="16"/>
                <w:szCs w:val="16"/>
                <w:color w:val="auto"/>
              </w:rPr>
            </w:pPr>
          </w:p>
        </w:tc>
        <w:tc>
          <w:tcPr>
            <w:tcW w:w="9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DCE2EF"/>
          </w:tcPr>
          <w:p>
            <w:pPr>
              <w:spacing w:after="0"/>
              <w:rPr>
                <w:sz w:val="16"/>
                <w:szCs w:val="16"/>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1040" w:type="dxa"/>
            <w:vAlign w:val="bottom"/>
            <w:gridSpan w:val="3"/>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DCE2EF"/>
          </w:tcPr>
          <w:p>
            <w:pPr>
              <w:spacing w:after="0"/>
              <w:rPr>
                <w:sz w:val="16"/>
                <w:szCs w:val="16"/>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117.4</w:t>
            </w: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DCE2EF"/>
          </w:tcPr>
          <w:p>
            <w:pPr>
              <w:spacing w:after="0"/>
              <w:rPr>
                <w:sz w:val="16"/>
                <w:szCs w:val="16"/>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188"/>
        </w:trPr>
        <w:tc>
          <w:tcPr>
            <w:tcW w:w="20" w:type="dxa"/>
            <w:vAlign w:val="bottom"/>
            <w:tcBorders>
              <w:bottom w:val="single" w:sz="8" w:color="DCE2EF"/>
            </w:tcBorders>
          </w:tcPr>
          <w:p>
            <w:pPr>
              <w:spacing w:after="0"/>
              <w:rPr>
                <w:sz w:val="16"/>
                <w:szCs w:val="16"/>
                <w:color w:val="auto"/>
              </w:rPr>
            </w:pPr>
          </w:p>
        </w:tc>
        <w:tc>
          <w:tcPr>
            <w:tcW w:w="3840" w:type="dxa"/>
            <w:vAlign w:val="bottom"/>
            <w:tcBorders>
              <w:bottom w:val="single" w:sz="8" w:color="DCE2EF"/>
            </w:tcBorders>
            <w:gridSpan w:val="2"/>
          </w:tcPr>
          <w:p>
            <w:pPr>
              <w:ind w:left="120"/>
              <w:spacing w:after="0" w:line="188" w:lineRule="exact"/>
              <w:rPr>
                <w:sz w:val="20"/>
                <w:szCs w:val="20"/>
                <w:color w:val="auto"/>
              </w:rPr>
            </w:pPr>
            <w:r>
              <w:rPr>
                <w:rFonts w:ascii="Arial" w:cs="Arial" w:eastAsia="Arial" w:hAnsi="Arial"/>
                <w:sz w:val="14"/>
                <w:szCs w:val="14"/>
                <w:color w:val="auto"/>
              </w:rPr>
              <w:t>Parking and Transportation</w:t>
            </w:r>
            <w:r>
              <w:rPr>
                <w:rFonts w:ascii="Arial" w:cs="Arial" w:eastAsia="Arial" w:hAnsi="Arial"/>
                <w:sz w:val="17"/>
                <w:szCs w:val="17"/>
                <w:color w:val="auto"/>
                <w:vertAlign w:val="superscript"/>
              </w:rPr>
              <w:t>(3)</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199.1</w:t>
            </w:r>
          </w:p>
        </w:tc>
        <w:tc>
          <w:tcPr>
            <w:tcW w:w="0" w:type="dxa"/>
            <w:vAlign w:val="bottom"/>
          </w:tcPr>
          <w:p>
            <w:pPr>
              <w:spacing w:after="0"/>
              <w:rPr>
                <w:sz w:val="1"/>
                <w:szCs w:val="1"/>
                <w:color w:val="auto"/>
              </w:rPr>
            </w:pPr>
          </w:p>
        </w:tc>
      </w:tr>
      <w:tr>
        <w:trPr>
          <w:trHeight w:val="182"/>
        </w:trPr>
        <w:tc>
          <w:tcPr>
            <w:tcW w:w="20" w:type="dxa"/>
            <w:vAlign w:val="bottom"/>
            <w:shd w:val="clear" w:color="auto" w:fill="DCE2EF"/>
          </w:tcPr>
          <w:p>
            <w:pPr>
              <w:spacing w:after="0"/>
              <w:rPr>
                <w:sz w:val="15"/>
                <w:szCs w:val="15"/>
                <w:color w:val="auto"/>
              </w:rPr>
            </w:pPr>
          </w:p>
        </w:tc>
        <w:tc>
          <w:tcPr>
            <w:tcW w:w="3840" w:type="dxa"/>
            <w:vAlign w:val="bottom"/>
            <w:gridSpan w:val="2"/>
            <w:shd w:val="clear" w:color="auto" w:fill="DCE2EF"/>
          </w:tcPr>
          <w:p>
            <w:pPr>
              <w:ind w:left="120"/>
              <w:spacing w:after="0"/>
              <w:rPr>
                <w:sz w:val="20"/>
                <w:szCs w:val="20"/>
                <w:color w:val="auto"/>
              </w:rPr>
            </w:pPr>
            <w:r>
              <w:rPr>
                <w:rFonts w:ascii="Arial" w:cs="Arial" w:eastAsia="Arial" w:hAnsi="Arial"/>
                <w:sz w:val="14"/>
                <w:szCs w:val="14"/>
                <w:b w:val="1"/>
                <w:bCs w:val="1"/>
                <w:color w:val="auto"/>
              </w:rPr>
              <w:t>Facility Solutions</w:t>
            </w:r>
          </w:p>
        </w:tc>
        <w:tc>
          <w:tcPr>
            <w:tcW w:w="260" w:type="dxa"/>
            <w:vAlign w:val="bottom"/>
            <w:shd w:val="clear" w:color="auto" w:fill="DCE2EF"/>
          </w:tcPr>
          <w:p>
            <w:pPr>
              <w:jc w:val="right"/>
              <w:ind w:right="112"/>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795.7</w:t>
            </w:r>
          </w:p>
        </w:tc>
        <w:tc>
          <w:tcPr>
            <w:tcW w:w="100" w:type="dxa"/>
            <w:vAlign w:val="bottom"/>
            <w:shd w:val="clear" w:color="auto" w:fill="DCE2EF"/>
          </w:tcPr>
          <w:p>
            <w:pPr>
              <w:spacing w:after="0"/>
              <w:rPr>
                <w:sz w:val="15"/>
                <w:szCs w:val="15"/>
                <w:color w:val="auto"/>
              </w:rPr>
            </w:pPr>
          </w:p>
        </w:tc>
        <w:tc>
          <w:tcPr>
            <w:tcW w:w="240" w:type="dxa"/>
            <w:vAlign w:val="bottom"/>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361.9</w:t>
            </w:r>
          </w:p>
        </w:tc>
        <w:tc>
          <w:tcPr>
            <w:tcW w:w="260" w:type="dxa"/>
            <w:vAlign w:val="bottom"/>
            <w:gridSpan w:val="2"/>
            <w:shd w:val="clear" w:color="auto" w:fill="DCE2EF"/>
          </w:tcPr>
          <w:p>
            <w:pPr>
              <w:jc w:val="right"/>
              <w:ind w:right="12"/>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198.1</w:t>
            </w: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80" w:type="dxa"/>
            <w:vAlign w:val="bottom"/>
            <w:shd w:val="clear" w:color="auto" w:fill="DCE2E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236.6</w:t>
            </w: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1,592.2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DCE2EF"/>
          </w:tcPr>
          <w:p>
            <w:pPr>
              <w:spacing w:after="0"/>
              <w:rPr>
                <w:sz w:val="16"/>
                <w:szCs w:val="16"/>
                <w:color w:val="auto"/>
              </w:rPr>
            </w:pPr>
          </w:p>
        </w:tc>
        <w:tc>
          <w:tcPr>
            <w:tcW w:w="3840" w:type="dxa"/>
            <w:vAlign w:val="bottom"/>
            <w:gridSpan w:val="2"/>
            <w:shd w:val="clear" w:color="auto" w:fill="DCE2EF"/>
          </w:tcPr>
          <w:p>
            <w:pPr>
              <w:ind w:left="120"/>
              <w:spacing w:after="0" w:line="188" w:lineRule="exact"/>
              <w:rPr>
                <w:sz w:val="20"/>
                <w:szCs w:val="20"/>
                <w:color w:val="auto"/>
              </w:rPr>
            </w:pPr>
            <w:r>
              <w:rPr>
                <w:rFonts w:ascii="Arial" w:cs="Arial" w:eastAsia="Arial" w:hAnsi="Arial"/>
                <w:sz w:val="14"/>
                <w:szCs w:val="14"/>
                <w:color w:val="auto"/>
              </w:rPr>
              <w:t>Operations and Maintenance</w:t>
            </w:r>
            <w:r>
              <w:rPr>
                <w:rFonts w:ascii="Arial" w:cs="Arial" w:eastAsia="Arial" w:hAnsi="Arial"/>
                <w:sz w:val="17"/>
                <w:szCs w:val="17"/>
                <w:color w:val="auto"/>
                <w:vertAlign w:val="superscript"/>
              </w:rPr>
              <w:t>(4)</w:t>
            </w:r>
          </w:p>
        </w:tc>
        <w:tc>
          <w:tcPr>
            <w:tcW w:w="2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237.4</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22.0</w:t>
            </w:r>
          </w:p>
        </w:tc>
        <w:tc>
          <w:tcPr>
            <w:tcW w:w="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DCE2EF"/>
          </w:tcPr>
          <w:p>
            <w:pPr>
              <w:spacing w:after="0"/>
              <w:rPr>
                <w:sz w:val="16"/>
                <w:szCs w:val="16"/>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311.4</w:t>
            </w:r>
          </w:p>
        </w:tc>
        <w:tc>
          <w:tcPr>
            <w:tcW w:w="0" w:type="dxa"/>
            <w:vAlign w:val="bottom"/>
          </w:tcPr>
          <w:p>
            <w:pPr>
              <w:spacing w:after="0"/>
              <w:rPr>
                <w:sz w:val="1"/>
                <w:szCs w:val="1"/>
                <w:color w:val="auto"/>
              </w:rPr>
            </w:pPr>
          </w:p>
        </w:tc>
      </w:tr>
      <w:tr>
        <w:trPr>
          <w:trHeight w:val="188"/>
        </w:trPr>
        <w:tc>
          <w:tcPr>
            <w:tcW w:w="20" w:type="dxa"/>
            <w:vAlign w:val="bottom"/>
            <w:tcBorders>
              <w:bottom w:val="single" w:sz="8" w:color="DCE2EF"/>
            </w:tcBorders>
          </w:tcPr>
          <w:p>
            <w:pPr>
              <w:spacing w:after="0"/>
              <w:rPr>
                <w:sz w:val="16"/>
                <w:szCs w:val="16"/>
                <w:color w:val="auto"/>
              </w:rPr>
            </w:pPr>
          </w:p>
        </w:tc>
        <w:tc>
          <w:tcPr>
            <w:tcW w:w="3840" w:type="dxa"/>
            <w:vAlign w:val="bottom"/>
            <w:tcBorders>
              <w:bottom w:val="single" w:sz="8" w:color="DCE2EF"/>
            </w:tcBorders>
            <w:gridSpan w:val="2"/>
          </w:tcPr>
          <w:p>
            <w:pPr>
              <w:ind w:left="120"/>
              <w:spacing w:after="0" w:line="188" w:lineRule="exact"/>
              <w:rPr>
                <w:sz w:val="20"/>
                <w:szCs w:val="20"/>
                <w:color w:val="auto"/>
              </w:rPr>
            </w:pPr>
            <w:r>
              <w:rPr>
                <w:rFonts w:ascii="Arial" w:cs="Arial" w:eastAsia="Arial" w:hAnsi="Arial"/>
                <w:sz w:val="14"/>
                <w:szCs w:val="14"/>
                <w:color w:val="auto"/>
              </w:rPr>
              <w:t>Building &amp; Energy Solutions</w:t>
            </w:r>
            <w:r>
              <w:rPr>
                <w:rFonts w:ascii="Arial" w:cs="Arial" w:eastAsia="Arial" w:hAnsi="Arial"/>
                <w:sz w:val="17"/>
                <w:szCs w:val="17"/>
                <w:color w:val="auto"/>
                <w:vertAlign w:val="superscript"/>
              </w:rPr>
              <w:t>(5)</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182"/>
        </w:trPr>
        <w:tc>
          <w:tcPr>
            <w:tcW w:w="20" w:type="dxa"/>
            <w:vAlign w:val="bottom"/>
            <w:shd w:val="clear" w:color="auto" w:fill="DCE2EF"/>
          </w:tcPr>
          <w:p>
            <w:pPr>
              <w:spacing w:after="0"/>
              <w:rPr>
                <w:sz w:val="15"/>
                <w:szCs w:val="15"/>
                <w:color w:val="auto"/>
              </w:rPr>
            </w:pPr>
          </w:p>
        </w:tc>
        <w:tc>
          <w:tcPr>
            <w:tcW w:w="3840" w:type="dxa"/>
            <w:vAlign w:val="bottom"/>
            <w:gridSpan w:val="2"/>
            <w:shd w:val="clear" w:color="auto" w:fill="DCE2EF"/>
          </w:tcPr>
          <w:p>
            <w:pPr>
              <w:ind w:left="120"/>
              <w:spacing w:after="0"/>
              <w:rPr>
                <w:sz w:val="20"/>
                <w:szCs w:val="20"/>
                <w:color w:val="auto"/>
              </w:rPr>
            </w:pPr>
            <w:r>
              <w:rPr>
                <w:rFonts w:ascii="Arial" w:cs="Arial" w:eastAsia="Arial" w:hAnsi="Arial"/>
                <w:sz w:val="14"/>
                <w:szCs w:val="14"/>
                <w:b w:val="1"/>
                <w:bCs w:val="1"/>
                <w:color w:val="auto"/>
              </w:rPr>
              <w:t>Engineering and Infrastructure Solutions</w:t>
            </w:r>
          </w:p>
        </w:tc>
        <w:tc>
          <w:tcPr>
            <w:tcW w:w="260" w:type="dxa"/>
            <w:vAlign w:val="bottom"/>
            <w:shd w:val="clear" w:color="auto" w:fill="DCE2EF"/>
          </w:tcPr>
          <w:p>
            <w:pPr>
              <w:jc w:val="right"/>
              <w:ind w:right="112"/>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237.4</w:t>
            </w:r>
          </w:p>
        </w:tc>
        <w:tc>
          <w:tcPr>
            <w:tcW w:w="100" w:type="dxa"/>
            <w:vAlign w:val="bottom"/>
            <w:shd w:val="clear" w:color="auto" w:fill="DCE2EF"/>
          </w:tcPr>
          <w:p>
            <w:pPr>
              <w:spacing w:after="0"/>
              <w:rPr>
                <w:sz w:val="15"/>
                <w:szCs w:val="15"/>
                <w:color w:val="auto"/>
              </w:rPr>
            </w:pPr>
          </w:p>
        </w:tc>
        <w:tc>
          <w:tcPr>
            <w:tcW w:w="240" w:type="dxa"/>
            <w:vAlign w:val="bottom"/>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39.0</w:t>
            </w:r>
          </w:p>
        </w:tc>
        <w:tc>
          <w:tcPr>
            <w:tcW w:w="260" w:type="dxa"/>
            <w:vAlign w:val="bottom"/>
            <w:gridSpan w:val="2"/>
            <w:shd w:val="clear" w:color="auto" w:fill="DCE2EF"/>
          </w:tcPr>
          <w:p>
            <w:pPr>
              <w:jc w:val="right"/>
              <w:ind w:right="12"/>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22.0</w:t>
            </w:r>
          </w:p>
        </w:tc>
        <w:tc>
          <w:tcPr>
            <w:tcW w:w="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80" w:type="dxa"/>
            <w:vAlign w:val="bottom"/>
            <w:shd w:val="clear" w:color="auto" w:fill="DCE2E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165.9</w:t>
            </w:r>
          </w:p>
        </w:tc>
        <w:tc>
          <w:tcPr>
            <w:tcW w:w="100" w:type="dxa"/>
            <w:vAlign w:val="bottom"/>
            <w:shd w:val="clear" w:color="auto" w:fill="DCE2EF"/>
          </w:tcPr>
          <w:p>
            <w:pPr>
              <w:spacing w:after="0"/>
              <w:rPr>
                <w:sz w:val="15"/>
                <w:szCs w:val="15"/>
                <w:color w:val="auto"/>
              </w:rPr>
            </w:pPr>
          </w:p>
        </w:tc>
        <w:tc>
          <w:tcPr>
            <w:tcW w:w="240" w:type="dxa"/>
            <w:vAlign w:val="bottom"/>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477.3</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84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84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Total</w:t>
            </w:r>
          </w:p>
        </w:tc>
        <w:tc>
          <w:tcPr>
            <w:tcW w:w="260" w:type="dxa"/>
            <w:vAlign w:val="bottom"/>
            <w:shd w:val="clear" w:color="auto" w:fill="DCE2EF"/>
          </w:tcPr>
          <w:p>
            <w:pPr>
              <w:jc w:val="right"/>
              <w:ind w:right="112"/>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1,033.1</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400.9</w:t>
            </w:r>
          </w:p>
        </w:tc>
        <w:tc>
          <w:tcPr>
            <w:tcW w:w="260" w:type="dxa"/>
            <w:vAlign w:val="bottom"/>
            <w:gridSpan w:val="2"/>
            <w:shd w:val="clear" w:color="auto" w:fill="DCE2EF"/>
          </w:tcPr>
          <w:p>
            <w:pPr>
              <w:jc w:val="right"/>
              <w:ind w:right="12"/>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220.1</w:t>
            </w: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249.5</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165.9</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4"/>
                <w:szCs w:val="14"/>
                <w:b w:val="1"/>
                <w:bCs w:val="1"/>
                <w:color w:val="auto"/>
              </w:rPr>
              <w:t>2,069.6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316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jc w:val="both"/>
        <w:ind w:left="160" w:hanging="153"/>
        <w:spacing w:after="0" w:line="237" w:lineRule="auto"/>
        <w:tabs>
          <w:tab w:leader="none" w:pos="196"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83" w:lineRule="exact"/>
        <w:rPr>
          <w:rFonts w:ascii="Arial" w:cs="Arial" w:eastAsia="Arial" w:hAnsi="Arial"/>
          <w:sz w:val="21"/>
          <w:szCs w:val="21"/>
          <w:color w:val="auto"/>
          <w:vertAlign w:val="superscript"/>
        </w:rPr>
      </w:pPr>
    </w:p>
    <w:p>
      <w:pPr>
        <w:ind w:left="160" w:hanging="153"/>
        <w:spacing w:after="0" w:line="234" w:lineRule="auto"/>
        <w:tabs>
          <w:tab w:leader="none" w:pos="22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Aviation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82" w:lineRule="exact"/>
        <w:rPr>
          <w:rFonts w:ascii="Arial" w:cs="Arial" w:eastAsia="Arial" w:hAnsi="Arial"/>
          <w:sz w:val="21"/>
          <w:szCs w:val="21"/>
          <w:color w:val="auto"/>
          <w:vertAlign w:val="superscript"/>
        </w:rPr>
      </w:pPr>
    </w:p>
    <w:p>
      <w:pPr>
        <w:jc w:val="both"/>
        <w:ind w:left="160" w:hanging="153"/>
        <w:spacing w:after="0"/>
        <w:tabs>
          <w:tab w:leader="none" w:pos="196"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Parking and Transportation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service concession expense related to these arrangements is recorded as a reduction of the related parking service revenues.</w:t>
      </w:r>
    </w:p>
    <w:p>
      <w:pPr>
        <w:spacing w:after="0" w:line="97" w:lineRule="exact"/>
        <w:rPr>
          <w:rFonts w:ascii="Arial" w:cs="Arial" w:eastAsia="Arial" w:hAnsi="Arial"/>
          <w:sz w:val="21"/>
          <w:szCs w:val="21"/>
          <w:color w:val="auto"/>
          <w:vertAlign w:val="superscript"/>
        </w:rPr>
      </w:pPr>
    </w:p>
    <w:p>
      <w:pPr>
        <w:ind w:left="160" w:right="20" w:hanging="153"/>
        <w:spacing w:after="0" w:line="226" w:lineRule="auto"/>
        <w:tabs>
          <w:tab w:leader="none" w:pos="18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Operations and Maintenance arrangements provide onsite mechanical engineering and technical services and solutions relating to a broad range of facilities and infrastructure systems that are designed to extend the useful life of facility fixed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3" w:name="page14"/>
    <w:bookmarkEnd w:id="13"/>
    <w:p>
      <w:pPr>
        <w:ind w:left="160"/>
        <w:spacing w:after="0" w:line="284" w:lineRule="auto"/>
        <w:rPr>
          <w:sz w:val="20"/>
          <w:szCs w:val="20"/>
          <w:color w:val="auto"/>
        </w:rPr>
      </w:pPr>
      <w:r>
        <w:rPr>
          <w:rFonts w:ascii="Arial" w:cs="Arial" w:eastAsia="Arial" w:hAnsi="Arial"/>
          <w:sz w:val="16"/>
          <w:szCs w:val="16"/>
          <w:color w:val="auto"/>
        </w:rPr>
        <w:t>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62" w:lineRule="exact"/>
        <w:rPr>
          <w:sz w:val="20"/>
          <w:szCs w:val="20"/>
          <w:color w:val="auto"/>
        </w:rPr>
      </w:pPr>
    </w:p>
    <w:p>
      <w:pPr>
        <w:jc w:val="both"/>
        <w:ind w:left="160" w:right="20" w:hanging="153"/>
        <w:spacing w:after="0" w:line="263" w:lineRule="auto"/>
        <w:tabs>
          <w:tab w:leader="none" w:pos="169"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Building &amp; Energy Solutions arrangements provide custom energy solutions, including microgrid systems installation, electrical, HVAC, lighting, electric vehicle charging station installation, uninterrupted power supply services, and other general maintenance and repair services for clients in the public and private sectors and are generally structured as Energy Savings, Fixed-Price Repair, and Refurbishment contracts. We also franchise certain operations under franchise agreements relating to our Linc Network and TEGG brands pursuant to franchise contracts.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Contract Types</w:t>
      </w:r>
    </w:p>
    <w:p>
      <w:pPr>
        <w:spacing w:after="0" w:line="169"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8"/>
          <w:szCs w:val="18"/>
          <w:color w:val="auto"/>
        </w:rPr>
        <w:t>We have arrangements under various contract types, as described in Note 2, “Basis of Presentation and Significant Accounting Policies,” in our Annual Report on Form 10-K for the year ended October 31, 2024.</w:t>
      </w:r>
    </w:p>
    <w:p>
      <w:pPr>
        <w:spacing w:after="0" w:line="100"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Certain arrangements involve variable consideration (primarily per transaction fees, reimbursable expenses, and sales-based royalties). We do not estimate the variable consideration for these arrangements; rather, we recognize these variable fees as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32"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The majority of our contracts include performance obligations that are primarily satisfied over time as we provide the related services. These contract types include: monthly fixed-price; square-foot; cost-plus; work orders; transaction-price; hourly; management reimbursement; leased location; allowance; energy savings contracts; and fixed-price repair and refurbishment contracts, as well as our franchise and royalty fee arrangements. We recognize revenue as the services are performed using a measure of progress that is determined by the contract type. Generally, most of our contracts are cancelable by either party without a substantive penalty, and the majority have a notification period of 30 to 90 days.</w:t>
      </w:r>
    </w:p>
    <w:p>
      <w:pPr>
        <w:spacing w:after="0" w:line="126"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Remaining Performance Obligations</w:t>
      </w:r>
    </w:p>
    <w:p>
      <w:pPr>
        <w:spacing w:after="0" w:line="169"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At January 31, 2025, performance obligations that were unsatisfied for which we expect to recognize revenue totaled $279.4 million. We expect to recognize revenue on approximately 73% of the remaining performance obligations over the next 12 months, with the remainder recognized thereafter, based on our estimates of project timing.</w:t>
      </w:r>
    </w:p>
    <w:p>
      <w:pPr>
        <w:spacing w:after="0" w:line="115"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For these contract types, we apply the practical expedient that permits exclusion of information about the remaining performance obligations with original expected durations of one year or less.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Contract Balances</w:t>
      </w:r>
    </w:p>
    <w:p>
      <w:pPr>
        <w:spacing w:after="0" w:line="16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as further explained below. The timing of revenue recognition may differ from the timing of invoicing to customers.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4" w:name="page15"/>
    <w:bookmarkEnd w:id="14"/>
    <w:p>
      <w:pPr>
        <w:jc w:val="both"/>
        <w:ind w:firstLine="645"/>
        <w:spacing w:after="0" w:line="256" w:lineRule="auto"/>
        <w:rPr>
          <w:sz w:val="20"/>
          <w:szCs w:val="20"/>
          <w:color w:val="auto"/>
        </w:rPr>
      </w:pPr>
      <w:r>
        <w:rPr>
          <w:rFonts w:ascii="Arial" w:cs="Arial" w:eastAsia="Arial" w:hAnsi="Arial"/>
          <w:sz w:val="18"/>
          <w:szCs w:val="18"/>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 Commissions expense is recognized on a straight-line basis over a weighted average expected customer relationship period.</w:t>
      </w:r>
    </w:p>
    <w:p>
      <w:pPr>
        <w:spacing w:after="0" w:line="126"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balances in our contract assets and contract liabilities: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9"/>
                <w:szCs w:val="19"/>
                <w:color w:val="auto"/>
              </w:rPr>
            </w:pPr>
          </w:p>
        </w:tc>
        <w:tc>
          <w:tcPr>
            <w:tcW w:w="208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2025</w:t>
            </w:r>
          </w:p>
        </w:tc>
        <w:tc>
          <w:tcPr>
            <w:tcW w:w="260" w:type="dxa"/>
            <w:vAlign w:val="bottom"/>
          </w:tcPr>
          <w:p>
            <w:pPr>
              <w:spacing w:after="0"/>
              <w:rPr>
                <w:sz w:val="19"/>
                <w:szCs w:val="19"/>
                <w:color w:val="auto"/>
              </w:rPr>
            </w:pPr>
          </w:p>
        </w:tc>
        <w:tc>
          <w:tcPr>
            <w:tcW w:w="1960" w:type="dxa"/>
            <w:vAlign w:val="bottom"/>
          </w:tcPr>
          <w:p>
            <w:pPr>
              <w:jc w:val="right"/>
              <w:ind w:right="318"/>
              <w:spacing w:after="0"/>
              <w:rPr>
                <w:sz w:val="20"/>
                <w:szCs w:val="20"/>
                <w:color w:val="auto"/>
              </w:rPr>
            </w:pPr>
            <w:r>
              <w:rPr>
                <w:rFonts w:ascii="Arial" w:cs="Arial" w:eastAsia="Arial" w:hAnsi="Arial"/>
                <w:sz w:val="18"/>
                <w:szCs w:val="18"/>
                <w:b w:val="1"/>
                <w:bCs w:val="1"/>
                <w:color w:val="auto"/>
              </w:rPr>
              <w:t>October 31, 2024</w:t>
            </w: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598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95"/>
        </w:trPr>
        <w:tc>
          <w:tcPr>
            <w:tcW w:w="20" w:type="dxa"/>
            <w:vAlign w:val="bottom"/>
            <w:shd w:val="clear" w:color="auto" w:fill="DCE2EF"/>
          </w:tcPr>
          <w:p>
            <w:pPr>
              <w:spacing w:after="0"/>
              <w:rPr>
                <w:sz w:val="16"/>
                <w:szCs w:val="16"/>
                <w:color w:val="auto"/>
              </w:rPr>
            </w:pPr>
          </w:p>
        </w:tc>
        <w:tc>
          <w:tcPr>
            <w:tcW w:w="668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Contract assets</w:t>
            </w:r>
          </w:p>
        </w:tc>
        <w:tc>
          <w:tcPr>
            <w:tcW w:w="240" w:type="dxa"/>
            <w:vAlign w:val="bottom"/>
            <w:shd w:val="clear" w:color="auto" w:fill="DCE2EF"/>
          </w:tcPr>
          <w:p>
            <w:pPr>
              <w:spacing w:after="0"/>
              <w:rPr>
                <w:sz w:val="16"/>
                <w:szCs w:val="16"/>
                <w:color w:val="auto"/>
              </w:rPr>
            </w:pPr>
          </w:p>
        </w:tc>
        <w:tc>
          <w:tcPr>
            <w:tcW w:w="1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60" w:type="dxa"/>
            <w:vAlign w:val="bottom"/>
            <w:shd w:val="clear" w:color="auto" w:fill="DCE2EF"/>
          </w:tcPr>
          <w:p>
            <w:pPr>
              <w:spacing w:after="0"/>
              <w:rPr>
                <w:sz w:val="16"/>
                <w:szCs w:val="16"/>
                <w:color w:val="auto"/>
              </w:rPr>
            </w:pPr>
          </w:p>
        </w:tc>
        <w:tc>
          <w:tcPr>
            <w:tcW w:w="1960" w:type="dxa"/>
            <w:vAlign w:val="bottom"/>
            <w:shd w:val="clear" w:color="auto" w:fill="DCE2E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6680" w:type="dxa"/>
            <w:vAlign w:val="bottom"/>
            <w:gridSpan w:val="2"/>
          </w:tcPr>
          <w:p>
            <w:pPr>
              <w:ind w:left="200"/>
              <w:spacing w:after="0" w:line="215" w:lineRule="exact"/>
              <w:rPr>
                <w:sz w:val="20"/>
                <w:szCs w:val="20"/>
                <w:color w:val="auto"/>
              </w:rPr>
            </w:pPr>
            <w:r>
              <w:rPr>
                <w:rFonts w:ascii="Arial" w:cs="Arial" w:eastAsia="Arial" w:hAnsi="Arial"/>
                <w:sz w:val="16"/>
                <w:szCs w:val="16"/>
                <w:color w:val="auto"/>
              </w:rPr>
              <w:t>Billed trade receivables</w:t>
            </w:r>
            <w:r>
              <w:rPr>
                <w:rFonts w:ascii="Arial" w:cs="Arial" w:eastAsia="Arial" w:hAnsi="Arial"/>
                <w:sz w:val="20"/>
                <w:szCs w:val="20"/>
                <w:color w:val="auto"/>
                <w:vertAlign w:val="superscript"/>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1,264.6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1,282.9</w:t>
            </w:r>
          </w:p>
        </w:tc>
      </w:tr>
      <w:tr>
        <w:trPr>
          <w:trHeight w:val="215"/>
        </w:trPr>
        <w:tc>
          <w:tcPr>
            <w:tcW w:w="20" w:type="dxa"/>
            <w:vAlign w:val="bottom"/>
            <w:shd w:val="clear" w:color="auto" w:fill="DCE2EF"/>
          </w:tcPr>
          <w:p>
            <w:pPr>
              <w:spacing w:after="0"/>
              <w:rPr>
                <w:sz w:val="18"/>
                <w:szCs w:val="18"/>
                <w:color w:val="auto"/>
              </w:rPr>
            </w:pPr>
          </w:p>
        </w:tc>
        <w:tc>
          <w:tcPr>
            <w:tcW w:w="6680" w:type="dxa"/>
            <w:vAlign w:val="bottom"/>
            <w:gridSpan w:val="2"/>
            <w:shd w:val="clear" w:color="auto" w:fill="DCE2EF"/>
          </w:tcPr>
          <w:p>
            <w:pPr>
              <w:ind w:left="200"/>
              <w:spacing w:after="0" w:line="215" w:lineRule="exact"/>
              <w:rPr>
                <w:sz w:val="20"/>
                <w:szCs w:val="20"/>
                <w:color w:val="auto"/>
              </w:rPr>
            </w:pPr>
            <w:r>
              <w:rPr>
                <w:rFonts w:ascii="Arial" w:cs="Arial" w:eastAsia="Arial" w:hAnsi="Arial"/>
                <w:sz w:val="16"/>
                <w:szCs w:val="16"/>
                <w:color w:val="auto"/>
              </w:rPr>
              <w:t>Unbilled trade receivables</w:t>
            </w:r>
            <w:r>
              <w:rPr>
                <w:rFonts w:ascii="Arial" w:cs="Arial" w:eastAsia="Arial" w:hAnsi="Arial"/>
                <w:sz w:val="20"/>
                <w:szCs w:val="20"/>
                <w:color w:val="auto"/>
                <w:vertAlign w:val="superscript"/>
              </w:rPr>
              <w:t>(1)</w:t>
            </w:r>
          </w:p>
        </w:tc>
        <w:tc>
          <w:tcPr>
            <w:tcW w:w="240" w:type="dxa"/>
            <w:vAlign w:val="bottom"/>
            <w:shd w:val="clear" w:color="auto" w:fill="DCE2EF"/>
          </w:tcPr>
          <w:p>
            <w:pPr>
              <w:spacing w:after="0"/>
              <w:rPr>
                <w:sz w:val="18"/>
                <w:szCs w:val="18"/>
                <w:color w:val="auto"/>
              </w:rPr>
            </w:pP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308.1</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124.0</w:t>
            </w:r>
          </w:p>
        </w:tc>
      </w:tr>
      <w:tr>
        <w:trPr>
          <w:trHeight w:val="214"/>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6"/>
                <w:szCs w:val="16"/>
                <w:color w:val="auto"/>
              </w:rPr>
              <w:t>Costs incurred in excess of amounts billed</w:t>
            </w: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162.1</w:t>
            </w:r>
          </w:p>
        </w:tc>
      </w:tr>
      <w:tr>
        <w:trPr>
          <w:trHeight w:val="216"/>
        </w:trPr>
        <w:tc>
          <w:tcPr>
            <w:tcW w:w="20" w:type="dxa"/>
            <w:vAlign w:val="bottom"/>
            <w:shd w:val="clear" w:color="auto" w:fill="DCE2EF"/>
          </w:tcPr>
          <w:p>
            <w:pPr>
              <w:spacing w:after="0"/>
              <w:rPr>
                <w:sz w:val="18"/>
                <w:szCs w:val="18"/>
                <w:color w:val="auto"/>
              </w:rPr>
            </w:pPr>
          </w:p>
        </w:tc>
        <w:tc>
          <w:tcPr>
            <w:tcW w:w="6680" w:type="dxa"/>
            <w:vAlign w:val="bottom"/>
            <w:gridSpan w:val="2"/>
            <w:shd w:val="clear" w:color="auto" w:fill="DCE2EF"/>
          </w:tcPr>
          <w:p>
            <w:pPr>
              <w:ind w:left="200"/>
              <w:spacing w:after="0" w:line="215" w:lineRule="exact"/>
              <w:rPr>
                <w:sz w:val="20"/>
                <w:szCs w:val="20"/>
                <w:color w:val="auto"/>
              </w:rPr>
            </w:pPr>
            <w:r>
              <w:rPr>
                <w:rFonts w:ascii="Arial" w:cs="Arial" w:eastAsia="Arial" w:hAnsi="Arial"/>
                <w:sz w:val="16"/>
                <w:szCs w:val="16"/>
                <w:color w:val="auto"/>
              </w:rPr>
              <w:t>Capitalized commissions</w:t>
            </w:r>
            <w:r>
              <w:rPr>
                <w:rFonts w:ascii="Arial" w:cs="Arial" w:eastAsia="Arial" w:hAnsi="Arial"/>
                <w:sz w:val="20"/>
                <w:szCs w:val="20"/>
                <w:color w:val="auto"/>
                <w:vertAlign w:val="superscript"/>
              </w:rPr>
              <w:t>(2)</w:t>
            </w:r>
          </w:p>
        </w:tc>
        <w:tc>
          <w:tcPr>
            <w:tcW w:w="240" w:type="dxa"/>
            <w:vAlign w:val="bottom"/>
            <w:shd w:val="clear" w:color="auto" w:fill="DCE2EF"/>
          </w:tcPr>
          <w:p>
            <w:pPr>
              <w:spacing w:after="0"/>
              <w:rPr>
                <w:sz w:val="18"/>
                <w:szCs w:val="18"/>
                <w:color w:val="auto"/>
              </w:rPr>
            </w:pP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30.8</w:t>
            </w:r>
          </w:p>
        </w:tc>
      </w:tr>
    </w:tbl>
    <w:p>
      <w:pPr>
        <w:spacing w:after="0" w:line="267" w:lineRule="exact"/>
        <w:rPr>
          <w:sz w:val="20"/>
          <w:szCs w:val="20"/>
          <w:color w:val="auto"/>
        </w:rPr>
      </w:pPr>
    </w:p>
    <w:p>
      <w:pPr>
        <w:ind w:left="180" w:hanging="173"/>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Included in “Trade accounts receivable, net,” on the unaudited Consolidated Balance Sheets.</w:t>
      </w:r>
    </w:p>
    <w:p>
      <w:pPr>
        <w:spacing w:after="0" w:line="81" w:lineRule="exact"/>
        <w:rPr>
          <w:rFonts w:ascii="Arial" w:cs="Arial" w:eastAsia="Arial" w:hAnsi="Arial"/>
          <w:sz w:val="21"/>
          <w:szCs w:val="21"/>
          <w:color w:val="auto"/>
          <w:vertAlign w:val="superscript"/>
        </w:rPr>
      </w:pPr>
    </w:p>
    <w:p>
      <w:pPr>
        <w:jc w:val="both"/>
        <w:ind w:left="160" w:hanging="153"/>
        <w:spacing w:after="0" w:line="237" w:lineRule="auto"/>
        <w:tabs>
          <w:tab w:leader="none" w:pos="18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Included in “Other current assets” and “Other noncurrent assets” on the unaudited Consolidated Balance Sheets. During the three months ended January 31, 2025, we capitalized $4.9 million of new costs and amortized $4.5 million of previously capitalized costs. There was no impairment loss recorded on the costs capitalized.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r>
      <w:tr>
        <w:trPr>
          <w:trHeight w:val="161"/>
        </w:trPr>
        <w:tc>
          <w:tcPr>
            <w:tcW w:w="20" w:type="dxa"/>
            <w:vAlign w:val="bottom"/>
          </w:tcPr>
          <w:p>
            <w:pPr>
              <w:spacing w:after="0"/>
              <w:rPr>
                <w:sz w:val="14"/>
                <w:szCs w:val="14"/>
                <w:color w:val="auto"/>
              </w:rPr>
            </w:pPr>
          </w:p>
        </w:tc>
        <w:tc>
          <w:tcPr>
            <w:tcW w:w="87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4"/>
                <w:szCs w:val="14"/>
                <w:color w:val="auto"/>
              </w:rPr>
            </w:pPr>
          </w:p>
        </w:tc>
        <w:tc>
          <w:tcPr>
            <w:tcW w:w="2160" w:type="dxa"/>
            <w:vAlign w:val="bottom"/>
          </w:tcPr>
          <w:p>
            <w:pPr>
              <w:jc w:val="right"/>
              <w:ind w:right="499"/>
              <w:spacing w:after="0" w:line="142" w:lineRule="exact"/>
              <w:rPr>
                <w:sz w:val="20"/>
                <w:szCs w:val="20"/>
                <w:color w:val="auto"/>
              </w:rPr>
            </w:pPr>
            <w:r>
              <w:rPr>
                <w:rFonts w:ascii="Arial" w:cs="Arial" w:eastAsia="Arial" w:hAnsi="Arial"/>
                <w:sz w:val="16"/>
                <w:szCs w:val="16"/>
                <w:b w:val="1"/>
                <w:bCs w:val="1"/>
                <w:color w:val="auto"/>
              </w:rPr>
              <w:t>January 31, 2025</w:t>
            </w: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808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95"/>
        </w:trPr>
        <w:tc>
          <w:tcPr>
            <w:tcW w:w="20" w:type="dxa"/>
            <w:vAlign w:val="bottom"/>
            <w:shd w:val="clear" w:color="auto" w:fill="DCE2EF"/>
          </w:tcPr>
          <w:p>
            <w:pPr>
              <w:spacing w:after="0"/>
              <w:rPr>
                <w:sz w:val="16"/>
                <w:szCs w:val="16"/>
                <w:color w:val="auto"/>
              </w:rPr>
            </w:pPr>
          </w:p>
        </w:tc>
        <w:tc>
          <w:tcPr>
            <w:tcW w:w="8780" w:type="dxa"/>
            <w:vAlign w:val="bottom"/>
            <w:gridSpan w:val="2"/>
            <w:shd w:val="clear" w:color="auto" w:fill="DCE2EF"/>
          </w:tcPr>
          <w:p>
            <w:pPr>
              <w:spacing w:after="0" w:line="195" w:lineRule="exact"/>
              <w:rPr>
                <w:sz w:val="20"/>
                <w:szCs w:val="20"/>
                <w:color w:val="auto"/>
              </w:rPr>
            </w:pPr>
            <w:r>
              <w:rPr>
                <w:rFonts w:ascii="Arial" w:cs="Arial" w:eastAsia="Arial" w:hAnsi="Arial"/>
                <w:sz w:val="16"/>
                <w:szCs w:val="16"/>
                <w:b w:val="1"/>
                <w:bCs w:val="1"/>
                <w:color w:val="auto"/>
              </w:rPr>
              <w:t>Contract liabilities</w:t>
            </w:r>
            <w:r>
              <w:rPr>
                <w:rFonts w:ascii="Arial" w:cs="Arial" w:eastAsia="Arial" w:hAnsi="Arial"/>
                <w:sz w:val="20"/>
                <w:szCs w:val="20"/>
                <w:color w:val="auto"/>
                <w:vertAlign w:val="superscript"/>
              </w:rPr>
              <w:t>(1)</w:t>
            </w:r>
          </w:p>
        </w:tc>
        <w:tc>
          <w:tcPr>
            <w:tcW w:w="280" w:type="dxa"/>
            <w:vAlign w:val="bottom"/>
            <w:shd w:val="clear" w:color="auto" w:fill="DCE2EF"/>
          </w:tcPr>
          <w:p>
            <w:pPr>
              <w:spacing w:after="0"/>
              <w:rPr>
                <w:sz w:val="16"/>
                <w:szCs w:val="16"/>
                <w:color w:val="auto"/>
              </w:rPr>
            </w:pPr>
          </w:p>
        </w:tc>
        <w:tc>
          <w:tcPr>
            <w:tcW w:w="2160" w:type="dxa"/>
            <w:vAlign w:val="bottom"/>
            <w:shd w:val="clear" w:color="auto" w:fill="DCE2E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780" w:type="dxa"/>
            <w:vAlign w:val="bottom"/>
            <w:gridSpan w:val="2"/>
          </w:tcPr>
          <w:p>
            <w:pPr>
              <w:ind w:left="20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16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216"/>
        </w:trPr>
        <w:tc>
          <w:tcPr>
            <w:tcW w:w="20" w:type="dxa"/>
            <w:vAlign w:val="bottom"/>
            <w:shd w:val="clear" w:color="auto" w:fill="DCE2EF"/>
          </w:tcPr>
          <w:p>
            <w:pPr>
              <w:spacing w:after="0"/>
              <w:rPr>
                <w:sz w:val="18"/>
                <w:szCs w:val="18"/>
                <w:color w:val="auto"/>
              </w:rPr>
            </w:pPr>
          </w:p>
        </w:tc>
        <w:tc>
          <w:tcPr>
            <w:tcW w:w="878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Additional contract liabilities</w:t>
            </w:r>
          </w:p>
        </w:tc>
        <w:tc>
          <w:tcPr>
            <w:tcW w:w="280" w:type="dxa"/>
            <w:vAlign w:val="bottom"/>
            <w:shd w:val="clear" w:color="auto" w:fill="DCE2EF"/>
          </w:tcPr>
          <w:p>
            <w:pPr>
              <w:spacing w:after="0"/>
              <w:rPr>
                <w:sz w:val="18"/>
                <w:szCs w:val="18"/>
                <w:color w:val="auto"/>
              </w:rPr>
            </w:pPr>
          </w:p>
        </w:tc>
        <w:tc>
          <w:tcPr>
            <w:tcW w:w="2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95.7</w:t>
            </w:r>
          </w:p>
        </w:tc>
      </w:tr>
      <w:tr>
        <w:trPr>
          <w:trHeight w:val="268"/>
        </w:trPr>
        <w:tc>
          <w:tcPr>
            <w:tcW w:w="20" w:type="dxa"/>
            <w:vAlign w:val="bottom"/>
            <w:tcBorders>
              <w:bottom w:val="single" w:sz="8" w:color="DCE2EF"/>
            </w:tcBorders>
          </w:tcPr>
          <w:p>
            <w:pPr>
              <w:spacing w:after="0"/>
              <w:rPr>
                <w:sz w:val="23"/>
                <w:szCs w:val="23"/>
                <w:color w:val="auto"/>
              </w:rPr>
            </w:pPr>
          </w:p>
        </w:tc>
        <w:tc>
          <w:tcPr>
            <w:tcW w:w="8780" w:type="dxa"/>
            <w:vAlign w:val="bottom"/>
            <w:tcBorders>
              <w:bottom w:val="single" w:sz="8" w:color="DCE2EF"/>
            </w:tcBorders>
            <w:gridSpan w:val="2"/>
          </w:tcPr>
          <w:p>
            <w:pPr>
              <w:ind w:left="200"/>
              <w:spacing w:after="0"/>
              <w:rPr>
                <w:sz w:val="20"/>
                <w:szCs w:val="20"/>
                <w:color w:val="auto"/>
              </w:rPr>
            </w:pPr>
            <w:r>
              <w:rPr>
                <w:rFonts w:ascii="Arial" w:cs="Arial" w:eastAsia="Arial" w:hAnsi="Arial"/>
                <w:sz w:val="16"/>
                <w:szCs w:val="16"/>
                <w:color w:val="auto"/>
              </w:rPr>
              <w:t>Recognition of deferred revenue</w:t>
            </w:r>
          </w:p>
        </w:tc>
        <w:tc>
          <w:tcPr>
            <w:tcW w:w="28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878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144.4</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808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2160" w:type="dxa"/>
            <w:vAlign w:val="bottom"/>
            <w:tcBorders>
              <w:top w:val="single" w:sz="8" w:color="DCE2E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180" w:hanging="173"/>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Included in “Other accrued liabilities” on the unaudited Consolidated Balance Sheets.</w:t>
      </w:r>
    </w:p>
    <w:p>
      <w:pPr>
        <w:spacing w:after="0" w:line="200" w:lineRule="exact"/>
        <w:rPr>
          <w:rFonts w:ascii="Arial" w:cs="Arial" w:eastAsia="Arial" w:hAnsi="Arial"/>
          <w:sz w:val="21"/>
          <w:szCs w:val="21"/>
          <w:color w:val="auto"/>
          <w:vertAlign w:val="superscript"/>
        </w:rPr>
      </w:pPr>
    </w:p>
    <w:p>
      <w:pPr>
        <w:spacing w:after="0" w:line="320" w:lineRule="exact"/>
        <w:rPr>
          <w:rFonts w:ascii="Arial" w:cs="Arial" w:eastAsia="Arial" w:hAnsi="Arial"/>
          <w:sz w:val="21"/>
          <w:szCs w:val="21"/>
          <w:color w:val="auto"/>
          <w:vertAlign w:val="superscript"/>
        </w:rPr>
      </w:pPr>
    </w:p>
    <w:p>
      <w:pPr>
        <w:ind w:left="5520"/>
        <w:spacing w:after="0"/>
        <w:rPr>
          <w:rFonts w:ascii="Arial" w:cs="Arial" w:eastAsia="Arial" w:hAnsi="Arial"/>
          <w:sz w:val="21"/>
          <w:szCs w:val="21"/>
          <w:color w:val="auto"/>
          <w:vertAlign w:val="superscript"/>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0046AD"/>
        </w:rPr>
        <w:t>5.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 January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340" w:type="dxa"/>
            <w:vAlign w:val="bottom"/>
          </w:tcPr>
          <w:p>
            <w:pPr>
              <w:spacing w:after="0"/>
              <w:rPr>
                <w:sz w:val="14"/>
                <w:szCs w:val="14"/>
                <w:color w:val="auto"/>
              </w:rPr>
            </w:pPr>
          </w:p>
        </w:tc>
        <w:tc>
          <w:tcPr>
            <w:tcW w:w="1460" w:type="dxa"/>
            <w:vAlign w:val="bottom"/>
          </w:tcPr>
          <w:p>
            <w:pPr>
              <w:jc w:val="right"/>
              <w:ind w:right="639"/>
              <w:spacing w:after="0" w:line="168"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19"/>
              <w:spacing w:after="0" w:line="168"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520" w:type="dxa"/>
            <w:vAlign w:val="bottom"/>
            <w:tcBorders>
              <w:top w:val="single" w:sz="8" w:color="auto"/>
              <w:bottom w:val="single" w:sz="8" w:color="DCE2EF"/>
            </w:tcBorders>
          </w:tcPr>
          <w:p>
            <w:pPr>
              <w:spacing w:after="0" w:line="20" w:lineRule="exact"/>
              <w:rPr>
                <w:sz w:val="1"/>
                <w:szCs w:val="1"/>
                <w:color w:val="auto"/>
              </w:rPr>
            </w:pPr>
          </w:p>
        </w:tc>
        <w:tc>
          <w:tcPr>
            <w:tcW w:w="49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748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DCE2EF"/>
          </w:tcPr>
          <w:p>
            <w:pPr>
              <w:spacing w:after="0"/>
              <w:rPr>
                <w:sz w:val="14"/>
                <w:szCs w:val="14"/>
                <w:color w:val="auto"/>
              </w:rPr>
            </w:pPr>
          </w:p>
        </w:tc>
        <w:tc>
          <w:tcPr>
            <w:tcW w:w="7480" w:type="dxa"/>
            <w:vAlign w:val="bottom"/>
            <w:gridSpan w:val="2"/>
            <w:shd w:val="clear" w:color="auto" w:fill="DCE2EF"/>
          </w:tcPr>
          <w:p>
            <w:pPr>
              <w:spacing w:after="0" w:line="161" w:lineRule="exact"/>
              <w:rPr>
                <w:sz w:val="20"/>
                <w:szCs w:val="20"/>
                <w:color w:val="auto"/>
              </w:rPr>
            </w:pPr>
            <w:r>
              <w:rPr>
                <w:rFonts w:ascii="Arial" w:cs="Arial" w:eastAsia="Arial" w:hAnsi="Arial"/>
                <w:sz w:val="16"/>
                <w:szCs w:val="16"/>
                <w:b w:val="1"/>
                <w:bCs w:val="1"/>
                <w:color w:val="auto"/>
              </w:rPr>
              <w:t>Weighted-average common and common</w:t>
            </w:r>
          </w:p>
        </w:tc>
        <w:tc>
          <w:tcPr>
            <w:tcW w:w="340" w:type="dxa"/>
            <w:vAlign w:val="bottom"/>
            <w:shd w:val="clear" w:color="auto" w:fill="DCE2EF"/>
          </w:tcPr>
          <w:p>
            <w:pPr>
              <w:spacing w:after="0"/>
              <w:rPr>
                <w:sz w:val="14"/>
                <w:szCs w:val="14"/>
                <w:color w:val="auto"/>
              </w:rPr>
            </w:pPr>
          </w:p>
        </w:tc>
        <w:tc>
          <w:tcPr>
            <w:tcW w:w="14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DCE2EF"/>
          </w:tcPr>
          <w:p>
            <w:pPr>
              <w:spacing w:after="0"/>
              <w:rPr>
                <w:sz w:val="14"/>
                <w:szCs w:val="14"/>
                <w:color w:val="auto"/>
              </w:rPr>
            </w:pPr>
          </w:p>
        </w:tc>
        <w:tc>
          <w:tcPr>
            <w:tcW w:w="420" w:type="dxa"/>
            <w:vAlign w:val="bottom"/>
            <w:shd w:val="clear" w:color="auto" w:fill="DCE2EF"/>
          </w:tcPr>
          <w:p>
            <w:pPr>
              <w:spacing w:after="0"/>
              <w:rPr>
                <w:sz w:val="14"/>
                <w:szCs w:val="14"/>
                <w:color w:val="auto"/>
              </w:rPr>
            </w:pPr>
          </w:p>
        </w:tc>
        <w:tc>
          <w:tcPr>
            <w:tcW w:w="13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7480" w:type="dxa"/>
            <w:vAlign w:val="bottom"/>
            <w:gridSpan w:val="2"/>
            <w:shd w:val="clear" w:color="auto" w:fill="DCE2EF"/>
          </w:tcPr>
          <w:p>
            <w:pPr>
              <w:ind w:left="260"/>
              <w:spacing w:after="0"/>
              <w:rPr>
                <w:sz w:val="20"/>
                <w:szCs w:val="20"/>
                <w:color w:val="auto"/>
              </w:rPr>
            </w:pPr>
            <w:r>
              <w:rPr>
                <w:rFonts w:ascii="Arial" w:cs="Arial" w:eastAsia="Arial" w:hAnsi="Arial"/>
                <w:sz w:val="16"/>
                <w:szCs w:val="16"/>
                <w:b w:val="1"/>
                <w:bCs w:val="1"/>
                <w:color w:val="auto"/>
              </w:rPr>
              <w:t>equivalent shares outstanding — Basic</w:t>
            </w:r>
          </w:p>
        </w:tc>
        <w:tc>
          <w:tcPr>
            <w:tcW w:w="340" w:type="dxa"/>
            <w:vAlign w:val="bottom"/>
            <w:shd w:val="clear" w:color="auto" w:fill="DCE2EF"/>
          </w:tcPr>
          <w:p>
            <w:pPr>
              <w:spacing w:after="0"/>
              <w:rPr>
                <w:sz w:val="18"/>
                <w:szCs w:val="18"/>
                <w:color w:val="auto"/>
              </w:rPr>
            </w:pPr>
          </w:p>
        </w:tc>
        <w:tc>
          <w:tcPr>
            <w:tcW w:w="1460" w:type="dxa"/>
            <w:vAlign w:val="bottom"/>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360" w:type="dxa"/>
            <w:vAlign w:val="bottom"/>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6"/>
                <w:szCs w:val="16"/>
                <w:color w:val="auto"/>
              </w:rPr>
              <w:t>Effect of dilutive securities</w:t>
            </w: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74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Restricted stock units</w:t>
            </w:r>
          </w:p>
        </w:tc>
        <w:tc>
          <w:tcPr>
            <w:tcW w:w="340" w:type="dxa"/>
            <w:vAlign w:val="bottom"/>
            <w:shd w:val="clear" w:color="auto" w:fill="DCE2EF"/>
          </w:tcPr>
          <w:p>
            <w:pPr>
              <w:spacing w:after="0"/>
              <w:rPr>
                <w:sz w:val="18"/>
                <w:szCs w:val="18"/>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7480" w:type="dxa"/>
            <w:vAlign w:val="bottom"/>
            <w:tcBorders>
              <w:bottom w:val="single" w:sz="8" w:color="DCE2EF"/>
            </w:tcBorders>
            <w:gridSpan w:val="2"/>
          </w:tcPr>
          <w:p>
            <w:pPr>
              <w:ind w:left="320"/>
              <w:spacing w:after="0"/>
              <w:rPr>
                <w:sz w:val="20"/>
                <w:szCs w:val="20"/>
                <w:color w:val="auto"/>
              </w:rPr>
            </w:pPr>
            <w:r>
              <w:rPr>
                <w:rFonts w:ascii="Arial" w:cs="Arial" w:eastAsia="Arial" w:hAnsi="Arial"/>
                <w:sz w:val="16"/>
                <w:szCs w:val="16"/>
                <w:color w:val="auto"/>
              </w:rPr>
              <w:t>Performance shares</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42"/>
        </w:trPr>
        <w:tc>
          <w:tcPr>
            <w:tcW w:w="20" w:type="dxa"/>
            <w:vAlign w:val="bottom"/>
            <w:shd w:val="clear" w:color="auto" w:fill="DCE2EF"/>
          </w:tcPr>
          <w:p>
            <w:pPr>
              <w:spacing w:after="0"/>
              <w:rPr>
                <w:sz w:val="12"/>
                <w:szCs w:val="12"/>
                <w:color w:val="auto"/>
              </w:rPr>
            </w:pPr>
          </w:p>
        </w:tc>
        <w:tc>
          <w:tcPr>
            <w:tcW w:w="7480" w:type="dxa"/>
            <w:vAlign w:val="bottom"/>
            <w:gridSpan w:val="2"/>
            <w:shd w:val="clear" w:color="auto" w:fill="DCE2EF"/>
          </w:tcPr>
          <w:p>
            <w:pPr>
              <w:spacing w:after="0" w:line="142" w:lineRule="exact"/>
              <w:rPr>
                <w:sz w:val="20"/>
                <w:szCs w:val="20"/>
                <w:color w:val="auto"/>
              </w:rPr>
            </w:pPr>
            <w:r>
              <w:rPr>
                <w:rFonts w:ascii="Arial" w:cs="Arial" w:eastAsia="Arial" w:hAnsi="Arial"/>
                <w:sz w:val="16"/>
                <w:szCs w:val="16"/>
                <w:b w:val="1"/>
                <w:bCs w:val="1"/>
                <w:color w:val="auto"/>
              </w:rPr>
              <w:t>Weighted-average common and common</w:t>
            </w:r>
          </w:p>
        </w:tc>
        <w:tc>
          <w:tcPr>
            <w:tcW w:w="340" w:type="dxa"/>
            <w:vAlign w:val="bottom"/>
            <w:shd w:val="clear" w:color="auto" w:fill="DCE2EF"/>
          </w:tcPr>
          <w:p>
            <w:pPr>
              <w:spacing w:after="0"/>
              <w:rPr>
                <w:sz w:val="12"/>
                <w:szCs w:val="12"/>
                <w:color w:val="auto"/>
              </w:rPr>
            </w:pPr>
          </w:p>
        </w:tc>
        <w:tc>
          <w:tcPr>
            <w:tcW w:w="14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DCE2EF"/>
          </w:tcPr>
          <w:p>
            <w:pPr>
              <w:spacing w:after="0"/>
              <w:rPr>
                <w:sz w:val="12"/>
                <w:szCs w:val="12"/>
                <w:color w:val="auto"/>
              </w:rPr>
            </w:pPr>
          </w:p>
        </w:tc>
        <w:tc>
          <w:tcPr>
            <w:tcW w:w="420" w:type="dxa"/>
            <w:vAlign w:val="bottom"/>
            <w:shd w:val="clear" w:color="auto" w:fill="DCE2EF"/>
          </w:tcPr>
          <w:p>
            <w:pPr>
              <w:spacing w:after="0"/>
              <w:rPr>
                <w:sz w:val="12"/>
                <w:szCs w:val="12"/>
                <w:color w:val="auto"/>
              </w:rPr>
            </w:pPr>
          </w:p>
        </w:tc>
        <w:tc>
          <w:tcPr>
            <w:tcW w:w="136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08"/>
        </w:trPr>
        <w:tc>
          <w:tcPr>
            <w:tcW w:w="20" w:type="dxa"/>
            <w:vAlign w:val="bottom"/>
            <w:tcBorders>
              <w:bottom w:val="single" w:sz="8" w:color="DCE2EF"/>
            </w:tcBorders>
            <w:shd w:val="clear" w:color="auto" w:fill="DCE2EF"/>
          </w:tcPr>
          <w:p>
            <w:pPr>
              <w:spacing w:after="0"/>
              <w:rPr>
                <w:sz w:val="18"/>
                <w:szCs w:val="18"/>
                <w:color w:val="auto"/>
              </w:rPr>
            </w:pPr>
          </w:p>
        </w:tc>
        <w:tc>
          <w:tcPr>
            <w:tcW w:w="7480" w:type="dxa"/>
            <w:vAlign w:val="bottom"/>
            <w:tcBorders>
              <w:bottom w:val="single" w:sz="8" w:color="DCE2EF"/>
            </w:tcBorders>
            <w:gridSpan w:val="2"/>
            <w:shd w:val="clear" w:color="auto" w:fill="DCE2EF"/>
          </w:tcPr>
          <w:p>
            <w:pPr>
              <w:ind w:left="260"/>
              <w:spacing w:after="0"/>
              <w:rPr>
                <w:sz w:val="20"/>
                <w:szCs w:val="20"/>
                <w:color w:val="auto"/>
              </w:rPr>
            </w:pPr>
            <w:r>
              <w:rPr>
                <w:rFonts w:ascii="Arial" w:cs="Arial" w:eastAsia="Arial" w:hAnsi="Arial"/>
                <w:sz w:val="16"/>
                <w:szCs w:val="16"/>
                <w:b w:val="1"/>
                <w:bCs w:val="1"/>
                <w:color w:val="auto"/>
              </w:rPr>
              <w:t>equivalent shares outstanding — Diluted</w:t>
            </w:r>
          </w:p>
        </w:tc>
        <w:tc>
          <w:tcPr>
            <w:tcW w:w="340" w:type="dxa"/>
            <w:vAlign w:val="bottom"/>
            <w:tcBorders>
              <w:bottom w:val="single" w:sz="8" w:color="auto"/>
            </w:tcBorders>
            <w:shd w:val="clear" w:color="auto" w:fill="DCE2EF"/>
          </w:tcPr>
          <w:p>
            <w:pPr>
              <w:spacing w:after="0"/>
              <w:rPr>
                <w:sz w:val="18"/>
                <w:szCs w:val="18"/>
                <w:color w:val="auto"/>
              </w:rPr>
            </w:pPr>
          </w:p>
        </w:tc>
        <w:tc>
          <w:tcPr>
            <w:tcW w:w="1460" w:type="dxa"/>
            <w:vAlign w:val="bottom"/>
            <w:tcBorders>
              <w:bottom w:val="single" w:sz="8" w:color="auto"/>
            </w:tcBorders>
            <w:vMerge w:val="continue"/>
            <w:shd w:val="clear" w:color="auto" w:fill="DCE2EF"/>
          </w:tcPr>
          <w:p>
            <w:pPr>
              <w:spacing w:after="0"/>
              <w:rPr>
                <w:sz w:val="18"/>
                <w:szCs w:val="18"/>
                <w:color w:val="auto"/>
              </w:rPr>
            </w:pPr>
          </w:p>
        </w:tc>
        <w:tc>
          <w:tcPr>
            <w:tcW w:w="100" w:type="dxa"/>
            <w:vAlign w:val="bottom"/>
            <w:tcBorders>
              <w:bottom w:val="single" w:sz="8" w:color="DCE2EF"/>
            </w:tcBorders>
            <w:shd w:val="clear" w:color="auto" w:fill="DCE2EF"/>
          </w:tcPr>
          <w:p>
            <w:pPr>
              <w:spacing w:after="0"/>
              <w:rPr>
                <w:sz w:val="18"/>
                <w:szCs w:val="18"/>
                <w:color w:val="auto"/>
              </w:rPr>
            </w:pPr>
          </w:p>
        </w:tc>
        <w:tc>
          <w:tcPr>
            <w:tcW w:w="420" w:type="dxa"/>
            <w:vAlign w:val="bottom"/>
            <w:tcBorders>
              <w:bottom w:val="single" w:sz="8" w:color="auto"/>
            </w:tcBorders>
            <w:shd w:val="clear" w:color="auto" w:fill="DCE2EF"/>
          </w:tcPr>
          <w:p>
            <w:pPr>
              <w:spacing w:after="0"/>
              <w:rPr>
                <w:sz w:val="18"/>
                <w:szCs w:val="18"/>
                <w:color w:val="auto"/>
              </w:rPr>
            </w:pPr>
          </w:p>
        </w:tc>
        <w:tc>
          <w:tcPr>
            <w:tcW w:w="1360" w:type="dxa"/>
            <w:vAlign w:val="bottom"/>
            <w:tcBorders>
              <w:bottom w:val="single" w:sz="8" w:color="auto"/>
            </w:tcBorders>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520" w:type="dxa"/>
            <w:vAlign w:val="bottom"/>
            <w:tcBorders>
              <w:top w:val="single" w:sz="8" w:color="DCE2EF"/>
            </w:tcBorders>
          </w:tcPr>
          <w:p>
            <w:pPr>
              <w:spacing w:after="0" w:line="20" w:lineRule="exact"/>
              <w:rPr>
                <w:sz w:val="1"/>
                <w:szCs w:val="1"/>
                <w:color w:val="auto"/>
              </w:rPr>
            </w:pPr>
          </w:p>
        </w:tc>
        <w:tc>
          <w:tcPr>
            <w:tcW w:w="496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4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20" w:type="dxa"/>
            <w:vAlign w:val="bottom"/>
            <w:tcBorders>
              <w:top w:val="single" w:sz="8" w:color="DCE2EF"/>
              <w:bottom w:val="single" w:sz="8" w:color="auto"/>
            </w:tcBorders>
          </w:tcPr>
          <w:p>
            <w:pPr>
              <w:spacing w:after="0" w:line="20" w:lineRule="exact"/>
              <w:rPr>
                <w:sz w:val="1"/>
                <w:szCs w:val="1"/>
                <w:color w:val="auto"/>
              </w:rPr>
            </w:pPr>
          </w:p>
        </w:tc>
        <w:tc>
          <w:tcPr>
            <w:tcW w:w="13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748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 per common share</w:t>
            </w:r>
          </w:p>
        </w:tc>
        <w:tc>
          <w:tcPr>
            <w:tcW w:w="340" w:type="dxa"/>
            <w:vAlign w:val="bottom"/>
            <w:shd w:val="clear" w:color="auto" w:fill="DCE2EF"/>
          </w:tcPr>
          <w:p>
            <w:pPr>
              <w:spacing w:after="0"/>
              <w:rPr>
                <w:sz w:val="18"/>
                <w:szCs w:val="18"/>
                <w:color w:val="auto"/>
              </w:rPr>
            </w:pPr>
          </w:p>
        </w:tc>
        <w:tc>
          <w:tcPr>
            <w:tcW w:w="14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36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gridSpan w:val="2"/>
          </w:tcPr>
          <w:p>
            <w:pPr>
              <w:ind w:left="32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748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64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Three Months Ended January 31,</w:t>
            </w:r>
          </w:p>
        </w:tc>
      </w:tr>
      <w:tr>
        <w:trPr>
          <w:trHeight w:val="168"/>
        </w:trPr>
        <w:tc>
          <w:tcPr>
            <w:tcW w:w="20" w:type="dxa"/>
            <w:vAlign w:val="bottom"/>
          </w:tcPr>
          <w:p>
            <w:pPr>
              <w:spacing w:after="0"/>
              <w:rPr>
                <w:sz w:val="14"/>
                <w:szCs w:val="14"/>
                <w:color w:val="auto"/>
              </w:rPr>
            </w:pPr>
          </w:p>
        </w:tc>
        <w:tc>
          <w:tcPr>
            <w:tcW w:w="75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i w:val="1"/>
                <w:iCs w:val="1"/>
                <w:color w:val="auto"/>
              </w:rPr>
              <w:t>(in millions)</w:t>
            </w:r>
          </w:p>
        </w:tc>
        <w:tc>
          <w:tcPr>
            <w:tcW w:w="1760" w:type="dxa"/>
            <w:vAlign w:val="bottom"/>
          </w:tcPr>
          <w:p>
            <w:pPr>
              <w:jc w:val="right"/>
              <w:ind w:right="619"/>
              <w:spacing w:after="0" w:line="168"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4"/>
                <w:szCs w:val="14"/>
                <w:color w:val="auto"/>
              </w:rPr>
            </w:pPr>
          </w:p>
        </w:tc>
        <w:tc>
          <w:tcPr>
            <w:tcW w:w="1760" w:type="dxa"/>
            <w:vAlign w:val="bottom"/>
          </w:tcPr>
          <w:p>
            <w:pPr>
              <w:jc w:val="right"/>
              <w:ind w:right="619"/>
              <w:spacing w:after="0" w:line="168" w:lineRule="exact"/>
              <w:rPr>
                <w:sz w:val="20"/>
                <w:szCs w:val="20"/>
                <w:color w:val="auto"/>
              </w:rPr>
            </w:pPr>
            <w:r>
              <w:rPr>
                <w:rFonts w:ascii="Arial" w:cs="Arial" w:eastAsia="Arial" w:hAnsi="Arial"/>
                <w:sz w:val="16"/>
                <w:szCs w:val="16"/>
                <w:b w:val="1"/>
                <w:bCs w:val="1"/>
                <w:color w:val="auto"/>
              </w:rPr>
              <w:t>2024</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00" w:type="dxa"/>
            <w:vAlign w:val="bottom"/>
            <w:tcBorders>
              <w:top w:val="single" w:sz="8" w:color="auto"/>
              <w:bottom w:val="single" w:sz="8" w:color="DCE2EF"/>
            </w:tcBorders>
          </w:tcPr>
          <w:p>
            <w:pPr>
              <w:spacing w:after="0" w:line="20" w:lineRule="exact"/>
              <w:rPr>
                <w:sz w:val="1"/>
                <w:szCs w:val="1"/>
                <w:color w:val="auto"/>
              </w:rPr>
            </w:pPr>
          </w:p>
        </w:tc>
        <w:tc>
          <w:tcPr>
            <w:tcW w:w="6720" w:type="dxa"/>
            <w:vAlign w:val="bottom"/>
            <w:tcBorders>
              <w:bottom w:val="single" w:sz="8" w:color="DCE2E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75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Anti-dilutive</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CE2EF"/>
          </w:tcPr>
          <w:p>
            <w:pPr>
              <w:spacing w:after="0"/>
              <w:rPr>
                <w:sz w:val="18"/>
                <w:szCs w:val="18"/>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303"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46AD"/>
        </w:rPr>
        <w:t>6.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Hierarchy of Our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millions)</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6"/>
                <w:szCs w:val="16"/>
                <w:color w:val="auto"/>
              </w:rPr>
            </w:pPr>
          </w:p>
        </w:tc>
        <w:tc>
          <w:tcPr>
            <w:tcW w:w="18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January 31, 2025</w:t>
            </w:r>
          </w:p>
        </w:tc>
        <w:tc>
          <w:tcPr>
            <w:tcW w:w="220" w:type="dxa"/>
            <w:vAlign w:val="bottom"/>
          </w:tcPr>
          <w:p>
            <w:pPr>
              <w:spacing w:after="0"/>
              <w:rPr>
                <w:sz w:val="16"/>
                <w:szCs w:val="16"/>
                <w:color w:val="auto"/>
              </w:rPr>
            </w:pPr>
          </w:p>
        </w:tc>
        <w:tc>
          <w:tcPr>
            <w:tcW w:w="16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October 31, 2024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gridSpan w:val="2"/>
            <w:vMerge w:val="continue"/>
          </w:tcPr>
          <w:p>
            <w:pPr>
              <w:spacing w:after="0"/>
              <w:rPr>
                <w:sz w:val="15"/>
                <w:szCs w:val="15"/>
                <w:color w:val="auto"/>
              </w:rPr>
            </w:pPr>
          </w:p>
        </w:tc>
        <w:tc>
          <w:tcPr>
            <w:tcW w:w="164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rPr>
              <w:t>Hierarchy</w:t>
            </w:r>
          </w:p>
        </w:tc>
        <w:tc>
          <w:tcPr>
            <w:tcW w:w="2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860" w:type="dxa"/>
            <w:vAlign w:val="bottom"/>
            <w:tcBorders>
              <w:bottom w:val="single" w:sz="8" w:color="DCE2E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08" w:lineRule="exact"/>
              <w:rPr>
                <w:sz w:val="20"/>
                <w:szCs w:val="20"/>
                <w:color w:val="auto"/>
              </w:rPr>
            </w:pPr>
            <w:r>
              <w:rPr>
                <w:rFonts w:ascii="Arial" w:cs="Arial" w:eastAsia="Arial" w:hAnsi="Arial"/>
                <w:sz w:val="16"/>
                <w:szCs w:val="16"/>
                <w:color w:val="auto"/>
              </w:rPr>
              <w:t>Cash and cash equivalents</w:t>
            </w:r>
            <w:r>
              <w:rPr>
                <w:rFonts w:ascii="Arial" w:cs="Arial" w:eastAsia="Arial" w:hAnsi="Arial"/>
                <w:sz w:val="20"/>
                <w:szCs w:val="20"/>
                <w:color w:val="auto"/>
                <w:vertAlign w:val="superscript"/>
              </w:rPr>
              <w:t>(1)</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spacing w:after="0" w:line="215" w:lineRule="exact"/>
              <w:rPr>
                <w:sz w:val="20"/>
                <w:szCs w:val="20"/>
                <w:color w:val="auto"/>
              </w:rPr>
            </w:pPr>
            <w:r>
              <w:rPr>
                <w:rFonts w:ascii="Arial" w:cs="Arial" w:eastAsia="Arial" w:hAnsi="Arial"/>
                <w:sz w:val="16"/>
                <w:szCs w:val="16"/>
                <w:color w:val="auto"/>
              </w:rPr>
              <w:t>Insurance deposits</w:t>
            </w:r>
            <w:r>
              <w:rPr>
                <w:rFonts w:ascii="Arial" w:cs="Arial" w:eastAsia="Arial" w:hAnsi="Arial"/>
                <w:sz w:val="20"/>
                <w:szCs w:val="20"/>
                <w:color w:val="auto"/>
                <w:vertAlign w:val="superscript"/>
              </w:rPr>
              <w:t>(2)</w:t>
            </w:r>
          </w:p>
        </w:tc>
        <w:tc>
          <w:tcPr>
            <w:tcW w:w="154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5" w:lineRule="exact"/>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0"/>
                <w:szCs w:val="20"/>
                <w:color w:val="auto"/>
                <w:vertAlign w:val="superscript"/>
              </w:rPr>
              <w:t>(3)</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spacing w:after="0" w:line="215" w:lineRule="exact"/>
              <w:rPr>
                <w:sz w:val="20"/>
                <w:szCs w:val="20"/>
                <w:color w:val="auto"/>
              </w:rPr>
            </w:pPr>
            <w:r>
              <w:rPr>
                <w:rFonts w:ascii="Arial" w:cs="Arial" w:eastAsia="Arial" w:hAnsi="Arial"/>
                <w:sz w:val="16"/>
                <w:szCs w:val="16"/>
                <w:color w:val="auto"/>
              </w:rPr>
              <w:t>Credit facility</w:t>
            </w:r>
            <w:r>
              <w:rPr>
                <w:rFonts w:ascii="Arial" w:cs="Arial" w:eastAsia="Arial" w:hAnsi="Arial"/>
                <w:sz w:val="20"/>
                <w:szCs w:val="20"/>
                <w:color w:val="auto"/>
                <w:vertAlign w:val="superscript"/>
              </w:rPr>
              <w:t>(4)</w:t>
            </w:r>
          </w:p>
        </w:tc>
        <w:tc>
          <w:tcPr>
            <w:tcW w:w="154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1,542.1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1,335.3</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5" w:lineRule="exact"/>
              <w:rPr>
                <w:sz w:val="20"/>
                <w:szCs w:val="20"/>
                <w:color w:val="auto"/>
              </w:rPr>
            </w:pPr>
            <w:r>
              <w:rPr>
                <w:rFonts w:ascii="Arial" w:cs="Arial" w:eastAsia="Arial" w:hAnsi="Arial"/>
                <w:sz w:val="16"/>
                <w:szCs w:val="16"/>
                <w:color w:val="auto"/>
              </w:rPr>
              <w:t>Interest rate swap assets</w:t>
            </w:r>
            <w:r>
              <w:rPr>
                <w:rFonts w:ascii="Arial" w:cs="Arial" w:eastAsia="Arial" w:hAnsi="Arial"/>
                <w:sz w:val="20"/>
                <w:szCs w:val="20"/>
                <w:color w:val="auto"/>
                <w:vertAlign w:val="superscript"/>
              </w:rPr>
              <w:t>(5)</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spacing w:after="0" w:line="215" w:lineRule="exact"/>
              <w:rPr>
                <w:sz w:val="20"/>
                <w:szCs w:val="20"/>
                <w:color w:val="auto"/>
              </w:rPr>
            </w:pPr>
            <w:r>
              <w:rPr>
                <w:rFonts w:ascii="Arial" w:cs="Arial" w:eastAsia="Arial" w:hAnsi="Arial"/>
                <w:sz w:val="16"/>
                <w:szCs w:val="16"/>
                <w:color w:val="auto"/>
              </w:rPr>
              <w:t>Preferred equity investment</w:t>
            </w:r>
            <w:r>
              <w:rPr>
                <w:rFonts w:ascii="Arial" w:cs="Arial" w:eastAsia="Arial" w:hAnsi="Arial"/>
                <w:sz w:val="20"/>
                <w:szCs w:val="20"/>
                <w:color w:val="auto"/>
                <w:vertAlign w:val="superscript"/>
              </w:rPr>
              <w:t>(6)</w:t>
            </w:r>
          </w:p>
        </w:tc>
        <w:tc>
          <w:tcPr>
            <w:tcW w:w="1540" w:type="dxa"/>
            <w:vAlign w:val="bottom"/>
          </w:tcPr>
          <w:p>
            <w:pPr>
              <w:jc w:val="center"/>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5"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0"/>
                <w:szCs w:val="20"/>
                <w:color w:val="auto"/>
                <w:vertAlign w:val="superscript"/>
              </w:rPr>
              <w:t>(7)</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3</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160" w:hanging="153"/>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Cash and cash equivalents are stated at nominal value, which equals fair value.</w:t>
      </w:r>
    </w:p>
    <w:p>
      <w:pPr>
        <w:spacing w:after="0" w:line="102" w:lineRule="exact"/>
        <w:rPr>
          <w:rFonts w:ascii="Arial" w:cs="Arial" w:eastAsia="Arial" w:hAnsi="Arial"/>
          <w:sz w:val="18"/>
          <w:szCs w:val="18"/>
          <w:color w:val="auto"/>
          <w:vertAlign w:val="superscript"/>
        </w:rPr>
      </w:pPr>
    </w:p>
    <w:p>
      <w:pPr>
        <w:jc w:val="both"/>
        <w:ind w:left="160" w:hanging="153"/>
        <w:spacing w:after="0" w:line="232" w:lineRule="auto"/>
        <w:tabs>
          <w:tab w:leader="none" w:pos="19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7, “Insurance,” for further information.</w:t>
      </w:r>
    </w:p>
    <w:p>
      <w:pPr>
        <w:spacing w:after="0" w:line="96" w:lineRule="exact"/>
        <w:rPr>
          <w:rFonts w:ascii="Arial" w:cs="Arial" w:eastAsia="Arial" w:hAnsi="Arial"/>
          <w:sz w:val="21"/>
          <w:szCs w:val="21"/>
          <w:color w:val="auto"/>
          <w:vertAlign w:val="superscript"/>
        </w:rPr>
      </w:pPr>
    </w:p>
    <w:p>
      <w:pPr>
        <w:jc w:val="both"/>
        <w:ind w:left="160" w:hanging="153"/>
        <w:spacing w:after="0" w:line="237" w:lineRule="auto"/>
        <w:tabs>
          <w:tab w:leader="none" w:pos="18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83" w:lineRule="exact"/>
        <w:rPr>
          <w:rFonts w:ascii="Arial" w:cs="Arial" w:eastAsia="Arial" w:hAnsi="Arial"/>
          <w:sz w:val="21"/>
          <w:szCs w:val="21"/>
          <w:color w:val="auto"/>
          <w:vertAlign w:val="superscript"/>
        </w:rPr>
      </w:pPr>
    </w:p>
    <w:p>
      <w:pPr>
        <w:ind w:left="160" w:right="20" w:hanging="153"/>
        <w:spacing w:after="0" w:line="226" w:lineRule="auto"/>
        <w:tabs>
          <w:tab w:leader="none" w:pos="18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gross outstanding borrowings under our Amended Credit Facility. Due to variable interest rates, the carrying value of outstanding borrowings under this facility approximates the fair value. See Note 8, “Credit Facility,” for further information.</w:t>
      </w:r>
    </w:p>
    <w:p>
      <w:pPr>
        <w:spacing w:after="0" w:line="96" w:lineRule="exact"/>
        <w:rPr>
          <w:rFonts w:ascii="Arial" w:cs="Arial" w:eastAsia="Arial" w:hAnsi="Arial"/>
          <w:sz w:val="21"/>
          <w:szCs w:val="21"/>
          <w:color w:val="auto"/>
          <w:vertAlign w:val="superscript"/>
        </w:rPr>
      </w:pPr>
    </w:p>
    <w:p>
      <w:pPr>
        <w:jc w:val="both"/>
        <w:ind w:left="160" w:hanging="153"/>
        <w:spacing w:after="0" w:line="239" w:lineRule="auto"/>
        <w:tabs>
          <w:tab w:leader="none" w:pos="179"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Secured Overnight Financing Rate (“SOFR”) forward rates at the end of the period. Our interest rate swap assets are included in “Other noncurrent assets” on the accompanying unaudited Consolidated Balance Sheets. See Note 8, “Credit Facility,” for further information.</w:t>
      </w:r>
    </w:p>
    <w:p>
      <w:pPr>
        <w:spacing w:after="0" w:line="83" w:lineRule="exact"/>
        <w:rPr>
          <w:rFonts w:ascii="Arial" w:cs="Arial" w:eastAsia="Arial" w:hAnsi="Arial"/>
          <w:sz w:val="21"/>
          <w:szCs w:val="21"/>
          <w:color w:val="auto"/>
          <w:vertAlign w:val="superscript"/>
        </w:rPr>
      </w:pPr>
    </w:p>
    <w:p>
      <w:pPr>
        <w:ind w:left="160" w:right="20" w:hanging="153"/>
        <w:spacing w:after="0" w:line="310" w:lineRule="auto"/>
        <w:tabs>
          <w:tab w:leader="none" w:pos="156"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Our investments do not have a readily determinable fair value; therefore, we account for the investments using the measurement alternative under Topic 321 and measure the investments at initial cost plus or minus fair value adjustments if there are observable prices minus impairment, if any.</w:t>
      </w:r>
    </w:p>
    <w:p>
      <w:pPr>
        <w:spacing w:after="0" w:line="21" w:lineRule="exact"/>
        <w:rPr>
          <w:rFonts w:ascii="Arial" w:cs="Arial" w:eastAsia="Arial" w:hAnsi="Arial"/>
          <w:sz w:val="18"/>
          <w:szCs w:val="18"/>
          <w:color w:val="auto"/>
          <w:vertAlign w:val="superscript"/>
        </w:rPr>
      </w:pPr>
    </w:p>
    <w:p>
      <w:pPr>
        <w:jc w:val="both"/>
        <w:ind w:left="160" w:hanging="153"/>
        <w:spacing w:after="0" w:line="289" w:lineRule="auto"/>
        <w:tabs>
          <w:tab w:leader="none" w:pos="156"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Our contingent consideration payable related to the RavenVolt Acquisition is remeasured at each reporting date, based on significant inputs not observable in the market, which represents a Level 3 measurement within the fair value hierarchy.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the “Selling, general and administrative expenses” of the unaudited Consolidated Statements of Comprehensive Income. See Note 3, “Acquisitions,” for further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Non-Financial Assets Measured at Fair Value on a Non-Recurring Basis</w:t>
      </w:r>
    </w:p>
    <w:p>
      <w:pPr>
        <w:spacing w:after="0" w:line="16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 then we would evaluate these non-financial assets for impairment. If an impairment were to occur, then the asset would be recorded at the estimated fair value, using primarily unobservable Level 3 inputs.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7.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programs, we retain the initial $1.0 million to $5.0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29"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 for future periods and to adjust reserves, if appropriate, for prior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Actuarial Review and Interim Update Performed During 2025</w:t>
      </w:r>
    </w:p>
    <w:p>
      <w:pPr>
        <w:spacing w:after="0" w:line="169"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21"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During the first quarter of 2025, we performed a comprehensive actuarial review of the majority of our casualty insurance programs that considered changes in claims development and claims payment activity for the period of May 1, 2024, through October 31, 2024 (the “Actuarial Review”). The Actuarial Review was comprehensive in nature and was based on loss development patterns, trend assumptions, and underlying expected loss costs during the period analyzed.</w:t>
      </w:r>
    </w:p>
    <w:p>
      <w:pPr>
        <w:spacing w:after="0" w:line="121"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Based on the results of the Actuarial Review, it was determined that there was no adjustment required for our total reserves related to prior years during the three months ended January 31, 2025. During the three months ended January 31, 2024, we increased our total reserves related to prior years by $5.3 million. We will continue to assess ongoing developments, which may result in further adjustments to reserves.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Insurance-Related Balances and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31, 2025</w:t>
            </w:r>
          </w:p>
        </w:tc>
        <w:tc>
          <w:tcPr>
            <w:tcW w:w="220" w:type="dxa"/>
            <w:vAlign w:val="bottom"/>
          </w:tcPr>
          <w:p>
            <w:pPr>
              <w:spacing w:after="0"/>
              <w:rPr>
                <w:sz w:val="16"/>
                <w:szCs w:val="16"/>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 2024</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Insurance claim reserves, excluding medical and dental</w:t>
            </w: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616.3</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608.4</w:t>
            </w:r>
          </w:p>
        </w:tc>
      </w:tr>
      <w:tr>
        <w:trPr>
          <w:trHeight w:val="214"/>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Medical and dental claim reserves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Insurance recoverables</w:t>
            </w:r>
          </w:p>
        </w:tc>
        <w:tc>
          <w:tcPr>
            <w:tcW w:w="220" w:type="dxa"/>
            <w:vAlign w:val="bottom"/>
            <w:shd w:val="clear" w:color="auto" w:fill="DCE2EF"/>
          </w:tcPr>
          <w:p>
            <w:pPr>
              <w:spacing w:after="0"/>
              <w:rPr>
                <w:sz w:val="18"/>
                <w:szCs w:val="18"/>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91.0</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91.0</w:t>
            </w:r>
          </w:p>
        </w:tc>
      </w:tr>
    </w:tbl>
    <w:p>
      <w:pPr>
        <w:spacing w:after="0" w:line="290"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At January 31, 2025, and October 31, 2024, insurance recoverables are included in both “Other current assets” and “Other noncurrent assets” on the accompanying unaudited Consolidated Balance Sheets.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31, 2025</w:t>
            </w:r>
          </w:p>
        </w:tc>
        <w:tc>
          <w:tcPr>
            <w:tcW w:w="220" w:type="dxa"/>
            <w:vAlign w:val="bottom"/>
          </w:tcPr>
          <w:p>
            <w:pPr>
              <w:spacing w:after="0"/>
              <w:rPr>
                <w:sz w:val="16"/>
                <w:szCs w:val="16"/>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 2024</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Standby letters of credit</w:t>
            </w: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53.1</w:t>
            </w:r>
          </w:p>
        </w:tc>
      </w:tr>
      <w:tr>
        <w:trPr>
          <w:trHeight w:val="214"/>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Surety bonds and surety-backed letters of credit</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175.3</w:t>
            </w:r>
          </w:p>
        </w:tc>
      </w:tr>
      <w:tr>
        <w:trPr>
          <w:trHeight w:val="215"/>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Restricted insurance deposits</w:t>
            </w:r>
          </w:p>
        </w:tc>
        <w:tc>
          <w:tcPr>
            <w:tcW w:w="220" w:type="dxa"/>
            <w:vAlign w:val="bottom"/>
            <w:tcBorders>
              <w:bottom w:val="single" w:sz="8" w:color="auto"/>
            </w:tcBorders>
            <w:shd w:val="clear" w:color="auto" w:fill="DCE2EF"/>
          </w:tcPr>
          <w:p>
            <w:pPr>
              <w:spacing w:after="0"/>
              <w:rPr>
                <w:sz w:val="18"/>
                <w:szCs w:val="18"/>
                <w:color w:val="auto"/>
              </w:rPr>
            </w:pP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46AD"/>
        </w:rPr>
        <w:t>8.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Credit Facility Information</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7"/>
                <w:szCs w:val="17"/>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31, 2025</w:t>
            </w:r>
          </w:p>
        </w:tc>
        <w:tc>
          <w:tcPr>
            <w:tcW w:w="220" w:type="dxa"/>
            <w:vAlign w:val="bottom"/>
          </w:tcPr>
          <w:p>
            <w:pPr>
              <w:spacing w:after="0"/>
              <w:rPr>
                <w:sz w:val="17"/>
                <w:szCs w:val="17"/>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 2024</w:t>
            </w: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644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29"/>
        </w:trPr>
        <w:tc>
          <w:tcPr>
            <w:tcW w:w="20" w:type="dxa"/>
            <w:vAlign w:val="bottom"/>
            <w:shd w:val="clear" w:color="auto" w:fill="DCE2EF"/>
          </w:tcPr>
          <w:p>
            <w:pPr>
              <w:spacing w:after="0"/>
              <w:rPr>
                <w:sz w:val="24"/>
                <w:szCs w:val="24"/>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Current portion of long-term debt</w:t>
            </w:r>
            <w:r>
              <w:rPr>
                <w:rFonts w:ascii="Arial" w:cs="Arial" w:eastAsia="Arial" w:hAnsi="Arial"/>
                <w:sz w:val="20"/>
                <w:szCs w:val="20"/>
                <w:color w:val="auto"/>
                <w:vertAlign w:val="superscript"/>
              </w:rPr>
              <w:t>(1)(2)</w:t>
            </w:r>
          </w:p>
        </w:tc>
        <w:tc>
          <w:tcPr>
            <w:tcW w:w="220" w:type="dxa"/>
            <w:vAlign w:val="bottom"/>
            <w:shd w:val="clear" w:color="auto" w:fill="DCE2EF"/>
          </w:tcPr>
          <w:p>
            <w:pPr>
              <w:spacing w:after="0"/>
              <w:rPr>
                <w:sz w:val="24"/>
                <w:szCs w:val="24"/>
                <w:color w:val="auto"/>
              </w:rPr>
            </w:pPr>
          </w:p>
        </w:tc>
        <w:tc>
          <w:tcPr>
            <w:tcW w:w="17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760" w:type="dxa"/>
            <w:vAlign w:val="bottom"/>
            <w:shd w:val="clear" w:color="auto" w:fill="DCE2EF"/>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7140" w:type="dxa"/>
            <w:vAlign w:val="bottom"/>
            <w:gridSpan w:val="2"/>
          </w:tcPr>
          <w:p>
            <w:pPr>
              <w:ind w:left="200"/>
              <w:spacing w:after="0"/>
              <w:rPr>
                <w:sz w:val="20"/>
                <w:szCs w:val="20"/>
                <w:color w:val="auto"/>
              </w:rPr>
            </w:pPr>
            <w:r>
              <w:rPr>
                <w:rFonts w:ascii="Arial" w:cs="Arial" w:eastAsia="Arial" w:hAnsi="Arial"/>
                <w:sz w:val="16"/>
                <w:szCs w:val="16"/>
                <w:color w:val="auto"/>
              </w:rPr>
              <w:t>Gross term loan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6"/>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Unamortized deferred financing costs</w:t>
            </w:r>
          </w:p>
        </w:tc>
        <w:tc>
          <w:tcPr>
            <w:tcW w:w="220" w:type="dxa"/>
            <w:vAlign w:val="bottom"/>
            <w:tcBorders>
              <w:bottom w:val="single" w:sz="8" w:color="auto"/>
            </w:tcBorders>
            <w:shd w:val="clear" w:color="auto" w:fill="DCE2EF"/>
          </w:tcPr>
          <w:p>
            <w:pPr>
              <w:spacing w:after="0"/>
              <w:rPr>
                <w:sz w:val="18"/>
                <w:szCs w:val="18"/>
                <w:color w:val="auto"/>
              </w:rPr>
            </w:pP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(0.9)</w:t>
            </w:r>
          </w:p>
        </w:tc>
      </w:tr>
      <w:tr>
        <w:trPr>
          <w:trHeight w:val="328"/>
        </w:trPr>
        <w:tc>
          <w:tcPr>
            <w:tcW w:w="2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Current portion of term loan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56"/>
        </w:trPr>
        <w:tc>
          <w:tcPr>
            <w:tcW w:w="20" w:type="dxa"/>
            <w:vAlign w:val="bottom"/>
            <w:shd w:val="clear" w:color="auto" w:fill="DCE2EF"/>
          </w:tcPr>
          <w:p>
            <w:pPr>
              <w:spacing w:after="0"/>
              <w:rPr>
                <w:sz w:val="22"/>
                <w:szCs w:val="22"/>
                <w:color w:val="auto"/>
              </w:rPr>
            </w:pPr>
          </w:p>
        </w:tc>
        <w:tc>
          <w:tcPr>
            <w:tcW w:w="700" w:type="dxa"/>
            <w:vAlign w:val="bottom"/>
            <w:shd w:val="clear" w:color="auto" w:fill="DCE2EF"/>
          </w:tcPr>
          <w:p>
            <w:pPr>
              <w:spacing w:after="0"/>
              <w:rPr>
                <w:sz w:val="22"/>
                <w:szCs w:val="22"/>
                <w:color w:val="auto"/>
              </w:rPr>
            </w:pPr>
          </w:p>
        </w:tc>
        <w:tc>
          <w:tcPr>
            <w:tcW w:w="644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7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760" w:type="dxa"/>
            <w:vAlign w:val="bottom"/>
            <w:shd w:val="clear" w:color="auto" w:fill="DCE2EF"/>
          </w:tcPr>
          <w:p>
            <w:pPr>
              <w:spacing w:after="0"/>
              <w:rPr>
                <w:sz w:val="22"/>
                <w:szCs w:val="22"/>
                <w:color w:val="auto"/>
              </w:rPr>
            </w:pPr>
          </w:p>
        </w:tc>
      </w:tr>
      <w:tr>
        <w:trPr>
          <w:trHeight w:val="349"/>
        </w:trPr>
        <w:tc>
          <w:tcPr>
            <w:tcW w:w="2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Long-term debt</w:t>
            </w:r>
            <w:r>
              <w:rPr>
                <w:rFonts w:ascii="Arial" w:cs="Arial" w:eastAsia="Arial" w:hAnsi="Arial"/>
                <w:sz w:val="20"/>
                <w:szCs w:val="20"/>
                <w:color w:val="auto"/>
                <w:vertAlign w:val="superscript"/>
              </w:rPr>
              <w:t>(1)(2)</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5"/>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Gross term loan</w:t>
            </w: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495.6</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503.8</w:t>
            </w:r>
          </w:p>
        </w:tc>
      </w:tr>
      <w:tr>
        <w:trPr>
          <w:trHeight w:val="214"/>
        </w:trPr>
        <w:tc>
          <w:tcPr>
            <w:tcW w:w="20" w:type="dxa"/>
            <w:vAlign w:val="bottom"/>
            <w:tcBorders>
              <w:bottom w:val="single" w:sz="8" w:color="DCE2EF"/>
            </w:tcBorders>
          </w:tcPr>
          <w:p>
            <w:pPr>
              <w:spacing w:after="0"/>
              <w:rPr>
                <w:sz w:val="18"/>
                <w:szCs w:val="18"/>
                <w:color w:val="auto"/>
              </w:rPr>
            </w:pPr>
          </w:p>
        </w:tc>
        <w:tc>
          <w:tcPr>
            <w:tcW w:w="7140" w:type="dxa"/>
            <w:vAlign w:val="bottom"/>
            <w:tcBorders>
              <w:bottom w:val="single" w:sz="8" w:color="DCE2EF"/>
            </w:tcBorders>
            <w:gridSpan w:val="2"/>
          </w:tcPr>
          <w:p>
            <w:pPr>
              <w:ind w:left="200"/>
              <w:spacing w:after="0"/>
              <w:rPr>
                <w:sz w:val="20"/>
                <w:szCs w:val="20"/>
                <w:color w:val="auto"/>
              </w:rPr>
            </w:pPr>
            <w:r>
              <w:rPr>
                <w:rFonts w:ascii="Arial" w:cs="Arial" w:eastAsia="Arial" w:hAnsi="Arial"/>
                <w:sz w:val="16"/>
                <w:szCs w:val="16"/>
                <w:color w:val="auto"/>
              </w:rPr>
              <w:t>Unamortized deferred financing costs</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330"/>
        </w:trPr>
        <w:tc>
          <w:tcPr>
            <w:tcW w:w="20" w:type="dxa"/>
            <w:vAlign w:val="bottom"/>
            <w:shd w:val="clear" w:color="auto" w:fill="DCE2EF"/>
          </w:tcPr>
          <w:p>
            <w:pPr>
              <w:spacing w:after="0"/>
              <w:rPr>
                <w:sz w:val="24"/>
                <w:szCs w:val="24"/>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Total noncurrent portion of term loan</w:t>
            </w:r>
          </w:p>
        </w:tc>
        <w:tc>
          <w:tcPr>
            <w:tcW w:w="220" w:type="dxa"/>
            <w:vAlign w:val="bottom"/>
            <w:shd w:val="clear" w:color="auto" w:fill="DCE2EF"/>
          </w:tcPr>
          <w:p>
            <w:pPr>
              <w:spacing w:after="0"/>
              <w:rPr>
                <w:sz w:val="24"/>
                <w:szCs w:val="24"/>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495.3</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503.2</w:t>
            </w:r>
          </w:p>
        </w:tc>
      </w:tr>
      <w:tr>
        <w:trPr>
          <w:trHeight w:val="215"/>
        </w:trPr>
        <w:tc>
          <w:tcPr>
            <w:tcW w:w="20" w:type="dxa"/>
            <w:vAlign w:val="bottom"/>
            <w:tcBorders>
              <w:bottom w:val="single" w:sz="8" w:color="DCE2EF"/>
            </w:tcBorders>
          </w:tcPr>
          <w:p>
            <w:pPr>
              <w:spacing w:after="0"/>
              <w:rPr>
                <w:sz w:val="18"/>
                <w:szCs w:val="18"/>
                <w:color w:val="auto"/>
              </w:rPr>
            </w:pPr>
          </w:p>
        </w:tc>
        <w:tc>
          <w:tcPr>
            <w:tcW w:w="7140" w:type="dxa"/>
            <w:vAlign w:val="bottom"/>
            <w:tcBorders>
              <w:bottom w:val="single" w:sz="8" w:color="DCE2EF"/>
            </w:tcBorders>
            <w:gridSpan w:val="2"/>
          </w:tcPr>
          <w:p>
            <w:pPr>
              <w:ind w:left="200"/>
              <w:spacing w:after="0" w:line="215" w:lineRule="exact"/>
              <w:rPr>
                <w:sz w:val="20"/>
                <w:szCs w:val="20"/>
                <w:color w:val="auto"/>
              </w:rPr>
            </w:pPr>
            <w:r>
              <w:rPr>
                <w:rFonts w:ascii="Arial" w:cs="Arial" w:eastAsia="Arial" w:hAnsi="Arial"/>
                <w:sz w:val="16"/>
                <w:szCs w:val="16"/>
                <w:color w:val="auto"/>
              </w:rPr>
              <w:t>Revolving line of credit</w:t>
            </w:r>
            <w:r>
              <w:rPr>
                <w:rFonts w:ascii="Arial" w:cs="Arial" w:eastAsia="Arial" w:hAnsi="Arial"/>
                <w:sz w:val="20"/>
                <w:szCs w:val="20"/>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1,014.0</w:t>
            </w:r>
          </w:p>
        </w:tc>
        <w:tc>
          <w:tcPr>
            <w:tcW w:w="10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799.0</w:t>
            </w:r>
          </w:p>
        </w:tc>
      </w:tr>
      <w:tr>
        <w:trPr>
          <w:trHeight w:val="327"/>
        </w:trPr>
        <w:tc>
          <w:tcPr>
            <w:tcW w:w="20" w:type="dxa"/>
            <w:vAlign w:val="bottom"/>
            <w:tcBorders>
              <w:bottom w:val="single" w:sz="8" w:color="DCE2EF"/>
            </w:tcBorders>
            <w:shd w:val="clear" w:color="auto" w:fill="DCE2EF"/>
          </w:tcPr>
          <w:p>
            <w:pPr>
              <w:spacing w:after="0"/>
              <w:rPr>
                <w:sz w:val="24"/>
                <w:szCs w:val="24"/>
                <w:color w:val="auto"/>
              </w:rPr>
            </w:pPr>
          </w:p>
        </w:tc>
        <w:tc>
          <w:tcPr>
            <w:tcW w:w="71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1,509.3</w:t>
            </w:r>
          </w:p>
        </w:tc>
        <w:tc>
          <w:tcPr>
            <w:tcW w:w="100" w:type="dxa"/>
            <w:vAlign w:val="bottom"/>
            <w:tcBorders>
              <w:bottom w:val="single" w:sz="8" w:color="DCE2EF"/>
            </w:tcBorders>
            <w:shd w:val="clear" w:color="auto" w:fill="DCE2EF"/>
          </w:tcPr>
          <w:p>
            <w:pPr>
              <w:spacing w:after="0"/>
              <w:rPr>
                <w:sz w:val="24"/>
                <w:szCs w:val="24"/>
                <w:color w:val="auto"/>
              </w:rPr>
            </w:pPr>
          </w:p>
        </w:tc>
        <w:tc>
          <w:tcPr>
            <w:tcW w:w="2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1,302.2</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644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7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760" w:type="dxa"/>
            <w:vAlign w:val="bottom"/>
            <w:tcBorders>
              <w:top w:val="single" w:sz="8" w:color="DCE2E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At January 31, 2025, and October 31, 2024, the weighted average interest rate on all outstanding borrowings, not including letters of credit and swaps, was</w:t>
      </w:r>
    </w:p>
    <w:p>
      <w:pPr>
        <w:ind w:left="160"/>
        <w:spacing w:after="0"/>
        <w:rPr>
          <w:sz w:val="20"/>
          <w:szCs w:val="20"/>
          <w:color w:val="auto"/>
        </w:rPr>
      </w:pPr>
      <w:r>
        <w:rPr>
          <w:rFonts w:ascii="Arial" w:cs="Arial" w:eastAsia="Arial" w:hAnsi="Arial"/>
          <w:sz w:val="16"/>
          <w:szCs w:val="16"/>
          <w:color w:val="auto"/>
        </w:rPr>
        <w:t>6.17% and 6.68%,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(2)</w:t>
      </w:r>
      <w:r>
        <w:rPr>
          <w:rFonts w:ascii="Arial" w:cs="Arial" w:eastAsia="Arial" w:hAnsi="Arial"/>
          <w:sz w:val="16"/>
          <w:szCs w:val="16"/>
          <w:color w:val="auto"/>
        </w:rPr>
        <w:t>At January 31, 2025, we had borrowing capacity of $238.0 million.</w:t>
      </w:r>
    </w:p>
    <w:p>
      <w:pPr>
        <w:spacing w:after="0" w:line="38" w:lineRule="exact"/>
        <w:rPr>
          <w:sz w:val="20"/>
          <w:szCs w:val="20"/>
          <w:color w:val="auto"/>
        </w:rPr>
      </w:pPr>
    </w:p>
    <w:p>
      <w:pPr>
        <w:ind w:left="180" w:hanging="173"/>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At January 31, 2025, standby letters of credit amounted to $29.7 million.</w:t>
      </w:r>
    </w:p>
    <w:p>
      <w:pPr>
        <w:spacing w:after="0" w:line="144"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(the “Revolver”) and an $800.0 million amortizing term loan, both of which matured on September 1, 2022. In accordance with terms of the Credit Facility, the revolver was reduced to $800.0 million on September 1, 2018.</w:t>
      </w:r>
    </w:p>
    <w:p>
      <w:pPr>
        <w:spacing w:after="0" w:line="121"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On June 28, 2021, the Company amended and restated the Credit Facility (the “Amended Credit Facility”), extending the maturity date to June 28, 2026, and increasing the capacity of the revolving credit facility from $ 800.0 million to $1.3 billion and the then-remaining term loan outstanding from $620.0 million to $650.0 million. The Amended Credit Facility provides for the issuance of up to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Additionally, we may repay amounts borrowed under the Amended Credit Facility at any time without penalty.</w:t>
      </w:r>
    </w:p>
    <w:p>
      <w:pPr>
        <w:spacing w:after="0" w:line="126"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On November 1, 2022, we amended our Amended Credit Facility pursuant to the LIBOR (London Interbank Offered Rate) Transition Amendment and, substantially concurrently, with the Fifth Amendment to replace the benchmark rate at which U.S.dollar-denominated borrowings bear interest from LIBOR to the forward-looking Secured Overnight Financing Rate (“SOFR”) term rate administered by CME Group Benchmark Administration Limited. As a result of these amendments, we can borrow at Term SOFR plus a credit spread adjustment of 0.10% subject to a floor of zero.</w:t>
      </w:r>
    </w:p>
    <w:p>
      <w:pPr>
        <w:spacing w:after="0" w:line="124"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January 31, 2025, we were in compliance with these covenants.</w:t>
      </w:r>
    </w:p>
    <w:p>
      <w:pPr>
        <w:spacing w:after="0" w:line="126"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w:t>
      </w:r>
    </w:p>
    <w:p>
      <w:pPr>
        <w:sectPr>
          <w:pgSz w:w="11900" w:h="16838" w:orient="portrait"/>
          <w:cols w:equalWidth="0" w:num="1">
            <w:col w:w="11240"/>
          </w:cols>
          <w:pgMar w:left="320" w:top="1303"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80010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type w:val="continuous"/>
        </w:sectPr>
      </w:pPr>
    </w:p>
    <w:bookmarkStart w:id="19" w:name="page20"/>
    <w:bookmarkEnd w:id="19"/>
    <w:p>
      <w:pPr>
        <w:jc w:val="both"/>
        <w:spacing w:after="0" w:line="285" w:lineRule="auto"/>
        <w:rPr>
          <w:sz w:val="20"/>
          <w:szCs w:val="20"/>
          <w:color w:val="auto"/>
        </w:rPr>
      </w:pPr>
      <w:r>
        <w:rPr>
          <w:rFonts w:ascii="Arial" w:cs="Arial" w:eastAsia="Arial" w:hAnsi="Arial"/>
          <w:sz w:val="18"/>
          <w:szCs w:val="18"/>
          <w:color w:val="auto"/>
        </w:rPr>
        <w:t>Amended Credit Facility, declare all amounts outstanding (including all accrued interest and unpaid fees) to be immediately due and payable, and require that we cash collateralize the outstanding standby letters of credit.</w:t>
      </w:r>
    </w:p>
    <w:p>
      <w:pPr>
        <w:spacing w:after="0" w:line="100"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We incurred deferred financing costs of $6.4 million in conjunction with the execution of the Amended Credit Facility and carried over $6.2 million of unamortized deferred financing from initial execution and previous amendments of the Credit Facility. Total deferred financing costs of $12.6 million, consisting of $4.9 million related to the term loan and $7.7 million related to the revolver, are being amortized to interest expense over the term of the Amended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Long-Term Debt Maturities</w:t>
      </w:r>
    </w:p>
    <w:p>
      <w:pPr>
        <w:spacing w:after="0" w:line="169"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8"/>
          <w:szCs w:val="18"/>
          <w:color w:val="auto"/>
        </w:rPr>
        <w:t>During the three months ended January 31, 2025, we made principal payments under the term loan of $8.1 million. As of January 31, 2025, the following principal payments are required under the Amended Credit Facility: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2029</w:t>
            </w: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3000" w:type="dxa"/>
            <w:vAlign w:val="bottom"/>
            <w:tcBorders>
              <w:bottom w:val="single" w:sz="8" w:color="DCE2E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8"/>
        </w:trPr>
        <w:tc>
          <w:tcPr>
            <w:tcW w:w="20" w:type="dxa"/>
            <w:vAlign w:val="bottom"/>
            <w:shd w:val="clear" w:color="auto" w:fill="DCE2EF"/>
          </w:tcPr>
          <w:p>
            <w:pPr>
              <w:spacing w:after="0"/>
              <w:rPr>
                <w:sz w:val="18"/>
                <w:szCs w:val="18"/>
                <w:color w:val="auto"/>
              </w:rPr>
            </w:pPr>
          </w:p>
        </w:tc>
        <w:tc>
          <w:tcPr>
            <w:tcW w:w="37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Debt maturities</w:t>
            </w:r>
          </w:p>
        </w:tc>
        <w:tc>
          <w:tcPr>
            <w:tcW w:w="980" w:type="dxa"/>
            <w:vAlign w:val="bottom"/>
            <w:shd w:val="clear" w:color="auto" w:fill="DCE2EF"/>
          </w:tcPr>
          <w:p>
            <w:pPr>
              <w:jc w:val="right"/>
              <w:ind w:right="779"/>
              <w:spacing w:after="0"/>
              <w:rPr>
                <w:sz w:val="20"/>
                <w:szCs w:val="20"/>
                <w:color w:val="auto"/>
              </w:rPr>
            </w:pPr>
            <w:r>
              <w:rPr>
                <w:rFonts w:ascii="Arial" w:cs="Arial" w:eastAsia="Arial" w:hAnsi="Arial"/>
                <w:sz w:val="16"/>
                <w:szCs w:val="16"/>
                <w:color w:val="auto"/>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24.4</w:t>
            </w:r>
          </w:p>
        </w:tc>
        <w:tc>
          <w:tcPr>
            <w:tcW w:w="8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1,517.8</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69"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We utilize interest rate swap agreements to fix the variable interest rates on portions of our debt. The purpose of using these derivatives is to reduce our exposure to the interest rate risk associated with variable borrowings. Under these agreements, we typically pay a fixed interest rate in exchange for a SOFR-based variable interest rate on a given notional amount. All of our interest rate swaps are designated and accounted for as cash flow hedges. Changes in the fair value of these derivatives are reported as a component of other comprehensive income and are reclassified into earnings in the period or periods in which the hedged transaction affects earnings. For information regarding the valuation of our interest rate swaps, see Note 6, “Fair Value of Financial Instruments.”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Notional Amount</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Fixed Interest Rate</w:t>
            </w: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Effective Date</w:t>
            </w:r>
          </w:p>
        </w:tc>
        <w:tc>
          <w:tcPr>
            <w:tcW w:w="2740" w:type="dxa"/>
            <w:vAlign w:val="bottom"/>
          </w:tcPr>
          <w:p>
            <w:pPr>
              <w:ind w:left="860"/>
              <w:spacing w:after="0"/>
              <w:rPr>
                <w:sz w:val="20"/>
                <w:szCs w:val="20"/>
                <w:color w:val="auto"/>
              </w:rPr>
            </w:pPr>
            <w:r>
              <w:rPr>
                <w:rFonts w:ascii="Arial" w:cs="Arial" w:eastAsia="Arial" w:hAnsi="Arial"/>
                <w:sz w:val="16"/>
                <w:szCs w:val="16"/>
                <w:b w:val="1"/>
                <w:bCs w:val="1"/>
                <w:color w:val="auto"/>
              </w:rPr>
              <w:t>Maturity Date</w:t>
            </w:r>
          </w:p>
        </w:tc>
      </w:tr>
      <w:tr>
        <w:trPr>
          <w:trHeight w:val="208"/>
        </w:trPr>
        <w:tc>
          <w:tcPr>
            <w:tcW w:w="270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rPr>
              <w:t>$100.0 million</w:t>
            </w:r>
          </w:p>
        </w:tc>
        <w:tc>
          <w:tcPr>
            <w:tcW w:w="120" w:type="dxa"/>
            <w:vAlign w:val="bottom"/>
            <w:tcBorders>
              <w:top w:val="single" w:sz="8" w:color="DCE2EF"/>
            </w:tcBorders>
            <w:shd w:val="clear" w:color="auto" w:fill="DCE2EF"/>
          </w:tcPr>
          <w:p>
            <w:pPr>
              <w:spacing w:after="0"/>
              <w:rPr>
                <w:sz w:val="18"/>
                <w:szCs w:val="18"/>
                <w:color w:val="auto"/>
              </w:rPr>
            </w:pPr>
          </w:p>
        </w:tc>
        <w:tc>
          <w:tcPr>
            <w:tcW w:w="272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w w:val="96"/>
              </w:rPr>
              <w:t>1.72%</w:t>
            </w:r>
          </w:p>
        </w:tc>
        <w:tc>
          <w:tcPr>
            <w:tcW w:w="120" w:type="dxa"/>
            <w:vAlign w:val="bottom"/>
            <w:tcBorders>
              <w:top w:val="single" w:sz="8" w:color="DCE2EF"/>
            </w:tcBorders>
            <w:shd w:val="clear" w:color="auto" w:fill="DCE2EF"/>
          </w:tcPr>
          <w:p>
            <w:pPr>
              <w:spacing w:after="0"/>
              <w:rPr>
                <w:sz w:val="18"/>
                <w:szCs w:val="18"/>
                <w:color w:val="auto"/>
              </w:rPr>
            </w:pPr>
          </w:p>
        </w:tc>
        <w:tc>
          <w:tcPr>
            <w:tcW w:w="272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rPr>
              <w:t>February 9, 2022</w:t>
            </w:r>
          </w:p>
        </w:tc>
        <w:tc>
          <w:tcPr>
            <w:tcW w:w="100" w:type="dxa"/>
            <w:vAlign w:val="bottom"/>
            <w:tcBorders>
              <w:top w:val="single" w:sz="8" w:color="DCE2EF"/>
            </w:tcBorders>
            <w:shd w:val="clear" w:color="auto" w:fill="DCE2EF"/>
          </w:tcPr>
          <w:p>
            <w:pPr>
              <w:spacing w:after="0"/>
              <w:rPr>
                <w:sz w:val="18"/>
                <w:szCs w:val="18"/>
                <w:color w:val="auto"/>
              </w:rPr>
            </w:pPr>
          </w:p>
        </w:tc>
        <w:tc>
          <w:tcPr>
            <w:tcW w:w="2740" w:type="dxa"/>
            <w:vAlign w:val="bottom"/>
            <w:tcBorders>
              <w:top w:val="single" w:sz="8" w:color="auto"/>
            </w:tcBorders>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4"/>
        </w:trPr>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$150.0 million</w:t>
            </w:r>
          </w:p>
        </w:tc>
        <w:tc>
          <w:tcPr>
            <w:tcW w:w="2720" w:type="dxa"/>
            <w:vAlign w:val="bottom"/>
          </w:tcPr>
          <w:p>
            <w:pPr>
              <w:jc w:val="center"/>
              <w:spacing w:after="0"/>
              <w:rPr>
                <w:sz w:val="20"/>
                <w:szCs w:val="20"/>
                <w:color w:val="auto"/>
              </w:rPr>
            </w:pPr>
            <w:r>
              <w:rPr>
                <w:rFonts w:ascii="Arial" w:cs="Arial" w:eastAsia="Arial" w:hAnsi="Arial"/>
                <w:sz w:val="16"/>
                <w:szCs w:val="16"/>
                <w:color w:val="auto"/>
                <w:w w:val="96"/>
              </w:rPr>
              <w:t>1.85%</w:t>
            </w: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February 25,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r>
        <w:trPr>
          <w:trHeight w:val="216"/>
        </w:trPr>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6"/>
                <w:szCs w:val="16"/>
                <w:color w:val="auto"/>
              </w:rPr>
              <w:t>$100.0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96"/>
              </w:rPr>
              <w:t>2.88%</w:t>
            </w:r>
          </w:p>
        </w:tc>
        <w:tc>
          <w:tcPr>
            <w:tcW w:w="120" w:type="dxa"/>
            <w:vAlign w:val="bottom"/>
            <w:shd w:val="clear" w:color="auto" w:fill="DCE2EF"/>
          </w:tcPr>
          <w:p>
            <w:pPr>
              <w:spacing w:after="0"/>
              <w:rPr>
                <w:sz w:val="18"/>
                <w:szCs w:val="18"/>
                <w:color w:val="auto"/>
              </w:rPr>
            </w:pPr>
          </w:p>
        </w:tc>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6"/>
                <w:szCs w:val="16"/>
                <w:color w:val="auto"/>
                <w:w w:val="99"/>
              </w:rPr>
              <w:t>May 4, 2022</w:t>
            </w:r>
          </w:p>
        </w:tc>
        <w:tc>
          <w:tcPr>
            <w:tcW w:w="2740" w:type="dxa"/>
            <w:vAlign w:val="bottom"/>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5"/>
        </w:trPr>
        <w:tc>
          <w:tcPr>
            <w:tcW w:w="2820" w:type="dxa"/>
            <w:vAlign w:val="bottom"/>
            <w:gridSpan w:val="2"/>
          </w:tcPr>
          <w:p>
            <w:pPr>
              <w:jc w:val="center"/>
              <w:ind w:left="39"/>
              <w:spacing w:after="0" w:line="215" w:lineRule="exact"/>
              <w:rPr>
                <w:sz w:val="20"/>
                <w:szCs w:val="20"/>
                <w:color w:val="auto"/>
              </w:rPr>
            </w:pPr>
            <w:r>
              <w:rPr>
                <w:rFonts w:ascii="Arial" w:cs="Arial" w:eastAsia="Arial" w:hAnsi="Arial"/>
                <w:sz w:val="16"/>
                <w:szCs w:val="16"/>
                <w:color w:val="auto"/>
                <w:w w:val="98"/>
              </w:rPr>
              <w:t xml:space="preserve">$161.9 million </w:t>
            </w:r>
            <w:r>
              <w:rPr>
                <w:rFonts w:ascii="Arial" w:cs="Arial" w:eastAsia="Arial" w:hAnsi="Arial"/>
                <w:sz w:val="20"/>
                <w:szCs w:val="20"/>
                <w:color w:val="auto"/>
                <w:w w:val="98"/>
                <w:vertAlign w:val="superscript"/>
              </w:rPr>
              <w:t>(1)</w:t>
            </w:r>
          </w:p>
        </w:tc>
        <w:tc>
          <w:tcPr>
            <w:tcW w:w="2720" w:type="dxa"/>
            <w:vAlign w:val="bottom"/>
          </w:tcPr>
          <w:p>
            <w:pPr>
              <w:jc w:val="center"/>
              <w:spacing w:after="0"/>
              <w:rPr>
                <w:sz w:val="20"/>
                <w:szCs w:val="20"/>
                <w:color w:val="auto"/>
              </w:rPr>
            </w:pPr>
            <w:r>
              <w:rPr>
                <w:rFonts w:ascii="Arial" w:cs="Arial" w:eastAsia="Arial" w:hAnsi="Arial"/>
                <w:sz w:val="16"/>
                <w:szCs w:val="16"/>
                <w:color w:val="auto"/>
                <w:w w:val="96"/>
              </w:rPr>
              <w:t>2.83%</w:t>
            </w:r>
          </w:p>
        </w:tc>
        <w:tc>
          <w:tcPr>
            <w:tcW w:w="120" w:type="dxa"/>
            <w:vAlign w:val="bottom"/>
          </w:tcPr>
          <w:p>
            <w:pPr>
              <w:spacing w:after="0"/>
              <w:rPr>
                <w:sz w:val="18"/>
                <w:szCs w:val="18"/>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July 7,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r>
        <w:trPr>
          <w:trHeight w:val="215"/>
        </w:trPr>
        <w:tc>
          <w:tcPr>
            <w:tcW w:w="2820" w:type="dxa"/>
            <w:vAlign w:val="bottom"/>
            <w:gridSpan w:val="2"/>
            <w:shd w:val="clear" w:color="auto" w:fill="DCE2EF"/>
          </w:tcPr>
          <w:p>
            <w:pPr>
              <w:jc w:val="center"/>
              <w:ind w:left="39"/>
              <w:spacing w:after="0" w:line="215" w:lineRule="exact"/>
              <w:rPr>
                <w:sz w:val="20"/>
                <w:szCs w:val="20"/>
                <w:color w:val="auto"/>
              </w:rPr>
            </w:pPr>
            <w:r>
              <w:rPr>
                <w:rFonts w:ascii="Arial" w:cs="Arial" w:eastAsia="Arial" w:hAnsi="Arial"/>
                <w:sz w:val="16"/>
                <w:szCs w:val="16"/>
                <w:color w:val="auto"/>
                <w:w w:val="95"/>
              </w:rPr>
              <w:t xml:space="preserve">$13.1 million </w:t>
            </w:r>
            <w:r>
              <w:rPr>
                <w:rFonts w:ascii="Arial" w:cs="Arial" w:eastAsia="Arial" w:hAnsi="Arial"/>
                <w:sz w:val="20"/>
                <w:szCs w:val="20"/>
                <w:color w:val="auto"/>
                <w:w w:val="95"/>
                <w:vertAlign w:val="superscript"/>
              </w:rPr>
              <w:t>(1)</w:t>
            </w:r>
          </w:p>
        </w:tc>
        <w:tc>
          <w:tcPr>
            <w:tcW w:w="272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96"/>
              </w:rPr>
              <w:t>2.79%</w:t>
            </w:r>
          </w:p>
        </w:tc>
        <w:tc>
          <w:tcPr>
            <w:tcW w:w="120" w:type="dxa"/>
            <w:vAlign w:val="bottom"/>
            <w:shd w:val="clear" w:color="auto" w:fill="DCE2EF"/>
          </w:tcPr>
          <w:p>
            <w:pPr>
              <w:spacing w:after="0"/>
              <w:rPr>
                <w:sz w:val="18"/>
                <w:szCs w:val="18"/>
                <w:color w:val="auto"/>
              </w:rPr>
            </w:pPr>
          </w:p>
        </w:tc>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6"/>
                <w:szCs w:val="16"/>
                <w:color w:val="auto"/>
              </w:rPr>
              <w:t>July 18, 2022</w:t>
            </w:r>
          </w:p>
        </w:tc>
        <w:tc>
          <w:tcPr>
            <w:tcW w:w="2740" w:type="dxa"/>
            <w:vAlign w:val="bottom"/>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4"/>
        </w:trPr>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$170.0 million</w:t>
            </w:r>
          </w:p>
        </w:tc>
        <w:tc>
          <w:tcPr>
            <w:tcW w:w="2720" w:type="dxa"/>
            <w:vAlign w:val="bottom"/>
          </w:tcPr>
          <w:p>
            <w:pPr>
              <w:jc w:val="center"/>
              <w:spacing w:after="0"/>
              <w:rPr>
                <w:sz w:val="20"/>
                <w:szCs w:val="20"/>
                <w:color w:val="auto"/>
              </w:rPr>
            </w:pPr>
            <w:r>
              <w:rPr>
                <w:rFonts w:ascii="Arial" w:cs="Arial" w:eastAsia="Arial" w:hAnsi="Arial"/>
                <w:sz w:val="16"/>
                <w:szCs w:val="16"/>
                <w:color w:val="auto"/>
                <w:w w:val="96"/>
              </w:rPr>
              <w:t>3.81%</w:t>
            </w: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November 1,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bl>
    <w:p>
      <w:pPr>
        <w:spacing w:after="0" w:line="301" w:lineRule="exact"/>
        <w:rPr>
          <w:sz w:val="20"/>
          <w:szCs w:val="20"/>
          <w:color w:val="auto"/>
        </w:rPr>
      </w:pPr>
    </w:p>
    <w:p>
      <w:pPr>
        <w:ind w:left="160" w:hanging="153"/>
        <w:spacing w:after="0" w:line="231" w:lineRule="auto"/>
        <w:tabs>
          <w:tab w:leader="none" w:pos="171"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In July 2022, we entered into interest rate swap agreements with notional values totaling $300.0 million at inception. The notional amount reduces to $100.0 million in October 2025 before maturing on June 28, 2026.</w:t>
      </w:r>
    </w:p>
    <w:p>
      <w:pPr>
        <w:spacing w:after="0" w:line="138"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At January 31, 2025, and October 31, 2024, amounts recorded in accumulated other comprehensive loss (“AOCL”) for interest rate swaps were a gain of $8.4 million, net of taxes of $4.0 million, and a gain of $9.2 million, net of taxes of $ 4.3 million, respectively. At January 31, 2025, the total amount expected to be reclassified from AOCL to earnings during the next 12 months is a gain of $6.4 million, net of taxes of $2.3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46AD"/>
        </w:rPr>
        <w:t>9.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right="100" w:firstLine="645"/>
        <w:spacing w:after="0" w:line="256" w:lineRule="auto"/>
        <w:rPr>
          <w:sz w:val="20"/>
          <w:szCs w:val="20"/>
          <w:color w:val="auto"/>
        </w:rPr>
      </w:pPr>
      <w:r>
        <w:rPr>
          <w:rFonts w:ascii="Arial" w:cs="Arial" w:eastAsia="Arial" w:hAnsi="Arial"/>
          <w:sz w:val="18"/>
          <w:szCs w:val="18"/>
          <w:color w:val="auto"/>
        </w:rPr>
        <w:t>Effective December 13, 2023, our Board of Directors expanded our existing share repurchase program by an additional $150.0 million.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046AD"/>
        </w:rPr>
        <w:t>Repurchase Activity</w:t>
      </w:r>
    </w:p>
    <w:p>
      <w:pPr>
        <w:spacing w:after="0" w:line="167" w:lineRule="exact"/>
        <w:rPr>
          <w:sz w:val="20"/>
          <w:szCs w:val="20"/>
          <w:color w:val="auto"/>
        </w:rPr>
      </w:pPr>
    </w:p>
    <w:p>
      <w:pPr>
        <w:jc w:val="both"/>
        <w:ind w:right="100" w:firstLine="161"/>
        <w:spacing w:after="0" w:line="267" w:lineRule="auto"/>
        <w:rPr>
          <w:sz w:val="20"/>
          <w:szCs w:val="20"/>
          <w:color w:val="auto"/>
        </w:rPr>
      </w:pPr>
      <w:r>
        <w:rPr>
          <w:rFonts w:ascii="Arial" w:cs="Arial" w:eastAsia="Arial" w:hAnsi="Arial"/>
          <w:sz w:val="18"/>
          <w:szCs w:val="18"/>
          <w:color w:val="auto"/>
        </w:rPr>
        <w:t>We repurchased shares under the share repurchase program during the three months ended January 31, 2025, as summarized below. At January 31, 2025, authorization for $133.2 million of repurchases remained under our share repurchase program. We did not repurchase any shares during the three months ended January 31, 2024.</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6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per share amounts)</w:t>
            </w:r>
          </w:p>
        </w:tc>
        <w:tc>
          <w:tcPr>
            <w:tcW w:w="200" w:type="dxa"/>
            <w:vAlign w:val="bottom"/>
          </w:tcPr>
          <w:p>
            <w:pPr>
              <w:spacing w:after="0"/>
              <w:rPr>
                <w:sz w:val="16"/>
                <w:szCs w:val="16"/>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Three Months Ended</w:t>
            </w:r>
          </w:p>
        </w:tc>
        <w:tc>
          <w:tcPr>
            <w:tcW w:w="200" w:type="dxa"/>
            <w:vAlign w:val="bottom"/>
          </w:tcPr>
          <w:p>
            <w:pPr>
              <w:spacing w:after="0"/>
              <w:rPr>
                <w:sz w:val="16"/>
                <w:szCs w:val="16"/>
                <w:color w:val="auto"/>
              </w:rPr>
            </w:pPr>
          </w:p>
        </w:tc>
        <w:tc>
          <w:tcPr>
            <w:tcW w:w="1920" w:type="dxa"/>
            <w:vAlign w:val="bottom"/>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6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January 31, 2025</w:t>
            </w:r>
          </w:p>
        </w:tc>
        <w:tc>
          <w:tcPr>
            <w:tcW w:w="200" w:type="dxa"/>
            <w:vAlign w:val="bottom"/>
          </w:tcPr>
          <w:p>
            <w:pPr>
              <w:spacing w:after="0"/>
              <w:rPr>
                <w:sz w:val="18"/>
                <w:szCs w:val="18"/>
                <w:color w:val="auto"/>
              </w:rPr>
            </w:pPr>
          </w:p>
        </w:tc>
        <w:tc>
          <w:tcPr>
            <w:tcW w:w="1920" w:type="dxa"/>
            <w:vAlign w:val="bottom"/>
          </w:tcPr>
          <w:p>
            <w:pPr>
              <w:jc w:val="right"/>
              <w:ind w:right="299"/>
              <w:spacing w:after="0"/>
              <w:rPr>
                <w:sz w:val="20"/>
                <w:szCs w:val="20"/>
                <w:color w:val="auto"/>
              </w:rPr>
            </w:pPr>
            <w:r>
              <w:rPr>
                <w:rFonts w:ascii="Arial" w:cs="Arial" w:eastAsia="Arial" w:hAnsi="Arial"/>
                <w:sz w:val="16"/>
                <w:szCs w:val="16"/>
                <w:b w:val="1"/>
                <w:bCs w:val="1"/>
                <w:color w:val="auto"/>
              </w:rPr>
              <w:t>January 31, 2024</w:t>
            </w:r>
          </w:p>
        </w:tc>
        <w:tc>
          <w:tcPr>
            <w:tcW w:w="0" w:type="dxa"/>
            <w:vAlign w:val="bottom"/>
          </w:tcPr>
          <w:p>
            <w:pPr>
              <w:spacing w:after="0"/>
              <w:rPr>
                <w:sz w:val="1"/>
                <w:szCs w:val="1"/>
                <w:color w:val="auto"/>
              </w:rPr>
            </w:pPr>
          </w:p>
        </w:tc>
      </w:tr>
      <w:tr>
        <w:trPr>
          <w:trHeight w:val="208"/>
        </w:trPr>
        <w:tc>
          <w:tcPr>
            <w:tcW w:w="676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6"/>
                <w:szCs w:val="16"/>
                <w:color w:val="auto"/>
              </w:rPr>
              <w:t>Total number of shares purchased</w:t>
            </w:r>
          </w:p>
        </w:tc>
        <w:tc>
          <w:tcPr>
            <w:tcW w:w="200" w:type="dxa"/>
            <w:vAlign w:val="bottom"/>
            <w:tcBorders>
              <w:top w:val="single" w:sz="8" w:color="auto"/>
            </w:tcBorders>
            <w:shd w:val="clear" w:color="auto" w:fill="DCE2EF"/>
          </w:tcPr>
          <w:p>
            <w:pPr>
              <w:spacing w:after="0"/>
              <w:rPr>
                <w:sz w:val="18"/>
                <w:szCs w:val="18"/>
                <w:color w:val="auto"/>
              </w:rPr>
            </w:pPr>
          </w:p>
        </w:tc>
        <w:tc>
          <w:tcPr>
            <w:tcW w:w="19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top w:val="single" w:sz="8" w:color="DCE2EF"/>
            </w:tcBorders>
            <w:shd w:val="clear" w:color="auto" w:fill="DCE2EF"/>
          </w:tcPr>
          <w:p>
            <w:pPr>
              <w:spacing w:after="0"/>
              <w:rPr>
                <w:sz w:val="18"/>
                <w:szCs w:val="18"/>
                <w:color w:val="auto"/>
              </w:rPr>
            </w:pPr>
          </w:p>
        </w:tc>
        <w:tc>
          <w:tcPr>
            <w:tcW w:w="200" w:type="dxa"/>
            <w:vAlign w:val="bottom"/>
            <w:tcBorders>
              <w:top w:val="single" w:sz="8" w:color="auto"/>
            </w:tcBorders>
            <w:shd w:val="clear" w:color="auto" w:fill="DCE2EF"/>
          </w:tcPr>
          <w:p>
            <w:pPr>
              <w:spacing w:after="0"/>
              <w:rPr>
                <w:sz w:val="18"/>
                <w:szCs w:val="18"/>
                <w:color w:val="auto"/>
              </w:rPr>
            </w:pPr>
          </w:p>
        </w:tc>
        <w:tc>
          <w:tcPr>
            <w:tcW w:w="1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760" w:type="dxa"/>
            <w:vAlign w:val="bottom"/>
          </w:tcPr>
          <w:p>
            <w:pPr>
              <w:ind w:left="20"/>
              <w:spacing w:after="0"/>
              <w:rPr>
                <w:sz w:val="20"/>
                <w:szCs w:val="20"/>
                <w:color w:val="auto"/>
              </w:rPr>
            </w:pPr>
            <w:r>
              <w:rPr>
                <w:rFonts w:ascii="Arial" w:cs="Arial" w:eastAsia="Arial" w:hAnsi="Arial"/>
                <w:sz w:val="16"/>
                <w:szCs w:val="16"/>
                <w:color w:val="auto"/>
              </w:rPr>
              <w:t>Average price paid per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51.23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DCE2EF"/>
          </w:tcPr>
          <w:p>
            <w:pPr>
              <w:ind w:left="20"/>
              <w:spacing w:after="0"/>
              <w:rPr>
                <w:sz w:val="20"/>
                <w:szCs w:val="20"/>
                <w:color w:val="auto"/>
              </w:rPr>
            </w:pPr>
            <w:r>
              <w:rPr>
                <w:rFonts w:ascii="Arial" w:cs="Arial" w:eastAsia="Arial" w:hAnsi="Arial"/>
                <w:sz w:val="16"/>
                <w:szCs w:val="16"/>
                <w:color w:val="auto"/>
              </w:rPr>
              <w:t>Total cash paid for share repurchases</w:t>
            </w: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69" w:lineRule="exact"/>
        <w:rPr>
          <w:sz w:val="20"/>
          <w:szCs w:val="20"/>
          <w:color w:val="auto"/>
        </w:rPr>
      </w:pPr>
    </w:p>
    <w:p>
      <w:pPr>
        <w:jc w:val="both"/>
        <w:ind w:right="100" w:firstLine="645"/>
        <w:spacing w:after="0" w:line="285"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January 31, 2025, these letters of credit totaled $29.7 million and surety bonds and surety-backed letters of credit totaled $894.7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69" w:lineRule="exact"/>
        <w:rPr>
          <w:sz w:val="20"/>
          <w:szCs w:val="20"/>
          <w:color w:val="auto"/>
        </w:rPr>
      </w:pPr>
    </w:p>
    <w:p>
      <w:pPr>
        <w:jc w:val="both"/>
        <w:ind w:right="100" w:firstLine="645"/>
        <w:spacing w:after="0" w:line="256"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January 31, 2025, total guarantees were $232.5 million and extend through 2045. We include the estimated costs of guarantees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Historically, we have not incurred any material losses in connection with these guarantees.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Taxes</w:t>
      </w:r>
    </w:p>
    <w:p>
      <w:pPr>
        <w:spacing w:after="0" w:line="169" w:lineRule="exact"/>
        <w:rPr>
          <w:sz w:val="20"/>
          <w:szCs w:val="20"/>
          <w:color w:val="auto"/>
        </w:rPr>
      </w:pPr>
    </w:p>
    <w:p>
      <w:pPr>
        <w:jc w:val="both"/>
        <w:ind w:right="100" w:firstLine="645"/>
        <w:spacing w:after="0" w:line="267" w:lineRule="auto"/>
        <w:rPr>
          <w:sz w:val="20"/>
          <w:szCs w:val="20"/>
          <w:color w:val="auto"/>
        </w:rPr>
      </w:pPr>
      <w:r>
        <w:rPr>
          <w:rFonts w:ascii="Arial" w:cs="Arial" w:eastAsia="Arial" w:hAnsi="Arial"/>
          <w:sz w:val="18"/>
          <w:szCs w:val="18"/>
          <w:color w:val="auto"/>
        </w:rPr>
        <w:t>We collect sales tax from clients and remit those collections to the applicable states. In some cases when clients fail to pay their invoices, including the amount of any sales tax that we paid on their behalf, we may be entitled to seek a refund of that amount of sales tax from the applicable state.</w:t>
      </w:r>
    </w:p>
    <w:p>
      <w:pPr>
        <w:spacing w:after="0" w:line="115" w:lineRule="exact"/>
        <w:rPr>
          <w:sz w:val="20"/>
          <w:szCs w:val="20"/>
          <w:color w:val="auto"/>
        </w:rPr>
      </w:pPr>
    </w:p>
    <w:p>
      <w:pPr>
        <w:jc w:val="both"/>
        <w:ind w:right="100" w:firstLine="645"/>
        <w:spacing w:after="0" w:line="264" w:lineRule="auto"/>
        <w:rPr>
          <w:sz w:val="20"/>
          <w:szCs w:val="20"/>
          <w:color w:val="auto"/>
        </w:rPr>
      </w:pPr>
      <w:r>
        <w:rPr>
          <w:rFonts w:ascii="Arial" w:cs="Arial" w:eastAsia="Arial" w:hAnsi="Arial"/>
          <w:sz w:val="18"/>
          <w:szCs w:val="18"/>
          <w:color w:val="auto"/>
        </w:rPr>
        <w:t>Sales tax laws and regulations enacted by the various states are subject to interpretation, and our compliance with such laws is routinely subject to audit and review by such states. Audit risk is concentrated in several states that are conducting ongoing audits. The outcomes of ongoing and any future audits and changes in the states’ interpretation of the sales tax laws and regulations could materially adversely impact our results of operations</w:t>
      </w:r>
      <w:r>
        <w:rPr>
          <w:rFonts w:ascii="Arial" w:cs="Arial" w:eastAsia="Arial" w:hAnsi="Arial"/>
          <w:sz w:val="18"/>
          <w:szCs w:val="18"/>
          <w:b w:val="1"/>
          <w:bCs w:val="1"/>
          <w:color w:val="0046AD"/>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Legal Matters</w:t>
      </w:r>
    </w:p>
    <w:p>
      <w:pPr>
        <w:spacing w:after="0" w:line="169" w:lineRule="exact"/>
        <w:rPr>
          <w:sz w:val="20"/>
          <w:szCs w:val="20"/>
          <w:color w:val="auto"/>
        </w:rPr>
      </w:pPr>
    </w:p>
    <w:p>
      <w:pPr>
        <w:jc w:val="both"/>
        <w:ind w:right="100" w:firstLine="645"/>
        <w:spacing w:after="0" w:line="285"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w:t>
      </w: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49" w:right="239" w:bottom="1440" w:gutter="0" w:footer="0" w:header="0"/>
        </w:sectPr>
      </w:pPr>
    </w:p>
    <w:bookmarkStart w:id="21" w:name="page22"/>
    <w:bookmarkEnd w:id="21"/>
    <w:p>
      <w:pPr>
        <w:jc w:val="both"/>
        <w:spacing w:after="0" w:line="285" w:lineRule="auto"/>
        <w:rPr>
          <w:sz w:val="20"/>
          <w:szCs w:val="20"/>
          <w:color w:val="auto"/>
        </w:rPr>
      </w:pPr>
      <w:r>
        <w:rPr>
          <w:rFonts w:ascii="Arial" w:cs="Arial" w:eastAsia="Arial" w:hAnsi="Arial"/>
          <w:sz w:val="18"/>
          <w:szCs w:val="18"/>
          <w:color w:val="auto"/>
        </w:rPr>
        <w:t>allege substantial monetary damages. Some of these actions may be brought as class actions on behalf of a class or purported class of employees.</w:t>
      </w:r>
    </w:p>
    <w:p>
      <w:pPr>
        <w:spacing w:after="0" w:line="100"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At January 31, 2025, the total amount accrued for probable litigation losses where a reasonable estimate of the loss could be made was $13.7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$13.6 million. Factors underlying this estimated range of loss may change from time to time, and actual results may vary significantly from this estimate.</w:t>
      </w:r>
    </w:p>
    <w:p>
      <w:pPr>
        <w:spacing w:after="0" w:line="126"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21"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1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In determining whether to include any particular lawsuit or other proceeding in our disclosure,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24"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We are currently not a party to any material legal proceedings, and we are not aware of filings of any pending or contemplated litigation, claims, or assessments. There can be no assurance that future legal proceedings arising in the ordinary course of business or otherwise will not have a material adverse effect on our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Our quarterly tax provision is calculated using an estimated annual effective tax rate that is adjusted for discrete items occurring during the period to arrive at our effective tax rate. During the three months ended January 31, 2025 and 2024, we had effective tax rates of 21.4% and 17.3%, respectively. The difference between the estimated annual effective tax rate before discrete items and statutory rate is primarily related to state income taxes, non-deductible compensation, and tax credits.</w:t>
      </w:r>
    </w:p>
    <w:p>
      <w:pPr>
        <w:spacing w:after="0" w:line="121"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Our effective tax rate for the three months ended January 31, 2025, was reduced by discrete items, primarily return to provision adjustments related to our non-U.S. operations. Our effective tax rate for the three months ended January 31, 2024, was reduced by discrete items, primarily adjustments for uncertain tax positions, share based compensation, and return to provision adjustments related to our non-U.S operations.</w:t>
      </w:r>
    </w:p>
    <w:p>
      <w:pPr>
        <w:spacing w:after="0" w:line="121"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The Organisation for Economic Co-operation and Development (OECD) Pillar Two Model Rules established a minimum global effective tax rate of 15% on country-by-country profits of large multinational companies. European Union member states along with many other countries have adopted or expect to adopt the OECD Pillar Two Model effective January 1, 2024, or thereafter. The OECD and other countries continue to publish guidelines and legislation that include transition and safe harbor rules. We continue to monitor new legislative changes and assess the global impact of the Pillar Two Model Rules. Based on our initial assessment, Pillar Two should not have a material impact to the Company’s income tax provision.</w:t>
      </w:r>
    </w:p>
    <w:p>
      <w:pPr>
        <w:spacing w:after="0" w:line="126"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0046AD"/>
        </w:rPr>
        <w:t>12.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reportable segments consist of B&amp;I, M&amp;D, Aviation, Education, and Technical Solutions, as further described below.</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220" w:type="dxa"/>
            <w:vAlign w:val="bottom"/>
            <w:tcBorders>
              <w:top w:val="single" w:sz="8" w:color="auto"/>
              <w:left w:val="single" w:sz="8" w:color="auto"/>
              <w:bottom w:val="single" w:sz="8" w:color="auto"/>
              <w:right w:val="single" w:sz="8" w:color="DCE2EF"/>
            </w:tcBorders>
            <w:shd w:val="clear" w:color="auto" w:fill="DCE2EF"/>
          </w:tcPr>
          <w:p>
            <w:pPr>
              <w:spacing w:after="0"/>
              <w:rPr>
                <w:sz w:val="19"/>
                <w:szCs w:val="19"/>
                <w:color w:val="auto"/>
              </w:rPr>
            </w:pPr>
          </w:p>
        </w:tc>
        <w:tc>
          <w:tcPr>
            <w:tcW w:w="8040" w:type="dxa"/>
            <w:vAlign w:val="bottom"/>
            <w:tcBorders>
              <w:top w:val="single" w:sz="8" w:color="auto"/>
              <w:bottom w:val="single" w:sz="8" w:color="auto"/>
              <w:right w:val="single" w:sz="8" w:color="auto"/>
            </w:tcBorders>
            <w:shd w:val="clear" w:color="auto" w:fill="DCE2EF"/>
          </w:tcPr>
          <w:p>
            <w:pPr>
              <w:ind w:left="560"/>
              <w:spacing w:after="0"/>
              <w:rPr>
                <w:sz w:val="20"/>
                <w:szCs w:val="20"/>
                <w:color w:val="auto"/>
              </w:rPr>
            </w:pPr>
            <w:r>
              <w:rPr>
                <w:rFonts w:ascii="Arial" w:cs="Arial" w:eastAsia="Arial" w:hAnsi="Arial"/>
                <w:sz w:val="16"/>
                <w:szCs w:val="16"/>
                <w:b w:val="1"/>
                <w:bCs w:val="1"/>
                <w:color w:val="0046AD"/>
              </w:rPr>
              <w:t>REPORTABLE SEGMENTS AND DESCRIPTIONS</w:t>
            </w:r>
          </w:p>
        </w:tc>
        <w:tc>
          <w:tcPr>
            <w:tcW w:w="0" w:type="dxa"/>
            <w:vAlign w:val="bottom"/>
          </w:tcPr>
          <w:p>
            <w:pPr>
              <w:spacing w:after="0"/>
              <w:rPr>
                <w:sz w:val="1"/>
                <w:szCs w:val="1"/>
                <w:color w:val="auto"/>
              </w:rPr>
            </w:pPr>
          </w:p>
        </w:tc>
      </w:tr>
      <w:tr>
        <w:trPr>
          <w:trHeight w:val="262"/>
        </w:trPr>
        <w:tc>
          <w:tcPr>
            <w:tcW w:w="3220" w:type="dxa"/>
            <w:vAlign w:val="bottom"/>
            <w:tcBorders>
              <w:left w:val="single" w:sz="8" w:color="auto"/>
              <w:right w:val="single" w:sz="8" w:color="auto"/>
            </w:tcBorders>
          </w:tcPr>
          <w:p>
            <w:pPr>
              <w:spacing w:after="0"/>
              <w:rPr>
                <w:sz w:val="22"/>
                <w:szCs w:val="22"/>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B&amp;I, our largest reportable segment, encompasses comprehensive facility solutions, including janitorial and</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maintenance, facilities engineering, and parking and transportation management to a diverse range of clients.</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B&amp;I</w:t>
            </w: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Our expertise extends to commercial real estate properties, including corporate offices for high-tech clients,</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continue"/>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sports and entertainment venues, and both traditional hospitals and non-acute healthcare facilities. We typically</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provide these services pursuant to monthly fixed-price, square-foot, cost-plus, and parking arrangements (i.e.,</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management reimbursement, leased location, or allowance) that are obtained through a competitive bid process</w:t>
            </w:r>
          </w:p>
        </w:tc>
        <w:tc>
          <w:tcPr>
            <w:tcW w:w="0" w:type="dxa"/>
            <w:vAlign w:val="bottom"/>
          </w:tcPr>
          <w:p>
            <w:pPr>
              <w:spacing w:after="0"/>
              <w:rPr>
                <w:sz w:val="1"/>
                <w:szCs w:val="1"/>
                <w:color w:val="auto"/>
              </w:rPr>
            </w:pPr>
          </w:p>
        </w:tc>
      </w:tr>
      <w:tr>
        <w:trPr>
          <w:trHeight w:val="214"/>
        </w:trPr>
        <w:tc>
          <w:tcPr>
            <w:tcW w:w="3220" w:type="dxa"/>
            <w:vAlign w:val="bottom"/>
            <w:tcBorders>
              <w:left w:val="single" w:sz="8" w:color="auto"/>
              <w:right w:val="single" w:sz="8" w:color="auto"/>
            </w:tcBorders>
          </w:tcPr>
          <w:p>
            <w:pPr>
              <w:spacing w:after="0"/>
              <w:rPr>
                <w:sz w:val="18"/>
                <w:szCs w:val="18"/>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 well as pursuant to work orders.</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220" w:type="dxa"/>
            <w:vAlign w:val="bottom"/>
            <w:tcBorders>
              <w:left w:val="single" w:sz="8" w:color="auto"/>
              <w:right w:val="single" w:sz="8" w:color="auto"/>
            </w:tcBorders>
          </w:tcPr>
          <w:p>
            <w:pPr>
              <w:spacing w:after="0"/>
              <w:rPr>
                <w:sz w:val="13"/>
                <w:szCs w:val="13"/>
                <w:color w:val="auto"/>
              </w:rPr>
            </w:pPr>
          </w:p>
        </w:tc>
        <w:tc>
          <w:tcPr>
            <w:tcW w:w="80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M&amp;D provides integrated facility services, engineering, janitorial and maintenance, and other specialized</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M&amp;D</w:t>
            </w: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solutions to a variety of manufacturing, distribution, and data center facilities. We typically provide these</w:t>
            </w:r>
          </w:p>
        </w:tc>
        <w:tc>
          <w:tcPr>
            <w:tcW w:w="0" w:type="dxa"/>
            <w:vAlign w:val="bottom"/>
          </w:tcPr>
          <w:p>
            <w:pPr>
              <w:spacing w:after="0"/>
              <w:rPr>
                <w:sz w:val="1"/>
                <w:szCs w:val="1"/>
                <w:color w:val="auto"/>
              </w:rPr>
            </w:pPr>
          </w:p>
        </w:tc>
      </w:tr>
      <w:tr>
        <w:trPr>
          <w:trHeight w:val="133"/>
        </w:trPr>
        <w:tc>
          <w:tcPr>
            <w:tcW w:w="3220" w:type="dxa"/>
            <w:vAlign w:val="bottom"/>
            <w:tcBorders>
              <w:left w:val="single" w:sz="8" w:color="auto"/>
              <w:right w:val="single" w:sz="8" w:color="auto"/>
            </w:tcBorders>
            <w:vMerge w:val="continue"/>
          </w:tcPr>
          <w:p>
            <w:pPr>
              <w:spacing w:after="0"/>
              <w:rPr>
                <w:sz w:val="11"/>
                <w:szCs w:val="11"/>
                <w:color w:val="auto"/>
              </w:rPr>
            </w:pPr>
          </w:p>
        </w:tc>
        <w:tc>
          <w:tcPr>
            <w:tcW w:w="8040" w:type="dxa"/>
            <w:vAlign w:val="bottom"/>
            <w:tcBorders>
              <w:right w:val="single" w:sz="8" w:color="auto"/>
            </w:tcBorders>
            <w:vMerge w:val="restart"/>
          </w:tcPr>
          <w:p>
            <w:pPr>
              <w:ind w:left="20"/>
              <w:spacing w:after="0" w:line="161" w:lineRule="exact"/>
              <w:rPr>
                <w:sz w:val="20"/>
                <w:szCs w:val="20"/>
                <w:color w:val="auto"/>
              </w:rPr>
            </w:pPr>
            <w:r>
              <w:rPr>
                <w:rFonts w:ascii="Arial" w:cs="Arial" w:eastAsia="Arial" w:hAnsi="Arial"/>
                <w:sz w:val="16"/>
                <w:szCs w:val="16"/>
                <w:color w:val="auto"/>
              </w:rPr>
              <w:t>services pursuant to monthly fixed-price, square-foot, and cost-plus, that are obtained through a competitive bid</w:t>
            </w:r>
          </w:p>
        </w:tc>
        <w:tc>
          <w:tcPr>
            <w:tcW w:w="0" w:type="dxa"/>
            <w:vAlign w:val="bottom"/>
          </w:tcPr>
          <w:p>
            <w:pPr>
              <w:spacing w:after="0"/>
              <w:rPr>
                <w:sz w:val="1"/>
                <w:szCs w:val="1"/>
                <w:color w:val="auto"/>
              </w:rPr>
            </w:pPr>
          </w:p>
        </w:tc>
      </w:tr>
      <w:tr>
        <w:trPr>
          <w:trHeight w:val="29"/>
        </w:trPr>
        <w:tc>
          <w:tcPr>
            <w:tcW w:w="3220" w:type="dxa"/>
            <w:vAlign w:val="bottom"/>
            <w:tcBorders>
              <w:left w:val="single" w:sz="8" w:color="auto"/>
              <w:right w:val="single" w:sz="8" w:color="auto"/>
            </w:tcBorders>
          </w:tcPr>
          <w:p>
            <w:pPr>
              <w:spacing w:after="0"/>
              <w:rPr>
                <w:sz w:val="2"/>
                <w:szCs w:val="2"/>
                <w:color w:val="auto"/>
              </w:rPr>
            </w:pPr>
          </w:p>
        </w:tc>
        <w:tc>
          <w:tcPr>
            <w:tcW w:w="80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220" w:type="dxa"/>
            <w:vAlign w:val="bottom"/>
            <w:tcBorders>
              <w:left w:val="single" w:sz="8" w:color="auto"/>
              <w:bottom w:val="single" w:sz="8" w:color="auto"/>
              <w:right w:val="single" w:sz="8" w:color="auto"/>
            </w:tcBorders>
          </w:tcPr>
          <w:p>
            <w:pPr>
              <w:spacing w:after="0"/>
              <w:rPr>
                <w:sz w:val="18"/>
                <w:szCs w:val="18"/>
                <w:color w:val="auto"/>
              </w:rPr>
            </w:pPr>
          </w:p>
        </w:tc>
        <w:tc>
          <w:tcPr>
            <w:tcW w:w="8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process as well as pursuant to work orders.</w:t>
            </w:r>
          </w:p>
        </w:tc>
        <w:tc>
          <w:tcPr>
            <w:tcW w:w="0" w:type="dxa"/>
            <w:vAlign w:val="bottom"/>
          </w:tcPr>
          <w:p>
            <w:pPr>
              <w:spacing w:after="0"/>
              <w:rPr>
                <w:sz w:val="1"/>
                <w:szCs w:val="1"/>
                <w:color w:val="auto"/>
              </w:rPr>
            </w:pPr>
          </w:p>
        </w:tc>
      </w:tr>
      <w:tr>
        <w:trPr>
          <w:trHeight w:val="155"/>
        </w:trPr>
        <w:tc>
          <w:tcPr>
            <w:tcW w:w="3220" w:type="dxa"/>
            <w:vAlign w:val="bottom"/>
            <w:tcBorders>
              <w:left w:val="single" w:sz="8" w:color="auto"/>
              <w:right w:val="single" w:sz="8" w:color="auto"/>
            </w:tcBorders>
          </w:tcPr>
          <w:p>
            <w:pPr>
              <w:spacing w:after="0"/>
              <w:rPr>
                <w:sz w:val="13"/>
                <w:szCs w:val="13"/>
                <w:color w:val="auto"/>
              </w:rPr>
            </w:pPr>
          </w:p>
        </w:tc>
        <w:tc>
          <w:tcPr>
            <w:tcW w:w="80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Aviation provides comprehensive support services to airlines and airports, including parking and transportation</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Aviation</w:t>
            </w: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management, janitorial and maintenance services, passenger assistance, catering logistics, aircraft cabin</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continue"/>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maintenance, and transportation solutions. We typically provide services to clients in this segment under master</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services agreements. These agreements are typically re-bid upon renewal and are generally structured as</w:t>
            </w:r>
          </w:p>
        </w:tc>
        <w:tc>
          <w:tcPr>
            <w:tcW w:w="0" w:type="dxa"/>
            <w:vAlign w:val="bottom"/>
          </w:tcPr>
          <w:p>
            <w:pPr>
              <w:spacing w:after="0"/>
              <w:rPr>
                <w:sz w:val="1"/>
                <w:szCs w:val="1"/>
                <w:color w:val="auto"/>
              </w:rPr>
            </w:pPr>
          </w:p>
        </w:tc>
      </w:tr>
      <w:tr>
        <w:trPr>
          <w:trHeight w:val="214"/>
        </w:trPr>
        <w:tc>
          <w:tcPr>
            <w:tcW w:w="3220" w:type="dxa"/>
            <w:vAlign w:val="bottom"/>
            <w:tcBorders>
              <w:left w:val="single" w:sz="8" w:color="auto"/>
              <w:bottom w:val="single" w:sz="8" w:color="auto"/>
              <w:right w:val="single" w:sz="8" w:color="auto"/>
            </w:tcBorders>
          </w:tcPr>
          <w:p>
            <w:pPr>
              <w:spacing w:after="0"/>
              <w:rPr>
                <w:sz w:val="18"/>
                <w:szCs w:val="18"/>
                <w:color w:val="auto"/>
              </w:rPr>
            </w:pPr>
          </w:p>
        </w:tc>
        <w:tc>
          <w:tcPr>
            <w:tcW w:w="8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monthly fixed-price, square-foot, cost-plus, parking, transaction-price, and hourly arrangements.</w:t>
            </w:r>
          </w:p>
        </w:tc>
        <w:tc>
          <w:tcPr>
            <w:tcW w:w="0" w:type="dxa"/>
            <w:vAlign w:val="bottom"/>
          </w:tcPr>
          <w:p>
            <w:pPr>
              <w:spacing w:after="0"/>
              <w:rPr>
                <w:sz w:val="1"/>
                <w:szCs w:val="1"/>
                <w:color w:val="auto"/>
              </w:rPr>
            </w:pPr>
          </w:p>
        </w:tc>
      </w:tr>
      <w:tr>
        <w:trPr>
          <w:trHeight w:val="263"/>
        </w:trPr>
        <w:tc>
          <w:tcPr>
            <w:tcW w:w="3220" w:type="dxa"/>
            <w:vAlign w:val="bottom"/>
            <w:tcBorders>
              <w:left w:val="single" w:sz="8" w:color="auto"/>
              <w:right w:val="single" w:sz="8" w:color="auto"/>
            </w:tcBorders>
          </w:tcPr>
          <w:p>
            <w:pPr>
              <w:spacing w:after="0"/>
              <w:rPr>
                <w:sz w:val="22"/>
                <w:szCs w:val="22"/>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Education delivers comprehensive facility services to public school districts, private schools, colleges, and</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Education</w:t>
            </w: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universities. Our services include janitorial and custodial services, landscaping and grounds maintenance,</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continue"/>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facilities engineering, and parking management. These services are typically provided pursuant to monthly</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fixed-price, square-foot, and cost-plus arrangements that are obtained through either a competitive bid process</w:t>
            </w:r>
          </w:p>
        </w:tc>
        <w:tc>
          <w:tcPr>
            <w:tcW w:w="0" w:type="dxa"/>
            <w:vAlign w:val="bottom"/>
          </w:tcPr>
          <w:p>
            <w:pPr>
              <w:spacing w:after="0"/>
              <w:rPr>
                <w:sz w:val="1"/>
                <w:szCs w:val="1"/>
                <w:color w:val="auto"/>
              </w:rPr>
            </w:pPr>
          </w:p>
        </w:tc>
      </w:tr>
      <w:tr>
        <w:trPr>
          <w:trHeight w:val="214"/>
        </w:trPr>
        <w:tc>
          <w:tcPr>
            <w:tcW w:w="3220" w:type="dxa"/>
            <w:vAlign w:val="bottom"/>
            <w:tcBorders>
              <w:left w:val="single" w:sz="8" w:color="auto"/>
              <w:right w:val="single" w:sz="8" w:color="auto"/>
            </w:tcBorders>
          </w:tcPr>
          <w:p>
            <w:pPr>
              <w:spacing w:after="0"/>
              <w:rPr>
                <w:sz w:val="18"/>
                <w:szCs w:val="18"/>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or re-bid upon renewal as well as pursuant to work orders.</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220" w:type="dxa"/>
            <w:vAlign w:val="bottom"/>
            <w:tcBorders>
              <w:left w:val="single" w:sz="8" w:color="auto"/>
              <w:right w:val="single" w:sz="8" w:color="auto"/>
            </w:tcBorders>
          </w:tcPr>
          <w:p>
            <w:pPr>
              <w:spacing w:after="0"/>
              <w:rPr>
                <w:sz w:val="22"/>
                <w:szCs w:val="22"/>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Technical Solutions specializes in comprehensive facility infrastructure services, including mechanical and</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electrical systems, EV charging station design, installation, and maintenance, as well as microgrid systems</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Technical Solutions</w:t>
            </w: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encompassing uninterrupted power supply (“UPS”) systems and power distribution units. These offerings are</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vMerge w:val="continue"/>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strategically leveraged for cross-selling across all our industry groups, both domestically and internationally.</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Contracts for this segment are generally structured as electrical contracting services for energy related products</w:t>
            </w:r>
          </w:p>
        </w:tc>
        <w:tc>
          <w:tcPr>
            <w:tcW w:w="0" w:type="dxa"/>
            <w:vAlign w:val="bottom"/>
          </w:tcPr>
          <w:p>
            <w:pPr>
              <w:spacing w:after="0"/>
              <w:rPr>
                <w:sz w:val="1"/>
                <w:szCs w:val="1"/>
                <w:color w:val="auto"/>
              </w:rPr>
            </w:pPr>
          </w:p>
        </w:tc>
      </w:tr>
      <w:tr>
        <w:trPr>
          <w:trHeight w:val="161"/>
        </w:trPr>
        <w:tc>
          <w:tcPr>
            <w:tcW w:w="3220" w:type="dxa"/>
            <w:vAlign w:val="bottom"/>
            <w:tcBorders>
              <w:left w:val="single" w:sz="8" w:color="auto"/>
              <w:right w:val="single" w:sz="8" w:color="auto"/>
            </w:tcBorders>
          </w:tcPr>
          <w:p>
            <w:pPr>
              <w:spacing w:after="0"/>
              <w:rPr>
                <w:sz w:val="14"/>
                <w:szCs w:val="14"/>
                <w:color w:val="auto"/>
              </w:rPr>
            </w:pPr>
          </w:p>
        </w:tc>
        <w:tc>
          <w:tcPr>
            <w:tcW w:w="804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such as the installation of solar solutions, battery storage, distributed generation, and other specialized electric</w:t>
            </w:r>
          </w:p>
        </w:tc>
        <w:tc>
          <w:tcPr>
            <w:tcW w:w="0" w:type="dxa"/>
            <w:vAlign w:val="bottom"/>
          </w:tcPr>
          <w:p>
            <w:pPr>
              <w:spacing w:after="0"/>
              <w:rPr>
                <w:sz w:val="1"/>
                <w:szCs w:val="1"/>
                <w:color w:val="auto"/>
              </w:rPr>
            </w:pPr>
          </w:p>
        </w:tc>
      </w:tr>
      <w:tr>
        <w:trPr>
          <w:trHeight w:val="214"/>
        </w:trPr>
        <w:tc>
          <w:tcPr>
            <w:tcW w:w="3220" w:type="dxa"/>
            <w:vAlign w:val="bottom"/>
            <w:tcBorders>
              <w:left w:val="single" w:sz="8" w:color="auto"/>
              <w:right w:val="single" w:sz="8" w:color="auto"/>
            </w:tcBorders>
          </w:tcPr>
          <w:p>
            <w:pPr>
              <w:spacing w:after="0"/>
              <w:rPr>
                <w:sz w:val="18"/>
                <w:szCs w:val="18"/>
                <w:color w:val="auto"/>
              </w:rPr>
            </w:pPr>
          </w:p>
        </w:tc>
        <w:tc>
          <w:tcPr>
            <w:tcW w:w="8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trade.</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303"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159"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auto"/>
        </w:rPr>
        <w:t>Three Months Ended January 31,</w:t>
      </w:r>
    </w:p>
    <w:p>
      <w:pPr>
        <w:spacing w:after="0" w:line="32" w:lineRule="exact"/>
        <w:rPr>
          <w:sz w:val="20"/>
          <w:szCs w:val="20"/>
          <w:color w:val="auto"/>
        </w:rPr>
      </w:pPr>
    </w:p>
    <w:tbl>
      <w:tblPr>
        <w:tblLayout w:type="fixed"/>
        <w:tblInd w:w="280" w:type="dxa"/>
        <w:tblCellMar>
          <w:top w:w="0" w:type="dxa"/>
          <w:left w:w="0" w:type="dxa"/>
          <w:bottom w:w="0" w:type="dxa"/>
          <w:right w:w="0" w:type="dxa"/>
        </w:tblCellMar>
      </w:tblPr>
      <w:tr>
        <w:trPr>
          <w:trHeight w:val="155"/>
        </w:trPr>
        <w:tc>
          <w:tcPr>
            <w:tcW w:w="636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right"/>
              <w:ind w:right="799"/>
              <w:spacing w:after="0" w:line="155"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right"/>
              <w:ind w:right="819"/>
              <w:spacing w:after="0" w:line="155"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5640" w:type="dxa"/>
            <w:vAlign w:val="bottom"/>
            <w:tcBorders>
              <w:bottom w:val="single" w:sz="8" w:color="DCE2E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36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Revenues</w:t>
            </w:r>
          </w:p>
        </w:tc>
        <w:tc>
          <w:tcPr>
            <w:tcW w:w="480" w:type="dxa"/>
            <w:vAlign w:val="bottom"/>
            <w:shd w:val="clear" w:color="auto" w:fill="DCE2EF"/>
          </w:tcPr>
          <w:p>
            <w:pPr>
              <w:spacing w:after="0"/>
              <w:rPr>
                <w:sz w:val="16"/>
                <w:szCs w:val="16"/>
                <w:color w:val="auto"/>
              </w:rPr>
            </w:pPr>
          </w:p>
        </w:tc>
        <w:tc>
          <w:tcPr>
            <w:tcW w:w="16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500" w:type="dxa"/>
            <w:vAlign w:val="bottom"/>
            <w:shd w:val="clear" w:color="auto" w:fill="DCE2EF"/>
          </w:tcPr>
          <w:p>
            <w:pPr>
              <w:spacing w:after="0"/>
              <w:rPr>
                <w:sz w:val="16"/>
                <w:szCs w:val="16"/>
                <w:color w:val="auto"/>
              </w:rPr>
            </w:pPr>
          </w:p>
        </w:tc>
        <w:tc>
          <w:tcPr>
            <w:tcW w:w="16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360" w:type="dxa"/>
            <w:vAlign w:val="bottom"/>
            <w:gridSpan w:val="3"/>
          </w:tcPr>
          <w:p>
            <w:pPr>
              <w:ind w:left="20"/>
              <w:spacing w:after="0"/>
              <w:rPr>
                <w:sz w:val="20"/>
                <w:szCs w:val="20"/>
                <w:color w:val="auto"/>
              </w:rPr>
            </w:pPr>
            <w:r>
              <w:rPr>
                <w:rFonts w:ascii="Arial" w:cs="Arial" w:eastAsia="Arial" w:hAnsi="Arial"/>
                <w:sz w:val="16"/>
                <w:szCs w:val="16"/>
                <w:color w:val="auto"/>
              </w:rPr>
              <w:t>Business &amp; Industry</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Manufacturing &amp; Distribution</w:t>
            </w:r>
          </w:p>
        </w:tc>
        <w:tc>
          <w:tcPr>
            <w:tcW w:w="48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394.3</w:t>
            </w:r>
          </w:p>
        </w:tc>
        <w:tc>
          <w:tcPr>
            <w:tcW w:w="10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400.9</w:t>
            </w:r>
          </w:p>
        </w:tc>
        <w:tc>
          <w:tcPr>
            <w:tcW w:w="0" w:type="dxa"/>
            <w:vAlign w:val="bottom"/>
          </w:tcPr>
          <w:p>
            <w:pPr>
              <w:spacing w:after="0"/>
              <w:rPr>
                <w:sz w:val="1"/>
                <w:szCs w:val="1"/>
                <w:color w:val="auto"/>
              </w:rPr>
            </w:pPr>
          </w:p>
        </w:tc>
      </w:tr>
      <w:tr>
        <w:trPr>
          <w:trHeight w:val="214"/>
        </w:trPr>
        <w:tc>
          <w:tcPr>
            <w:tcW w:w="6360" w:type="dxa"/>
            <w:vAlign w:val="bottom"/>
            <w:gridSpan w:val="3"/>
          </w:tcPr>
          <w:p>
            <w:pPr>
              <w:ind w:left="20"/>
              <w:spacing w:after="0"/>
              <w:rPr>
                <w:sz w:val="20"/>
                <w:szCs w:val="20"/>
                <w:color w:val="auto"/>
              </w:rPr>
            </w:pPr>
            <w:r>
              <w:rPr>
                <w:rFonts w:ascii="Arial" w:cs="Arial" w:eastAsia="Arial" w:hAnsi="Arial"/>
                <w:sz w:val="16"/>
                <w:szCs w:val="16"/>
                <w:color w:val="auto"/>
              </w:rPr>
              <w:t>Aviation</w:t>
            </w: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270.1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Education</w:t>
            </w:r>
          </w:p>
        </w:tc>
        <w:tc>
          <w:tcPr>
            <w:tcW w:w="48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225.3</w:t>
            </w:r>
          </w:p>
        </w:tc>
        <w:tc>
          <w:tcPr>
            <w:tcW w:w="10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214"/>
        </w:trPr>
        <w:tc>
          <w:tcPr>
            <w:tcW w:w="636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Technical Solutions</w:t>
            </w: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DCE2E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0" w:type="dxa"/>
            <w:vAlign w:val="bottom"/>
          </w:tcPr>
          <w:p>
            <w:pPr>
              <w:spacing w:after="0"/>
              <w:rPr>
                <w:sz w:val="1"/>
                <w:szCs w:val="1"/>
                <w:color w:val="auto"/>
              </w:rPr>
            </w:pPr>
          </w:p>
        </w:tc>
      </w:tr>
      <w:tr>
        <w:trPr>
          <w:trHeight w:val="234"/>
        </w:trPr>
        <w:tc>
          <w:tcPr>
            <w:tcW w:w="63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Total Revenues</w:t>
            </w:r>
          </w:p>
        </w:tc>
        <w:tc>
          <w:tcPr>
            <w:tcW w:w="480" w:type="dxa"/>
            <w:vAlign w:val="bottom"/>
            <w:tcBorders>
              <w:bottom w:val="single" w:sz="8" w:color="auto"/>
            </w:tcBorders>
            <w:shd w:val="clear" w:color="auto" w:fill="DCE2EF"/>
          </w:tcPr>
          <w:p>
            <w:pPr>
              <w:jc w:val="right"/>
              <w:ind w:right="2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2,114.9</w:t>
            </w:r>
          </w:p>
        </w:tc>
        <w:tc>
          <w:tcPr>
            <w:tcW w:w="100" w:type="dxa"/>
            <w:vAlign w:val="bottom"/>
            <w:tcBorders>
              <w:bottom w:val="single" w:sz="8" w:color="DCE2EF"/>
            </w:tcBorders>
            <w:shd w:val="clear" w:color="auto" w:fill="DCE2EF"/>
          </w:tcPr>
          <w:p>
            <w:pPr>
              <w:spacing w:after="0"/>
              <w:rPr>
                <w:sz w:val="19"/>
                <w:szCs w:val="19"/>
                <w:color w:val="auto"/>
              </w:rPr>
            </w:pPr>
          </w:p>
        </w:tc>
        <w:tc>
          <w:tcPr>
            <w:tcW w:w="500" w:type="dxa"/>
            <w:vAlign w:val="bottom"/>
            <w:tcBorders>
              <w:bottom w:val="single" w:sz="8" w:color="auto"/>
            </w:tcBorders>
            <w:shd w:val="clear" w:color="auto" w:fill="DCE2EF"/>
          </w:tcPr>
          <w:p>
            <w:pPr>
              <w:jc w:val="right"/>
              <w:ind w:right="2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2,069.6</w:t>
            </w:r>
          </w:p>
        </w:tc>
        <w:tc>
          <w:tcPr>
            <w:tcW w:w="0" w:type="dxa"/>
            <w:vAlign w:val="bottom"/>
          </w:tcPr>
          <w:p>
            <w:pPr>
              <w:spacing w:after="0"/>
              <w:rPr>
                <w:sz w:val="1"/>
                <w:szCs w:val="1"/>
                <w:color w:val="auto"/>
              </w:rPr>
            </w:pPr>
          </w:p>
        </w:tc>
      </w:tr>
      <w:tr>
        <w:trPr>
          <w:trHeight w:val="20"/>
        </w:trPr>
        <w:tc>
          <w:tcPr>
            <w:tcW w:w="636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6"/>
                <w:szCs w:val="16"/>
                <w:b w:val="1"/>
                <w:bCs w:val="1"/>
                <w:color w:val="auto"/>
              </w:rPr>
              <w:t>Operating profit</w:t>
            </w: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6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16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36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36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Business &amp; Industry</w:t>
            </w:r>
          </w:p>
        </w:tc>
        <w:tc>
          <w:tcPr>
            <w:tcW w:w="480" w:type="dxa"/>
            <w:vAlign w:val="bottom"/>
            <w:shd w:val="clear" w:color="auto" w:fill="DCE2EF"/>
          </w:tcPr>
          <w:p>
            <w:pPr>
              <w:jc w:val="right"/>
              <w:ind w:right="29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DCE2EF"/>
          </w:tcPr>
          <w:p>
            <w:pPr>
              <w:spacing w:after="0"/>
              <w:rPr>
                <w:sz w:val="18"/>
                <w:szCs w:val="18"/>
                <w:color w:val="auto"/>
              </w:rPr>
            </w:pPr>
          </w:p>
        </w:tc>
        <w:tc>
          <w:tcPr>
            <w:tcW w:w="500" w:type="dxa"/>
            <w:vAlign w:val="bottom"/>
            <w:shd w:val="clear" w:color="auto" w:fill="DCE2EF"/>
          </w:tcPr>
          <w:p>
            <w:pPr>
              <w:jc w:val="right"/>
              <w:ind w:right="2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14"/>
        </w:trPr>
        <w:tc>
          <w:tcPr>
            <w:tcW w:w="6360" w:type="dxa"/>
            <w:vAlign w:val="bottom"/>
            <w:gridSpan w:val="3"/>
          </w:tcPr>
          <w:p>
            <w:pPr>
              <w:ind w:left="20"/>
              <w:spacing w:after="0"/>
              <w:rPr>
                <w:sz w:val="20"/>
                <w:szCs w:val="20"/>
                <w:color w:val="auto"/>
              </w:rPr>
            </w:pPr>
            <w:r>
              <w:rPr>
                <w:rFonts w:ascii="Arial" w:cs="Arial" w:eastAsia="Arial" w:hAnsi="Arial"/>
                <w:sz w:val="16"/>
                <w:szCs w:val="16"/>
                <w:color w:val="auto"/>
              </w:rPr>
              <w:t>Manufacturing &amp; Distribution</w:t>
            </w: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Aviation</w:t>
            </w:r>
          </w:p>
        </w:tc>
        <w:tc>
          <w:tcPr>
            <w:tcW w:w="48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4"/>
        </w:trPr>
        <w:tc>
          <w:tcPr>
            <w:tcW w:w="6360" w:type="dxa"/>
            <w:vAlign w:val="bottom"/>
            <w:gridSpan w:val="3"/>
          </w:tcPr>
          <w:p>
            <w:pPr>
              <w:ind w:left="20"/>
              <w:spacing w:after="0"/>
              <w:rPr>
                <w:sz w:val="20"/>
                <w:szCs w:val="20"/>
                <w:color w:val="auto"/>
              </w:rPr>
            </w:pPr>
            <w:r>
              <w:rPr>
                <w:rFonts w:ascii="Arial" w:cs="Arial" w:eastAsia="Arial" w:hAnsi="Arial"/>
                <w:sz w:val="16"/>
                <w:szCs w:val="16"/>
                <w:color w:val="auto"/>
              </w:rPr>
              <w:t>Education</w:t>
            </w: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Technical Solutions</w:t>
            </w:r>
          </w:p>
        </w:tc>
        <w:tc>
          <w:tcPr>
            <w:tcW w:w="48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4"/>
        </w:trPr>
        <w:tc>
          <w:tcPr>
            <w:tcW w:w="6360" w:type="dxa"/>
            <w:vAlign w:val="bottom"/>
            <w:gridSpan w:val="3"/>
          </w:tcPr>
          <w:p>
            <w:pPr>
              <w:ind w:left="20"/>
              <w:spacing w:after="0"/>
              <w:rPr>
                <w:sz w:val="20"/>
                <w:szCs w:val="20"/>
                <w:color w:val="auto"/>
              </w:rPr>
            </w:pPr>
            <w:r>
              <w:rPr>
                <w:rFonts w:ascii="Arial" w:cs="Arial" w:eastAsia="Arial" w:hAnsi="Arial"/>
                <w:sz w:val="16"/>
                <w:szCs w:val="16"/>
                <w:color w:val="auto"/>
              </w:rPr>
              <w:t>Corporate</w:t>
            </w: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01"/>
        </w:trPr>
        <w:tc>
          <w:tcPr>
            <w:tcW w:w="636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Adjustment for income from unconsolidated affiliates, included in Aviation and Technical</w:t>
            </w:r>
          </w:p>
        </w:tc>
        <w:tc>
          <w:tcPr>
            <w:tcW w:w="480" w:type="dxa"/>
            <w:vAlign w:val="bottom"/>
            <w:shd w:val="clear" w:color="auto" w:fill="DCE2EF"/>
          </w:tcPr>
          <w:p>
            <w:pPr>
              <w:spacing w:after="0"/>
              <w:rPr>
                <w:sz w:val="17"/>
                <w:szCs w:val="17"/>
                <w:color w:val="auto"/>
              </w:rPr>
            </w:pPr>
          </w:p>
        </w:tc>
        <w:tc>
          <w:tcPr>
            <w:tcW w:w="16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500" w:type="dxa"/>
            <w:vAlign w:val="bottom"/>
            <w:shd w:val="clear" w:color="auto" w:fill="DCE2EF"/>
          </w:tcPr>
          <w:p>
            <w:pPr>
              <w:spacing w:after="0"/>
              <w:rPr>
                <w:sz w:val="17"/>
                <w:szCs w:val="17"/>
                <w:color w:val="auto"/>
              </w:rPr>
            </w:pPr>
          </w:p>
        </w:tc>
        <w:tc>
          <w:tcPr>
            <w:tcW w:w="16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634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Solutions</w:t>
            </w:r>
          </w:p>
        </w:tc>
        <w:tc>
          <w:tcPr>
            <w:tcW w:w="480" w:type="dxa"/>
            <w:vAlign w:val="bottom"/>
            <w:tcBorders>
              <w:bottom w:val="single" w:sz="8" w:color="auto"/>
            </w:tcBorders>
            <w:shd w:val="clear" w:color="auto" w:fill="DCE2EF"/>
          </w:tcPr>
          <w:p>
            <w:pPr>
              <w:spacing w:after="0"/>
              <w:rPr>
                <w:sz w:val="21"/>
                <w:szCs w:val="21"/>
                <w:color w:val="auto"/>
              </w:rPr>
            </w:pPr>
          </w:p>
        </w:tc>
        <w:tc>
          <w:tcPr>
            <w:tcW w:w="16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DCE2EF"/>
          </w:tcPr>
          <w:p>
            <w:pPr>
              <w:spacing w:after="0"/>
              <w:rPr>
                <w:sz w:val="21"/>
                <w:szCs w:val="21"/>
                <w:color w:val="auto"/>
              </w:rPr>
            </w:pPr>
          </w:p>
        </w:tc>
        <w:tc>
          <w:tcPr>
            <w:tcW w:w="500" w:type="dxa"/>
            <w:vAlign w:val="bottom"/>
            <w:tcBorders>
              <w:bottom w:val="single" w:sz="8" w:color="auto"/>
            </w:tcBorders>
            <w:shd w:val="clear" w:color="auto" w:fill="DCE2EF"/>
          </w:tcPr>
          <w:p>
            <w:pPr>
              <w:spacing w:after="0"/>
              <w:rPr>
                <w:sz w:val="21"/>
                <w:szCs w:val="21"/>
                <w:color w:val="auto"/>
              </w:rPr>
            </w:pPr>
          </w:p>
        </w:tc>
        <w:tc>
          <w:tcPr>
            <w:tcW w:w="16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8"/>
        </w:trPr>
        <w:tc>
          <w:tcPr>
            <w:tcW w:w="636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b w:val="1"/>
                <w:bCs w:val="1"/>
                <w:color w:val="auto"/>
              </w:rPr>
              <w:t>Total operating profit</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Borders>
              <w:bottom w:val="single" w:sz="8" w:color="DCE2EF"/>
            </w:tcBorders>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08"/>
        </w:trPr>
        <w:tc>
          <w:tcPr>
            <w:tcW w:w="636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from unconsolidated affiliates</w:t>
            </w:r>
          </w:p>
        </w:tc>
        <w:tc>
          <w:tcPr>
            <w:tcW w:w="48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DCE2EF"/>
          </w:tcPr>
          <w:p>
            <w:pPr>
              <w:spacing w:after="0"/>
              <w:rPr>
                <w:sz w:val="18"/>
                <w:szCs w:val="18"/>
                <w:color w:val="auto"/>
              </w:rPr>
            </w:pPr>
          </w:p>
        </w:tc>
        <w:tc>
          <w:tcPr>
            <w:tcW w:w="50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4"/>
        </w:trPr>
        <w:tc>
          <w:tcPr>
            <w:tcW w:w="636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Interest expense</w:t>
            </w: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DCE2E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3"/>
        </w:trPr>
        <w:tc>
          <w:tcPr>
            <w:tcW w:w="63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6"/>
                <w:szCs w:val="16"/>
                <w:color w:val="auto"/>
              </w:rPr>
              <w:t>Income before income taxes</w:t>
            </w:r>
          </w:p>
        </w:tc>
        <w:tc>
          <w:tcPr>
            <w:tcW w:w="480" w:type="dxa"/>
            <w:vAlign w:val="bottom"/>
            <w:tcBorders>
              <w:bottom w:val="single" w:sz="8" w:color="auto"/>
            </w:tcBorders>
            <w:shd w:val="clear" w:color="auto" w:fill="DCE2EF"/>
          </w:tcPr>
          <w:p>
            <w:pPr>
              <w:jc w:val="right"/>
              <w:ind w:right="2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DCE2EF"/>
            </w:tcBorders>
            <w:shd w:val="clear" w:color="auto" w:fill="DCE2EF"/>
          </w:tcPr>
          <w:p>
            <w:pPr>
              <w:spacing w:after="0"/>
              <w:rPr>
                <w:sz w:val="19"/>
                <w:szCs w:val="19"/>
                <w:color w:val="auto"/>
              </w:rPr>
            </w:pPr>
          </w:p>
        </w:tc>
        <w:tc>
          <w:tcPr>
            <w:tcW w:w="500" w:type="dxa"/>
            <w:vAlign w:val="bottom"/>
            <w:tcBorders>
              <w:bottom w:val="single" w:sz="8" w:color="auto"/>
            </w:tcBorders>
            <w:shd w:val="clear" w:color="auto" w:fill="DCE2EF"/>
          </w:tcPr>
          <w:p>
            <w:pPr>
              <w:jc w:val="right"/>
              <w:ind w:right="2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00" w:type="dxa"/>
            <w:vAlign w:val="bottom"/>
            <w:tcBorders>
              <w:top w:val="single" w:sz="8" w:color="DCE2EF"/>
            </w:tcBorders>
          </w:tcPr>
          <w:p>
            <w:pPr>
              <w:spacing w:after="0" w:line="20" w:lineRule="exact"/>
              <w:rPr>
                <w:sz w:val="1"/>
                <w:szCs w:val="1"/>
                <w:color w:val="auto"/>
              </w:rPr>
            </w:pPr>
          </w:p>
        </w:tc>
        <w:tc>
          <w:tcPr>
            <w:tcW w:w="5640" w:type="dxa"/>
            <w:vAlign w:val="bottom"/>
            <w:tcBorders>
              <w:top w:val="single" w:sz="8" w:color="DCE2EF"/>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6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16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corporate costs. Certain corporate costs not allocated to segments include information technology, human resources, executive and finance expenses, and legal costs and settlements. Additionally, share-based compensation, actuarial adjustments to self-insurance reserves related to prior years, acquisition and integration costs, and changes in fair values of contingent consideration are not allocated to segments. Management does not review asset information by segment, therefore we do not present assets in this note.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13. SUBSEQUENT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On February 26, 2025, we amended and restated the Amended Credit Facility (the “Amended and Restated Credit Facility”), extending the maturity date to February 26, 2030, and increasing the capacity of the revolving credit facility from $1.3 billion to $1.6 billion and the then-remaining term loan outstanding from $528.1 million to $600.0 million. The Amended and Restated Credit Facility provides for the issuance of up to $250.0 million for standby letters of credit and the issuance of up to $100.0 million in swingline advances. There have been no material changes to the pricing terms and the financial covenants under the Amended and Restated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0046AD"/>
        </w:rPr>
        <w:t>ITEM 2. MANAGEMENT’S DISCUSSION AND ANALYSIS OF FINANCIAL CONDITION AND RESULTS OF OPERATIONS.</w:t>
      </w:r>
    </w:p>
    <w:p>
      <w:pPr>
        <w:spacing w:after="0" w:line="169"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This MD&amp;A is provided as a supplement to, and should be read in conjunction with, our Financial Statements and our Annual Report on Form 10-K for the year ended October 31, 2024, which has been filed with the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26"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years, which end on October 31.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firstLine="645"/>
        <w:spacing w:after="0" w:line="294" w:lineRule="auto"/>
        <w:rPr>
          <w:sz w:val="20"/>
          <w:szCs w:val="20"/>
          <w:color w:val="auto"/>
        </w:rPr>
      </w:pPr>
      <w:r>
        <w:rPr>
          <w:rFonts w:ascii="Arial" w:cs="Arial" w:eastAsia="Arial" w:hAnsi="Arial"/>
          <w:sz w:val="18"/>
          <w:szCs w:val="18"/>
          <w:color w:val="auto"/>
        </w:rPr>
        <w:t xml:space="preserve">ABM is a leading provider of integrated facility solutions, customized by industry, with a mission to </w:t>
      </w:r>
      <w:r>
        <w:rPr>
          <w:rFonts w:ascii="Arial" w:cs="Arial" w:eastAsia="Arial" w:hAnsi="Arial"/>
          <w:sz w:val="18"/>
          <w:szCs w:val="18"/>
          <w:b w:val="1"/>
          <w:bCs w:val="1"/>
          <w:color w:val="326ABD"/>
        </w:rPr>
        <w:t>make a difference, every person,</w:t>
      </w:r>
      <w:r>
        <w:rPr>
          <w:rFonts w:ascii="Arial" w:cs="Arial" w:eastAsia="Arial" w:hAnsi="Arial"/>
          <w:sz w:val="18"/>
          <w:szCs w:val="18"/>
          <w:color w:val="auto"/>
        </w:rPr>
        <w:t xml:space="preserve"> </w:t>
      </w:r>
      <w:r>
        <w:rPr>
          <w:rFonts w:ascii="Arial" w:cs="Arial" w:eastAsia="Arial" w:hAnsi="Arial"/>
          <w:sz w:val="18"/>
          <w:szCs w:val="18"/>
          <w:b w:val="1"/>
          <w:bCs w:val="1"/>
          <w:color w:val="326ABD"/>
        </w:rPr>
        <w:t>every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E98300"/>
        </w:rPr>
        <w:t xml:space="preserve">ELEVATE </w:t>
      </w:r>
      <w:r>
        <w:rPr>
          <w:rFonts w:ascii="Arial" w:cs="Arial" w:eastAsia="Arial" w:hAnsi="Arial"/>
          <w:sz w:val="18"/>
          <w:szCs w:val="18"/>
          <w:b w:val="1"/>
          <w:bCs w:val="1"/>
          <w:color w:val="0046AD"/>
        </w:rPr>
        <w:t>Strategy</w:t>
      </w:r>
    </w:p>
    <w:p>
      <w:pPr>
        <w:spacing w:after="0" w:line="169"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 xml:space="preserve">In December 2021, we announced our multiyear strategic plan called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The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is designed to strengthen our industry leadership position through end-market repositioning and build on our core services, which we expect will drive significant long-term value for our stakeholders.</w:t>
      </w:r>
    </w:p>
    <w:p>
      <w:pPr>
        <w:spacing w:after="0" w:line="115" w:lineRule="exact"/>
        <w:rPr>
          <w:sz w:val="20"/>
          <w:szCs w:val="20"/>
          <w:color w:val="auto"/>
        </w:rPr>
      </w:pPr>
    </w:p>
    <w:p>
      <w:pPr>
        <w:jc w:val="both"/>
        <w:ind w:firstLine="645"/>
        <w:spacing w:after="0" w:line="294" w:lineRule="auto"/>
        <w:rPr>
          <w:sz w:val="20"/>
          <w:szCs w:val="20"/>
          <w:color w:val="auto"/>
        </w:rPr>
      </w:pPr>
      <w:r>
        <w:rPr>
          <w:rFonts w:ascii="Arial" w:cs="Arial" w:eastAsia="Arial" w:hAnsi="Arial"/>
          <w:sz w:val="18"/>
          <w:szCs w:val="18"/>
          <w:color w:val="auto"/>
        </w:rPr>
        <w:t xml:space="preserve">We will continue to make significant investments over the life of the program, which are expected to total $200 - $215 million, and we will continue to implement various measures with the aim to </w:t>
      </w:r>
      <w:r>
        <w:rPr>
          <w:rFonts w:ascii="Arial" w:cs="Arial" w:eastAsia="Arial" w:hAnsi="Arial"/>
          <w:sz w:val="18"/>
          <w:szCs w:val="18"/>
          <w:b w:val="1"/>
          <w:bCs w:val="1"/>
          <w:color w:val="E98300"/>
        </w:rPr>
        <w:t>ELEVATE</w:t>
      </w:r>
      <w:r>
        <w:rPr>
          <w:rFonts w:ascii="Arial" w:cs="Arial" w:eastAsia="Arial" w:hAnsi="Arial"/>
          <w:sz w:val="18"/>
          <w:szCs w:val="18"/>
          <w:color w:val="auto"/>
        </w:rPr>
        <w:t>:</w:t>
      </w:r>
    </w:p>
    <w:p>
      <w:pPr>
        <w:spacing w:after="0" w:line="84" w:lineRule="exact"/>
        <w:rPr>
          <w:sz w:val="20"/>
          <w:szCs w:val="20"/>
          <w:color w:val="auto"/>
        </w:rPr>
      </w:pPr>
    </w:p>
    <w:p>
      <w:pPr>
        <w:ind w:left="660" w:hanging="330"/>
        <w:spacing w:after="0" w:line="28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client experience, by serving as a trusted advisor who can provide innovative multiservice solutions and consistent service delivery;</w:t>
      </w:r>
    </w:p>
    <w:p>
      <w:pPr>
        <w:spacing w:after="0" w:line="99" w:lineRule="exact"/>
        <w:rPr>
          <w:rFonts w:ascii="Arial" w:cs="Arial" w:eastAsia="Arial" w:hAnsi="Arial"/>
          <w:sz w:val="18"/>
          <w:szCs w:val="18"/>
          <w:color w:val="auto"/>
        </w:rPr>
      </w:pPr>
    </w:p>
    <w:p>
      <w:pPr>
        <w:ind w:left="660" w:right="20" w:hanging="330"/>
        <w:spacing w:after="0" w:line="28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team member experience, by investing in workforce management, training, developing the next generation of ABM leaders, and building on our inclusive culture; and</w:t>
      </w:r>
    </w:p>
    <w:p>
      <w:pPr>
        <w:spacing w:after="0" w:line="99" w:lineRule="exact"/>
        <w:rPr>
          <w:rFonts w:ascii="Arial" w:cs="Arial" w:eastAsia="Arial" w:hAnsi="Arial"/>
          <w:sz w:val="18"/>
          <w:szCs w:val="18"/>
          <w:color w:val="auto"/>
        </w:rPr>
      </w:pPr>
    </w:p>
    <w:p>
      <w:pPr>
        <w:ind w:left="660" w:hanging="330"/>
        <w:spacing w:after="0" w:line="28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use of technology and data to power client and employee experiences with cutting-edge data and analytics, processes, and tools that will fundamentally change how we operate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w:t>
      </w:r>
    </w:p>
    <w:p>
      <w:pPr>
        <w:spacing w:after="0" w:line="169"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21"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During the first quarter of 2025, we performed a comprehensive actuarial review of the majority of our casualty insurance programs that considered changes in claims development and claims payment activity for the period of May 1, 2024, through October 31, 2024 (the “Actuarial Review”). The Actuarial Review was comprehensive in nature and was based on loss development patterns, trend assumptions, and underlying expected loss costs during the period analyzed.</w:t>
      </w:r>
    </w:p>
    <w:p>
      <w:pPr>
        <w:spacing w:after="0" w:line="121"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Based on the results of the Actuarial Review, it was determined that there was no adjustment required for our total reserves related to prior years during the three months ended January 31, 2025. During the three months ended January 31, 2024, we increased our total reserves related to prior years by $5.3 million. We will continue to assess ongoing developments, which may result in further adjustments to reserves.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0046AD"/>
        </w:rPr>
        <w:t>Segment Reporting</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Our current reportable segments consist of B&amp;I, M&amp;D, Aviation, Education, and Technical Solutions,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41210" cy="4189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4189095"/>
                    </a:xfrm>
                    <a:prstGeom prst="rect">
                      <a:avLst/>
                    </a:prstGeom>
                    <a:noFill/>
                  </pic:spPr>
                </pic:pic>
              </a:graphicData>
            </a:graphic>
          </wp:anchor>
        </w:drawing>
      </w:r>
    </w:p>
    <w:p>
      <w:pPr>
        <w:spacing w:after="0" w:line="154" w:lineRule="exact"/>
        <w:rPr>
          <w:sz w:val="20"/>
          <w:szCs w:val="20"/>
          <w:color w:val="auto"/>
        </w:rPr>
      </w:pPr>
    </w:p>
    <w:p>
      <w:pPr>
        <w:jc w:val="center"/>
        <w:ind w:left="2600"/>
        <w:spacing w:after="0"/>
        <w:rPr>
          <w:sz w:val="20"/>
          <w:szCs w:val="20"/>
          <w:color w:val="auto"/>
        </w:rPr>
      </w:pPr>
      <w:r>
        <w:rPr>
          <w:rFonts w:ascii="Arial" w:cs="Arial" w:eastAsia="Arial" w:hAnsi="Arial"/>
          <w:sz w:val="16"/>
          <w:szCs w:val="16"/>
          <w:b w:val="1"/>
          <w:bCs w:val="1"/>
          <w:color w:val="0046AD"/>
        </w:rPr>
        <w:t>REPORTABLE SEGMENTS AND DESCRIPTIONS</w:t>
      </w:r>
    </w:p>
    <w:p>
      <w:pPr>
        <w:spacing w:after="0" w:line="152" w:lineRule="exact"/>
        <w:rPr>
          <w:sz w:val="20"/>
          <w:szCs w:val="20"/>
          <w:color w:val="auto"/>
        </w:rPr>
      </w:pPr>
    </w:p>
    <w:p>
      <w:pPr>
        <w:jc w:val="both"/>
        <w:ind w:left="2660"/>
        <w:spacing w:after="0" w:line="220" w:lineRule="auto"/>
        <w:rPr>
          <w:sz w:val="20"/>
          <w:szCs w:val="20"/>
          <w:color w:val="auto"/>
        </w:rPr>
      </w:pPr>
      <w:r>
        <w:rPr>
          <w:rFonts w:ascii="Arial" w:cs="Arial" w:eastAsia="Arial" w:hAnsi="Arial"/>
          <w:sz w:val="16"/>
          <w:szCs w:val="16"/>
          <w:color w:val="auto"/>
        </w:rPr>
        <w:t>B&amp;I, our largest reportable segment, encompasses comprehensive facility solutions, including janitorial and maintenance, facilities engineering, and parking and transportation management to a diverse range of clients. Our expertise extends to commercial real estate properties, including corporate offices for high-tech clients, sports and entertainment venues, and both traditional hospitals and non-acute healthcare facilities. We typically provide these services pursuant to monthly fixed-price, square-foot, cost-plus, and parking arrangements (i.e., management reimbursement, leased location, or allowance) that are obtained through a competitive bid process as well as pursuant to work orders.</w:t>
      </w:r>
    </w:p>
    <w:p>
      <w:pPr>
        <w:spacing w:after="0" w:line="392" w:lineRule="exact"/>
        <w:rPr>
          <w:sz w:val="20"/>
          <w:szCs w:val="20"/>
          <w:color w:val="auto"/>
        </w:rPr>
      </w:pPr>
    </w:p>
    <w:p>
      <w:pPr>
        <w:jc w:val="both"/>
        <w:ind w:left="2660"/>
        <w:spacing w:after="0" w:line="227" w:lineRule="auto"/>
        <w:rPr>
          <w:sz w:val="20"/>
          <w:szCs w:val="20"/>
          <w:color w:val="auto"/>
        </w:rPr>
      </w:pPr>
      <w:r>
        <w:rPr>
          <w:rFonts w:ascii="Arial" w:cs="Arial" w:eastAsia="Arial" w:hAnsi="Arial"/>
          <w:sz w:val="16"/>
          <w:szCs w:val="16"/>
          <w:color w:val="auto"/>
        </w:rPr>
        <w:t>M&amp;D provides integrated facility services, engineering, janitorial and maintenance, and other specialized solutions to a variety of manufacturing, distribution, and data center facilities. We typically provide these services pursuant to monthly fixed-price, square-foot, and cost-plus, that are obtained through a competitive bid process as well as pursuant to work orders.</w:t>
      </w:r>
    </w:p>
    <w:p>
      <w:pPr>
        <w:spacing w:after="0" w:line="200" w:lineRule="exact"/>
        <w:rPr>
          <w:sz w:val="20"/>
          <w:szCs w:val="20"/>
          <w:color w:val="auto"/>
        </w:rPr>
      </w:pPr>
    </w:p>
    <w:p>
      <w:pPr>
        <w:spacing w:after="0" w:line="259" w:lineRule="exact"/>
        <w:rPr>
          <w:sz w:val="20"/>
          <w:szCs w:val="20"/>
          <w:color w:val="auto"/>
        </w:rPr>
      </w:pPr>
    </w:p>
    <w:p>
      <w:pPr>
        <w:jc w:val="both"/>
        <w:ind w:left="2660"/>
        <w:spacing w:after="0" w:line="224" w:lineRule="auto"/>
        <w:rPr>
          <w:sz w:val="20"/>
          <w:szCs w:val="20"/>
          <w:color w:val="auto"/>
        </w:rPr>
      </w:pPr>
      <w:r>
        <w:rPr>
          <w:rFonts w:ascii="Arial" w:cs="Arial" w:eastAsia="Arial" w:hAnsi="Arial"/>
          <w:sz w:val="16"/>
          <w:szCs w:val="16"/>
          <w:color w:val="auto"/>
        </w:rPr>
        <w:t>Aviation provides comprehensive support services to airlines and airports, including parking and transportation management, janitorial and maintenance services, passenger assistance, catering logistics, aircraft cabin maintenance, and transportation solutions. We typically provide services to clients in this segment under master services agreements. These agreements are typically re-bid upon renewal and are generally structured as monthly fixed-price, square-foot, cost-plus, parking, transaction-price, and hourly arrangements.</w:t>
      </w:r>
    </w:p>
    <w:p>
      <w:pPr>
        <w:spacing w:after="0" w:line="324" w:lineRule="exact"/>
        <w:rPr>
          <w:sz w:val="20"/>
          <w:szCs w:val="20"/>
          <w:color w:val="auto"/>
        </w:rPr>
      </w:pPr>
    </w:p>
    <w:p>
      <w:pPr>
        <w:jc w:val="both"/>
        <w:ind w:left="2660"/>
        <w:spacing w:after="0" w:line="224" w:lineRule="auto"/>
        <w:rPr>
          <w:sz w:val="20"/>
          <w:szCs w:val="20"/>
          <w:color w:val="auto"/>
        </w:rPr>
      </w:pPr>
      <w:r>
        <w:rPr>
          <w:rFonts w:ascii="Arial" w:cs="Arial" w:eastAsia="Arial" w:hAnsi="Arial"/>
          <w:sz w:val="16"/>
          <w:szCs w:val="16"/>
          <w:color w:val="auto"/>
        </w:rPr>
        <w:t>Education delivers comprehensive facility services to public school districts, private schools, colleges, and universities. Our services include janitorial and custodial services, landscaping and grounds maintenance, facilities engineering, and parking management. These services are typically provided pursuant to monthly fixed-price, square-foot, and cost-plus arrangements that are obtained through either a competitive bid process or re-bid upon renewal as well as pursuant to work orders.</w:t>
      </w:r>
    </w:p>
    <w:p>
      <w:pPr>
        <w:spacing w:after="0" w:line="297" w:lineRule="exact"/>
        <w:rPr>
          <w:sz w:val="20"/>
          <w:szCs w:val="20"/>
          <w:color w:val="auto"/>
        </w:rPr>
      </w:pPr>
    </w:p>
    <w:p>
      <w:pPr>
        <w:jc w:val="both"/>
        <w:ind w:left="2660"/>
        <w:spacing w:after="0" w:line="221" w:lineRule="auto"/>
        <w:rPr>
          <w:sz w:val="20"/>
          <w:szCs w:val="20"/>
          <w:color w:val="auto"/>
        </w:rPr>
      </w:pPr>
      <w:r>
        <w:rPr>
          <w:rFonts w:ascii="Arial" w:cs="Arial" w:eastAsia="Arial" w:hAnsi="Arial"/>
          <w:sz w:val="16"/>
          <w:szCs w:val="16"/>
          <w:color w:val="auto"/>
        </w:rPr>
        <w:t>Technical Solutions specializes in comprehensive facility infrastructure services, including mechanical and electrical systems, EV charging station design, installation, and maintenance, as well as microgrid systems encompassing uninterrupted power supply (“UPS”) systems and power distribution units. These offerings are strategically leveraged for cross-selling across all our industry groups, both domestically and internationally. Contracts for this segment are generally structured as electrical contracting services for energy related products such as the installation of solar solutions, battery storage, distributed generation, and other specialized electric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0046AD"/>
        </w:rPr>
        <w:t>Key Financial Highlights</w:t>
      </w:r>
    </w:p>
    <w:p>
      <w:pPr>
        <w:spacing w:after="0" w:line="169" w:lineRule="exact"/>
        <w:rPr>
          <w:sz w:val="20"/>
          <w:szCs w:val="20"/>
          <w:color w:val="auto"/>
        </w:rPr>
      </w:pPr>
    </w:p>
    <w:p>
      <w:pPr>
        <w:jc w:val="both"/>
        <w:ind w:left="660" w:hanging="330"/>
        <w:spacing w:after="0" w:line="25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increased by $45.3 million, or 2.2%, to $2,114.9 million during the three months ended January 31, 2025, as compared to the prior year period. Revenue growth was comprised of organic growth of 1.6% and acquisition growth of 0.6%. The organic revenue growth was due to the higher project revenues due to the timing of certain microgrid systems design and installation projects within Technical Solutions and net new business and expansion of business with existing customers within Aviation and Education. The increase in revenues was partially offset by attrition of engineering customers within B&amp;I and a loss of a certain customer within M&amp;D. Acquisition growth was driven by a $12.7 million revenue increase from the Quality Uptime Acquisition, which was completed in June 2024.</w:t>
      </w:r>
    </w:p>
    <w:p>
      <w:pPr>
        <w:spacing w:after="0" w:line="126" w:lineRule="exact"/>
        <w:rPr>
          <w:rFonts w:ascii="Arial" w:cs="Arial" w:eastAsia="Arial" w:hAnsi="Arial"/>
          <w:sz w:val="18"/>
          <w:szCs w:val="18"/>
          <w:color w:val="auto"/>
        </w:rPr>
      </w:pPr>
    </w:p>
    <w:p>
      <w:pPr>
        <w:ind w:left="660" w:hanging="330"/>
        <w:spacing w:after="0" w:line="28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had an increase in operating profit of $3.5 million, to $77.6 million, during the three months ended January 31, 2025, as compared to the prior year period. The increase was primarily attributed to:</w:t>
      </w:r>
    </w:p>
    <w:p>
      <w:pPr>
        <w:spacing w:after="0" w:line="99" w:lineRule="exact"/>
        <w:rPr>
          <w:rFonts w:ascii="Arial" w:cs="Arial" w:eastAsia="Arial" w:hAnsi="Arial"/>
          <w:sz w:val="18"/>
          <w:szCs w:val="18"/>
          <w:color w:val="auto"/>
        </w:rPr>
      </w:pPr>
    </w:p>
    <w:p>
      <w:pPr>
        <w:ind w:left="1300" w:hanging="325"/>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respective revenue increases and contract and service mix and operational efficiencies; and</w:t>
      </w:r>
    </w:p>
    <w:p>
      <w:pPr>
        <w:spacing w:after="0" w:line="169" w:lineRule="exact"/>
        <w:rPr>
          <w:rFonts w:ascii="Arial" w:cs="Arial" w:eastAsia="Arial" w:hAnsi="Arial"/>
          <w:sz w:val="18"/>
          <w:szCs w:val="18"/>
          <w:color w:val="auto"/>
        </w:rPr>
      </w:pPr>
    </w:p>
    <w:p>
      <w:pPr>
        <w:ind w:left="1300" w:hanging="325"/>
        <w:spacing w:after="0" w:line="285" w:lineRule="auto"/>
        <w:tabs>
          <w:tab w:leader="none" w:pos="13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absence of a $5.3 million unfavorable self-insurance reserve adjustment related to prior year claims from actuarial evaluations completed in the three months ended January 31, 2024.</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was partially offset by:</w:t>
      </w:r>
    </w:p>
    <w:p>
      <w:pPr>
        <w:spacing w:after="0" w:line="169" w:lineRule="exact"/>
        <w:rPr>
          <w:sz w:val="20"/>
          <w:szCs w:val="20"/>
          <w:color w:val="auto"/>
        </w:rPr>
      </w:pPr>
    </w:p>
    <w:p>
      <w:pPr>
        <w:ind w:left="1300" w:hanging="325"/>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base wage increases within Aviation and Education; and</w:t>
      </w:r>
    </w:p>
    <w:p>
      <w:pPr>
        <w:spacing w:after="0" w:line="169" w:lineRule="exact"/>
        <w:rPr>
          <w:rFonts w:ascii="Arial" w:cs="Arial" w:eastAsia="Arial" w:hAnsi="Arial"/>
          <w:sz w:val="18"/>
          <w:szCs w:val="18"/>
          <w:color w:val="auto"/>
        </w:rPr>
      </w:pPr>
    </w:p>
    <w:p>
      <w:pPr>
        <w:ind w:left="1300" w:hanging="325"/>
        <w:spacing w:after="0" w:line="285"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 increase in selling, general and administrative expenses, primarily due to higher compensation expenses from headcount expansion from recent acquisitions and ongoing business growth.</w:t>
      </w:r>
    </w:p>
    <w:p>
      <w:pPr>
        <w:spacing w:after="0" w:line="99" w:lineRule="exact"/>
        <w:rPr>
          <w:rFonts w:ascii="Arial" w:cs="Arial" w:eastAsia="Arial" w:hAnsi="Arial"/>
          <w:sz w:val="18"/>
          <w:szCs w:val="18"/>
          <w:color w:val="auto"/>
        </w:rPr>
      </w:pPr>
    </w:p>
    <w:p>
      <w:pPr>
        <w:jc w:val="both"/>
        <w:ind w:left="660" w:hanging="330"/>
        <w:spacing w:after="0" w:line="281"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effective tax rates from income on operations for the three months ended January 31, 2025, and January 31, 2024, were 21.4% and 17.3%, respectively. Our effective tax rate for the three months ended January 31, 2025, was reduced by discrete items, primarily return to provision adjustments related to our non-U.S. operations. Our effective tax rate for three months ended January 31, 2024, benefited from discrete items, primarily uncertain tax positions, share-based compensation, and return to provision adjustments.</w:t>
      </w:r>
    </w:p>
    <w:p>
      <w:pPr>
        <w:spacing w:after="0" w:line="78" w:lineRule="exact"/>
        <w:rPr>
          <w:rFonts w:ascii="Arial" w:cs="Arial" w:eastAsia="Arial" w:hAnsi="Arial"/>
          <w:sz w:val="17"/>
          <w:szCs w:val="17"/>
          <w:color w:val="auto"/>
        </w:rPr>
      </w:pPr>
    </w:p>
    <w:p>
      <w:pPr>
        <w:jc w:val="both"/>
        <w:ind w:left="660" w:hanging="330"/>
        <w:spacing w:after="0" w:line="236" w:lineRule="auto"/>
        <w:tabs>
          <w:tab w:leader="none" w:pos="635" w:val="left"/>
        </w:tabs>
        <w:numPr>
          <w:ilvl w:val="0"/>
          <w:numId w:val="15"/>
        </w:numPr>
        <w:rPr>
          <w:rFonts w:ascii="Times New Roman" w:cs="Times New Roman" w:eastAsia="Times New Roman" w:hAnsi="Times New Roman"/>
          <w:sz w:val="20"/>
          <w:szCs w:val="20"/>
          <w:color w:val="auto"/>
        </w:rPr>
      </w:pPr>
      <w:r>
        <w:rPr>
          <w:rFonts w:ascii="Arial" w:cs="Arial" w:eastAsia="Arial" w:hAnsi="Arial"/>
          <w:sz w:val="18"/>
          <w:szCs w:val="18"/>
          <w:color w:val="auto"/>
        </w:rPr>
        <w:t>Net cash used in operating activities was $106.2 million during the three months ended January 31, 2025, as compared to net cash used in operating activities of $0.1 million during the prior year period. The change was primarily driven by an increase in working capital due to the transition to the Company’s new ERP systems for our Business and Industry and Manufacturing and Distribution segments that temporarily delayed invoicing to certain clients within these industry groups. We anticipate improvement in our operating cash flows next quarter and full normalization in the second half of fiscal year 2025.</w:t>
      </w:r>
    </w:p>
    <w:p>
      <w:pPr>
        <w:spacing w:after="0" w:line="142" w:lineRule="exact"/>
        <w:rPr>
          <w:rFonts w:ascii="Times New Roman" w:cs="Times New Roman" w:eastAsia="Times New Roman" w:hAnsi="Times New Roman"/>
          <w:sz w:val="20"/>
          <w:szCs w:val="20"/>
          <w:color w:val="auto"/>
        </w:rPr>
      </w:pPr>
    </w:p>
    <w:p>
      <w:pPr>
        <w:ind w:left="660" w:hanging="330"/>
        <w:spacing w:after="0" w:line="28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Dividends of $16.4 million were paid to shareholders, and dividends totaling $0.265 per common share were declared during the three months ended January 31, 2025.</w:t>
      </w:r>
    </w:p>
    <w:p>
      <w:pPr>
        <w:spacing w:after="0" w:line="99" w:lineRule="exact"/>
        <w:rPr>
          <w:rFonts w:ascii="Arial" w:cs="Arial" w:eastAsia="Arial" w:hAnsi="Arial"/>
          <w:sz w:val="18"/>
          <w:szCs w:val="18"/>
          <w:color w:val="auto"/>
        </w:rPr>
      </w:pPr>
    </w:p>
    <w:p>
      <w:pPr>
        <w:ind w:left="660" w:right="20" w:hanging="330"/>
        <w:spacing w:after="0" w:line="28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January 31, 2025, total outstanding borrowings under our Amended Credit Facility were $1.5 billion. At January 31, 2025, we had up to $238.0 million of borrowing capacity.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80" w:lineRule="exact"/>
        <w:rPr>
          <w:sz w:val="20"/>
          <w:szCs w:val="20"/>
          <w:color w:val="auto"/>
        </w:rPr>
      </w:pPr>
    </w:p>
    <w:p>
      <w:pPr>
        <w:ind w:right="2960"/>
        <w:spacing w:after="0" w:line="461" w:lineRule="auto"/>
        <w:rPr>
          <w:sz w:val="20"/>
          <w:szCs w:val="20"/>
          <w:color w:val="auto"/>
        </w:rPr>
      </w:pPr>
      <w:r>
        <w:rPr>
          <w:rFonts w:ascii="Arial" w:cs="Arial" w:eastAsia="Arial" w:hAnsi="Arial"/>
          <w:sz w:val="18"/>
          <w:szCs w:val="18"/>
          <w:b w:val="1"/>
          <w:bCs w:val="1"/>
          <w:i w:val="1"/>
          <w:iCs w:val="1"/>
          <w:color w:val="0046AD"/>
        </w:rPr>
        <w:t>Three Months Ended January 31, 2025, Compared with the Three Months Ended January 31, 2024 Consolidated</w:t>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January 31,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560"/>
              <w:spacing w:after="0" w:line="168" w:lineRule="exact"/>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60"/>
              <w:spacing w:after="0" w:line="168"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2"/>
          </w:tcPr>
          <w:p>
            <w:pPr>
              <w:jc w:val="right"/>
              <w:ind w:right="359"/>
              <w:spacing w:after="0" w:line="168" w:lineRule="exact"/>
              <w:rPr>
                <w:sz w:val="20"/>
                <w:szCs w:val="20"/>
                <w:color w:val="auto"/>
              </w:rPr>
            </w:pPr>
            <w:r>
              <w:rPr>
                <w:rFonts w:ascii="Arial" w:cs="Arial" w:eastAsia="Arial" w:hAnsi="Arial"/>
                <w:sz w:val="16"/>
                <w:szCs w:val="16"/>
                <w:b w:val="1"/>
                <w:bCs w:val="1"/>
                <w:color w:val="auto"/>
              </w:rPr>
              <w:t>Increase / (Decrease)</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60" w:type="dxa"/>
            <w:vAlign w:val="bottom"/>
            <w:tcBorders>
              <w:top w:val="single" w:sz="8" w:color="auto"/>
              <w:bottom w:val="single" w:sz="8" w:color="DCE2EF"/>
            </w:tcBorders>
          </w:tcPr>
          <w:p>
            <w:pPr>
              <w:spacing w:after="0" w:line="20" w:lineRule="exact"/>
              <w:rPr>
                <w:sz w:val="1"/>
                <w:szCs w:val="1"/>
                <w:color w:val="auto"/>
              </w:rPr>
            </w:pPr>
          </w:p>
        </w:tc>
        <w:tc>
          <w:tcPr>
            <w:tcW w:w="276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2,114.9</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2,069.6</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45.3</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2.2%</w:t>
            </w:r>
          </w:p>
        </w:tc>
      </w:tr>
      <w:tr>
        <w:trPr>
          <w:trHeight w:val="214"/>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1,855.1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1,826.3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1.6%</w:t>
            </w: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120"/>
              <w:spacing w:after="0"/>
              <w:rPr>
                <w:sz w:val="20"/>
                <w:szCs w:val="20"/>
                <w:color w:val="auto"/>
              </w:rPr>
            </w:pPr>
            <w:r>
              <w:rPr>
                <w:rFonts w:ascii="Arial" w:cs="Arial" w:eastAsia="Arial" w:hAnsi="Arial"/>
                <w:sz w:val="16"/>
                <w:szCs w:val="16"/>
                <w:i w:val="1"/>
                <w:iCs w:val="1"/>
                <w:color w:val="auto"/>
              </w:rPr>
              <w:t>Gross margin</w:t>
            </w:r>
          </w:p>
        </w:tc>
        <w:tc>
          <w:tcPr>
            <w:tcW w:w="26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12.3 %</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11.8 %</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53 bps</w:t>
            </w:r>
          </w:p>
        </w:tc>
        <w:tc>
          <w:tcPr>
            <w:tcW w:w="1280" w:type="dxa"/>
            <w:vAlign w:val="bottom"/>
            <w:shd w:val="clear" w:color="auto" w:fill="DCE2E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18"/>
                <w:szCs w:val="18"/>
                <w:color w:val="auto"/>
              </w:rPr>
            </w:pP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169.0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9.3%</w:t>
            </w: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shd w:val="clear" w:color="auto" w:fill="DCE2EF"/>
          </w:tcPr>
          <w:p>
            <w:pPr>
              <w:spacing w:after="0"/>
              <w:rPr>
                <w:sz w:val="18"/>
                <w:szCs w:val="18"/>
                <w:color w:val="auto"/>
              </w:rPr>
            </w:pPr>
          </w:p>
        </w:tc>
        <w:tc>
          <w:tcPr>
            <w:tcW w:w="138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DCE2EF"/>
          </w:tcPr>
          <w:p>
            <w:pPr>
              <w:spacing w:after="0"/>
              <w:rPr>
                <w:sz w:val="18"/>
                <w:szCs w:val="18"/>
                <w:color w:val="auto"/>
              </w:rPr>
            </w:pPr>
          </w:p>
        </w:tc>
        <w:tc>
          <w:tcPr>
            <w:tcW w:w="26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(9.4)%</w:t>
            </w:r>
          </w:p>
        </w:tc>
      </w:tr>
      <w:tr>
        <w:trPr>
          <w:trHeight w:val="208"/>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Operating profit</w:t>
            </w:r>
          </w:p>
        </w:tc>
        <w:tc>
          <w:tcPr>
            <w:tcW w:w="260" w:type="dxa"/>
            <w:vAlign w:val="bottom"/>
          </w:tcPr>
          <w:p>
            <w:pPr>
              <w:spacing w:after="0"/>
              <w:rPr>
                <w:sz w:val="18"/>
                <w:szCs w:val="18"/>
                <w:color w:val="auto"/>
              </w:rPr>
            </w:pP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4.7%</w:t>
            </w:r>
          </w:p>
        </w:tc>
      </w:tr>
      <w:tr>
        <w:trPr>
          <w:trHeight w:val="215"/>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from unconsolidated affiliates</w:t>
            </w:r>
          </w:p>
        </w:tc>
        <w:tc>
          <w:tcPr>
            <w:tcW w:w="260" w:type="dxa"/>
            <w:vAlign w:val="bottom"/>
            <w:shd w:val="clear" w:color="auto" w:fill="DCE2EF"/>
          </w:tcPr>
          <w:p>
            <w:pPr>
              <w:spacing w:after="0"/>
              <w:rPr>
                <w:sz w:val="18"/>
                <w:szCs w:val="18"/>
                <w:color w:val="auto"/>
              </w:rPr>
            </w:pPr>
          </w:p>
        </w:tc>
        <w:tc>
          <w:tcPr>
            <w:tcW w:w="138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0.8</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(39.9)%</w:t>
            </w:r>
          </w:p>
        </w:tc>
      </w:tr>
      <w:tr>
        <w:trPr>
          <w:trHeight w:val="214"/>
        </w:trPr>
        <w:tc>
          <w:tcPr>
            <w:tcW w:w="20" w:type="dxa"/>
            <w:vAlign w:val="bottom"/>
            <w:tcBorders>
              <w:bottom w:val="single" w:sz="8" w:color="DCE2EF"/>
            </w:tcBorders>
          </w:tcPr>
          <w:p>
            <w:pPr>
              <w:spacing w:after="0"/>
              <w:rPr>
                <w:sz w:val="18"/>
                <w:szCs w:val="18"/>
                <w:color w:val="auto"/>
              </w:rPr>
            </w:pPr>
          </w:p>
        </w:tc>
        <w:tc>
          <w:tcPr>
            <w:tcW w:w="522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DCE2E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w w:val="97"/>
              </w:rPr>
              <w:t>(7.1)%</w:t>
            </w:r>
          </w:p>
        </w:tc>
      </w:tr>
      <w:tr>
        <w:trPr>
          <w:trHeight w:val="209"/>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DCE2EF"/>
          </w:tcPr>
          <w:p>
            <w:pPr>
              <w:spacing w:after="0"/>
              <w:rPr>
                <w:sz w:val="18"/>
                <w:szCs w:val="18"/>
                <w:color w:val="auto"/>
              </w:rPr>
            </w:pPr>
          </w:p>
        </w:tc>
        <w:tc>
          <w:tcPr>
            <w:tcW w:w="138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2.8%</w:t>
            </w:r>
          </w:p>
        </w:tc>
      </w:tr>
      <w:tr>
        <w:trPr>
          <w:trHeight w:val="214"/>
        </w:trPr>
        <w:tc>
          <w:tcPr>
            <w:tcW w:w="20" w:type="dxa"/>
            <w:vAlign w:val="bottom"/>
            <w:tcBorders>
              <w:bottom w:val="single" w:sz="8" w:color="DCE2EF"/>
            </w:tcBorders>
          </w:tcPr>
          <w:p>
            <w:pPr>
              <w:spacing w:after="0"/>
              <w:rPr>
                <w:sz w:val="18"/>
                <w:szCs w:val="18"/>
                <w:color w:val="auto"/>
              </w:rPr>
            </w:pPr>
          </w:p>
        </w:tc>
        <w:tc>
          <w:tcPr>
            <w:tcW w:w="522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DCE2E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(27.5)%</w:t>
            </w:r>
          </w:p>
        </w:tc>
      </w:tr>
      <w:tr>
        <w:trPr>
          <w:trHeight w:val="209"/>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shd w:val="clear" w:color="auto" w:fill="DCE2EF"/>
          </w:tcPr>
          <w:p>
            <w:pPr>
              <w:spacing w:after="0"/>
              <w:rPr>
                <w:sz w:val="18"/>
                <w:szCs w:val="18"/>
                <w:color w:val="auto"/>
              </w:rPr>
            </w:pPr>
          </w:p>
        </w:tc>
        <w:tc>
          <w:tcPr>
            <w:tcW w:w="138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DCE2EF"/>
          </w:tcPr>
          <w:p>
            <w:pPr>
              <w:spacing w:after="0"/>
              <w:rPr>
                <w:sz w:val="18"/>
                <w:szCs w:val="18"/>
                <w:color w:val="auto"/>
              </w:rPr>
            </w:pPr>
          </w:p>
        </w:tc>
        <w:tc>
          <w:tcPr>
            <w:tcW w:w="26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(2.4)%</w:t>
            </w:r>
          </w:p>
        </w:tc>
      </w:tr>
      <w:tr>
        <w:trPr>
          <w:trHeight w:val="194"/>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Interest rate swaps</w:t>
            </w:r>
          </w:p>
        </w:tc>
        <w:tc>
          <w:tcPr>
            <w:tcW w:w="260" w:type="dxa"/>
            <w:vAlign w:val="bottom"/>
            <w:shd w:val="clear" w:color="auto" w:fill="DCE2EF"/>
          </w:tcPr>
          <w:p>
            <w:pPr>
              <w:spacing w:after="0"/>
              <w:rPr>
                <w:sz w:val="18"/>
                <w:szCs w:val="18"/>
                <w:color w:val="auto"/>
              </w:rPr>
            </w:pPr>
          </w:p>
        </w:tc>
        <w:tc>
          <w:tcPr>
            <w:tcW w:w="138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14.9</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(93.1)%</w:t>
            </w:r>
          </w:p>
        </w:tc>
      </w:tr>
      <w:tr>
        <w:trPr>
          <w:trHeight w:val="214"/>
        </w:trPr>
        <w:tc>
          <w:tcPr>
            <w:tcW w:w="20" w:type="dxa"/>
            <w:vAlign w:val="bottom"/>
          </w:tcPr>
          <w:p>
            <w:pPr>
              <w:spacing w:after="0"/>
              <w:rPr>
                <w:sz w:val="18"/>
                <w:szCs w:val="18"/>
                <w:color w:val="auto"/>
              </w:rPr>
            </w:pPr>
          </w:p>
        </w:tc>
        <w:tc>
          <w:tcPr>
            <w:tcW w:w="5220" w:type="dxa"/>
            <w:vAlign w:val="bottom"/>
            <w:gridSpan w:val="2"/>
          </w:tcPr>
          <w:p>
            <w:pPr>
              <w:ind w:left="320"/>
              <w:spacing w:after="0"/>
              <w:rPr>
                <w:sz w:val="20"/>
                <w:szCs w:val="20"/>
                <w:color w:val="auto"/>
              </w:rPr>
            </w:pPr>
            <w:r>
              <w:rPr>
                <w:rFonts w:ascii="Arial" w:cs="Arial" w:eastAsia="Arial" w:hAnsi="Arial"/>
                <w:sz w:val="16"/>
                <w:szCs w:val="16"/>
                <w:color w:val="auto"/>
              </w:rPr>
              <w:t>Foreign currency translation and other</w:t>
            </w:r>
          </w:p>
        </w:tc>
        <w:tc>
          <w:tcPr>
            <w:tcW w:w="260" w:type="dxa"/>
            <w:vAlign w:val="bottom"/>
          </w:tcPr>
          <w:p>
            <w:pPr>
              <w:spacing w:after="0"/>
              <w:rPr>
                <w:sz w:val="18"/>
                <w:szCs w:val="18"/>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w:t>
            </w: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NM*</w:t>
            </w:r>
          </w:p>
        </w:tc>
      </w:tr>
      <w:tr>
        <w:trPr>
          <w:trHeight w:val="215"/>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Income tax (provision) benefit</w:t>
            </w:r>
          </w:p>
        </w:tc>
        <w:tc>
          <w:tcPr>
            <w:tcW w:w="260" w:type="dxa"/>
            <w:vAlign w:val="bottom"/>
            <w:tcBorders>
              <w:bottom w:val="single" w:sz="8" w:color="auto"/>
            </w:tcBorders>
            <w:shd w:val="clear" w:color="auto" w:fill="DCE2EF"/>
          </w:tcPr>
          <w:p>
            <w:pPr>
              <w:spacing w:after="0"/>
              <w:rPr>
                <w:sz w:val="18"/>
                <w:szCs w:val="18"/>
                <w:color w:val="auto"/>
              </w:rPr>
            </w:pPr>
          </w:p>
        </w:tc>
        <w:tc>
          <w:tcPr>
            <w:tcW w:w="138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4.2</w:t>
            </w:r>
          </w:p>
        </w:tc>
        <w:tc>
          <w:tcPr>
            <w:tcW w:w="120" w:type="dxa"/>
            <w:vAlign w:val="bottom"/>
            <w:shd w:val="clear" w:color="auto" w:fill="DCE2EF"/>
          </w:tcPr>
          <w:p>
            <w:pPr>
              <w:spacing w:after="0"/>
              <w:rPr>
                <w:sz w:val="18"/>
                <w:szCs w:val="18"/>
                <w:color w:val="auto"/>
              </w:rPr>
            </w:pPr>
          </w:p>
        </w:tc>
        <w:tc>
          <w:tcPr>
            <w:tcW w:w="26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(3.9)</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(93.3)%</w:t>
            </w:r>
          </w:p>
        </w:tc>
      </w:tr>
      <w:tr>
        <w:trPr>
          <w:trHeight w:val="209"/>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w w:val="97"/>
              </w:rPr>
              <w:t>(8.1)%</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67"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Revenues increased by $45.3 million, or 2.2%, to $2,114.9 million during the three months ended January 31, 2025, as compared to the prior year period. Revenue growth was comprised of organic growth of 1.6% and acquisition growth of 0.6%. The organic revenue growth was due to the higher project revenues due to the timing of certain microgrid systems design and installation projects within Technical Solutions and net new business and expansion of business with existing customers within Aviation and Education. The increase in revenues was partially offset by attrition of engineering customers within B&amp;I and a loss of a certain customer within M&amp;D. Acquisition growth was driven by a $12.7 million revenue increase from the Quality Uptime Acquisition, which was completed in June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6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Operating expenses increased by $28.8 million, or 1.6%, to $1,855.1 million during the three months ended January 31, 2025, as compared to the prior year period. Gross margin increased by 53 bps to 12.3% in the three months ended January 31, 2025, from 11.8% in the prior year period. The increase in gross margin was primarily driven by contract and service mix and operational efficiencies as well as an absence of a $5.3 million unfavorable self-insurance reserve adjustment related to prior year claims from actuarial evaluations completed in the three months ended January 31, 2024, partially offset by base wage increases within Aviation and Education.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Selling, general and administrative expenses increased by $14.4 million, or 9.3%, to $ 169.0 million during the three months ended January 31, 2025, as compared to the prior year period. The increase in selling, general and administrative expenses was primarily attributable to:</w:t>
      </w:r>
    </w:p>
    <w:p>
      <w:pPr>
        <w:spacing w:after="0" w:line="115" w:lineRule="exact"/>
        <w:rPr>
          <w:sz w:val="20"/>
          <w:szCs w:val="20"/>
          <w:color w:val="auto"/>
        </w:rPr>
      </w:pPr>
    </w:p>
    <w:p>
      <w:pPr>
        <w:ind w:left="660" w:hanging="330"/>
        <w:spacing w:after="0" w:line="28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$8.1 million increase in compensation and related expenses primarily due to higher salaries, certain incentive plans, and headcount expansion from recent acquisitions and ongoing business growth within Technical Solutions; and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9" w:name="page30"/>
    <w:bookmarkEnd w:id="29"/>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$3.6 million increase in accruals for actual and potential legal settlements.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Amortization of intangible assets decreased by $1.3 million, or 9.4%, to $13.3 million during the three months ended January 31, 2025, as compared to the prior year period. The decrease was primarily due to the lower amortization of intangibles, primarily intangibles acquired as part of the Able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6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Interest expense increased by $1.6 million, or 7.1%, to $22.9 million during the three months ended January 31, 2025, as compared to the prior year period, and was driven by higher borrowings from our Amended Credit Facility to fund working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Operations</w:t>
      </w:r>
    </w:p>
    <w:p>
      <w:pPr>
        <w:spacing w:after="0" w:line="16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Our effective tax rates from income on operations for the three months ended January 31, 2025, and January 31, 2024, were 21.4% and 17.3%, respectively, resulting in provisions for taxes of $11.9 million and $9.3 million, respectively.</w:t>
      </w:r>
    </w:p>
    <w:p>
      <w:pPr>
        <w:spacing w:after="0" w:line="100"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Our effective tax rate for the three months ended January 31, 2025, was reduced by discrete items, primarily return to provision adjustments related to our non-U.S. operations. Our effective tax rate for the three months ended January 31, 2024, was reduced by discrete items, primarily adjustments for uncertain tax positions, share based compensation, and return to provision adjustments related to our non-U.S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67" w:lineRule="exact"/>
        <w:rPr>
          <w:sz w:val="20"/>
          <w:szCs w:val="20"/>
          <w:color w:val="auto"/>
        </w:rPr>
      </w:pPr>
    </w:p>
    <w:p>
      <w:pPr>
        <w:jc w:val="both"/>
        <w:ind w:firstLine="645"/>
        <w:spacing w:after="0" w:line="316" w:lineRule="auto"/>
        <w:rPr>
          <w:sz w:val="20"/>
          <w:szCs w:val="20"/>
          <w:color w:val="auto"/>
        </w:rPr>
      </w:pPr>
      <w:r>
        <w:rPr>
          <w:rFonts w:ascii="Arial" w:cs="Arial" w:eastAsia="Arial" w:hAnsi="Arial"/>
          <w:sz w:val="17"/>
          <w:szCs w:val="17"/>
          <w:color w:val="auto"/>
        </w:rPr>
        <w:t>We had a loss of $1.1 million on interest rate swaps during the three months ended January 31, 2025, as compared to a loss of $16.0 million during the three months ended January 31, 2024, primarily due to underlying changes in the fair value of our interest rate swaps.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67" w:lineRule="exact"/>
        <w:rPr>
          <w:sz w:val="20"/>
          <w:szCs w:val="20"/>
          <w:color w:val="auto"/>
        </w:rPr>
      </w:pPr>
    </w:p>
    <w:p>
      <w:pPr>
        <w:jc w:val="both"/>
        <w:ind w:firstLine="645"/>
        <w:spacing w:after="0" w:line="281" w:lineRule="auto"/>
        <w:rPr>
          <w:sz w:val="20"/>
          <w:szCs w:val="20"/>
          <w:color w:val="auto"/>
        </w:rPr>
      </w:pPr>
      <w:r>
        <w:rPr>
          <w:rFonts w:ascii="Arial" w:cs="Arial" w:eastAsia="Arial" w:hAnsi="Arial"/>
          <w:sz w:val="17"/>
          <w:szCs w:val="17"/>
          <w:color w:val="auto"/>
        </w:rPr>
        <w:t>We had a foreign currency translation loss of $7.6 million during the three months ended January 31, 2025, as compared to a foreign currency translation gain of $5.4 million during the three months ended January 31, 2024. This change was due to fluctuations in the exchange rate between the U.S. dollar (“USD”) and the British pound sterling (“GBP”).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0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January 31,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582"/>
              <w:spacing w:after="0" w:line="168"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82"/>
              <w:spacing w:after="0" w:line="168"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2"/>
          </w:tcPr>
          <w:p>
            <w:pPr>
              <w:jc w:val="right"/>
              <w:ind w:right="359"/>
              <w:spacing w:after="0" w:line="168" w:lineRule="exact"/>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444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DCE2EF"/>
          </w:tcPr>
          <w:p>
            <w:pPr>
              <w:spacing w:after="0"/>
              <w:rPr>
                <w:sz w:val="16"/>
                <w:szCs w:val="16"/>
                <w:color w:val="auto"/>
              </w:rPr>
            </w:pPr>
          </w:p>
        </w:tc>
        <w:tc>
          <w:tcPr>
            <w:tcW w:w="51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DCE2EF"/>
          </w:tcPr>
          <w:p>
            <w:pPr>
              <w:spacing w:after="0"/>
              <w:rPr>
                <w:sz w:val="16"/>
                <w:szCs w:val="16"/>
                <w:color w:val="auto"/>
              </w:rPr>
            </w:pPr>
          </w:p>
        </w:tc>
        <w:tc>
          <w:tcPr>
            <w:tcW w:w="14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260" w:type="dxa"/>
            <w:vAlign w:val="bottom"/>
            <w:shd w:val="clear" w:color="auto" w:fill="DCE2EF"/>
          </w:tcPr>
          <w:p>
            <w:pPr>
              <w:spacing w:after="0"/>
              <w:rPr>
                <w:sz w:val="16"/>
                <w:szCs w:val="16"/>
                <w:color w:val="auto"/>
              </w:rPr>
            </w:pPr>
          </w:p>
        </w:tc>
        <w:tc>
          <w:tcPr>
            <w:tcW w:w="94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22"/>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1,033.1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(10.2)</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w w:val="97"/>
              </w:rPr>
              <w:t>(1.0)%</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1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280" w:type="dxa"/>
            <w:vAlign w:val="bottom"/>
            <w:shd w:val="clear" w:color="auto" w:fill="DCE2EF"/>
          </w:tcPr>
          <w:p>
            <w:pPr>
              <w:spacing w:after="0"/>
              <w:rPr>
                <w:sz w:val="18"/>
                <w:szCs w:val="18"/>
                <w:color w:val="auto"/>
              </w:rPr>
            </w:pPr>
          </w:p>
        </w:tc>
        <w:tc>
          <w:tcPr>
            <w:tcW w:w="140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394.3</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102"/>
              <w:spacing w:after="0"/>
              <w:rPr>
                <w:sz w:val="20"/>
                <w:szCs w:val="20"/>
                <w:color w:val="auto"/>
              </w:rPr>
            </w:pPr>
            <w:r>
              <w:rPr>
                <w:rFonts w:ascii="Arial" w:cs="Arial" w:eastAsia="Arial" w:hAnsi="Arial"/>
                <w:sz w:val="16"/>
                <w:szCs w:val="16"/>
                <w:color w:val="auto"/>
              </w:rPr>
              <w:t>400.9</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(6.6)</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Aviation</w:t>
            </w:r>
          </w:p>
        </w:tc>
        <w:tc>
          <w:tcPr>
            <w:tcW w:w="280" w:type="dxa"/>
            <w:vAlign w:val="bottom"/>
          </w:tcPr>
          <w:p>
            <w:pPr>
              <w:spacing w:after="0"/>
              <w:rPr>
                <w:sz w:val="18"/>
                <w:szCs w:val="18"/>
                <w:color w:val="auto"/>
              </w:rPr>
            </w:pPr>
          </w:p>
        </w:tc>
        <w:tc>
          <w:tcPr>
            <w:tcW w:w="1400" w:type="dxa"/>
            <w:vAlign w:val="bottom"/>
          </w:tcPr>
          <w:p>
            <w:pPr>
              <w:jc w:val="right"/>
              <w:ind w:right="122"/>
              <w:spacing w:after="0"/>
              <w:rPr>
                <w:sz w:val="20"/>
                <w:szCs w:val="20"/>
                <w:color w:val="auto"/>
              </w:rPr>
            </w:pPr>
            <w:r>
              <w:rPr>
                <w:rFonts w:ascii="Arial" w:cs="Arial" w:eastAsia="Arial" w:hAnsi="Arial"/>
                <w:sz w:val="16"/>
                <w:szCs w:val="16"/>
                <w:color w:val="auto"/>
              </w:rPr>
              <w:t>270.1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249.5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20.6</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1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Education</w:t>
            </w:r>
          </w:p>
        </w:tc>
        <w:tc>
          <w:tcPr>
            <w:tcW w:w="280" w:type="dxa"/>
            <w:vAlign w:val="bottom"/>
            <w:shd w:val="clear" w:color="auto" w:fill="DCE2EF"/>
          </w:tcPr>
          <w:p>
            <w:pPr>
              <w:spacing w:after="0"/>
              <w:rPr>
                <w:sz w:val="18"/>
                <w:szCs w:val="18"/>
                <w:color w:val="auto"/>
              </w:rPr>
            </w:pPr>
          </w:p>
        </w:tc>
        <w:tc>
          <w:tcPr>
            <w:tcW w:w="140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225.3</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102"/>
              <w:spacing w:after="0"/>
              <w:rPr>
                <w:sz w:val="20"/>
                <w:szCs w:val="20"/>
                <w:color w:val="auto"/>
              </w:rPr>
            </w:pPr>
            <w:r>
              <w:rPr>
                <w:rFonts w:ascii="Arial" w:cs="Arial" w:eastAsia="Arial" w:hAnsi="Arial"/>
                <w:sz w:val="16"/>
                <w:szCs w:val="16"/>
                <w:color w:val="auto"/>
              </w:rPr>
              <w:t>220.1</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4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5.2</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516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Technical Solutions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DCE2E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165.9</w:t>
            </w:r>
          </w:p>
        </w:tc>
        <w:tc>
          <w:tcPr>
            <w:tcW w:w="120" w:type="dxa"/>
            <w:vAlign w:val="bottom"/>
            <w:tcBorders>
              <w:bottom w:val="single" w:sz="8" w:color="DCE2E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36.4</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34"/>
        </w:trPr>
        <w:tc>
          <w:tcPr>
            <w:tcW w:w="20" w:type="dxa"/>
            <w:vAlign w:val="bottom"/>
            <w:tcBorders>
              <w:bottom w:val="single" w:sz="8" w:color="DCE2EF"/>
            </w:tcBorders>
            <w:shd w:val="clear" w:color="auto" w:fill="DCE2EF"/>
          </w:tcPr>
          <w:p>
            <w:pPr>
              <w:spacing w:after="0"/>
              <w:rPr>
                <w:sz w:val="19"/>
                <w:szCs w:val="19"/>
                <w:color w:val="auto"/>
              </w:rPr>
            </w:pPr>
          </w:p>
        </w:tc>
        <w:tc>
          <w:tcPr>
            <w:tcW w:w="720" w:type="dxa"/>
            <w:vAlign w:val="bottom"/>
            <w:tcBorders>
              <w:bottom w:val="single" w:sz="8" w:color="DCE2EF"/>
            </w:tcBorders>
            <w:shd w:val="clear" w:color="auto" w:fill="DCE2EF"/>
          </w:tcPr>
          <w:p>
            <w:pPr>
              <w:spacing w:after="0"/>
              <w:rPr>
                <w:sz w:val="19"/>
                <w:szCs w:val="19"/>
                <w:color w:val="auto"/>
              </w:rPr>
            </w:pPr>
          </w:p>
        </w:tc>
        <w:tc>
          <w:tcPr>
            <w:tcW w:w="4440" w:type="dxa"/>
            <w:vAlign w:val="bottom"/>
            <w:tcBorders>
              <w:bottom w:val="single" w:sz="8" w:color="DCE2EF"/>
            </w:tcBorders>
            <w:shd w:val="clear" w:color="auto" w:fill="DCE2EF"/>
          </w:tcPr>
          <w:p>
            <w:pPr>
              <w:spacing w:after="0"/>
              <w:rPr>
                <w:sz w:val="19"/>
                <w:szCs w:val="19"/>
                <w:color w:val="auto"/>
              </w:rPr>
            </w:pPr>
          </w:p>
        </w:tc>
        <w:tc>
          <w:tcPr>
            <w:tcW w:w="28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DCE2EF"/>
          </w:tcPr>
          <w:p>
            <w:pPr>
              <w:jc w:val="right"/>
              <w:ind w:right="122"/>
              <w:spacing w:after="0"/>
              <w:rPr>
                <w:sz w:val="20"/>
                <w:szCs w:val="20"/>
                <w:color w:val="auto"/>
              </w:rPr>
            </w:pPr>
            <w:r>
              <w:rPr>
                <w:rFonts w:ascii="Arial" w:cs="Arial" w:eastAsia="Arial" w:hAnsi="Arial"/>
                <w:sz w:val="16"/>
                <w:szCs w:val="16"/>
                <w:color w:val="auto"/>
              </w:rPr>
              <w:t>2,114.9</w:t>
            </w:r>
          </w:p>
        </w:tc>
        <w:tc>
          <w:tcPr>
            <w:tcW w:w="100" w:type="dxa"/>
            <w:vAlign w:val="bottom"/>
            <w:tcBorders>
              <w:bottom w:val="single" w:sz="8" w:color="DCE2EF"/>
            </w:tcBorders>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CE2EF"/>
          </w:tcPr>
          <w:p>
            <w:pPr>
              <w:jc w:val="right"/>
              <w:ind w:right="102"/>
              <w:spacing w:after="0"/>
              <w:rPr>
                <w:sz w:val="20"/>
                <w:szCs w:val="20"/>
                <w:color w:val="auto"/>
              </w:rPr>
            </w:pPr>
            <w:r>
              <w:rPr>
                <w:rFonts w:ascii="Arial" w:cs="Arial" w:eastAsia="Arial" w:hAnsi="Arial"/>
                <w:sz w:val="16"/>
                <w:szCs w:val="16"/>
                <w:color w:val="auto"/>
              </w:rPr>
              <w:t>2,069.6</w:t>
            </w:r>
          </w:p>
        </w:tc>
        <w:tc>
          <w:tcPr>
            <w:tcW w:w="120" w:type="dxa"/>
            <w:vAlign w:val="bottom"/>
            <w:tcBorders>
              <w:bottom w:val="single" w:sz="8" w:color="DCE2EF"/>
            </w:tcBorders>
            <w:shd w:val="clear" w:color="auto" w:fill="DCE2EF"/>
          </w:tcPr>
          <w:p>
            <w:pPr>
              <w:spacing w:after="0"/>
              <w:rPr>
                <w:sz w:val="19"/>
                <w:szCs w:val="19"/>
                <w:color w:val="auto"/>
              </w:rPr>
            </w:pPr>
          </w:p>
        </w:tc>
        <w:tc>
          <w:tcPr>
            <w:tcW w:w="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DCE2EF"/>
          </w:tcPr>
          <w:p>
            <w:pPr>
              <w:jc w:val="right"/>
              <w:ind w:right="2"/>
              <w:spacing w:after="0"/>
              <w:rPr>
                <w:sz w:val="20"/>
                <w:szCs w:val="20"/>
                <w:color w:val="auto"/>
              </w:rPr>
            </w:pPr>
            <w:r>
              <w:rPr>
                <w:rFonts w:ascii="Arial" w:cs="Arial" w:eastAsia="Arial" w:hAnsi="Arial"/>
                <w:sz w:val="16"/>
                <w:szCs w:val="16"/>
                <w:color w:val="auto"/>
              </w:rPr>
              <w:t>45.3</w:t>
            </w:r>
          </w:p>
        </w:tc>
        <w:tc>
          <w:tcPr>
            <w:tcW w:w="128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516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4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94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1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Business &amp; Industry</w:t>
            </w:r>
          </w:p>
        </w:tc>
        <w:tc>
          <w:tcPr>
            <w:tcW w:w="28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CE2EF"/>
          </w:tcPr>
          <w:p>
            <w:pPr>
              <w:jc w:val="right"/>
              <w:ind w:right="102"/>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DCE2EF"/>
          </w:tcPr>
          <w:p>
            <w:pPr>
              <w:spacing w:after="0"/>
              <w:rPr>
                <w:sz w:val="18"/>
                <w:szCs w:val="18"/>
                <w:color w:val="auto"/>
              </w:rPr>
            </w:pP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gridSpan w:val="2"/>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7.8 %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7.7 %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5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51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280" w:type="dxa"/>
            <w:vAlign w:val="bottom"/>
            <w:shd w:val="clear" w:color="auto" w:fill="DCE2EF"/>
          </w:tcPr>
          <w:p>
            <w:pPr>
              <w:spacing w:after="0"/>
              <w:rPr>
                <w:sz w:val="19"/>
                <w:szCs w:val="19"/>
                <w:color w:val="auto"/>
              </w:rPr>
            </w:pPr>
          </w:p>
        </w:tc>
        <w:tc>
          <w:tcPr>
            <w:tcW w:w="140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ind w:right="102"/>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7"/>
              </w:rPr>
              <w:t>(4.8)%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gridSpan w:val="2"/>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10.0 %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10.3 %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(33)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51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Aviation</w:t>
            </w:r>
          </w:p>
        </w:tc>
        <w:tc>
          <w:tcPr>
            <w:tcW w:w="280" w:type="dxa"/>
            <w:vAlign w:val="bottom"/>
            <w:shd w:val="clear" w:color="auto" w:fill="DCE2EF"/>
          </w:tcPr>
          <w:p>
            <w:pPr>
              <w:spacing w:after="0"/>
              <w:rPr>
                <w:sz w:val="19"/>
                <w:szCs w:val="19"/>
                <w:color w:val="auto"/>
              </w:rPr>
            </w:pPr>
          </w:p>
        </w:tc>
        <w:tc>
          <w:tcPr>
            <w:tcW w:w="140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ind w:right="102"/>
              <w:spacing w:after="0"/>
              <w:rPr>
                <w:sz w:val="20"/>
                <w:szCs w:val="20"/>
                <w:color w:val="auto"/>
              </w:rPr>
            </w:pPr>
            <w:r>
              <w:rPr>
                <w:rFonts w:ascii="Arial" w:cs="Arial" w:eastAsia="Arial" w:hAnsi="Arial"/>
                <w:sz w:val="16"/>
                <w:szCs w:val="16"/>
                <w:color w:val="auto"/>
              </w:rPr>
              <w:t>9.7</w:t>
            </w: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4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2.5</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gridSpan w:val="2"/>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4.5 %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3.9 %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63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51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Education</w:t>
            </w:r>
          </w:p>
        </w:tc>
        <w:tc>
          <w:tcPr>
            <w:tcW w:w="280" w:type="dxa"/>
            <w:vAlign w:val="bottom"/>
            <w:shd w:val="clear" w:color="auto" w:fill="DCE2EF"/>
          </w:tcPr>
          <w:p>
            <w:pPr>
              <w:spacing w:after="0"/>
              <w:rPr>
                <w:sz w:val="19"/>
                <w:szCs w:val="19"/>
                <w:color w:val="auto"/>
              </w:rPr>
            </w:pPr>
          </w:p>
        </w:tc>
        <w:tc>
          <w:tcPr>
            <w:tcW w:w="140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ind w:right="102"/>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4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1.3</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gridSpan w:val="2"/>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6.2 %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5.8 %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43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51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Technical Solutions</w:t>
            </w:r>
          </w:p>
        </w:tc>
        <w:tc>
          <w:tcPr>
            <w:tcW w:w="280" w:type="dxa"/>
            <w:vAlign w:val="bottom"/>
            <w:shd w:val="clear" w:color="auto" w:fill="DCE2EF"/>
          </w:tcPr>
          <w:p>
            <w:pPr>
              <w:spacing w:after="0"/>
              <w:rPr>
                <w:sz w:val="19"/>
                <w:szCs w:val="19"/>
                <w:color w:val="auto"/>
              </w:rPr>
            </w:pPr>
          </w:p>
        </w:tc>
        <w:tc>
          <w:tcPr>
            <w:tcW w:w="140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ind w:right="102"/>
              <w:spacing w:after="0"/>
              <w:rPr>
                <w:sz w:val="20"/>
                <w:szCs w:val="20"/>
                <w:color w:val="auto"/>
              </w:rPr>
            </w:pPr>
            <w:r>
              <w:rPr>
                <w:rFonts w:ascii="Arial" w:cs="Arial" w:eastAsia="Arial" w:hAnsi="Arial"/>
                <w:sz w:val="16"/>
                <w:szCs w:val="16"/>
                <w:color w:val="auto"/>
              </w:rPr>
              <w:t>6.6</w:t>
            </w: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40" w:type="dxa"/>
            <w:vAlign w:val="bottom"/>
            <w:shd w:val="clear" w:color="auto" w:fill="DCE2EF"/>
          </w:tcPr>
          <w:p>
            <w:pPr>
              <w:jc w:val="right"/>
              <w:ind w:right="2"/>
              <w:spacing w:after="0"/>
              <w:rPr>
                <w:sz w:val="20"/>
                <w:szCs w:val="20"/>
                <w:color w:val="auto"/>
              </w:rPr>
            </w:pPr>
            <w:r>
              <w:rPr>
                <w:rFonts w:ascii="Arial" w:cs="Arial" w:eastAsia="Arial" w:hAnsi="Arial"/>
                <w:sz w:val="16"/>
                <w:szCs w:val="16"/>
                <w:color w:val="auto"/>
              </w:rPr>
              <w:t>10.0</w:t>
            </w:r>
          </w:p>
        </w:tc>
        <w:tc>
          <w:tcPr>
            <w:tcW w:w="1280" w:type="dxa"/>
            <w:vAlign w:val="bottom"/>
            <w:shd w:val="clear" w:color="auto" w:fill="DCE2EF"/>
          </w:tcPr>
          <w:p>
            <w:pPr>
              <w:jc w:val="right"/>
              <w:ind w:right="35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gridSpan w:val="2"/>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8.2 %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4.0 %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424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51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Corporate</w:t>
            </w:r>
          </w:p>
        </w:tc>
        <w:tc>
          <w:tcPr>
            <w:tcW w:w="280" w:type="dxa"/>
            <w:vAlign w:val="bottom"/>
            <w:shd w:val="clear" w:color="auto" w:fill="DCE2EF"/>
          </w:tcPr>
          <w:p>
            <w:pPr>
              <w:spacing w:after="0"/>
              <w:rPr>
                <w:sz w:val="19"/>
                <w:szCs w:val="19"/>
                <w:color w:val="auto"/>
              </w:rPr>
            </w:pPr>
          </w:p>
        </w:tc>
        <w:tc>
          <w:tcPr>
            <w:tcW w:w="1400" w:type="dxa"/>
            <w:vAlign w:val="bottom"/>
            <w:shd w:val="clear" w:color="auto" w:fill="DCE2EF"/>
          </w:tcPr>
          <w:p>
            <w:pPr>
              <w:jc w:val="right"/>
              <w:ind w:right="62"/>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ind w:right="62"/>
              <w:spacing w:after="0"/>
              <w:rPr>
                <w:sz w:val="20"/>
                <w:szCs w:val="20"/>
                <w:color w:val="auto"/>
              </w:rPr>
            </w:pPr>
            <w:r>
              <w:rPr>
                <w:rFonts w:ascii="Arial" w:cs="Arial" w:eastAsia="Arial" w:hAnsi="Arial"/>
                <w:sz w:val="16"/>
                <w:szCs w:val="16"/>
                <w:color w:val="auto"/>
              </w:rPr>
              <w:t>(74.7)</w:t>
            </w:r>
          </w:p>
        </w:tc>
        <w:tc>
          <w:tcPr>
            <w:tcW w:w="12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(8.5)</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6"/>
              </w:rPr>
              <w:t>(11.4)%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gridSpan w:val="2"/>
          </w:tcPr>
          <w:p>
            <w:pPr>
              <w:spacing w:after="0" w:line="161" w:lineRule="exact"/>
              <w:rPr>
                <w:sz w:val="20"/>
                <w:szCs w:val="20"/>
                <w:color w:val="auto"/>
              </w:rPr>
            </w:pPr>
            <w:r>
              <w:rPr>
                <w:rFonts w:ascii="Arial" w:cs="Arial" w:eastAsia="Arial" w:hAnsi="Arial"/>
                <w:sz w:val="16"/>
                <w:szCs w:val="16"/>
                <w:color w:val="auto"/>
              </w:rPr>
              <w:t>Adjustment for income from unconsolidated affiliates, included in</w:t>
            </w:r>
          </w:p>
        </w:tc>
        <w:tc>
          <w:tcPr>
            <w:tcW w:w="280" w:type="dxa"/>
            <w:vAlign w:val="bottom"/>
          </w:tcPr>
          <w:p>
            <w:pPr>
              <w:spacing w:after="0"/>
              <w:rPr>
                <w:sz w:val="14"/>
                <w:szCs w:val="14"/>
                <w:color w:val="auto"/>
              </w:rPr>
            </w:pPr>
          </w:p>
        </w:tc>
        <w:tc>
          <w:tcPr>
            <w:tcW w:w="1400" w:type="dxa"/>
            <w:vAlign w:val="bottom"/>
            <w:vMerge w:val="restart"/>
          </w:tcPr>
          <w:p>
            <w:pPr>
              <w:jc w:val="right"/>
              <w:ind w:right="6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6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6"/>
                <w:szCs w:val="16"/>
                <w:color w:val="auto"/>
              </w:rPr>
              <w:t>0.5</w:t>
            </w:r>
          </w:p>
        </w:tc>
        <w:tc>
          <w:tcPr>
            <w:tcW w:w="1280" w:type="dxa"/>
            <w:vAlign w:val="bottom"/>
            <w:vMerge w:val="restart"/>
          </w:tcPr>
          <w:p>
            <w:pPr>
              <w:jc w:val="center"/>
              <w:ind w:left="19"/>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4"/>
        </w:trPr>
        <w:tc>
          <w:tcPr>
            <w:tcW w:w="20" w:type="dxa"/>
            <w:vAlign w:val="bottom"/>
            <w:tcBorders>
              <w:bottom w:val="single" w:sz="8" w:color="DCE2EF"/>
            </w:tcBorders>
          </w:tcPr>
          <w:p>
            <w:pPr>
              <w:spacing w:after="0"/>
              <w:rPr>
                <w:sz w:val="18"/>
                <w:szCs w:val="18"/>
                <w:color w:val="auto"/>
              </w:rPr>
            </w:pPr>
          </w:p>
        </w:tc>
        <w:tc>
          <w:tcPr>
            <w:tcW w:w="5160" w:type="dxa"/>
            <w:vAlign w:val="bottom"/>
            <w:tcBorders>
              <w:bottom w:val="single" w:sz="8" w:color="DCE2EF"/>
            </w:tcBorders>
            <w:gridSpan w:val="2"/>
          </w:tcPr>
          <w:p>
            <w:pPr>
              <w:ind w:left="160"/>
              <w:spacing w:after="0"/>
              <w:rPr>
                <w:sz w:val="20"/>
                <w:szCs w:val="20"/>
                <w:color w:val="auto"/>
              </w:rPr>
            </w:pPr>
            <w:r>
              <w:rPr>
                <w:rFonts w:ascii="Arial" w:cs="Arial" w:eastAsia="Arial" w:hAnsi="Arial"/>
                <w:sz w:val="16"/>
                <w:szCs w:val="16"/>
                <w:color w:val="auto"/>
              </w:rPr>
              <w:t>Aviation and Technical Solutions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DCE2E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DCE2EF"/>
            </w:tcBorders>
            <w:shd w:val="clear" w:color="auto" w:fill="DCE2EF"/>
          </w:tcPr>
          <w:p>
            <w:pPr>
              <w:spacing w:after="0"/>
              <w:rPr>
                <w:sz w:val="19"/>
                <w:szCs w:val="19"/>
                <w:color w:val="auto"/>
              </w:rPr>
            </w:pPr>
          </w:p>
        </w:tc>
        <w:tc>
          <w:tcPr>
            <w:tcW w:w="720" w:type="dxa"/>
            <w:vAlign w:val="bottom"/>
            <w:tcBorders>
              <w:bottom w:val="single" w:sz="8" w:color="DCE2EF"/>
            </w:tcBorders>
            <w:shd w:val="clear" w:color="auto" w:fill="DCE2EF"/>
          </w:tcPr>
          <w:p>
            <w:pPr>
              <w:spacing w:after="0"/>
              <w:rPr>
                <w:sz w:val="19"/>
                <w:szCs w:val="19"/>
                <w:color w:val="auto"/>
              </w:rPr>
            </w:pPr>
          </w:p>
        </w:tc>
        <w:tc>
          <w:tcPr>
            <w:tcW w:w="4440" w:type="dxa"/>
            <w:vAlign w:val="bottom"/>
            <w:tcBorders>
              <w:bottom w:val="single" w:sz="8" w:color="DCE2EF"/>
            </w:tcBorders>
            <w:shd w:val="clear" w:color="auto" w:fill="DCE2EF"/>
          </w:tcPr>
          <w:p>
            <w:pPr>
              <w:spacing w:after="0"/>
              <w:rPr>
                <w:sz w:val="19"/>
                <w:szCs w:val="19"/>
                <w:color w:val="auto"/>
              </w:rPr>
            </w:pPr>
          </w:p>
        </w:tc>
        <w:tc>
          <w:tcPr>
            <w:tcW w:w="28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DCE2EF"/>
          </w:tcPr>
          <w:p>
            <w:pPr>
              <w:jc w:val="right"/>
              <w:ind w:right="122"/>
              <w:spacing w:after="0"/>
              <w:rPr>
                <w:sz w:val="20"/>
                <w:szCs w:val="20"/>
                <w:color w:val="auto"/>
              </w:rPr>
            </w:pPr>
            <w:r>
              <w:rPr>
                <w:rFonts w:ascii="Arial" w:cs="Arial" w:eastAsia="Arial" w:hAnsi="Arial"/>
                <w:sz w:val="16"/>
                <w:szCs w:val="16"/>
                <w:color w:val="auto"/>
              </w:rPr>
              <w:t>77.6</w:t>
            </w:r>
          </w:p>
        </w:tc>
        <w:tc>
          <w:tcPr>
            <w:tcW w:w="100" w:type="dxa"/>
            <w:vAlign w:val="bottom"/>
            <w:tcBorders>
              <w:bottom w:val="single" w:sz="8" w:color="DCE2EF"/>
            </w:tcBorders>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CE2EF"/>
          </w:tcPr>
          <w:p>
            <w:pPr>
              <w:jc w:val="right"/>
              <w:ind w:right="102"/>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DCE2EF"/>
            </w:tcBorders>
            <w:shd w:val="clear" w:color="auto" w:fill="DCE2EF"/>
          </w:tcPr>
          <w:p>
            <w:pPr>
              <w:spacing w:after="0"/>
              <w:rPr>
                <w:sz w:val="19"/>
                <w:szCs w:val="19"/>
                <w:color w:val="auto"/>
              </w:rPr>
            </w:pPr>
          </w:p>
        </w:tc>
        <w:tc>
          <w:tcPr>
            <w:tcW w:w="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DCE2EF"/>
          </w:tcPr>
          <w:p>
            <w:pPr>
              <w:jc w:val="right"/>
              <w:ind w:right="2"/>
              <w:spacing w:after="0"/>
              <w:rPr>
                <w:sz w:val="20"/>
                <w:szCs w:val="20"/>
                <w:color w:val="auto"/>
              </w:rPr>
            </w:pPr>
            <w:r>
              <w:rPr>
                <w:rFonts w:ascii="Arial" w:cs="Arial" w:eastAsia="Arial" w:hAnsi="Arial"/>
                <w:sz w:val="16"/>
                <w:szCs w:val="16"/>
                <w:color w:val="auto"/>
              </w:rPr>
              <w:t>3.5</w:t>
            </w:r>
          </w:p>
        </w:tc>
        <w:tc>
          <w:tcPr>
            <w:tcW w:w="128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444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4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94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0" w:type="dxa"/>
            <w:vAlign w:val="bottom"/>
            <w:gridSpan w:val="3"/>
          </w:tcPr>
          <w:p>
            <w:pPr>
              <w:spacing w:after="0"/>
              <w:rPr>
                <w:sz w:val="20"/>
                <w:szCs w:val="20"/>
                <w:color w:val="auto"/>
              </w:rPr>
            </w:pPr>
            <w:r>
              <w:rPr>
                <w:rFonts w:ascii="Arial" w:cs="Arial" w:eastAsia="Arial" w:hAnsi="Arial"/>
                <w:sz w:val="16"/>
                <w:szCs w:val="16"/>
                <w:color w:val="auto"/>
              </w:rPr>
              <w:t>*Not meaningful</w:t>
            </w: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Business &amp; Industry</w:t>
            </w:r>
          </w:p>
        </w:tc>
        <w:tc>
          <w:tcPr>
            <w:tcW w:w="360" w:type="dxa"/>
            <w:vAlign w:val="bottom"/>
          </w:tcPr>
          <w:p>
            <w:pPr>
              <w:spacing w:after="0"/>
              <w:rPr>
                <w:sz w:val="24"/>
                <w:szCs w:val="24"/>
                <w:color w:val="auto"/>
              </w:rPr>
            </w:pPr>
          </w:p>
        </w:tc>
        <w:tc>
          <w:tcPr>
            <w:tcW w:w="3540" w:type="dxa"/>
            <w:vAlign w:val="bottom"/>
            <w:gridSpan w:val="5"/>
            <w:vMerge w:val="restart"/>
          </w:tcPr>
          <w:p>
            <w:pPr>
              <w:ind w:left="280"/>
              <w:spacing w:after="0"/>
              <w:rPr>
                <w:sz w:val="20"/>
                <w:szCs w:val="20"/>
                <w:color w:val="auto"/>
              </w:rPr>
            </w:pPr>
            <w:r>
              <w:rPr>
                <w:rFonts w:ascii="Arial" w:cs="Arial" w:eastAsia="Arial" w:hAnsi="Arial"/>
                <w:sz w:val="16"/>
                <w:szCs w:val="16"/>
                <w:b w:val="1"/>
                <w:bCs w:val="1"/>
                <w:color w:val="auto"/>
              </w:rPr>
              <w:t>Three Months Ended January 31,</w:t>
            </w: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gridSpan w:val="2"/>
          </w:tcPr>
          <w:p>
            <w:pPr>
              <w:jc w:val="right"/>
              <w:ind w:right="879"/>
              <w:spacing w:after="0" w:line="135" w:lineRule="exact"/>
              <w:rPr>
                <w:sz w:val="20"/>
                <w:szCs w:val="20"/>
                <w:color w:val="auto"/>
              </w:rPr>
            </w:pPr>
            <w:r>
              <w:rPr>
                <w:rFonts w:ascii="Arial" w:cs="Arial" w:eastAsia="Arial" w:hAnsi="Arial"/>
                <w:sz w:val="15"/>
                <w:szCs w:val="15"/>
                <w:b w:val="1"/>
                <w:bCs w:val="1"/>
                <w:color w:val="auto"/>
              </w:rPr>
              <w:t>(Decrease) / Increase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7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1,022.9</w:t>
            </w:r>
          </w:p>
        </w:tc>
        <w:tc>
          <w:tcPr>
            <w:tcW w:w="100" w:type="dxa"/>
            <w:vAlign w:val="bottom"/>
            <w:shd w:val="clear" w:color="auto" w:fill="DCE2EF"/>
          </w:tcPr>
          <w:p>
            <w:pPr>
              <w:spacing w:after="0"/>
              <w:rPr>
                <w:sz w:val="18"/>
                <w:szCs w:val="18"/>
                <w:color w:val="auto"/>
              </w:rPr>
            </w:pPr>
          </w:p>
        </w:tc>
        <w:tc>
          <w:tcPr>
            <w:tcW w:w="44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1,033.1</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DCE2EF"/>
          </w:tcPr>
          <w:p>
            <w:pPr>
              <w:jc w:val="right"/>
              <w:ind w:right="303"/>
              <w:spacing w:after="0"/>
              <w:rPr>
                <w:sz w:val="20"/>
                <w:szCs w:val="20"/>
                <w:color w:val="auto"/>
              </w:rPr>
            </w:pPr>
            <w:r>
              <w:rPr>
                <w:rFonts w:ascii="Arial" w:cs="Arial" w:eastAsia="Arial" w:hAnsi="Arial"/>
                <w:sz w:val="16"/>
                <w:szCs w:val="16"/>
                <w:color w:val="auto"/>
              </w:rPr>
              <w:t>(10.2)</w:t>
            </w:r>
          </w:p>
        </w:tc>
        <w:tc>
          <w:tcPr>
            <w:tcW w:w="1460" w:type="dxa"/>
            <w:vAlign w:val="bottom"/>
            <w:shd w:val="clear" w:color="auto" w:fill="DCE2EF"/>
          </w:tcPr>
          <w:p>
            <w:pPr>
              <w:jc w:val="right"/>
              <w:ind w:right="5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360" w:type="dxa"/>
            <w:vAlign w:val="bottom"/>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jc w:val="right"/>
              <w:ind w:right="303"/>
              <w:spacing w:after="0"/>
              <w:rPr>
                <w:sz w:val="20"/>
                <w:szCs w:val="20"/>
                <w:color w:val="auto"/>
              </w:rPr>
            </w:pPr>
            <w:r>
              <w:rPr>
                <w:rFonts w:ascii="Arial" w:cs="Arial" w:eastAsia="Arial" w:hAnsi="Arial"/>
                <w:sz w:val="16"/>
                <w:szCs w:val="16"/>
                <w:color w:val="auto"/>
              </w:rPr>
              <w:t>(0.2)</w:t>
            </w:r>
          </w:p>
        </w:tc>
        <w:tc>
          <w:tcPr>
            <w:tcW w:w="1460" w:type="dxa"/>
            <w:vAlign w:val="bottom"/>
          </w:tcPr>
          <w:p>
            <w:pPr>
              <w:jc w:val="right"/>
              <w:ind w:right="53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7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60" w:type="dxa"/>
            <w:vAlign w:val="bottom"/>
            <w:shd w:val="clear" w:color="auto" w:fill="DCE2EF"/>
          </w:tcPr>
          <w:p>
            <w:pPr>
              <w:spacing w:after="0"/>
              <w:rPr>
                <w:sz w:val="17"/>
                <w:szCs w:val="17"/>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7.8 %</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7.7 %</w:t>
            </w:r>
          </w:p>
        </w:tc>
        <w:tc>
          <w:tcPr>
            <w:tcW w:w="10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540" w:type="dxa"/>
            <w:vAlign w:val="bottom"/>
            <w:shd w:val="clear" w:color="auto" w:fill="DCE2EF"/>
          </w:tcPr>
          <w:p>
            <w:pPr>
              <w:jc w:val="right"/>
              <w:ind w:right="303"/>
              <w:spacing w:after="0"/>
              <w:rPr>
                <w:sz w:val="20"/>
                <w:szCs w:val="20"/>
                <w:color w:val="auto"/>
              </w:rPr>
            </w:pPr>
            <w:r>
              <w:rPr>
                <w:rFonts w:ascii="Arial" w:cs="Arial" w:eastAsia="Arial" w:hAnsi="Arial"/>
                <w:sz w:val="14"/>
                <w:szCs w:val="14"/>
                <w:i w:val="1"/>
                <w:iCs w:val="1"/>
                <w:color w:val="auto"/>
              </w:rPr>
              <w:t>5 bps</w:t>
            </w:r>
          </w:p>
        </w:tc>
        <w:tc>
          <w:tcPr>
            <w:tcW w:w="14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B&amp;I revenues decreased by $10.2 million, or 1.0%, to $ 1,022.9 million during the three months ended January 31, 2025, as compared to the prior year period. The revenue decrease was primarily driven by the attrition of certain engineering clients and a decrease in work orders, partially offset by client expansions and new wins both domestic and international. Management reimbursement revenues for this segment totaled $71.3 million and $70.5 million for the three months ended January 31, 2025 and 2024, respectively.</w:t>
      </w:r>
    </w:p>
    <w:p>
      <w:pPr>
        <w:spacing w:after="0" w:line="121"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decreased by $0.2 million, or 0.3%, to $79.4 million during the three months ended January 31, 2025, as compared to the prior year period. Operating profit margin increased by 5 bps to 7.8% in the three months ended January 31, 2025, from 7.7% in the prior year period. The increase in operating profit margin was primarily driven by contract and service mix, lower bad debt, and legal expense as well as amortization of intangible assets.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Manufacturing &amp; Distribution</w:t>
            </w:r>
          </w:p>
        </w:tc>
        <w:tc>
          <w:tcPr>
            <w:tcW w:w="360" w:type="dxa"/>
            <w:vAlign w:val="bottom"/>
          </w:tcPr>
          <w:p>
            <w:pPr>
              <w:spacing w:after="0"/>
              <w:rPr>
                <w:sz w:val="19"/>
                <w:szCs w:val="19"/>
                <w:color w:val="auto"/>
              </w:rPr>
            </w:pPr>
          </w:p>
        </w:tc>
        <w:tc>
          <w:tcPr>
            <w:tcW w:w="352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60" w:type="dxa"/>
            <w:vAlign w:val="bottom"/>
          </w:tcPr>
          <w:p>
            <w:pPr>
              <w:jc w:val="right"/>
              <w:ind w:right="83"/>
              <w:spacing w:after="0" w:line="135" w:lineRule="exact"/>
              <w:rPr>
                <w:sz w:val="20"/>
                <w:szCs w:val="20"/>
                <w:color w:val="auto"/>
              </w:rPr>
            </w:pPr>
            <w:r>
              <w:rPr>
                <w:rFonts w:ascii="Arial" w:cs="Arial" w:eastAsia="Arial" w:hAnsi="Arial"/>
                <w:sz w:val="15"/>
                <w:szCs w:val="15"/>
                <w:b w:val="1"/>
                <w:bCs w:val="1"/>
                <w:color w:val="auto"/>
              </w:rPr>
              <w:t>Decrease</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8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394.3</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400.9</w:t>
            </w:r>
          </w:p>
        </w:tc>
        <w:tc>
          <w:tcPr>
            <w:tcW w:w="100" w:type="dxa"/>
            <w:vAlign w:val="bottom"/>
            <w:shd w:val="clear" w:color="auto" w:fill="DCE2EF"/>
          </w:tcPr>
          <w:p>
            <w:pPr>
              <w:spacing w:after="0"/>
              <w:rPr>
                <w:sz w:val="18"/>
                <w:szCs w:val="18"/>
                <w:color w:val="auto"/>
              </w:rPr>
            </w:pPr>
          </w:p>
        </w:tc>
        <w:tc>
          <w:tcPr>
            <w:tcW w:w="640" w:type="dxa"/>
            <w:vAlign w:val="bottom"/>
            <w:shd w:val="clear" w:color="auto" w:fill="DCE2EF"/>
          </w:tcPr>
          <w:p>
            <w:pPr>
              <w:jc w:val="right"/>
              <w:ind w:right="439"/>
              <w:spacing w:after="0"/>
              <w:rPr>
                <w:sz w:val="20"/>
                <w:szCs w:val="20"/>
                <w:color w:val="auto"/>
              </w:rPr>
            </w:pPr>
            <w:r>
              <w:rPr>
                <w:rFonts w:ascii="Arial" w:cs="Arial" w:eastAsia="Arial" w:hAnsi="Arial"/>
                <w:sz w:val="16"/>
                <w:szCs w:val="16"/>
                <w:color w:val="auto"/>
              </w:rPr>
              <w:t>$</w:t>
            </w:r>
          </w:p>
        </w:tc>
        <w:tc>
          <w:tcPr>
            <w:tcW w:w="1660" w:type="dxa"/>
            <w:vAlign w:val="bottom"/>
            <w:shd w:val="clear" w:color="auto" w:fill="DCE2EF"/>
          </w:tcPr>
          <w:p>
            <w:pPr>
              <w:jc w:val="right"/>
              <w:ind w:right="523"/>
              <w:spacing w:after="0"/>
              <w:rPr>
                <w:sz w:val="20"/>
                <w:szCs w:val="20"/>
                <w:color w:val="auto"/>
              </w:rPr>
            </w:pPr>
            <w:r>
              <w:rPr>
                <w:rFonts w:ascii="Arial" w:cs="Arial" w:eastAsia="Arial" w:hAnsi="Arial"/>
                <w:sz w:val="16"/>
                <w:szCs w:val="16"/>
                <w:color w:val="auto"/>
              </w:rPr>
              <w:t>(6.6)</w:t>
            </w:r>
          </w:p>
        </w:tc>
        <w:tc>
          <w:tcPr>
            <w:tcW w:w="1240" w:type="dxa"/>
            <w:vAlign w:val="bottom"/>
            <w:shd w:val="clear" w:color="auto" w:fill="DCE2EF"/>
          </w:tcPr>
          <w:p>
            <w:pPr>
              <w:jc w:val="right"/>
              <w:ind w:right="5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360" w:type="dxa"/>
            <w:vAlign w:val="bottom"/>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tcPr>
          <w:p>
            <w:pPr>
              <w:jc w:val="right"/>
              <w:ind w:right="523"/>
              <w:spacing w:after="0"/>
              <w:rPr>
                <w:sz w:val="20"/>
                <w:szCs w:val="20"/>
                <w:color w:val="auto"/>
              </w:rPr>
            </w:pPr>
            <w:r>
              <w:rPr>
                <w:rFonts w:ascii="Arial" w:cs="Arial" w:eastAsia="Arial" w:hAnsi="Arial"/>
                <w:sz w:val="16"/>
                <w:szCs w:val="16"/>
                <w:color w:val="auto"/>
              </w:rPr>
              <w:t>(1.9)</w:t>
            </w:r>
          </w:p>
        </w:tc>
        <w:tc>
          <w:tcPr>
            <w:tcW w:w="1240" w:type="dxa"/>
            <w:vAlign w:val="bottom"/>
          </w:tcPr>
          <w:p>
            <w:pPr>
              <w:jc w:val="right"/>
              <w:ind w:right="53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60" w:type="dxa"/>
            <w:vAlign w:val="bottom"/>
            <w:shd w:val="clear" w:color="auto" w:fill="DCE2EF"/>
          </w:tcPr>
          <w:p>
            <w:pPr>
              <w:spacing w:after="0"/>
              <w:rPr>
                <w:sz w:val="17"/>
                <w:szCs w:val="17"/>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10.0 %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10.3 %</w:t>
            </w:r>
          </w:p>
        </w:tc>
        <w:tc>
          <w:tcPr>
            <w:tcW w:w="100" w:type="dxa"/>
            <w:vAlign w:val="bottom"/>
            <w:shd w:val="clear" w:color="auto" w:fill="DCE2EF"/>
          </w:tcPr>
          <w:p>
            <w:pPr>
              <w:spacing w:after="0"/>
              <w:rPr>
                <w:sz w:val="17"/>
                <w:szCs w:val="17"/>
                <w:color w:val="auto"/>
              </w:rPr>
            </w:pPr>
          </w:p>
        </w:tc>
        <w:tc>
          <w:tcPr>
            <w:tcW w:w="64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523"/>
              <w:spacing w:after="0"/>
              <w:rPr>
                <w:sz w:val="20"/>
                <w:szCs w:val="20"/>
                <w:color w:val="auto"/>
              </w:rPr>
            </w:pPr>
            <w:r>
              <w:rPr>
                <w:rFonts w:ascii="Arial" w:cs="Arial" w:eastAsia="Arial" w:hAnsi="Arial"/>
                <w:sz w:val="14"/>
                <w:szCs w:val="14"/>
                <w:i w:val="1"/>
                <w:iCs w:val="1"/>
                <w:color w:val="auto"/>
              </w:rPr>
              <w:t>(33) bps</w:t>
            </w:r>
          </w:p>
        </w:tc>
        <w:tc>
          <w:tcPr>
            <w:tcW w:w="12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8"/>
          <w:szCs w:val="18"/>
          <w:color w:val="auto"/>
        </w:rPr>
        <w:t>M&amp;D revenues decreased by $6.6 million, or 1.6%, to $394.3 million during the three months ended January 31, 2025, as compared to the prior year period. The decrease was primarily attributable to a loss of a certain customer, partially offset by new business.</w:t>
      </w:r>
    </w:p>
    <w:p>
      <w:pPr>
        <w:spacing w:after="0" w:line="100"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decreased by $1.9 million, or 4.8%, to $39.4 million during the three months ended January 31, 2025, as compared to the prior year period. Operating profit margin decreased by 33 bps to 10.0% in the three months ended January 31, 2025, from 10.3% in the prior year period. The decrease in operating profit margin was primarily attributable to investments to hire certain technical expertise to support future growth and higher legal expense, partially offset by the contract mix.</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Aviation</w:t>
            </w:r>
          </w:p>
        </w:tc>
        <w:tc>
          <w:tcPr>
            <w:tcW w:w="360" w:type="dxa"/>
            <w:vAlign w:val="bottom"/>
          </w:tcPr>
          <w:p>
            <w:pPr>
              <w:spacing w:after="0"/>
              <w:rPr>
                <w:sz w:val="19"/>
                <w:szCs w:val="19"/>
                <w:color w:val="auto"/>
              </w:rPr>
            </w:pPr>
          </w:p>
        </w:tc>
        <w:tc>
          <w:tcPr>
            <w:tcW w:w="352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jc w:val="right"/>
              <w:ind w:right="103"/>
              <w:spacing w:after="0" w:line="135" w:lineRule="exact"/>
              <w:rPr>
                <w:sz w:val="20"/>
                <w:szCs w:val="20"/>
                <w:color w:val="auto"/>
              </w:rPr>
            </w:pPr>
            <w:r>
              <w:rPr>
                <w:rFonts w:ascii="Arial" w:cs="Arial" w:eastAsia="Arial" w:hAnsi="Arial"/>
                <w:sz w:val="15"/>
                <w:szCs w:val="15"/>
                <w:b w:val="1"/>
                <w:bCs w:val="1"/>
                <w:color w:val="auto"/>
              </w:rPr>
              <w:t>Increase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8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270.1</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249.5</w:t>
            </w:r>
          </w:p>
        </w:tc>
        <w:tc>
          <w:tcPr>
            <w:tcW w:w="10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499"/>
              <w:spacing w:after="0"/>
              <w:rPr>
                <w:sz w:val="20"/>
                <w:szCs w:val="20"/>
                <w:color w:val="auto"/>
              </w:rPr>
            </w:pPr>
            <w:r>
              <w:rPr>
                <w:rFonts w:ascii="Arial" w:cs="Arial" w:eastAsia="Arial" w:hAnsi="Arial"/>
                <w:sz w:val="16"/>
                <w:szCs w:val="16"/>
                <w:color w:val="auto"/>
              </w:rPr>
              <w:t>$</w:t>
            </w:r>
          </w:p>
        </w:tc>
        <w:tc>
          <w:tcPr>
            <w:tcW w:w="1580" w:type="dxa"/>
            <w:vAlign w:val="bottom"/>
            <w:shd w:val="clear" w:color="auto" w:fill="DCE2EF"/>
          </w:tcPr>
          <w:p>
            <w:pPr>
              <w:jc w:val="right"/>
              <w:ind w:right="543"/>
              <w:spacing w:after="0"/>
              <w:rPr>
                <w:sz w:val="20"/>
                <w:szCs w:val="20"/>
                <w:color w:val="auto"/>
              </w:rPr>
            </w:pPr>
            <w:r>
              <w:rPr>
                <w:rFonts w:ascii="Arial" w:cs="Arial" w:eastAsia="Arial" w:hAnsi="Arial"/>
                <w:sz w:val="16"/>
                <w:szCs w:val="16"/>
                <w:color w:val="auto"/>
              </w:rPr>
              <w:t>20.6</w:t>
            </w:r>
          </w:p>
        </w:tc>
        <w:tc>
          <w:tcPr>
            <w:tcW w:w="1260" w:type="dxa"/>
            <w:vAlign w:val="bottom"/>
            <w:shd w:val="clear" w:color="auto" w:fill="DCE2EF"/>
          </w:tcPr>
          <w:p>
            <w:pPr>
              <w:jc w:val="right"/>
              <w:ind w:right="57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360" w:type="dxa"/>
            <w:vAlign w:val="bottom"/>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tcPr>
          <w:p>
            <w:pPr>
              <w:jc w:val="right"/>
              <w:ind w:right="543"/>
              <w:spacing w:after="0"/>
              <w:rPr>
                <w:sz w:val="20"/>
                <w:szCs w:val="20"/>
                <w:color w:val="auto"/>
              </w:rPr>
            </w:pPr>
            <w:r>
              <w:rPr>
                <w:rFonts w:ascii="Arial" w:cs="Arial" w:eastAsia="Arial" w:hAnsi="Arial"/>
                <w:sz w:val="16"/>
                <w:szCs w:val="16"/>
                <w:color w:val="auto"/>
              </w:rPr>
              <w:t>2.5</w:t>
            </w:r>
          </w:p>
        </w:tc>
        <w:tc>
          <w:tcPr>
            <w:tcW w:w="1260" w:type="dxa"/>
            <w:vAlign w:val="bottom"/>
          </w:tcPr>
          <w:p>
            <w:pPr>
              <w:jc w:val="right"/>
              <w:ind w:right="53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60" w:type="dxa"/>
            <w:vAlign w:val="bottom"/>
            <w:shd w:val="clear" w:color="auto" w:fill="DCE2EF"/>
          </w:tcPr>
          <w:p>
            <w:pPr>
              <w:spacing w:after="0"/>
              <w:rPr>
                <w:sz w:val="17"/>
                <w:szCs w:val="17"/>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4.5 %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3.9 %</w:t>
            </w:r>
          </w:p>
        </w:tc>
        <w:tc>
          <w:tcPr>
            <w:tcW w:w="10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580" w:type="dxa"/>
            <w:vAlign w:val="bottom"/>
            <w:shd w:val="clear" w:color="auto" w:fill="DCE2EF"/>
          </w:tcPr>
          <w:p>
            <w:pPr>
              <w:jc w:val="right"/>
              <w:ind w:right="503"/>
              <w:spacing w:after="0"/>
              <w:rPr>
                <w:sz w:val="20"/>
                <w:szCs w:val="20"/>
                <w:color w:val="auto"/>
              </w:rPr>
            </w:pPr>
            <w:r>
              <w:rPr>
                <w:rFonts w:ascii="Arial" w:cs="Arial" w:eastAsia="Arial" w:hAnsi="Arial"/>
                <w:sz w:val="14"/>
                <w:szCs w:val="14"/>
                <w:i w:val="1"/>
                <w:iCs w:val="1"/>
                <w:color w:val="auto"/>
              </w:rPr>
              <w:t>63 bps</w:t>
            </w:r>
          </w:p>
        </w:tc>
        <w:tc>
          <w:tcPr>
            <w:tcW w:w="12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Aviation revenues increased by $20.6 million, or 8.2%, to $270.1 million during the three months ended January 31, 2025, as compared to the prior year period. The increase was primarily attributable to new business and scope expansions with the existing clients. Management reimbursement revenues for this segment totaled $10.6 million and $9.5 million for the three months ended January 31, 2025 and 2024, respectively.</w:t>
      </w:r>
    </w:p>
    <w:p>
      <w:pPr>
        <w:spacing w:after="0" w:line="121"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Operating profit increased by $2.5 million, or 25.9%, to $12.2 million for the three months ended January 31, 2025, as compared to the prior year period. Operating profit margin increased by 63 bps to 4.5% in the three months ended January 31, 2025. The operating profit margin increased primarily due to contract mix, partially offset by base wage increases.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Education</w:t>
            </w:r>
          </w:p>
        </w:tc>
        <w:tc>
          <w:tcPr>
            <w:tcW w:w="360" w:type="dxa"/>
            <w:vAlign w:val="bottom"/>
          </w:tcPr>
          <w:p>
            <w:pPr>
              <w:spacing w:after="0"/>
              <w:rPr>
                <w:sz w:val="19"/>
                <w:szCs w:val="19"/>
                <w:color w:val="auto"/>
              </w:rPr>
            </w:pPr>
          </w:p>
        </w:tc>
        <w:tc>
          <w:tcPr>
            <w:tcW w:w="352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tcPr>
          <w:p>
            <w:pPr>
              <w:ind w:left="740"/>
              <w:spacing w:after="0" w:line="135" w:lineRule="exact"/>
              <w:rPr>
                <w:sz w:val="20"/>
                <w:szCs w:val="20"/>
                <w:color w:val="auto"/>
              </w:rPr>
            </w:pPr>
            <w:r>
              <w:rPr>
                <w:rFonts w:ascii="Arial" w:cs="Arial" w:eastAsia="Arial" w:hAnsi="Arial"/>
                <w:sz w:val="15"/>
                <w:szCs w:val="15"/>
                <w:b w:val="1"/>
                <w:bCs w:val="1"/>
                <w:color w:val="auto"/>
              </w:rPr>
              <w:t>Increase</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8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225.3</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220.1</w:t>
            </w:r>
          </w:p>
        </w:tc>
        <w:tc>
          <w:tcPr>
            <w:tcW w:w="10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499"/>
              <w:spacing w:after="0"/>
              <w:rPr>
                <w:sz w:val="20"/>
                <w:szCs w:val="20"/>
                <w:color w:val="auto"/>
              </w:rPr>
            </w:pPr>
            <w:r>
              <w:rPr>
                <w:rFonts w:ascii="Arial" w:cs="Arial" w:eastAsia="Arial" w:hAnsi="Arial"/>
                <w:sz w:val="16"/>
                <w:szCs w:val="16"/>
                <w:color w:val="auto"/>
              </w:rPr>
              <w:t>$</w:t>
            </w:r>
          </w:p>
        </w:tc>
        <w:tc>
          <w:tcPr>
            <w:tcW w:w="1600" w:type="dxa"/>
            <w:vAlign w:val="bottom"/>
            <w:shd w:val="clear" w:color="auto" w:fill="DCE2EF"/>
          </w:tcPr>
          <w:p>
            <w:pPr>
              <w:ind w:left="740"/>
              <w:spacing w:after="0"/>
              <w:rPr>
                <w:sz w:val="20"/>
                <w:szCs w:val="20"/>
                <w:color w:val="auto"/>
              </w:rPr>
            </w:pPr>
            <w:r>
              <w:rPr>
                <w:rFonts w:ascii="Arial" w:cs="Arial" w:eastAsia="Arial" w:hAnsi="Arial"/>
                <w:sz w:val="16"/>
                <w:szCs w:val="16"/>
                <w:color w:val="auto"/>
              </w:rPr>
              <w:t>5.2</w:t>
            </w:r>
          </w:p>
        </w:tc>
        <w:tc>
          <w:tcPr>
            <w:tcW w:w="1240" w:type="dxa"/>
            <w:vAlign w:val="bottom"/>
            <w:shd w:val="clear" w:color="auto" w:fill="DCE2EF"/>
          </w:tcPr>
          <w:p>
            <w:pPr>
              <w:jc w:val="right"/>
              <w:ind w:right="57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360" w:type="dxa"/>
            <w:vAlign w:val="bottom"/>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ind w:left="740"/>
              <w:spacing w:after="0"/>
              <w:rPr>
                <w:sz w:val="20"/>
                <w:szCs w:val="20"/>
                <w:color w:val="auto"/>
              </w:rPr>
            </w:pPr>
            <w:r>
              <w:rPr>
                <w:rFonts w:ascii="Arial" w:cs="Arial" w:eastAsia="Arial" w:hAnsi="Arial"/>
                <w:sz w:val="16"/>
                <w:szCs w:val="16"/>
                <w:color w:val="auto"/>
              </w:rPr>
              <w:t>1.3</w:t>
            </w:r>
          </w:p>
        </w:tc>
        <w:tc>
          <w:tcPr>
            <w:tcW w:w="1240" w:type="dxa"/>
            <w:vAlign w:val="bottom"/>
          </w:tcPr>
          <w:p>
            <w:pPr>
              <w:jc w:val="right"/>
              <w:ind w:right="57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60" w:type="dxa"/>
            <w:vAlign w:val="bottom"/>
            <w:shd w:val="clear" w:color="auto" w:fill="DCE2EF"/>
          </w:tcPr>
          <w:p>
            <w:pPr>
              <w:spacing w:after="0"/>
              <w:rPr>
                <w:sz w:val="17"/>
                <w:szCs w:val="17"/>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6.2 %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5.8 %</w:t>
            </w:r>
          </w:p>
        </w:tc>
        <w:tc>
          <w:tcPr>
            <w:tcW w:w="10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600" w:type="dxa"/>
            <w:vAlign w:val="bottom"/>
            <w:shd w:val="clear" w:color="auto" w:fill="DCE2EF"/>
          </w:tcPr>
          <w:p>
            <w:pPr>
              <w:ind w:left="580"/>
              <w:spacing w:after="0"/>
              <w:rPr>
                <w:sz w:val="20"/>
                <w:szCs w:val="20"/>
                <w:color w:val="auto"/>
              </w:rPr>
            </w:pPr>
            <w:r>
              <w:rPr>
                <w:rFonts w:ascii="Arial" w:cs="Arial" w:eastAsia="Arial" w:hAnsi="Arial"/>
                <w:sz w:val="14"/>
                <w:szCs w:val="14"/>
                <w:i w:val="1"/>
                <w:iCs w:val="1"/>
                <w:color w:val="auto"/>
              </w:rPr>
              <w:t>43 bps</w:t>
            </w:r>
          </w:p>
        </w:tc>
        <w:tc>
          <w:tcPr>
            <w:tcW w:w="12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Education revenues increased by $5.2 million, or 2.4%, to $225.3 million during the three months ended January 31, 2025, as compared to the prior year period. The increase was primarily attributable to new business wins and an increase in work orders.</w:t>
      </w:r>
    </w:p>
    <w:p>
      <w:pPr>
        <w:spacing w:after="0" w:line="100"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Operating profit increased by $1.3 million, or 9.9%, to $ 14.0 million for the three months ended January 31, 2025, as compared to the prior year period. Operating profit margin increased by 43 bps to 6.2% in the three months ended January 31, 2025, from 5.8% in the prior year period. The increase in operating profit margin was primarily attributable to operational efficiencies, particularly in managing overtime, materials and supplies, and general and administrative headcount, partially offset by base wage increases.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Technical Solutions</w:t>
            </w:r>
          </w:p>
        </w:tc>
        <w:tc>
          <w:tcPr>
            <w:tcW w:w="360" w:type="dxa"/>
            <w:vAlign w:val="bottom"/>
          </w:tcPr>
          <w:p>
            <w:pPr>
              <w:spacing w:after="0"/>
              <w:rPr>
                <w:sz w:val="19"/>
                <w:szCs w:val="19"/>
                <w:color w:val="auto"/>
              </w:rPr>
            </w:pPr>
          </w:p>
        </w:tc>
        <w:tc>
          <w:tcPr>
            <w:tcW w:w="352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81"/>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2"/>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20" w:type="dxa"/>
            <w:vAlign w:val="bottom"/>
          </w:tcPr>
          <w:p>
            <w:pPr>
              <w:jc w:val="right"/>
              <w:ind w:right="103"/>
              <w:spacing w:after="0" w:line="135" w:lineRule="exact"/>
              <w:rPr>
                <w:sz w:val="20"/>
                <w:szCs w:val="20"/>
                <w:color w:val="auto"/>
              </w:rPr>
            </w:pPr>
            <w:r>
              <w:rPr>
                <w:rFonts w:ascii="Arial" w:cs="Arial" w:eastAsia="Arial" w:hAnsi="Arial"/>
                <w:sz w:val="15"/>
                <w:szCs w:val="15"/>
                <w:b w:val="1"/>
                <w:bCs w:val="1"/>
                <w:color w:val="auto"/>
              </w:rPr>
              <w:t>Increase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8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2"/>
              <w:spacing w:after="0"/>
              <w:rPr>
                <w:sz w:val="20"/>
                <w:szCs w:val="20"/>
                <w:color w:val="auto"/>
              </w:rPr>
            </w:pPr>
            <w:r>
              <w:rPr>
                <w:rFonts w:ascii="Arial" w:cs="Arial" w:eastAsia="Arial" w:hAnsi="Arial"/>
                <w:sz w:val="16"/>
                <w:szCs w:val="16"/>
                <w:color w:val="auto"/>
              </w:rPr>
              <w:t>165.9</w:t>
            </w:r>
          </w:p>
        </w:tc>
        <w:tc>
          <w:tcPr>
            <w:tcW w:w="100" w:type="dxa"/>
            <w:vAlign w:val="bottom"/>
            <w:shd w:val="clear" w:color="auto" w:fill="DCE2EF"/>
          </w:tcPr>
          <w:p>
            <w:pPr>
              <w:spacing w:after="0"/>
              <w:rPr>
                <w:sz w:val="18"/>
                <w:szCs w:val="18"/>
                <w:color w:val="auto"/>
              </w:rPr>
            </w:pPr>
          </w:p>
        </w:tc>
        <w:tc>
          <w:tcPr>
            <w:tcW w:w="660" w:type="dxa"/>
            <w:vAlign w:val="bottom"/>
            <w:shd w:val="clear" w:color="auto" w:fill="DCE2EF"/>
          </w:tcPr>
          <w:p>
            <w:pPr>
              <w:jc w:val="right"/>
              <w:ind w:right="4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DCE2EF"/>
          </w:tcPr>
          <w:p>
            <w:pPr>
              <w:jc w:val="right"/>
              <w:ind w:right="543"/>
              <w:spacing w:after="0"/>
              <w:rPr>
                <w:sz w:val="20"/>
                <w:szCs w:val="20"/>
                <w:color w:val="auto"/>
              </w:rPr>
            </w:pPr>
            <w:r>
              <w:rPr>
                <w:rFonts w:ascii="Arial" w:cs="Arial" w:eastAsia="Arial" w:hAnsi="Arial"/>
                <w:sz w:val="16"/>
                <w:szCs w:val="16"/>
                <w:color w:val="auto"/>
              </w:rPr>
              <w:t>36.4</w:t>
            </w:r>
          </w:p>
        </w:tc>
        <w:tc>
          <w:tcPr>
            <w:tcW w:w="1260" w:type="dxa"/>
            <w:vAlign w:val="bottom"/>
            <w:shd w:val="clear" w:color="auto" w:fill="DCE2EF"/>
          </w:tcPr>
          <w:p>
            <w:pPr>
              <w:jc w:val="right"/>
              <w:ind w:right="539"/>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360" w:type="dxa"/>
            <w:vAlign w:val="bottom"/>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jc w:val="right"/>
              <w:ind w:right="543"/>
              <w:spacing w:after="0"/>
              <w:rPr>
                <w:sz w:val="20"/>
                <w:szCs w:val="20"/>
                <w:color w:val="auto"/>
              </w:rPr>
            </w:pPr>
            <w:r>
              <w:rPr>
                <w:rFonts w:ascii="Arial" w:cs="Arial" w:eastAsia="Arial" w:hAnsi="Arial"/>
                <w:sz w:val="16"/>
                <w:szCs w:val="16"/>
                <w:color w:val="auto"/>
              </w:rPr>
              <w:t>10.0</w:t>
            </w:r>
          </w:p>
        </w:tc>
        <w:tc>
          <w:tcPr>
            <w:tcW w:w="1260" w:type="dxa"/>
            <w:vAlign w:val="bottom"/>
          </w:tcPr>
          <w:p>
            <w:pPr>
              <w:jc w:val="center"/>
              <w:ind w:right="359"/>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02"/>
        </w:trPr>
        <w:tc>
          <w:tcPr>
            <w:tcW w:w="20" w:type="dxa"/>
            <w:vAlign w:val="bottom"/>
            <w:shd w:val="clear" w:color="auto" w:fill="DCE2EF"/>
          </w:tcPr>
          <w:p>
            <w:pPr>
              <w:spacing w:after="0"/>
              <w:rPr>
                <w:sz w:val="17"/>
                <w:szCs w:val="17"/>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60" w:type="dxa"/>
            <w:vAlign w:val="bottom"/>
            <w:shd w:val="clear" w:color="auto" w:fill="DCE2EF"/>
          </w:tcPr>
          <w:p>
            <w:pPr>
              <w:spacing w:after="0"/>
              <w:rPr>
                <w:sz w:val="17"/>
                <w:szCs w:val="17"/>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8.2 %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4.0 %</w:t>
            </w:r>
          </w:p>
        </w:tc>
        <w:tc>
          <w:tcPr>
            <w:tcW w:w="10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c>
          <w:tcPr>
            <w:tcW w:w="1620" w:type="dxa"/>
            <w:vAlign w:val="bottom"/>
            <w:shd w:val="clear" w:color="auto" w:fill="DCE2EF"/>
          </w:tcPr>
          <w:p>
            <w:pPr>
              <w:jc w:val="right"/>
              <w:ind w:right="503"/>
              <w:spacing w:after="0"/>
              <w:rPr>
                <w:sz w:val="20"/>
                <w:szCs w:val="20"/>
                <w:color w:val="auto"/>
              </w:rPr>
            </w:pPr>
            <w:r>
              <w:rPr>
                <w:rFonts w:ascii="Arial" w:cs="Arial" w:eastAsia="Arial" w:hAnsi="Arial"/>
                <w:sz w:val="14"/>
                <w:szCs w:val="14"/>
                <w:i w:val="1"/>
                <w:iCs w:val="1"/>
                <w:color w:val="auto"/>
              </w:rPr>
              <w:t>424 bps</w:t>
            </w:r>
          </w:p>
        </w:tc>
        <w:tc>
          <w:tcPr>
            <w:tcW w:w="12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Technical Solutions revenues increased by $36.4 million, or 21.9%, to $202.3 million during the three months ended January 31, 2025, as compared to the prior year period. Revenue growth was comprised of organic growth of 14.2% and acquisition growth of 7.7%. The organic revenue growth was primarily driven by higher project revenues due to the timing of certain microgrid systems design and installation projects, partially offset by a decrease in electric vehicle charging station sales. Acquisition growth was driven by a $12.7 million revenue increase from the Quality Uptime Acquisition, which was completed in June 2024.</w:t>
      </w:r>
    </w:p>
    <w:p>
      <w:pPr>
        <w:spacing w:after="0" w:line="124"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Operating profit increased by $10.0 million to $ 16.6 million during the three months ended January 31, 2025, as compared to the prior year period. Operating profit margin increased by 424 bps to 8.2% in the three months ended January 31, 2025, from 4.0% in the prior year period. The increase in operating profit margin was primarily attributable to the contract mix, partially offset by higher selling, general, and administrative expenses, mainly due to increased compensation costs associated with headcount expansion from recent acquisitions and ongoing business growth.</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Corporate</w:t>
            </w:r>
          </w:p>
        </w:tc>
        <w:tc>
          <w:tcPr>
            <w:tcW w:w="31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Three Months Ended January 31,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100" w:type="dxa"/>
            <w:vAlign w:val="bottom"/>
            <w:tcBorders>
              <w:bottom w:val="single" w:sz="8" w:color="auto"/>
            </w:tcBorders>
            <w:gridSpan w:val="4"/>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60" w:type="dxa"/>
            <w:vAlign w:val="bottom"/>
          </w:tcPr>
          <w:p>
            <w:pPr>
              <w:jc w:val="right"/>
              <w:ind w:right="39"/>
              <w:spacing w:after="0" w:line="142" w:lineRule="exact"/>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20" w:type="dxa"/>
            <w:vAlign w:val="bottom"/>
          </w:tcPr>
          <w:p>
            <w:pPr>
              <w:jc w:val="right"/>
              <w:ind w:right="402"/>
              <w:spacing w:after="0" w:line="135" w:lineRule="exact"/>
              <w:rPr>
                <w:sz w:val="20"/>
                <w:szCs w:val="20"/>
                <w:color w:val="auto"/>
              </w:rPr>
            </w:pPr>
            <w:r>
              <w:rPr>
                <w:rFonts w:ascii="Arial" w:cs="Arial" w:eastAsia="Arial" w:hAnsi="Arial"/>
                <w:sz w:val="15"/>
                <w:szCs w:val="15"/>
                <w:b w:val="1"/>
                <w:bCs w:val="1"/>
                <w:color w:val="auto"/>
              </w:rPr>
              <w:t>Increase</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DCE2EF"/>
          </w:tcPr>
          <w:p>
            <w:pPr>
              <w:spacing w:after="0"/>
              <w:rPr>
                <w:sz w:val="18"/>
                <w:szCs w:val="18"/>
                <w:color w:val="auto"/>
              </w:rPr>
            </w:pPr>
          </w:p>
        </w:tc>
        <w:tc>
          <w:tcPr>
            <w:tcW w:w="38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Corporate expenses</w:t>
            </w:r>
          </w:p>
        </w:tc>
        <w:tc>
          <w:tcPr>
            <w:tcW w:w="1160" w:type="dxa"/>
            <w:vAlign w:val="bottom"/>
            <w:shd w:val="clear" w:color="auto" w:fill="DCE2E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59"/>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DCE2EF"/>
          </w:tcPr>
          <w:p>
            <w:pPr>
              <w:spacing w:after="0"/>
              <w:rPr>
                <w:sz w:val="18"/>
                <w:szCs w:val="18"/>
                <w:color w:val="auto"/>
              </w:rPr>
            </w:pPr>
          </w:p>
        </w:tc>
        <w:tc>
          <w:tcPr>
            <w:tcW w:w="740" w:type="dxa"/>
            <w:vAlign w:val="bottom"/>
            <w:shd w:val="clear" w:color="auto" w:fill="DCE2EF"/>
          </w:tcPr>
          <w:p>
            <w:pPr>
              <w:jc w:val="right"/>
              <w:ind w:right="5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DCE2EF"/>
          </w:tcPr>
          <w:p>
            <w:pPr>
              <w:jc w:val="right"/>
              <w:ind w:right="862"/>
              <w:spacing w:after="0"/>
              <w:rPr>
                <w:sz w:val="20"/>
                <w:szCs w:val="20"/>
                <w:color w:val="auto"/>
              </w:rPr>
            </w:pPr>
            <w:r>
              <w:rPr>
                <w:rFonts w:ascii="Arial" w:cs="Arial" w:eastAsia="Arial" w:hAnsi="Arial"/>
                <w:sz w:val="16"/>
                <w:szCs w:val="16"/>
                <w:color w:val="auto"/>
              </w:rPr>
              <w:t>(8.5)</w:t>
            </w: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Corporate expenses increased by $8.5 million, or 11.4%, to $83.2 million during the three months ended January 31, 2025, as compared to the prior year period. The increase in corporate expenses was primarily attributable to:</w:t>
      </w:r>
    </w:p>
    <w:p>
      <w:pPr>
        <w:spacing w:after="0" w:line="100" w:lineRule="exact"/>
        <w:rPr>
          <w:sz w:val="20"/>
          <w:szCs w:val="20"/>
          <w:color w:val="auto"/>
        </w:rPr>
      </w:pPr>
    </w:p>
    <w:p>
      <w:pPr>
        <w:ind w:left="640" w:hanging="31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$4.9 million increase in accruals for actual and potential legal settlements;</w:t>
      </w:r>
    </w:p>
    <w:p>
      <w:pPr>
        <w:spacing w:after="0" w:line="169" w:lineRule="exact"/>
        <w:rPr>
          <w:rFonts w:ascii="Arial" w:cs="Arial" w:eastAsia="Arial" w:hAnsi="Arial"/>
          <w:sz w:val="18"/>
          <w:szCs w:val="18"/>
          <w:color w:val="auto"/>
        </w:rPr>
      </w:pPr>
    </w:p>
    <w:p>
      <w:pPr>
        <w:ind w:left="640" w:hanging="31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$4.3 million increase in compensation and related expenses primarily due to higher salaries and certain incentive plans; and</w:t>
      </w:r>
    </w:p>
    <w:p>
      <w:pPr>
        <w:spacing w:after="0" w:line="169" w:lineRule="exact"/>
        <w:rPr>
          <w:rFonts w:ascii="Arial" w:cs="Arial" w:eastAsia="Arial" w:hAnsi="Arial"/>
          <w:sz w:val="18"/>
          <w:szCs w:val="18"/>
          <w:color w:val="auto"/>
        </w:rPr>
      </w:pPr>
    </w:p>
    <w:p>
      <w:pPr>
        <w:ind w:left="660" w:right="5980" w:hanging="330"/>
        <w:spacing w:after="0" w:line="43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 million increase in acquisition and integration costs. The increase was partially offset by:</w:t>
      </w:r>
    </w:p>
    <w:p>
      <w:pPr>
        <w:ind w:left="660" w:hanging="330"/>
        <w:spacing w:after="0" w:line="28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absence of a $5.3 million unfavorable self-insurance reserve adjustment from actuarial evaluations completed in the three months ended January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64"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Our primary sources of liquidity are operating cash flows and borrowing capacity under our Amended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1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 xml:space="preserve">In addition to normal working capital requirements, we anticipate that our short- and long-term cash requirements will include funding legal settlements, insurance claims, dividend payments, capital expenditures, share repurchases, mandatory loan repayments, contingent consideration payments from acquisitions and systems and technology transformation initiatives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We anticipate long-term cash uses may also include strategic acquisitions. On a long-term basis, we will continue to rely on our Amended Credit Facility for any long-term funding not provided by operating cash flows.</w:t>
      </w:r>
    </w:p>
    <w:p>
      <w:pPr>
        <w:spacing w:after="0" w:line="124"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We believe that our operating cash flows and borrowing capacity under our Amended Credit Facility are sufficient to fund our cash requirements for the next 12 months. In the event that our plans change or our cash</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3" w:name="page34"/>
    <w:bookmarkEnd w:id="33"/>
    <w:p>
      <w:pPr>
        <w:jc w:val="both"/>
        <w:spacing w:after="0" w:line="267" w:lineRule="auto"/>
        <w:rPr>
          <w:sz w:val="20"/>
          <w:szCs w:val="20"/>
          <w:color w:val="auto"/>
        </w:rPr>
      </w:pPr>
      <w:r>
        <w:rPr>
          <w:rFonts w:ascii="Arial" w:cs="Arial" w:eastAsia="Arial" w:hAnsi="Arial"/>
          <w:sz w:val="18"/>
          <w:szCs w:val="18"/>
          <w:color w:val="auto"/>
        </w:rPr>
        <w:t>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consisting of a $900.0 million revolver and an $800.0 million amortizing term loan. In accordance with terms of the Credit Facility, the revolver was reduced to $800.0 million on September 1, 2018.</w:t>
      </w:r>
    </w:p>
    <w:p>
      <w:pPr>
        <w:spacing w:after="0" w:line="115"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On June 28, 2021, the Company amended and restated the Credit Facility, extending the maturity date to June 28, 2026, and increasing the capacity of the revolving credit facility from $ 800.0 million to $1.3 billion and the then-remaining term loan outstanding from $620.0 million to $650.0 million. The Amended Credit Facility provides for the issuance of up to $ 350.0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Additionally, we may repay amounts borrowed under the Amended Credit Facility at any time without penalty.</w:t>
      </w:r>
    </w:p>
    <w:p>
      <w:pPr>
        <w:spacing w:after="0" w:line="126"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At November 1, 2022, we amended our Amended Credit Facility pursuant to the LIBOR Transition Amendment and the Fifth Amendment to replace the benchmark rate at which U.S.-dollar-denominated borrowings bear interest from LIBOR to the forward-looking SOFR term rate administered by CME Group Benchmark Administration Limited. As a result of these amendments, we can borrow at Term SOFR plus a credit spread adjustment of 0.10% subject to a floor of zero.</w:t>
      </w:r>
    </w:p>
    <w:p>
      <w:pPr>
        <w:spacing w:after="0" w:line="121"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January 31, 2025, we were in compliance with these covenants.</w:t>
      </w:r>
    </w:p>
    <w:p>
      <w:pPr>
        <w:spacing w:after="0" w:line="126"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8"/>
          <w:szCs w:val="18"/>
          <w:color w:val="auto"/>
        </w:rPr>
        <w:t>During the three months ended January 31, 2025, we made principal payments under the term loan of $8.1 million. At January 31, 2025, the total outstanding borrowings under our Amended Credit Facility in the form of cash borrowings and standby letters of credit were $1.5 billion and $29.7 million, respectively, and our weighted average interest rate on all outstanding borrowings, excluding letters of credit, was 6.17%. At January 31, 2025, we had up to $238.0 million of borrowing capacity.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6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IFM Insurance Company</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IFM Assurance Company (“IFM”) is a wholly 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Share Repurchases</w:t>
      </w:r>
    </w:p>
    <w:p>
      <w:pPr>
        <w:spacing w:after="0" w:line="16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repurchased shares under the share repurchase program during the three months ended January 31, 2025, as summarized below.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share repurchase program may be suspended or discontinued at any time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without prior notice. At January 31, 2025, authorization for $133.2 million of repurchases remained under our share repurchase program.</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per share amounts)</w:t>
            </w:r>
          </w:p>
        </w:tc>
        <w:tc>
          <w:tcPr>
            <w:tcW w:w="200" w:type="dxa"/>
            <w:vAlign w:val="bottom"/>
          </w:tcPr>
          <w:p>
            <w:pPr>
              <w:spacing w:after="0"/>
              <w:rPr>
                <w:sz w:val="16"/>
                <w:szCs w:val="16"/>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Three Months Ended</w:t>
            </w:r>
          </w:p>
        </w:tc>
        <w:tc>
          <w:tcPr>
            <w:tcW w:w="200" w:type="dxa"/>
            <w:vAlign w:val="bottom"/>
          </w:tcPr>
          <w:p>
            <w:pPr>
              <w:spacing w:after="0"/>
              <w:rPr>
                <w:sz w:val="16"/>
                <w:szCs w:val="16"/>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6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January 31, 2025</w:t>
            </w:r>
          </w:p>
        </w:tc>
        <w:tc>
          <w:tcPr>
            <w:tcW w:w="200" w:type="dxa"/>
            <w:vAlign w:val="bottom"/>
          </w:tcPr>
          <w:p>
            <w:pPr>
              <w:spacing w:after="0"/>
              <w:rPr>
                <w:sz w:val="18"/>
                <w:szCs w:val="18"/>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b w:val="1"/>
                <w:bCs w:val="1"/>
                <w:color w:val="auto"/>
              </w:rPr>
              <w:t>January 31, 2024</w:t>
            </w:r>
          </w:p>
        </w:tc>
        <w:tc>
          <w:tcPr>
            <w:tcW w:w="0" w:type="dxa"/>
            <w:vAlign w:val="bottom"/>
          </w:tcPr>
          <w:p>
            <w:pPr>
              <w:spacing w:after="0"/>
              <w:rPr>
                <w:sz w:val="1"/>
                <w:szCs w:val="1"/>
                <w:color w:val="auto"/>
              </w:rPr>
            </w:pPr>
          </w:p>
        </w:tc>
      </w:tr>
      <w:tr>
        <w:trPr>
          <w:trHeight w:val="208"/>
        </w:trPr>
        <w:tc>
          <w:tcPr>
            <w:tcW w:w="676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6"/>
                <w:szCs w:val="16"/>
                <w:color w:val="auto"/>
              </w:rPr>
              <w:t>Total number of shares purchased</w:t>
            </w:r>
          </w:p>
        </w:tc>
        <w:tc>
          <w:tcPr>
            <w:tcW w:w="200" w:type="dxa"/>
            <w:vAlign w:val="bottom"/>
            <w:tcBorders>
              <w:top w:val="single" w:sz="8" w:color="auto"/>
            </w:tcBorders>
            <w:shd w:val="clear" w:color="auto" w:fill="DCE2EF"/>
          </w:tcPr>
          <w:p>
            <w:pPr>
              <w:spacing w:after="0"/>
              <w:rPr>
                <w:sz w:val="18"/>
                <w:szCs w:val="18"/>
                <w:color w:val="auto"/>
              </w:rPr>
            </w:pPr>
          </w:p>
        </w:tc>
        <w:tc>
          <w:tcPr>
            <w:tcW w:w="19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top w:val="single" w:sz="8" w:color="DCE2EF"/>
            </w:tcBorders>
            <w:shd w:val="clear" w:color="auto" w:fill="DCE2EF"/>
          </w:tcPr>
          <w:p>
            <w:pPr>
              <w:spacing w:after="0"/>
              <w:rPr>
                <w:sz w:val="18"/>
                <w:szCs w:val="18"/>
                <w:color w:val="auto"/>
              </w:rPr>
            </w:pPr>
          </w:p>
        </w:tc>
        <w:tc>
          <w:tcPr>
            <w:tcW w:w="200" w:type="dxa"/>
            <w:vAlign w:val="bottom"/>
            <w:tcBorders>
              <w:top w:val="single" w:sz="8" w:color="auto"/>
            </w:tcBorders>
            <w:shd w:val="clear" w:color="auto" w:fill="DCE2EF"/>
          </w:tcPr>
          <w:p>
            <w:pPr>
              <w:spacing w:after="0"/>
              <w:rPr>
                <w:sz w:val="18"/>
                <w:szCs w:val="18"/>
                <w:color w:val="auto"/>
              </w:rPr>
            </w:pPr>
          </w:p>
        </w:tc>
        <w:tc>
          <w:tcPr>
            <w:tcW w:w="1980" w:type="dxa"/>
            <w:vAlign w:val="bottom"/>
            <w:tcBorders>
              <w:top w:val="single" w:sz="8" w:color="auto"/>
            </w:tcBorders>
            <w:shd w:val="clear" w:color="auto" w:fill="DCE2EF"/>
          </w:tcPr>
          <w:p>
            <w:pPr>
              <w:ind w:left="18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4"/>
        </w:trPr>
        <w:tc>
          <w:tcPr>
            <w:tcW w:w="6760" w:type="dxa"/>
            <w:vAlign w:val="bottom"/>
          </w:tcPr>
          <w:p>
            <w:pPr>
              <w:ind w:left="20"/>
              <w:spacing w:after="0"/>
              <w:rPr>
                <w:sz w:val="20"/>
                <w:szCs w:val="20"/>
                <w:color w:val="auto"/>
              </w:rPr>
            </w:pPr>
            <w:r>
              <w:rPr>
                <w:rFonts w:ascii="Arial" w:cs="Arial" w:eastAsia="Arial" w:hAnsi="Arial"/>
                <w:sz w:val="16"/>
                <w:szCs w:val="16"/>
                <w:color w:val="auto"/>
              </w:rPr>
              <w:t>Average price paid per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51.23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Pr>
          <w:p>
            <w:pPr>
              <w:ind w:left="1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DCE2EF"/>
          </w:tcPr>
          <w:p>
            <w:pPr>
              <w:ind w:left="20"/>
              <w:spacing w:after="0"/>
              <w:rPr>
                <w:sz w:val="20"/>
                <w:szCs w:val="20"/>
                <w:color w:val="auto"/>
              </w:rPr>
            </w:pPr>
            <w:r>
              <w:rPr>
                <w:rFonts w:ascii="Arial" w:cs="Arial" w:eastAsia="Arial" w:hAnsi="Arial"/>
                <w:sz w:val="16"/>
                <w:szCs w:val="16"/>
                <w:color w:val="auto"/>
              </w:rPr>
              <w:t>Total cash paid for share repurchases</w:t>
            </w: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DCE2EF"/>
          </w:tcPr>
          <w:p>
            <w:pPr>
              <w:ind w:left="1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6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169"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Three Months Ended January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4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39"/>
              <w:spacing w:after="0" w:line="155"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39"/>
              <w:spacing w:after="0" w:line="155" w:lineRule="exact"/>
              <w:rPr>
                <w:sz w:val="20"/>
                <w:szCs w:val="20"/>
                <w:color w:val="auto"/>
              </w:rPr>
            </w:pPr>
            <w:r>
              <w:rPr>
                <w:rFonts w:ascii="Arial" w:cs="Arial" w:eastAsia="Arial" w:hAnsi="Arial"/>
                <w:sz w:val="16"/>
                <w:szCs w:val="16"/>
                <w:b w:val="1"/>
                <w:bCs w:val="1"/>
                <w:color w:val="auto"/>
              </w:rPr>
              <w:t>2024</w:t>
            </w:r>
          </w:p>
        </w:tc>
      </w:tr>
      <w:tr>
        <w:trPr>
          <w:trHeight w:val="34"/>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678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8"/>
        </w:trPr>
        <w:tc>
          <w:tcPr>
            <w:tcW w:w="20" w:type="dxa"/>
            <w:vAlign w:val="bottom"/>
            <w:shd w:val="clear" w:color="auto" w:fill="DCE2EF"/>
          </w:tcPr>
          <w:p>
            <w:pPr>
              <w:spacing w:after="0"/>
              <w:rPr>
                <w:sz w:val="18"/>
                <w:szCs w:val="18"/>
                <w:color w:val="auto"/>
              </w:rPr>
            </w:pPr>
          </w:p>
        </w:tc>
        <w:tc>
          <w:tcPr>
            <w:tcW w:w="74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Net cash used in operating activities</w:t>
            </w: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r>
      <w:tr>
        <w:trPr>
          <w:trHeight w:val="214"/>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6"/>
        </w:trPr>
        <w:tc>
          <w:tcPr>
            <w:tcW w:w="20" w:type="dxa"/>
            <w:vAlign w:val="bottom"/>
            <w:shd w:val="clear" w:color="auto" w:fill="DCE2EF"/>
          </w:tcPr>
          <w:p>
            <w:pPr>
              <w:spacing w:after="0"/>
              <w:rPr>
                <w:sz w:val="18"/>
                <w:szCs w:val="18"/>
                <w:color w:val="auto"/>
              </w:rPr>
            </w:pPr>
          </w:p>
        </w:tc>
        <w:tc>
          <w:tcPr>
            <w:tcW w:w="74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Net cash provided by financing activities</w:t>
            </w:r>
          </w:p>
        </w:tc>
        <w:tc>
          <w:tcPr>
            <w:tcW w:w="420" w:type="dxa"/>
            <w:vAlign w:val="bottom"/>
            <w:shd w:val="clear" w:color="auto" w:fill="DCE2EF"/>
          </w:tcPr>
          <w:p>
            <w:pPr>
              <w:spacing w:after="0"/>
              <w:rPr>
                <w:sz w:val="18"/>
                <w:szCs w:val="18"/>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116.9</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0.5</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6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Net cash used in operating activities was $106.2 million during the three months ended January 31, 2025, as compared to net cash used in operating activities of $0.1 million during the prior year period.The change was primarily driven by an increase in working capital due to the transition to the Company’s new ERP systems for our Business and Industry and Manufacturing and Distribution segments that temporarily delayed invoicing to certain clients within these industry groups. We anticipate improvement in our operating cash flows next quarter and full normalization in the second half of fiscal year 2025.</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67"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Net cash used in investing activities increased by $1.4 million during the three months ended January 31, 2025, as compared to the prior year period. This quarter’s activity was primarily related to purchases of property, plant and equipment.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67"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Net cash provided by financing activities was $116.9 million during the three months ended January 31, 2025, as compared to net cash provided by financing activities of $0.5 million during the prior year period. The change was primarily related to an increase in net borrowings from our Amended Credit Facility to fund $106.2 million of net cash used by operating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For disclosures on contingencies, see Note 10, “Commitments and Contingencies,” of the Notes to unaudited Consolidated Financial Statements included in Part I, Item 1 of this Form 10-Q.</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78"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Our Financial Statements are prepared in accordance with U.S. GAAP, which require us to make certain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 on Form 10-K for the year ended October 31,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Recently Issued Accounting Pronouncements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Accounting</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Effective Date/</w:t>
            </w:r>
          </w:p>
        </w:tc>
        <w:tc>
          <w:tcPr>
            <w:tcW w:w="0" w:type="dxa"/>
            <w:vAlign w:val="bottom"/>
          </w:tcPr>
          <w:p>
            <w:pPr>
              <w:spacing w:after="0"/>
              <w:rPr>
                <w:sz w:val="1"/>
                <w:szCs w:val="1"/>
                <w:color w:val="auto"/>
              </w:rPr>
            </w:pPr>
          </w:p>
        </w:tc>
      </w:tr>
      <w:tr>
        <w:trPr>
          <w:trHeight w:val="161"/>
        </w:trPr>
        <w:tc>
          <w:tcPr>
            <w:tcW w:w="132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rPr>
              <w:t>Standard</w:t>
            </w:r>
          </w:p>
        </w:tc>
        <w:tc>
          <w:tcPr>
            <w:tcW w:w="2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Topic</w:t>
            </w:r>
          </w:p>
        </w:tc>
        <w:tc>
          <w:tcPr>
            <w:tcW w:w="100" w:type="dxa"/>
            <w:vAlign w:val="bottom"/>
            <w:vMerge w:val="restart"/>
          </w:tcPr>
          <w:p>
            <w:pPr>
              <w:spacing w:after="0"/>
              <w:rPr>
                <w:sz w:val="14"/>
                <w:szCs w:val="14"/>
                <w:color w:val="auto"/>
              </w:rPr>
            </w:pPr>
          </w:p>
        </w:tc>
        <w:tc>
          <w:tcPr>
            <w:tcW w:w="4980" w:type="dxa"/>
            <w:vAlign w:val="bottom"/>
            <w:vMerge w:val="restart"/>
          </w:tcPr>
          <w:p>
            <w:pPr>
              <w:ind w:left="2120"/>
              <w:spacing w:after="0"/>
              <w:rPr>
                <w:sz w:val="20"/>
                <w:szCs w:val="20"/>
                <w:color w:val="auto"/>
              </w:rPr>
            </w:pPr>
            <w:r>
              <w:rPr>
                <w:rFonts w:ascii="Arial" w:cs="Arial" w:eastAsia="Arial" w:hAnsi="Arial"/>
                <w:sz w:val="16"/>
                <w:szCs w:val="16"/>
                <w:b w:val="1"/>
                <w:bCs w:val="1"/>
                <w:color w:val="auto"/>
              </w:rPr>
              <w:t>Summary</w:t>
            </w:r>
          </w:p>
        </w:tc>
        <w:tc>
          <w:tcPr>
            <w:tcW w:w="100" w:type="dxa"/>
            <w:vAlign w:val="bottom"/>
            <w:vMerge w:val="restart"/>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Updates</w:t>
            </w:r>
          </w:p>
        </w:tc>
        <w:tc>
          <w:tcPr>
            <w:tcW w:w="120" w:type="dxa"/>
            <w:vAlign w:val="bottom"/>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Method of Adoption</w:t>
            </w:r>
          </w:p>
        </w:tc>
        <w:tc>
          <w:tcPr>
            <w:tcW w:w="0" w:type="dxa"/>
            <w:vAlign w:val="bottom"/>
          </w:tcPr>
          <w:p>
            <w:pPr>
              <w:spacing w:after="0"/>
              <w:rPr>
                <w:sz w:val="1"/>
                <w:szCs w:val="1"/>
                <w:color w:val="auto"/>
              </w:rPr>
            </w:pPr>
          </w:p>
        </w:tc>
      </w:tr>
      <w:tr>
        <w:trPr>
          <w:trHeight w:val="155"/>
        </w:trPr>
        <w:tc>
          <w:tcPr>
            <w:tcW w:w="1200" w:type="dxa"/>
            <w:vAlign w:val="bottom"/>
          </w:tcPr>
          <w:p>
            <w:pPr>
              <w:jc w:val="center"/>
              <w:spacing w:after="0" w:line="155" w:lineRule="exact"/>
              <w:rPr>
                <w:sz w:val="20"/>
                <w:szCs w:val="20"/>
                <w:color w:val="auto"/>
              </w:rPr>
            </w:pPr>
            <w:r>
              <w:rPr>
                <w:rFonts w:ascii="Arial" w:cs="Arial" w:eastAsia="Arial" w:hAnsi="Arial"/>
                <w:sz w:val="16"/>
                <w:szCs w:val="16"/>
                <w:color w:val="auto"/>
                <w:w w:val="98"/>
              </w:rPr>
              <w:t>2023-07</w:t>
            </w: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5" w:lineRule="exact"/>
              <w:rPr>
                <w:sz w:val="20"/>
                <w:szCs w:val="20"/>
                <w:color w:val="auto"/>
              </w:rPr>
            </w:pPr>
            <w:r>
              <w:rPr>
                <w:rFonts w:ascii="Arial" w:cs="Arial" w:eastAsia="Arial" w:hAnsi="Arial"/>
                <w:sz w:val="16"/>
                <w:szCs w:val="16"/>
                <w:color w:val="auto"/>
                <w:w w:val="97"/>
              </w:rPr>
              <w:t>Segment Reporting (Topic 280):</w:t>
            </w:r>
          </w:p>
        </w:tc>
        <w:tc>
          <w:tcPr>
            <w:tcW w:w="508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This ASU, issued in November 2023, improves reportable segment</w:t>
            </w:r>
          </w:p>
        </w:tc>
        <w:tc>
          <w:tcPr>
            <w:tcW w:w="2380" w:type="dxa"/>
            <w:vAlign w:val="bottom"/>
          </w:tcPr>
          <w:p>
            <w:pPr>
              <w:ind w:left="20"/>
              <w:spacing w:after="0" w:line="155" w:lineRule="exact"/>
              <w:rPr>
                <w:sz w:val="20"/>
                <w:szCs w:val="20"/>
                <w:color w:val="auto"/>
              </w:rPr>
            </w:pPr>
            <w:r>
              <w:rPr>
                <w:rFonts w:ascii="Arial" w:cs="Arial" w:eastAsia="Arial" w:hAnsi="Arial"/>
                <w:sz w:val="16"/>
                <w:szCs w:val="16"/>
                <w:color w:val="auto"/>
              </w:rPr>
              <w:t>This ASU is effective for fiscal</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2" w:lineRule="exact"/>
              <w:rPr>
                <w:sz w:val="20"/>
                <w:szCs w:val="20"/>
                <w:color w:val="auto"/>
              </w:rPr>
            </w:pPr>
            <w:r>
              <w:rPr>
                <w:rFonts w:ascii="Arial" w:cs="Arial" w:eastAsia="Arial" w:hAnsi="Arial"/>
                <w:sz w:val="16"/>
                <w:szCs w:val="16"/>
                <w:color w:val="auto"/>
                <w:w w:val="98"/>
              </w:rPr>
              <w:t>Improvements to Reportable</w:t>
            </w: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disclosure requirements, primarily through enhanced disclosures</w:t>
            </w:r>
          </w:p>
        </w:tc>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years beginning after December</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2"/>
          </w:tcPr>
          <w:p>
            <w:pPr>
              <w:jc w:val="center"/>
              <w:ind w:right="120"/>
              <w:spacing w:after="0" w:line="161" w:lineRule="exact"/>
              <w:rPr>
                <w:sz w:val="20"/>
                <w:szCs w:val="20"/>
                <w:color w:val="auto"/>
              </w:rPr>
            </w:pPr>
            <w:r>
              <w:rPr>
                <w:rFonts w:ascii="Arial" w:cs="Arial" w:eastAsia="Arial" w:hAnsi="Arial"/>
                <w:sz w:val="16"/>
                <w:szCs w:val="16"/>
                <w:color w:val="auto"/>
                <w:w w:val="99"/>
              </w:rPr>
              <w:t>Segment Disclosures</w:t>
            </w: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about significant segment expenses. This ASU requires disclosure, on</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rPr>
              <w:t>15, 2023, and interim periods</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an annual and interim basis, of significant segment expenses that are</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w w:val="99"/>
              </w:rPr>
              <w:t>within fiscal years beginning after</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regularly provided to the chief operating decision maker, and an</w:t>
            </w:r>
          </w:p>
        </w:tc>
        <w:tc>
          <w:tcPr>
            <w:tcW w:w="2380" w:type="dxa"/>
            <w:vAlign w:val="bottom"/>
          </w:tcPr>
          <w:p>
            <w:pPr>
              <w:ind w:left="20"/>
              <w:spacing w:after="0" w:line="157" w:lineRule="exact"/>
              <w:rPr>
                <w:sz w:val="20"/>
                <w:szCs w:val="20"/>
                <w:color w:val="auto"/>
              </w:rPr>
            </w:pPr>
            <w:r>
              <w:rPr>
                <w:rFonts w:ascii="Arial" w:cs="Arial" w:eastAsia="Arial" w:hAnsi="Arial"/>
                <w:sz w:val="16"/>
                <w:szCs w:val="16"/>
                <w:color w:val="auto"/>
              </w:rPr>
              <w:t>December 15, 2024, with early</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amount for other segment items by reportable segment, with a</w:t>
            </w:r>
          </w:p>
        </w:tc>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adoption permitted.</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description of its composition. We are currently evaluating the impact</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of implementing this guidance on our financial statements.</w:t>
            </w:r>
          </w:p>
        </w:tc>
        <w:tc>
          <w:tcPr>
            <w:tcW w:w="1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200" w:type="dxa"/>
            <w:vAlign w:val="bottom"/>
          </w:tcPr>
          <w:p>
            <w:pPr>
              <w:jc w:val="center"/>
              <w:spacing w:after="0" w:line="157" w:lineRule="exact"/>
              <w:rPr>
                <w:sz w:val="20"/>
                <w:szCs w:val="20"/>
                <w:color w:val="auto"/>
              </w:rPr>
            </w:pPr>
            <w:r>
              <w:rPr>
                <w:rFonts w:ascii="Arial" w:cs="Arial" w:eastAsia="Arial" w:hAnsi="Arial"/>
                <w:sz w:val="16"/>
                <w:szCs w:val="16"/>
                <w:color w:val="auto"/>
                <w:w w:val="98"/>
              </w:rPr>
              <w:t>2023-09</w:t>
            </w: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7" w:lineRule="exact"/>
              <w:rPr>
                <w:sz w:val="20"/>
                <w:szCs w:val="20"/>
                <w:color w:val="auto"/>
              </w:rPr>
            </w:pPr>
            <w:r>
              <w:rPr>
                <w:rFonts w:ascii="Arial" w:cs="Arial" w:eastAsia="Arial" w:hAnsi="Arial"/>
                <w:sz w:val="16"/>
                <w:szCs w:val="16"/>
                <w:color w:val="auto"/>
                <w:w w:val="96"/>
              </w:rPr>
              <w:t>Income Taxes (Topic 740):</w:t>
            </w: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This ASU, issued in December 2023, is intended to enhance the</w:t>
            </w:r>
          </w:p>
        </w:tc>
        <w:tc>
          <w:tcPr>
            <w:tcW w:w="2380" w:type="dxa"/>
            <w:vAlign w:val="bottom"/>
          </w:tcPr>
          <w:p>
            <w:pPr>
              <w:ind w:left="20"/>
              <w:spacing w:after="0" w:line="157" w:lineRule="exact"/>
              <w:rPr>
                <w:sz w:val="20"/>
                <w:szCs w:val="20"/>
                <w:color w:val="auto"/>
              </w:rPr>
            </w:pPr>
            <w:r>
              <w:rPr>
                <w:rFonts w:ascii="Arial" w:cs="Arial" w:eastAsia="Arial" w:hAnsi="Arial"/>
                <w:sz w:val="16"/>
                <w:szCs w:val="16"/>
                <w:color w:val="auto"/>
              </w:rPr>
              <w:t>This ASU is effective for fiscal</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2" w:lineRule="exact"/>
              <w:rPr>
                <w:sz w:val="20"/>
                <w:szCs w:val="20"/>
                <w:color w:val="auto"/>
              </w:rPr>
            </w:pPr>
            <w:r>
              <w:rPr>
                <w:rFonts w:ascii="Arial" w:cs="Arial" w:eastAsia="Arial" w:hAnsi="Arial"/>
                <w:sz w:val="16"/>
                <w:szCs w:val="16"/>
                <w:color w:val="auto"/>
                <w:w w:val="97"/>
              </w:rPr>
              <w:t>Improvements to Income Tax</w:t>
            </w: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transparency and decision usefulness of income tax disclosures. The</w:t>
            </w:r>
          </w:p>
        </w:tc>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years beginning after December</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2"/>
          </w:tcPr>
          <w:p>
            <w:pPr>
              <w:jc w:val="center"/>
              <w:ind w:right="120"/>
              <w:spacing w:after="0" w:line="161" w:lineRule="exact"/>
              <w:rPr>
                <w:sz w:val="20"/>
                <w:szCs w:val="20"/>
                <w:color w:val="auto"/>
              </w:rPr>
            </w:pPr>
            <w:r>
              <w:rPr>
                <w:rFonts w:ascii="Arial" w:cs="Arial" w:eastAsia="Arial" w:hAnsi="Arial"/>
                <w:sz w:val="16"/>
                <w:szCs w:val="16"/>
                <w:color w:val="auto"/>
                <w:w w:val="99"/>
              </w:rPr>
              <w:t>Disclosures</w:t>
            </w: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amendments in this ASU address investor requests for enhanced</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rPr>
              <w:t>15, 2024, with early adoption</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income tax information primarily through changes to the rate</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rPr>
              <w:t>permitted.</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reconciliation and income taxes paid information. We are currently</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evaluating the impact of implementing this guidance on our financial</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statements.</w:t>
            </w:r>
          </w:p>
        </w:tc>
        <w:tc>
          <w:tcPr>
            <w:tcW w:w="1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200" w:type="dxa"/>
            <w:vAlign w:val="bottom"/>
          </w:tcPr>
          <w:p>
            <w:pPr>
              <w:jc w:val="center"/>
              <w:spacing w:after="0" w:line="157" w:lineRule="exact"/>
              <w:rPr>
                <w:sz w:val="20"/>
                <w:szCs w:val="20"/>
                <w:color w:val="auto"/>
              </w:rPr>
            </w:pPr>
            <w:r>
              <w:rPr>
                <w:rFonts w:ascii="Arial" w:cs="Arial" w:eastAsia="Arial" w:hAnsi="Arial"/>
                <w:sz w:val="16"/>
                <w:szCs w:val="16"/>
                <w:color w:val="auto"/>
                <w:w w:val="98"/>
              </w:rPr>
              <w:t>2024-03</w:t>
            </w: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7" w:lineRule="exact"/>
              <w:rPr>
                <w:sz w:val="20"/>
                <w:szCs w:val="20"/>
                <w:color w:val="auto"/>
              </w:rPr>
            </w:pPr>
            <w:r>
              <w:rPr>
                <w:rFonts w:ascii="Arial" w:cs="Arial" w:eastAsia="Arial" w:hAnsi="Arial"/>
                <w:sz w:val="16"/>
                <w:szCs w:val="16"/>
                <w:color w:val="auto"/>
                <w:w w:val="98"/>
              </w:rPr>
              <w:t>Income Statement Reporting</w:t>
            </w: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This ASU, issued in November 2024, is intended to improve financial</w:t>
            </w:r>
          </w:p>
        </w:tc>
        <w:tc>
          <w:tcPr>
            <w:tcW w:w="2380" w:type="dxa"/>
            <w:vAlign w:val="bottom"/>
          </w:tcPr>
          <w:p>
            <w:pPr>
              <w:ind w:left="20"/>
              <w:spacing w:after="0" w:line="157" w:lineRule="exact"/>
              <w:rPr>
                <w:sz w:val="20"/>
                <w:szCs w:val="20"/>
                <w:color w:val="auto"/>
              </w:rPr>
            </w:pPr>
            <w:r>
              <w:rPr>
                <w:rFonts w:ascii="Arial" w:cs="Arial" w:eastAsia="Arial" w:hAnsi="Arial"/>
                <w:sz w:val="16"/>
                <w:szCs w:val="16"/>
                <w:color w:val="auto"/>
              </w:rPr>
              <w:t>This ASU is effective for fiscal</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2" w:lineRule="exact"/>
              <w:rPr>
                <w:sz w:val="20"/>
                <w:szCs w:val="20"/>
                <w:color w:val="auto"/>
              </w:rPr>
            </w:pPr>
            <w:r>
              <w:rPr>
                <w:rFonts w:ascii="Arial" w:cs="Arial" w:eastAsia="Arial" w:hAnsi="Arial"/>
                <w:sz w:val="16"/>
                <w:szCs w:val="16"/>
                <w:color w:val="auto"/>
                <w:w w:val="98"/>
              </w:rPr>
              <w:t>Comprehensive Income Expense</w:t>
            </w:r>
          </w:p>
        </w:tc>
        <w:tc>
          <w:tcPr>
            <w:tcW w:w="50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reporting by requiring public entities to disclose additional information</w:t>
            </w:r>
          </w:p>
        </w:tc>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years beginning after December</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2"/>
          </w:tcPr>
          <w:p>
            <w:pPr>
              <w:jc w:val="center"/>
              <w:ind w:right="100"/>
              <w:spacing w:after="0" w:line="161" w:lineRule="exact"/>
              <w:rPr>
                <w:sz w:val="20"/>
                <w:szCs w:val="20"/>
                <w:color w:val="auto"/>
              </w:rPr>
            </w:pPr>
            <w:r>
              <w:rPr>
                <w:rFonts w:ascii="Arial" w:cs="Arial" w:eastAsia="Arial" w:hAnsi="Arial"/>
                <w:sz w:val="16"/>
                <w:szCs w:val="16"/>
                <w:color w:val="auto"/>
                <w:w w:val="98"/>
              </w:rPr>
              <w:t>Disaggregation Disclosures</w:t>
            </w: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about specific expense categories in the notes to the financial</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rPr>
              <w:t>15, 2026, and interim periods</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2"/>
          </w:tcPr>
          <w:p>
            <w:pPr>
              <w:jc w:val="center"/>
              <w:ind w:right="120"/>
              <w:spacing w:after="0" w:line="161" w:lineRule="exact"/>
              <w:rPr>
                <w:sz w:val="20"/>
                <w:szCs w:val="20"/>
                <w:color w:val="auto"/>
              </w:rPr>
            </w:pPr>
            <w:r>
              <w:rPr>
                <w:rFonts w:ascii="Arial" w:cs="Arial" w:eastAsia="Arial" w:hAnsi="Arial"/>
                <w:sz w:val="16"/>
                <w:szCs w:val="16"/>
                <w:color w:val="auto"/>
                <w:w w:val="98"/>
              </w:rPr>
              <w:t>(Subtopic 220-40):</w:t>
            </w:r>
          </w:p>
        </w:tc>
        <w:tc>
          <w:tcPr>
            <w:tcW w:w="50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statements at interim and annual reporting periods. We are currently</w:t>
            </w:r>
          </w:p>
        </w:tc>
        <w:tc>
          <w:tcPr>
            <w:tcW w:w="2380" w:type="dxa"/>
            <w:vAlign w:val="bottom"/>
          </w:tcPr>
          <w:p>
            <w:pPr>
              <w:ind w:left="20"/>
              <w:spacing w:after="0" w:line="161" w:lineRule="exact"/>
              <w:rPr>
                <w:sz w:val="20"/>
                <w:szCs w:val="20"/>
                <w:color w:val="auto"/>
              </w:rPr>
            </w:pPr>
            <w:r>
              <w:rPr>
                <w:rFonts w:ascii="Arial" w:cs="Arial" w:eastAsia="Arial" w:hAnsi="Arial"/>
                <w:sz w:val="16"/>
                <w:szCs w:val="16"/>
                <w:color w:val="auto"/>
                <w:w w:val="99"/>
              </w:rPr>
              <w:t>within fiscal years beginning after</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7" w:lineRule="exact"/>
              <w:rPr>
                <w:sz w:val="20"/>
                <w:szCs w:val="20"/>
                <w:color w:val="auto"/>
              </w:rPr>
            </w:pPr>
            <w:r>
              <w:rPr>
                <w:rFonts w:ascii="Arial" w:cs="Arial" w:eastAsia="Arial" w:hAnsi="Arial"/>
                <w:sz w:val="16"/>
                <w:szCs w:val="16"/>
                <w:color w:val="auto"/>
                <w:w w:val="98"/>
              </w:rPr>
              <w:t>Disaggregation of Income</w:t>
            </w:r>
          </w:p>
        </w:tc>
        <w:tc>
          <w:tcPr>
            <w:tcW w:w="50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evaluating the impact of implementing this guidance on our financial</w:t>
            </w:r>
          </w:p>
        </w:tc>
        <w:tc>
          <w:tcPr>
            <w:tcW w:w="2380" w:type="dxa"/>
            <w:vAlign w:val="bottom"/>
          </w:tcPr>
          <w:p>
            <w:pPr>
              <w:ind w:left="20"/>
              <w:spacing w:after="0" w:line="157" w:lineRule="exact"/>
              <w:rPr>
                <w:sz w:val="20"/>
                <w:szCs w:val="20"/>
                <w:color w:val="auto"/>
              </w:rPr>
            </w:pPr>
            <w:r>
              <w:rPr>
                <w:rFonts w:ascii="Arial" w:cs="Arial" w:eastAsia="Arial" w:hAnsi="Arial"/>
                <w:sz w:val="16"/>
                <w:szCs w:val="16"/>
                <w:color w:val="auto"/>
              </w:rPr>
              <w:t>December 15, 2027, with early</w:t>
            </w:r>
          </w:p>
        </w:tc>
        <w:tc>
          <w:tcPr>
            <w:tcW w:w="0" w:type="dxa"/>
            <w:vAlign w:val="bottom"/>
          </w:tcPr>
          <w:p>
            <w:pPr>
              <w:spacing w:after="0"/>
              <w:rPr>
                <w:sz w:val="1"/>
                <w:szCs w:val="1"/>
                <w:color w:val="auto"/>
              </w:rPr>
            </w:pPr>
          </w:p>
        </w:tc>
      </w:tr>
      <w:tr>
        <w:trPr>
          <w:trHeight w:val="202"/>
        </w:trPr>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Statement Expenses</w:t>
            </w:r>
          </w:p>
        </w:tc>
        <w:tc>
          <w:tcPr>
            <w:tcW w:w="100" w:type="dxa"/>
            <w:vAlign w:val="bottom"/>
          </w:tcPr>
          <w:p>
            <w:pPr>
              <w:spacing w:after="0"/>
              <w:rPr>
                <w:sz w:val="17"/>
                <w:szCs w:val="17"/>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statements.</w:t>
            </w:r>
          </w:p>
        </w:tc>
        <w:tc>
          <w:tcPr>
            <w:tcW w:w="100" w:type="dxa"/>
            <w:vAlign w:val="bottom"/>
          </w:tcPr>
          <w:p>
            <w:pPr>
              <w:spacing w:after="0"/>
              <w:rPr>
                <w:sz w:val="17"/>
                <w:szCs w:val="17"/>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adoption permitted.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0046AD"/>
        </w:rPr>
        <w:t>ITEM 3. QUANTITATIVE AND QUALITATIVE DISCLOSURES ABOUT MARKET RISK.</w:t>
      </w:r>
    </w:p>
    <w:p>
      <w:pPr>
        <w:spacing w:after="0" w:line="16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CONTROLS AND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69"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Changes in Internal Control Over Financial Reporting.</w:t>
      </w:r>
    </w:p>
    <w:p>
      <w:pPr>
        <w:spacing w:after="0" w:line="169" w:lineRule="exact"/>
        <w:rPr>
          <w:sz w:val="20"/>
          <w:szCs w:val="20"/>
          <w:color w:val="auto"/>
        </w:rPr>
      </w:pPr>
    </w:p>
    <w:p>
      <w:pPr>
        <w:jc w:val="both"/>
        <w:ind w:firstLine="645"/>
        <w:spacing w:after="0" w:line="252" w:lineRule="auto"/>
        <w:rPr>
          <w:sz w:val="20"/>
          <w:szCs w:val="20"/>
          <w:color w:val="auto"/>
        </w:rPr>
      </w:pPr>
      <w:r>
        <w:rPr>
          <w:rFonts w:ascii="Arial" w:cs="Arial" w:eastAsia="Arial" w:hAnsi="Arial"/>
          <w:sz w:val="18"/>
          <w:szCs w:val="18"/>
          <w:color w:val="auto"/>
        </w:rPr>
        <w:t>To support the growth of our financial shared service capabilities and standardize our financial systems, we continue to update several key platforms, including our HR information systems, enterprise resource planning (“ERP”) system, and labor management system. The implementation of several key platforms involves changes in the systems that include internal controls. During the third quarter of 2023 and first quarter of 2025, we had a change in our internal control over financial reporting as a result of our implementation of a new ERP and key boundary systems for the Education, Business &amp; Industry, and Manufacturing &amp; Distribution industry groups that has materially affected, or is reasonably likely to materially affect, our internal control over financial reporting. The new ERP system and key boundary systems for these industry groups is replacing our legacy system in which a significant portion of our business transactions originate, are processed, and recorded. The rest of our industry groups will transition to our new ERP system and key boundary systems over the next several years. Our new ERP system and key boundary systems are intended to provide us with enhanced transactional processing and management tools, as compared with our legacy system, and is intended to enhance internal controls over financial reporting. We believe our new ERP system and key boundary systems will facilitate better transactional reporting and oversight, enhance our internal control over financial reporting, and function as an important component of our disclosure controls and procedures. Although some of the transitions have proceeded to date without material adverse effects, the possibility exists that they could adversely affect our internal controls over financial reporting and procedures.</w:t>
      </w:r>
    </w:p>
    <w:p>
      <w:pPr>
        <w:spacing w:after="0" w:line="128"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8"/>
          <w:szCs w:val="18"/>
          <w:color w:val="auto"/>
        </w:rPr>
        <w:t>There were no other changes in our internal control over financial reporting during the first quarter of 2025 identified in connection with the evaluation required by Rules 13a-15(d) and 15d-15(d) of the Exchange Act that has materially affected, or is reasonably likely to materially affect, our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PART II. OTHER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LEGAL PROCEEDINGS.</w:t>
      </w:r>
    </w:p>
    <w:p>
      <w:pPr>
        <w:spacing w:after="0" w:line="169"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10, “Commitments and Contingencies,” to the unaudited Consolidated Financial Statements in this Form 10-Q.</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1A. RISK FACTORS.</w:t>
      </w:r>
    </w:p>
    <w:p>
      <w:pPr>
        <w:spacing w:after="0" w:line="156" w:lineRule="exact"/>
        <w:rPr>
          <w:sz w:val="20"/>
          <w:szCs w:val="20"/>
          <w:color w:val="auto"/>
        </w:rPr>
      </w:pPr>
    </w:p>
    <w:p>
      <w:pPr>
        <w:jc w:val="both"/>
        <w:ind w:right="20" w:firstLine="645"/>
        <w:spacing w:after="0" w:line="269"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2024, in response to Item 1A., “Risk Factors,” of Part I of the Annual Report.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UNREGISTERED SALES OF EQUITY SECURITIES AND USE OF PROCEEDS.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Common Stock Repurchases</w:t>
      </w:r>
    </w:p>
    <w:p>
      <w:pPr>
        <w:spacing w:after="0" w:line="16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8"/>
          <w:szCs w:val="18"/>
          <w:color w:val="auto"/>
        </w:rPr>
        <w:t>Effective December 13, 2023, our Board of Directors expanded our existing share repurchase program by an additional $150.0 million. Share repurchases may take place on the open market or otherwise, and all or part 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7" w:name="page38"/>
    <w:bookmarkEnd w:id="37"/>
    <w:p>
      <w:pPr>
        <w:jc w:val="both"/>
        <w:ind w:right="20"/>
        <w:spacing w:after="0" w:line="261" w:lineRule="auto"/>
        <w:rPr>
          <w:sz w:val="20"/>
          <w:szCs w:val="20"/>
          <w:color w:val="auto"/>
        </w:rPr>
      </w:pPr>
      <w:r>
        <w:rPr>
          <w:rFonts w:ascii="Arial" w:cs="Arial" w:eastAsia="Arial" w:hAnsi="Arial"/>
          <w:sz w:val="18"/>
          <w:szCs w:val="18"/>
          <w:color w:val="auto"/>
        </w:rPr>
        <w:t>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sets forth, for the months indicated, our purchases of common stock in the first quarter of fiscal year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 Number of Shares</w:t>
            </w:r>
          </w:p>
        </w:tc>
        <w:tc>
          <w:tcPr>
            <w:tcW w:w="12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Average Price Paid per</w:t>
            </w:r>
          </w:p>
        </w:tc>
        <w:tc>
          <w:tcPr>
            <w:tcW w:w="2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right"/>
              <w:ind w:right="59"/>
              <w:spacing w:after="0" w:line="161"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0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080" w:type="dxa"/>
            <w:vAlign w:val="bottom"/>
            <w:gridSpan w:val="2"/>
          </w:tcPr>
          <w:p>
            <w:pPr>
              <w:jc w:val="center"/>
              <w:ind w:right="100"/>
              <w:spacing w:after="0" w:line="142" w:lineRule="exact"/>
              <w:rPr>
                <w:sz w:val="20"/>
                <w:szCs w:val="20"/>
                <w:color w:val="auto"/>
              </w:rPr>
            </w:pPr>
            <w:r>
              <w:rPr>
                <w:rFonts w:ascii="Arial" w:cs="Arial" w:eastAsia="Arial" w:hAnsi="Arial"/>
                <w:sz w:val="16"/>
                <w:szCs w:val="16"/>
                <w:b w:val="1"/>
                <w:bCs w:val="1"/>
                <w:color w:val="auto"/>
              </w:rPr>
              <w:t>Purchased</w:t>
            </w:r>
          </w:p>
        </w:tc>
        <w:tc>
          <w:tcPr>
            <w:tcW w:w="120" w:type="dxa"/>
            <w:vAlign w:val="bottom"/>
          </w:tcPr>
          <w:p>
            <w:pPr>
              <w:spacing w:after="0"/>
              <w:rPr>
                <w:sz w:val="14"/>
                <w:szCs w:val="14"/>
                <w:color w:val="auto"/>
              </w:rPr>
            </w:pPr>
          </w:p>
        </w:tc>
        <w:tc>
          <w:tcPr>
            <w:tcW w:w="196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8"/>
              </w:rPr>
              <w:t>Share</w:t>
            </w:r>
          </w:p>
        </w:tc>
        <w:tc>
          <w:tcPr>
            <w:tcW w:w="200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Publicly Announced Plan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right"/>
              <w:ind w:right="759"/>
              <w:spacing w:after="0" w:line="142" w:lineRule="exact"/>
              <w:rPr>
                <w:sz w:val="20"/>
                <w:szCs w:val="20"/>
                <w:color w:val="auto"/>
              </w:rPr>
            </w:pPr>
            <w:r>
              <w:rPr>
                <w:rFonts w:ascii="Arial" w:cs="Arial" w:eastAsia="Arial" w:hAnsi="Arial"/>
                <w:sz w:val="16"/>
                <w:szCs w:val="16"/>
                <w:b w:val="1"/>
                <w:bCs w:val="1"/>
                <w:color w:val="auto"/>
              </w:rPr>
              <w:t>Plan</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2240" w:type="dxa"/>
            <w:vAlign w:val="bottom"/>
            <w:tcBorders>
              <w:top w:val="single" w:sz="8" w:color="auto"/>
              <w:bottom w:val="single" w:sz="8" w:color="DCE2EF"/>
            </w:tcBorders>
          </w:tcPr>
          <w:p>
            <w:pPr>
              <w:spacing w:after="0"/>
              <w:rPr>
                <w:sz w:val="2"/>
                <w:szCs w:val="2"/>
                <w:color w:val="auto"/>
              </w:rPr>
            </w:pPr>
          </w:p>
        </w:tc>
        <w:tc>
          <w:tcPr>
            <w:tcW w:w="720" w:type="dxa"/>
            <w:vAlign w:val="bottom"/>
            <w:tcBorders>
              <w:bottom w:val="single" w:sz="8" w:color="DCE2E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DCE2EF"/>
          </w:tcPr>
          <w:p>
            <w:pPr>
              <w:spacing w:after="0"/>
              <w:rPr>
                <w:sz w:val="16"/>
                <w:szCs w:val="16"/>
                <w:color w:val="auto"/>
              </w:rPr>
            </w:pPr>
          </w:p>
        </w:tc>
        <w:tc>
          <w:tcPr>
            <w:tcW w:w="29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Period</w:t>
            </w:r>
          </w:p>
        </w:tc>
        <w:tc>
          <w:tcPr>
            <w:tcW w:w="1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8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0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8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260" w:type="dxa"/>
            <w:vAlign w:val="bottom"/>
            <w:gridSpan w:val="2"/>
          </w:tcPr>
          <w:p>
            <w:pPr>
              <w:ind w:left="20"/>
              <w:spacing w:after="0"/>
              <w:rPr>
                <w:sz w:val="20"/>
                <w:szCs w:val="20"/>
                <w:color w:val="auto"/>
              </w:rPr>
            </w:pPr>
            <w:r>
              <w:rPr>
                <w:rFonts w:ascii="Arial" w:cs="Arial" w:eastAsia="Arial" w:hAnsi="Arial"/>
                <w:sz w:val="16"/>
                <w:szCs w:val="16"/>
                <w:color w:val="auto"/>
              </w:rPr>
              <w:t>11/01/2024-11/30/2024</w:t>
            </w:r>
          </w:p>
        </w:tc>
        <w:tc>
          <w:tcPr>
            <w:tcW w:w="720" w:type="dxa"/>
            <w:vAlign w:val="bottom"/>
          </w:tcPr>
          <w:p>
            <w:pPr>
              <w:spacing w:after="0"/>
              <w:rPr>
                <w:sz w:val="18"/>
                <w:szCs w:val="18"/>
                <w:color w:val="auto"/>
              </w:rPr>
            </w:pPr>
          </w:p>
        </w:tc>
        <w:tc>
          <w:tcPr>
            <w:tcW w:w="2080" w:type="dxa"/>
            <w:vAlign w:val="bottom"/>
            <w:gridSpan w:val="2"/>
          </w:tcPr>
          <w:p>
            <w:pPr>
              <w:jc w:val="center"/>
              <w:ind w:left="1479"/>
              <w:spacing w:after="0"/>
              <w:rPr>
                <w:sz w:val="20"/>
                <w:szCs w:val="20"/>
                <w:color w:val="auto"/>
              </w:rPr>
            </w:pPr>
            <w:r>
              <w:rPr>
                <w:rFonts w:ascii="Arial" w:cs="Arial" w:eastAsia="Arial" w:hAnsi="Arial"/>
                <w:sz w:val="16"/>
                <w:szCs w:val="16"/>
                <w:color w:val="auto"/>
                <w:w w:val="99"/>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0" w:type="dxa"/>
            <w:vAlign w:val="bottom"/>
          </w:tcPr>
          <w:p>
            <w:pPr>
              <w:jc w:val="center"/>
              <w:ind w:left="1599"/>
              <w:spacing w:after="0"/>
              <w:rPr>
                <w:sz w:val="20"/>
                <w:szCs w:val="20"/>
                <w:color w:val="auto"/>
              </w:rPr>
            </w:pPr>
            <w:r>
              <w:rPr>
                <w:rFonts w:ascii="Arial" w:cs="Arial" w:eastAsia="Arial" w:hAnsi="Arial"/>
                <w:sz w:val="16"/>
                <w:szCs w:val="16"/>
                <w:color w:val="auto"/>
                <w:w w:val="99"/>
              </w:rPr>
              <w:t>—</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12/01/2024-12/31/2024</w:t>
            </w:r>
          </w:p>
        </w:tc>
        <w:tc>
          <w:tcPr>
            <w:tcW w:w="720" w:type="dxa"/>
            <w:vAlign w:val="bottom"/>
            <w:shd w:val="clear" w:color="auto" w:fill="DCE2EF"/>
          </w:tcPr>
          <w:p>
            <w:pPr>
              <w:spacing w:after="0"/>
              <w:rPr>
                <w:sz w:val="18"/>
                <w:szCs w:val="18"/>
                <w:color w:val="auto"/>
              </w:rPr>
            </w:pPr>
          </w:p>
        </w:tc>
        <w:tc>
          <w:tcPr>
            <w:tcW w:w="1980" w:type="dxa"/>
            <w:vAlign w:val="bottom"/>
            <w:shd w:val="clear" w:color="auto" w:fill="DCE2EF"/>
          </w:tcPr>
          <w:p>
            <w:pPr>
              <w:jc w:val="center"/>
              <w:ind w:left="1539"/>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51.07</w:t>
            </w:r>
          </w:p>
        </w:tc>
        <w:tc>
          <w:tcPr>
            <w:tcW w:w="100" w:type="dxa"/>
            <w:vAlign w:val="bottom"/>
            <w:shd w:val="clear" w:color="auto" w:fill="DCE2EF"/>
          </w:tcPr>
          <w:p>
            <w:pPr>
              <w:spacing w:after="0"/>
              <w:rPr>
                <w:sz w:val="18"/>
                <w:szCs w:val="18"/>
                <w:color w:val="auto"/>
              </w:rPr>
            </w:pPr>
          </w:p>
        </w:tc>
        <w:tc>
          <w:tcPr>
            <w:tcW w:w="2000" w:type="dxa"/>
            <w:vAlign w:val="bottom"/>
            <w:shd w:val="clear" w:color="auto" w:fill="DCE2EF"/>
          </w:tcPr>
          <w:p>
            <w:pPr>
              <w:jc w:val="center"/>
              <w:ind w:left="1559"/>
              <w:spacing w:after="0"/>
              <w:rPr>
                <w:sz w:val="20"/>
                <w:szCs w:val="20"/>
                <w:color w:val="auto"/>
              </w:rPr>
            </w:pPr>
            <w:r>
              <w:rPr>
                <w:rFonts w:ascii="Arial" w:cs="Arial" w:eastAsia="Arial" w:hAnsi="Arial"/>
                <w:sz w:val="16"/>
                <w:szCs w:val="16"/>
                <w:color w:val="auto"/>
              </w:rPr>
              <w:t>0.22</w:t>
            </w:r>
          </w:p>
        </w:tc>
        <w:tc>
          <w:tcPr>
            <w:tcW w:w="22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14"/>
        </w:trPr>
        <w:tc>
          <w:tcPr>
            <w:tcW w:w="2260" w:type="dxa"/>
            <w:vAlign w:val="bottom"/>
            <w:tcBorders>
              <w:bottom w:val="single" w:sz="8" w:color="DCE2EF"/>
            </w:tcBorders>
            <w:gridSpan w:val="2"/>
          </w:tcPr>
          <w:p>
            <w:pPr>
              <w:ind w:left="20"/>
              <w:spacing w:after="0"/>
              <w:rPr>
                <w:sz w:val="20"/>
                <w:szCs w:val="20"/>
                <w:color w:val="auto"/>
              </w:rPr>
            </w:pPr>
            <w:r>
              <w:rPr>
                <w:rFonts w:ascii="Arial" w:cs="Arial" w:eastAsia="Arial" w:hAnsi="Arial"/>
                <w:sz w:val="16"/>
                <w:szCs w:val="16"/>
                <w:color w:val="auto"/>
              </w:rPr>
              <w:t>1/1/2025-01/31/2025</w:t>
            </w:r>
          </w:p>
        </w:tc>
        <w:tc>
          <w:tcPr>
            <w:tcW w:w="720" w:type="dxa"/>
            <w:vAlign w:val="bottom"/>
            <w:tcBorders>
              <w:bottom w:val="single" w:sz="8" w:color="DCE2EF"/>
            </w:tcBorders>
          </w:tcPr>
          <w:p>
            <w:pPr>
              <w:spacing w:after="0"/>
              <w:rPr>
                <w:sz w:val="18"/>
                <w:szCs w:val="18"/>
                <w:color w:val="auto"/>
              </w:rPr>
            </w:pPr>
          </w:p>
        </w:tc>
        <w:tc>
          <w:tcPr>
            <w:tcW w:w="1980" w:type="dxa"/>
            <w:vAlign w:val="bottom"/>
            <w:tcBorders>
              <w:bottom w:val="single" w:sz="8" w:color="auto"/>
            </w:tcBorders>
          </w:tcPr>
          <w:p>
            <w:pPr>
              <w:jc w:val="center"/>
              <w:ind w:left="1539"/>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51.41</w:t>
            </w: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left="1559"/>
              <w:spacing w:after="0"/>
              <w:rPr>
                <w:sz w:val="20"/>
                <w:szCs w:val="20"/>
                <w:color w:val="auto"/>
              </w:rPr>
            </w:pPr>
            <w:r>
              <w:rPr>
                <w:rFonts w:ascii="Arial" w:cs="Arial" w:eastAsia="Arial" w:hAnsi="Arial"/>
                <w:sz w:val="16"/>
                <w:szCs w:val="16"/>
                <w:color w:val="auto"/>
              </w:rPr>
              <w:t>0.20</w:t>
            </w:r>
          </w:p>
        </w:tc>
        <w:tc>
          <w:tcPr>
            <w:tcW w:w="220" w:type="dxa"/>
            <w:vAlign w:val="bottom"/>
            <w:tcBorders>
              <w:bottom w:val="single" w:sz="8" w:color="DCE2EF"/>
            </w:tcBorders>
            <w:gridSpan w:val="2"/>
          </w:tcPr>
          <w:p>
            <w:pPr>
              <w:ind w:left="1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133.2</w:t>
            </w:r>
          </w:p>
        </w:tc>
        <w:tc>
          <w:tcPr>
            <w:tcW w:w="0" w:type="dxa"/>
            <w:vAlign w:val="bottom"/>
          </w:tcPr>
          <w:p>
            <w:pPr>
              <w:spacing w:after="0"/>
              <w:rPr>
                <w:sz w:val="1"/>
                <w:szCs w:val="1"/>
                <w:color w:val="auto"/>
              </w:rPr>
            </w:pPr>
          </w:p>
        </w:tc>
      </w:tr>
      <w:tr>
        <w:trPr>
          <w:trHeight w:val="234"/>
        </w:trPr>
        <w:tc>
          <w:tcPr>
            <w:tcW w:w="20" w:type="dxa"/>
            <w:vAlign w:val="bottom"/>
            <w:tcBorders>
              <w:bottom w:val="single" w:sz="8" w:color="DCE2EF"/>
            </w:tcBorders>
            <w:shd w:val="clear" w:color="auto" w:fill="DCE2EF"/>
          </w:tcPr>
          <w:p>
            <w:pPr>
              <w:spacing w:after="0"/>
              <w:rPr>
                <w:sz w:val="19"/>
                <w:szCs w:val="19"/>
                <w:color w:val="auto"/>
              </w:rPr>
            </w:pPr>
          </w:p>
        </w:tc>
        <w:tc>
          <w:tcPr>
            <w:tcW w:w="29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Total</w:t>
            </w:r>
          </w:p>
        </w:tc>
        <w:tc>
          <w:tcPr>
            <w:tcW w:w="1980" w:type="dxa"/>
            <w:vAlign w:val="bottom"/>
            <w:tcBorders>
              <w:bottom w:val="single" w:sz="8" w:color="auto"/>
            </w:tcBorders>
            <w:shd w:val="clear" w:color="auto" w:fill="DCE2EF"/>
          </w:tcPr>
          <w:p>
            <w:pPr>
              <w:jc w:val="center"/>
              <w:ind w:left="1539"/>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auto"/>
            </w:tcBorders>
            <w:shd w:val="clear" w:color="auto" w:fill="DCE2EF"/>
          </w:tcPr>
          <w:p>
            <w:pPr>
              <w:spacing w:after="0"/>
              <w:rPr>
                <w:sz w:val="19"/>
                <w:szCs w:val="19"/>
                <w:color w:val="auto"/>
              </w:rPr>
            </w:pP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51.23</w:t>
            </w:r>
          </w:p>
        </w:tc>
        <w:tc>
          <w:tcPr>
            <w:tcW w:w="100" w:type="dxa"/>
            <w:vAlign w:val="bottom"/>
            <w:tcBorders>
              <w:bottom w:val="single" w:sz="8" w:color="auto"/>
            </w:tcBorders>
            <w:shd w:val="clear" w:color="auto" w:fill="DCE2EF"/>
          </w:tcPr>
          <w:p>
            <w:pPr>
              <w:spacing w:after="0"/>
              <w:rPr>
                <w:sz w:val="19"/>
                <w:szCs w:val="19"/>
                <w:color w:val="auto"/>
              </w:rPr>
            </w:pPr>
          </w:p>
        </w:tc>
        <w:tc>
          <w:tcPr>
            <w:tcW w:w="2000" w:type="dxa"/>
            <w:vAlign w:val="bottom"/>
            <w:tcBorders>
              <w:bottom w:val="single" w:sz="8" w:color="auto"/>
            </w:tcBorders>
            <w:shd w:val="clear" w:color="auto" w:fill="DCE2EF"/>
          </w:tcPr>
          <w:p>
            <w:pPr>
              <w:jc w:val="center"/>
              <w:ind w:left="1559"/>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DCE2EF"/>
            </w:tcBorders>
            <w:shd w:val="clear" w:color="auto" w:fill="DCE2EF"/>
          </w:tcPr>
          <w:p>
            <w:pPr>
              <w:spacing w:after="0"/>
              <w:rPr>
                <w:sz w:val="19"/>
                <w:szCs w:val="19"/>
                <w:color w:val="auto"/>
              </w:rPr>
            </w:pPr>
          </w:p>
        </w:tc>
        <w:tc>
          <w:tcPr>
            <w:tcW w:w="120" w:type="dxa"/>
            <w:vAlign w:val="bottom"/>
            <w:tcBorders>
              <w:bottom w:val="single" w:sz="8" w:color="DCE2EF"/>
            </w:tcBorders>
            <w:shd w:val="clear" w:color="auto" w:fill="DCE2EF"/>
          </w:tcPr>
          <w:p>
            <w:pPr>
              <w:spacing w:after="0"/>
              <w:rPr>
                <w:sz w:val="19"/>
                <w:szCs w:val="19"/>
                <w:color w:val="auto"/>
              </w:rPr>
            </w:pPr>
          </w:p>
        </w:tc>
        <w:tc>
          <w:tcPr>
            <w:tcW w:w="1880" w:type="dxa"/>
            <w:vAlign w:val="bottom"/>
            <w:tcBorders>
              <w:bottom w:val="single" w:sz="8" w:color="DCE2EF"/>
            </w:tcBorders>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24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19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bottom w:val="single" w:sz="8" w:color="auto"/>
            </w:tcBorders>
          </w:tcPr>
          <w:p>
            <w:pPr>
              <w:spacing w:after="0" w:line="20" w:lineRule="exact"/>
              <w:rPr>
                <w:sz w:val="1"/>
                <w:szCs w:val="1"/>
                <w:color w:val="auto"/>
              </w:rPr>
            </w:pPr>
          </w:p>
        </w:tc>
        <w:tc>
          <w:tcPr>
            <w:tcW w:w="18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2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8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3. DEFAULTS UPON SENIOR SECURITIES.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5. 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Trading Arrangements</w:t>
      </w:r>
    </w:p>
    <w:p>
      <w:pPr>
        <w:spacing w:after="0" w:line="169" w:lineRule="exact"/>
        <w:rPr>
          <w:sz w:val="20"/>
          <w:szCs w:val="20"/>
          <w:color w:val="auto"/>
        </w:rPr>
      </w:pPr>
    </w:p>
    <w:p>
      <w:pPr>
        <w:jc w:val="both"/>
        <w:ind w:right="20" w:firstLine="645"/>
        <w:spacing w:after="0" w:line="267" w:lineRule="auto"/>
        <w:rPr>
          <w:sz w:val="20"/>
          <w:szCs w:val="20"/>
          <w:color w:val="auto"/>
        </w:rPr>
      </w:pPr>
      <w:r>
        <w:rPr>
          <w:rFonts w:ascii="Arial" w:cs="Arial" w:eastAsia="Arial" w:hAnsi="Arial"/>
          <w:sz w:val="18"/>
          <w:szCs w:val="18"/>
          <w:color w:val="auto"/>
        </w:rPr>
        <w:t>During the three months ended January 31, 2025, certain of our “officers,” as defined in Rule 16a-1(f) of the Exchange Act, and directors adopted, modified, or terminated a “Rule 10b5-1 trading arrangement” or a “non-Rule 10b5-1 trading arrangement,” as each term is defined in Item 408 of Regulation S-K,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41210" cy="17322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173228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Arrangements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4"/>
                <w:szCs w:val="14"/>
                <w:color w:val="auto"/>
              </w:rPr>
              <w:t>Name and Title</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Action</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Date of Action</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Non-Rule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Aggregate Number</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Aggregate Number</w:t>
            </w:r>
          </w:p>
        </w:tc>
        <w:tc>
          <w:tcPr>
            <w:tcW w:w="190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rPr>
              <w:t>Duration</w:t>
            </w:r>
          </w:p>
        </w:tc>
      </w:tr>
      <w:tr>
        <w:trPr>
          <w:trHeight w:val="150"/>
        </w:trPr>
        <w:tc>
          <w:tcPr>
            <w:tcW w:w="19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Trading</w:t>
            </w:r>
          </w:p>
        </w:tc>
        <w:tc>
          <w:tcPr>
            <w:tcW w:w="130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Trading</w:t>
            </w:r>
          </w:p>
        </w:tc>
        <w:tc>
          <w:tcPr>
            <w:tcW w:w="130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of Securities to Be</w:t>
            </w:r>
          </w:p>
        </w:tc>
        <w:tc>
          <w:tcPr>
            <w:tcW w:w="13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4"/>
                <w:szCs w:val="14"/>
                <w:color w:val="auto"/>
              </w:rPr>
              <w:t>of Securities to Be</w:t>
            </w:r>
          </w:p>
        </w:tc>
        <w:tc>
          <w:tcPr>
            <w:tcW w:w="1900" w:type="dxa"/>
            <w:vAlign w:val="bottom"/>
          </w:tcPr>
          <w:p>
            <w:pPr>
              <w:spacing w:after="0"/>
              <w:rPr>
                <w:sz w:val="13"/>
                <w:szCs w:val="13"/>
                <w:color w:val="auto"/>
              </w:rPr>
            </w:pPr>
          </w:p>
        </w:tc>
      </w:tr>
      <w:tr>
        <w:trPr>
          <w:trHeight w:val="236"/>
        </w:trPr>
        <w:tc>
          <w:tcPr>
            <w:tcW w:w="19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14"/>
                <w:szCs w:val="14"/>
                <w:color w:val="auto"/>
                <w:w w:val="98"/>
              </w:rPr>
              <w:t>Arrangement</w:t>
            </w:r>
            <w:r>
              <w:rPr>
                <w:rFonts w:ascii="Arial" w:cs="Arial" w:eastAsia="Arial" w:hAnsi="Arial"/>
                <w:sz w:val="23"/>
                <w:szCs w:val="23"/>
                <w:color w:val="auto"/>
                <w:w w:val="98"/>
                <w:vertAlign w:val="superscript"/>
              </w:rPr>
              <w:t>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Arrangement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Sold</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Purchased</w:t>
            </w:r>
          </w:p>
        </w:tc>
        <w:tc>
          <w:tcPr>
            <w:tcW w:w="1900" w:type="dxa"/>
            <w:vAlign w:val="bottom"/>
            <w:tcBorders>
              <w:bottom w:val="single" w:sz="8" w:color="auto"/>
            </w:tcBorders>
          </w:tcPr>
          <w:p>
            <w:pPr>
              <w:spacing w:after="0"/>
              <w:rPr>
                <w:sz w:val="20"/>
                <w:szCs w:val="20"/>
                <w:color w:val="auto"/>
              </w:rPr>
            </w:pPr>
          </w:p>
        </w:tc>
      </w:tr>
      <w:tr>
        <w:trPr>
          <w:trHeight w:val="172"/>
        </w:trPr>
        <w:tc>
          <w:tcPr>
            <w:tcW w:w="19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Scott Salmirs, President and</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Adoption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January 6, 2025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50,000 shares of</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Pr>
          <w:p>
            <w:pPr>
              <w:spacing w:after="0"/>
              <w:rPr>
                <w:sz w:val="20"/>
                <w:szCs w:val="20"/>
                <w:color w:val="auto"/>
              </w:rPr>
            </w:pPr>
            <w:r>
              <w:rPr>
                <w:rFonts w:ascii="Arial" w:cs="Arial" w:eastAsia="Arial" w:hAnsi="Arial"/>
                <w:sz w:val="14"/>
                <w:szCs w:val="14"/>
                <w:color w:val="auto"/>
              </w:rPr>
              <w:t>From April 7, 2025, until the</w:t>
            </w:r>
          </w:p>
        </w:tc>
      </w:tr>
      <w:tr>
        <w:trPr>
          <w:trHeight w:val="175"/>
        </w:trPr>
        <w:tc>
          <w:tcPr>
            <w:tcW w:w="19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Chief Executive Officer</w:t>
            </w:r>
          </w:p>
        </w:tc>
        <w:tc>
          <w:tcPr>
            <w:tcW w:w="9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common stock</w:t>
            </w:r>
          </w:p>
        </w:tc>
        <w:tc>
          <w:tcPr>
            <w:tcW w:w="132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earlier of (i) the date when all</w:t>
            </w:r>
          </w:p>
        </w:tc>
      </w:tr>
      <w:tr>
        <w:trPr>
          <w:trHeight w:val="175"/>
        </w:trPr>
        <w:tc>
          <w:tcPr>
            <w:tcW w:w="19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the shares under the plan</w:t>
            </w:r>
          </w:p>
        </w:tc>
      </w:tr>
      <w:tr>
        <w:trPr>
          <w:trHeight w:val="175"/>
        </w:trPr>
        <w:tc>
          <w:tcPr>
            <w:tcW w:w="19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are sold and (ii)</w:t>
            </w:r>
          </w:p>
        </w:tc>
      </w:tr>
      <w:tr>
        <w:trPr>
          <w:trHeight w:val="190"/>
        </w:trPr>
        <w:tc>
          <w:tcPr>
            <w:tcW w:w="19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December 31, 2025</w:t>
            </w:r>
          </w:p>
        </w:tc>
      </w:tr>
      <w:tr>
        <w:trPr>
          <w:trHeight w:val="21"/>
        </w:trPr>
        <w:tc>
          <w:tcPr>
            <w:tcW w:w="19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72"/>
        </w:trPr>
        <w:tc>
          <w:tcPr>
            <w:tcW w:w="19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Sean Mahoney, Executive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Adoption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January 9, 2025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15,000 shares of</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Pr>
          <w:p>
            <w:pPr>
              <w:spacing w:after="0"/>
              <w:rPr>
                <w:sz w:val="20"/>
                <w:szCs w:val="20"/>
                <w:color w:val="auto"/>
              </w:rPr>
            </w:pPr>
            <w:r>
              <w:rPr>
                <w:rFonts w:ascii="Arial" w:cs="Arial" w:eastAsia="Arial" w:hAnsi="Arial"/>
                <w:sz w:val="14"/>
                <w:szCs w:val="14"/>
                <w:color w:val="auto"/>
              </w:rPr>
              <w:t>From April 9, 2025, until the</w:t>
            </w:r>
          </w:p>
        </w:tc>
      </w:tr>
      <w:tr>
        <w:trPr>
          <w:trHeight w:val="175"/>
        </w:trPr>
        <w:tc>
          <w:tcPr>
            <w:tcW w:w="19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Vice President and</w:t>
            </w:r>
          </w:p>
        </w:tc>
        <w:tc>
          <w:tcPr>
            <w:tcW w:w="9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common stock</w:t>
            </w:r>
          </w:p>
        </w:tc>
        <w:tc>
          <w:tcPr>
            <w:tcW w:w="132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earlier of (i) the date when all</w:t>
            </w:r>
          </w:p>
        </w:tc>
      </w:tr>
      <w:tr>
        <w:trPr>
          <w:trHeight w:val="175"/>
        </w:trPr>
        <w:tc>
          <w:tcPr>
            <w:tcW w:w="19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President, Sales and</w:t>
            </w:r>
          </w:p>
        </w:tc>
        <w:tc>
          <w:tcPr>
            <w:tcW w:w="9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the shares under the plan</w:t>
            </w:r>
          </w:p>
        </w:tc>
      </w:tr>
      <w:tr>
        <w:trPr>
          <w:trHeight w:val="175"/>
        </w:trPr>
        <w:tc>
          <w:tcPr>
            <w:tcW w:w="19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Marketing</w:t>
            </w:r>
          </w:p>
        </w:tc>
        <w:tc>
          <w:tcPr>
            <w:tcW w:w="9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are sold and (ii)</w:t>
            </w:r>
          </w:p>
        </w:tc>
      </w:tr>
      <w:tr>
        <w:trPr>
          <w:trHeight w:val="190"/>
        </w:trPr>
        <w:tc>
          <w:tcPr>
            <w:tcW w:w="19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December 31, 2025</w:t>
            </w:r>
          </w:p>
        </w:tc>
      </w:tr>
      <w:tr>
        <w:trPr>
          <w:trHeight w:val="21"/>
        </w:trPr>
        <w:tc>
          <w:tcPr>
            <w:tcW w:w="19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180" w:hanging="173"/>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Intended to satisfy the affirmative defense conditions of Rule 10b5-1(c).</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49"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46"/>
        </w:trPr>
        <w:tc>
          <w:tcPr>
            <w:tcW w:w="11240" w:type="dxa"/>
            <w:vAlign w:val="bottom"/>
            <w:gridSpan w:val="12"/>
          </w:tcPr>
          <w:p>
            <w:pPr>
              <w:spacing w:after="0"/>
              <w:rPr>
                <w:sz w:val="20"/>
                <w:szCs w:val="20"/>
                <w:color w:val="auto"/>
              </w:rPr>
            </w:pPr>
            <w:r>
              <w:rPr>
                <w:rFonts w:ascii="Arial" w:cs="Arial" w:eastAsia="Arial" w:hAnsi="Arial"/>
                <w:sz w:val="18"/>
                <w:szCs w:val="18"/>
                <w:b w:val="1"/>
                <w:bCs w:val="1"/>
                <w:color w:val="0046AD"/>
              </w:rPr>
              <w:t>ITEM 6. EXHIBITS.</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11220" w:type="dxa"/>
            <w:vAlign w:val="bottom"/>
            <w:gridSpan w:val="11"/>
          </w:tcPr>
          <w:p>
            <w:pPr>
              <w:ind w:left="64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60" w:type="dxa"/>
            <w:vAlign w:val="bottom"/>
            <w:shd w:val="clear" w:color="auto" w:fill="DCE2EF"/>
          </w:tcPr>
          <w:p>
            <w:pPr>
              <w:spacing w:after="0"/>
              <w:rPr>
                <w:sz w:val="20"/>
                <w:szCs w:val="20"/>
                <w:color w:val="auto"/>
              </w:rPr>
            </w:pPr>
            <w:r>
              <w:rPr>
                <w:rFonts w:ascii="Arial" w:cs="Arial" w:eastAsia="Arial" w:hAnsi="Arial"/>
                <w:sz w:val="16"/>
                <w:szCs w:val="16"/>
                <w:b w:val="1"/>
                <w:bCs w:val="1"/>
                <w:color w:val="auto"/>
              </w:rPr>
              <w:t>Exhibit No.</w:t>
            </w:r>
          </w:p>
        </w:tc>
        <w:tc>
          <w:tcPr>
            <w:tcW w:w="9860" w:type="dxa"/>
            <w:vAlign w:val="bottom"/>
            <w:gridSpan w:val="10"/>
            <w:shd w:val="clear" w:color="auto" w:fill="DCE2EF"/>
          </w:tcPr>
          <w:p>
            <w:pPr>
              <w:ind w:left="418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line="175" w:lineRule="exact"/>
              <w:rPr>
                <w:sz w:val="20"/>
                <w:szCs w:val="20"/>
                <w:color w:val="auto"/>
              </w:rPr>
            </w:pPr>
            <w:r>
              <w:rPr>
                <w:rFonts w:ascii="Arial" w:cs="Arial" w:eastAsia="Arial" w:hAnsi="Arial"/>
                <w:sz w:val="16"/>
                <w:szCs w:val="16"/>
                <w:color w:val="auto"/>
              </w:rPr>
              <w:t>10.1*†</w:t>
            </w:r>
          </w:p>
        </w:tc>
        <w:tc>
          <w:tcPr>
            <w:tcW w:w="9860" w:type="dxa"/>
            <w:vAlign w:val="bottom"/>
            <w:gridSpan w:val="10"/>
          </w:tcPr>
          <w:p>
            <w:pPr>
              <w:spacing w:after="0" w:line="175" w:lineRule="exact"/>
              <w:rPr>
                <w:sz w:val="20"/>
                <w:szCs w:val="20"/>
                <w:color w:val="auto"/>
              </w:rPr>
            </w:pPr>
            <w:r>
              <w:rPr>
                <w:rFonts w:ascii="Arial" w:cs="Arial" w:eastAsia="Arial" w:hAnsi="Arial"/>
                <w:sz w:val="16"/>
                <w:szCs w:val="16"/>
                <w:color w:val="0000FF"/>
              </w:rPr>
              <w:t>Executive Employment Agreement, dated as of September 1, 2021, by and between ABM Industries Incorporated and Raul Valentin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CE2EF"/>
          </w:tcPr>
          <w:p>
            <w:pPr>
              <w:spacing w:after="0" w:line="175" w:lineRule="exact"/>
              <w:rPr>
                <w:sz w:val="20"/>
                <w:szCs w:val="20"/>
                <w:color w:val="auto"/>
              </w:rPr>
            </w:pPr>
            <w:r>
              <w:rPr>
                <w:rFonts w:ascii="Arial" w:cs="Arial" w:eastAsia="Arial" w:hAnsi="Arial"/>
                <w:sz w:val="16"/>
                <w:szCs w:val="16"/>
                <w:color w:val="auto"/>
              </w:rPr>
              <w:t>10.2*†</w:t>
            </w:r>
          </w:p>
        </w:tc>
        <w:tc>
          <w:tcPr>
            <w:tcW w:w="9860" w:type="dxa"/>
            <w:vAlign w:val="bottom"/>
            <w:gridSpan w:val="10"/>
            <w:shd w:val="clear" w:color="auto" w:fill="DCE2EF"/>
          </w:tcPr>
          <w:p>
            <w:pPr>
              <w:spacing w:after="0" w:line="175" w:lineRule="exact"/>
              <w:rPr>
                <w:sz w:val="20"/>
                <w:szCs w:val="20"/>
                <w:color w:val="auto"/>
              </w:rPr>
            </w:pPr>
            <w:r>
              <w:rPr>
                <w:rFonts w:ascii="Arial" w:cs="Arial" w:eastAsia="Arial" w:hAnsi="Arial"/>
                <w:sz w:val="16"/>
                <w:szCs w:val="16"/>
                <w:color w:val="0000FF"/>
              </w:rPr>
              <w:t>Change in Control Agreement, dated as of September 1, 2021, by and between ABM Industries Incorporated and Raul Valentin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tcBorders>
              <w:top w:val="single" w:sz="8" w:color="DCE2EF"/>
            </w:tcBorders>
            <w:shd w:val="clear" w:color="auto" w:fill="DCE2EF"/>
          </w:tcPr>
          <w:p>
            <w:pPr>
              <w:spacing w:after="0" w:line="20" w:lineRule="exact"/>
              <w:rPr>
                <w:sz w:val="1"/>
                <w:szCs w:val="1"/>
                <w:color w:val="auto"/>
              </w:rPr>
            </w:pPr>
          </w:p>
        </w:tc>
        <w:tc>
          <w:tcPr>
            <w:tcW w:w="7160" w:type="dxa"/>
            <w:vAlign w:val="bottom"/>
            <w:tcBorders>
              <w:top w:val="single" w:sz="8" w:color="0000FF"/>
            </w:tcBorders>
            <w:shd w:val="clear" w:color="auto" w:fill="DCE2EF"/>
          </w:tcPr>
          <w:p>
            <w:pPr>
              <w:spacing w:after="0" w:line="20" w:lineRule="exact"/>
              <w:rPr>
                <w:sz w:val="1"/>
                <w:szCs w:val="1"/>
                <w:color w:val="auto"/>
              </w:rPr>
            </w:pPr>
          </w:p>
        </w:tc>
        <w:tc>
          <w:tcPr>
            <w:tcW w:w="60" w:type="dxa"/>
            <w:vAlign w:val="bottom"/>
            <w:tcBorders>
              <w:top w:val="single" w:sz="8" w:color="0000FF"/>
            </w:tcBorders>
            <w:shd w:val="clear" w:color="auto" w:fill="DCE2EF"/>
          </w:tcPr>
          <w:p>
            <w:pPr>
              <w:spacing w:after="0" w:line="20" w:lineRule="exact"/>
              <w:rPr>
                <w:sz w:val="1"/>
                <w:szCs w:val="1"/>
                <w:color w:val="auto"/>
              </w:rPr>
            </w:pPr>
          </w:p>
        </w:tc>
        <w:tc>
          <w:tcPr>
            <w:tcW w:w="1120" w:type="dxa"/>
            <w:vAlign w:val="bottom"/>
            <w:tcBorders>
              <w:top w:val="single" w:sz="8" w:color="0000FF"/>
            </w:tcBorders>
            <w:shd w:val="clear" w:color="auto" w:fill="DCE2EF"/>
          </w:tcPr>
          <w:p>
            <w:pPr>
              <w:spacing w:after="0" w:line="20" w:lineRule="exact"/>
              <w:rPr>
                <w:sz w:val="1"/>
                <w:szCs w:val="1"/>
                <w:color w:val="auto"/>
              </w:rPr>
            </w:pPr>
          </w:p>
        </w:tc>
        <w:tc>
          <w:tcPr>
            <w:tcW w:w="240" w:type="dxa"/>
            <w:vAlign w:val="bottom"/>
            <w:tcBorders>
              <w:top w:val="single" w:sz="8" w:color="0000FF"/>
            </w:tcBorders>
            <w:shd w:val="clear" w:color="auto" w:fill="DCE2EF"/>
          </w:tcPr>
          <w:p>
            <w:pPr>
              <w:spacing w:after="0" w:line="20" w:lineRule="exact"/>
              <w:rPr>
                <w:sz w:val="1"/>
                <w:szCs w:val="1"/>
                <w:color w:val="auto"/>
              </w:rPr>
            </w:pPr>
          </w:p>
        </w:tc>
        <w:tc>
          <w:tcPr>
            <w:tcW w:w="340" w:type="dxa"/>
            <w:vAlign w:val="bottom"/>
            <w:tcBorders>
              <w:top w:val="single" w:sz="8" w:color="0000FF"/>
            </w:tcBorders>
            <w:shd w:val="clear" w:color="auto" w:fill="DCE2EF"/>
          </w:tcPr>
          <w:p>
            <w:pPr>
              <w:spacing w:after="0" w:line="20" w:lineRule="exact"/>
              <w:rPr>
                <w:sz w:val="1"/>
                <w:szCs w:val="1"/>
                <w:color w:val="auto"/>
              </w:rPr>
            </w:pPr>
          </w:p>
        </w:tc>
        <w:tc>
          <w:tcPr>
            <w:tcW w:w="140" w:type="dxa"/>
            <w:vAlign w:val="bottom"/>
            <w:tcBorders>
              <w:top w:val="single" w:sz="8" w:color="0000FF"/>
            </w:tcBorders>
            <w:shd w:val="clear" w:color="auto" w:fill="DCE2EF"/>
          </w:tcPr>
          <w:p>
            <w:pPr>
              <w:spacing w:after="0" w:line="20" w:lineRule="exact"/>
              <w:rPr>
                <w:sz w:val="1"/>
                <w:szCs w:val="1"/>
                <w:color w:val="auto"/>
              </w:rPr>
            </w:pPr>
          </w:p>
        </w:tc>
        <w:tc>
          <w:tcPr>
            <w:tcW w:w="180" w:type="dxa"/>
            <w:vAlign w:val="bottom"/>
            <w:tcBorders>
              <w:top w:val="single" w:sz="8" w:color="DCE2EF"/>
            </w:tcBorders>
            <w:shd w:val="clear" w:color="auto" w:fill="DCE2EF"/>
          </w:tcPr>
          <w:p>
            <w:pPr>
              <w:spacing w:after="0" w:line="20" w:lineRule="exact"/>
              <w:rPr>
                <w:sz w:val="1"/>
                <w:szCs w:val="1"/>
                <w:color w:val="auto"/>
              </w:rPr>
            </w:pPr>
          </w:p>
        </w:tc>
        <w:tc>
          <w:tcPr>
            <w:tcW w:w="160" w:type="dxa"/>
            <w:vAlign w:val="bottom"/>
            <w:tcBorders>
              <w:top w:val="single" w:sz="8" w:color="DCE2EF"/>
            </w:tcBorders>
            <w:shd w:val="clear" w:color="auto" w:fill="DCE2EF"/>
          </w:tcPr>
          <w:p>
            <w:pPr>
              <w:spacing w:after="0" w:line="20" w:lineRule="exact"/>
              <w:rPr>
                <w:sz w:val="1"/>
                <w:szCs w:val="1"/>
                <w:color w:val="auto"/>
              </w:rPr>
            </w:pPr>
          </w:p>
        </w:tc>
        <w:tc>
          <w:tcPr>
            <w:tcW w:w="180" w:type="dxa"/>
            <w:vAlign w:val="bottom"/>
            <w:tcBorders>
              <w:top w:val="single" w:sz="8" w:color="DCE2EF"/>
            </w:tcBorders>
            <w:shd w:val="clear" w:color="auto" w:fill="DCE2EF"/>
          </w:tcPr>
          <w:p>
            <w:pPr>
              <w:spacing w:after="0" w:line="20" w:lineRule="exact"/>
              <w:rPr>
                <w:sz w:val="1"/>
                <w:szCs w:val="1"/>
                <w:color w:val="auto"/>
              </w:rPr>
            </w:pPr>
          </w:p>
        </w:tc>
        <w:tc>
          <w:tcPr>
            <w:tcW w:w="280" w:type="dxa"/>
            <w:vAlign w:val="bottom"/>
            <w:tcBorders>
              <w:top w:val="single" w:sz="8" w:color="DCE2EF"/>
            </w:tcBorders>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60" w:type="dxa"/>
            <w:vAlign w:val="bottom"/>
          </w:tcPr>
          <w:p>
            <w:pPr>
              <w:spacing w:after="0" w:line="175" w:lineRule="exact"/>
              <w:rPr>
                <w:sz w:val="20"/>
                <w:szCs w:val="20"/>
                <w:color w:val="auto"/>
              </w:rPr>
            </w:pPr>
            <w:r>
              <w:rPr>
                <w:rFonts w:ascii="Arial" w:cs="Arial" w:eastAsia="Arial" w:hAnsi="Arial"/>
                <w:sz w:val="16"/>
                <w:szCs w:val="16"/>
                <w:color w:val="auto"/>
              </w:rPr>
              <w:t>10.3</w:t>
            </w:r>
          </w:p>
        </w:tc>
        <w:tc>
          <w:tcPr>
            <w:tcW w:w="9860" w:type="dxa"/>
            <w:vAlign w:val="bottom"/>
            <w:gridSpan w:val="10"/>
          </w:tcPr>
          <w:p>
            <w:pPr>
              <w:spacing w:after="0" w:line="175" w:lineRule="exact"/>
              <w:rPr>
                <w:rFonts w:ascii="Arial" w:cs="Arial" w:eastAsia="Arial" w:hAnsi="Arial"/>
                <w:sz w:val="16"/>
                <w:szCs w:val="16"/>
                <w:color w:val="0000FF"/>
              </w:rPr>
            </w:pPr>
            <w:hyperlink r:id="rId75">
              <w:r>
                <w:rPr>
                  <w:rFonts w:ascii="Arial" w:cs="Arial" w:eastAsia="Arial" w:hAnsi="Arial"/>
                  <w:sz w:val="16"/>
                  <w:szCs w:val="16"/>
                  <w:color w:val="0000FF"/>
                </w:rPr>
                <w:t>Amended and Restated Credit Agreement, dated as of February 26, 2025, among ABM Industries Incorporated, ABM Aviation UK</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60" w:type="dxa"/>
            <w:vAlign w:val="bottom"/>
            <w:gridSpan w:val="10"/>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Limited, each of the other subsidiaries of ABM Industries Incorporated from time to time party thereto, the financial institutions listed on</w:t>
              </w:r>
            </w:hyperlink>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58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the signature pages thereof as lenders and Bank of America, N.A. as administrative agent and collateral agent for the lenders</w:t>
              </w:r>
            </w:hyperlink>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92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(incorporated by reference to Exhibit 10.1 to the Company's Current Report on Form 8-K, filed on February 28, 2025)</w:t>
              </w:r>
            </w:hyperlink>
          </w:p>
        </w:tc>
        <w:tc>
          <w:tcPr>
            <w:tcW w:w="9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Borders>
              <w:bottom w:val="single" w:sz="8" w:color="DCE2EF"/>
            </w:tcBorders>
            <w:shd w:val="clear" w:color="auto" w:fill="DCE2EF"/>
          </w:tcPr>
          <w:p>
            <w:pPr>
              <w:spacing w:after="0" w:line="175" w:lineRule="exact"/>
              <w:rPr>
                <w:sz w:val="20"/>
                <w:szCs w:val="20"/>
                <w:color w:val="auto"/>
              </w:rPr>
            </w:pPr>
            <w:r>
              <w:rPr>
                <w:rFonts w:ascii="Arial" w:cs="Arial" w:eastAsia="Arial" w:hAnsi="Arial"/>
                <w:sz w:val="16"/>
                <w:szCs w:val="16"/>
                <w:color w:val="auto"/>
              </w:rPr>
              <w:t>31.1†</w:t>
            </w:r>
          </w:p>
        </w:tc>
        <w:tc>
          <w:tcPr>
            <w:tcW w:w="7220" w:type="dxa"/>
            <w:vAlign w:val="bottom"/>
            <w:tcBorders>
              <w:bottom w:val="single" w:sz="8" w:color="0000FF"/>
            </w:tcBorders>
            <w:gridSpan w:val="2"/>
            <w:shd w:val="clear" w:color="auto" w:fill="DCE2EF"/>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Section 302 of the Sarbanes-Oxley Act of 2002</w:t>
            </w:r>
          </w:p>
        </w:tc>
        <w:tc>
          <w:tcPr>
            <w:tcW w:w="2640" w:type="dxa"/>
            <w:vAlign w:val="bottom"/>
            <w:tcBorders>
              <w:bottom w:val="single" w:sz="8" w:color="DCE2EF"/>
            </w:tcBorders>
            <w:gridSpan w:val="8"/>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line="175" w:lineRule="exact"/>
              <w:rPr>
                <w:sz w:val="20"/>
                <w:szCs w:val="20"/>
                <w:color w:val="auto"/>
              </w:rPr>
            </w:pPr>
            <w:r>
              <w:rPr>
                <w:rFonts w:ascii="Arial" w:cs="Arial" w:eastAsia="Arial" w:hAnsi="Arial"/>
                <w:sz w:val="16"/>
                <w:szCs w:val="16"/>
                <w:color w:val="auto"/>
              </w:rPr>
              <w:t>31.2†</w:t>
            </w:r>
          </w:p>
        </w:tc>
        <w:tc>
          <w:tcPr>
            <w:tcW w:w="9860" w:type="dxa"/>
            <w:vAlign w:val="bottom"/>
            <w:gridSpan w:val="10"/>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360" w:type="dxa"/>
            <w:vAlign w:val="bottom"/>
            <w:tcBorders>
              <w:bottom w:val="single" w:sz="8" w:color="DCE2EF"/>
            </w:tcBorders>
            <w:shd w:val="clear" w:color="auto" w:fill="DCE2EF"/>
          </w:tcPr>
          <w:p>
            <w:pPr>
              <w:spacing w:after="0" w:line="175" w:lineRule="exact"/>
              <w:rPr>
                <w:sz w:val="20"/>
                <w:szCs w:val="20"/>
                <w:color w:val="auto"/>
              </w:rPr>
            </w:pPr>
            <w:r>
              <w:rPr>
                <w:rFonts w:ascii="Arial" w:cs="Arial" w:eastAsia="Arial" w:hAnsi="Arial"/>
                <w:sz w:val="16"/>
                <w:szCs w:val="16"/>
                <w:color w:val="auto"/>
              </w:rPr>
              <w:t>32‡</w:t>
            </w:r>
          </w:p>
        </w:tc>
        <w:tc>
          <w:tcPr>
            <w:tcW w:w="8580" w:type="dxa"/>
            <w:vAlign w:val="bottom"/>
            <w:tcBorders>
              <w:bottom w:val="single" w:sz="8" w:color="0000FF"/>
            </w:tcBorders>
            <w:gridSpan w:val="4"/>
            <w:shd w:val="clear" w:color="auto" w:fill="DCE2EF"/>
          </w:tcPr>
          <w:p>
            <w:pPr>
              <w:spacing w:after="0" w:line="175" w:lineRule="exact"/>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c>
          <w:tcPr>
            <w:tcW w:w="1280" w:type="dxa"/>
            <w:vAlign w:val="bottom"/>
            <w:tcBorders>
              <w:bottom w:val="single" w:sz="8" w:color="DCE2EF"/>
            </w:tcBorders>
            <w:gridSpan w:val="6"/>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line="161" w:lineRule="exact"/>
              <w:rPr>
                <w:sz w:val="20"/>
                <w:szCs w:val="20"/>
                <w:color w:val="auto"/>
              </w:rPr>
            </w:pPr>
            <w:r>
              <w:rPr>
                <w:rFonts w:ascii="Arial" w:cs="Arial" w:eastAsia="Arial" w:hAnsi="Arial"/>
                <w:sz w:val="16"/>
                <w:szCs w:val="16"/>
                <w:color w:val="auto"/>
              </w:rPr>
              <w:t>101.INS†</w:t>
            </w:r>
          </w:p>
        </w:tc>
        <w:tc>
          <w:tcPr>
            <w:tcW w:w="9860" w:type="dxa"/>
            <w:vAlign w:val="bottom"/>
            <w:gridSpan w:val="10"/>
          </w:tcPr>
          <w:p>
            <w:pPr>
              <w:spacing w:after="0" w:line="161" w:lineRule="exact"/>
              <w:rPr>
                <w:sz w:val="20"/>
                <w:szCs w:val="20"/>
                <w:color w:val="auto"/>
              </w:rPr>
            </w:pPr>
            <w:r>
              <w:rPr>
                <w:rFonts w:ascii="Arial" w:cs="Arial" w:eastAsia="Arial" w:hAnsi="Arial"/>
                <w:sz w:val="16"/>
                <w:szCs w:val="16"/>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60" w:type="dxa"/>
            <w:vAlign w:val="bottom"/>
            <w:gridSpan w:val="10"/>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CE2EF"/>
          </w:tcPr>
          <w:p>
            <w:pPr>
              <w:spacing w:after="0"/>
              <w:rPr>
                <w:sz w:val="20"/>
                <w:szCs w:val="20"/>
                <w:color w:val="auto"/>
              </w:rPr>
            </w:pPr>
            <w:r>
              <w:rPr>
                <w:rFonts w:ascii="Arial" w:cs="Arial" w:eastAsia="Arial" w:hAnsi="Arial"/>
                <w:sz w:val="16"/>
                <w:szCs w:val="16"/>
                <w:color w:val="auto"/>
              </w:rPr>
              <w:t>101.SCH†</w:t>
            </w:r>
          </w:p>
        </w:tc>
        <w:tc>
          <w:tcPr>
            <w:tcW w:w="9860" w:type="dxa"/>
            <w:vAlign w:val="bottom"/>
            <w:gridSpan w:val="10"/>
            <w:shd w:val="clear" w:color="auto" w:fill="DCE2EF"/>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101.CAL†</w:t>
            </w:r>
          </w:p>
        </w:tc>
        <w:tc>
          <w:tcPr>
            <w:tcW w:w="9860" w:type="dxa"/>
            <w:vAlign w:val="bottom"/>
            <w:gridSpan w:val="10"/>
          </w:tcPr>
          <w:p>
            <w:pPr>
              <w:spacing w:after="0"/>
              <w:rPr>
                <w:sz w:val="20"/>
                <w:szCs w:val="20"/>
                <w:color w:val="auto"/>
              </w:rPr>
            </w:pPr>
            <w:r>
              <w:rPr>
                <w:rFonts w:ascii="Arial" w:cs="Arial" w:eastAsia="Arial" w:hAnsi="Arial"/>
                <w:sz w:val="16"/>
                <w:szCs w:val="16"/>
                <w:color w:val="auto"/>
              </w:rPr>
              <w:t>Inline XBRL Taxonomy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CE2EF"/>
          </w:tcPr>
          <w:p>
            <w:pPr>
              <w:spacing w:after="0"/>
              <w:rPr>
                <w:sz w:val="20"/>
                <w:szCs w:val="20"/>
                <w:color w:val="auto"/>
              </w:rPr>
            </w:pPr>
            <w:r>
              <w:rPr>
                <w:rFonts w:ascii="Arial" w:cs="Arial" w:eastAsia="Arial" w:hAnsi="Arial"/>
                <w:sz w:val="16"/>
                <w:szCs w:val="16"/>
                <w:color w:val="auto"/>
              </w:rPr>
              <w:t>101.DEF†</w:t>
            </w:r>
          </w:p>
        </w:tc>
        <w:tc>
          <w:tcPr>
            <w:tcW w:w="9860" w:type="dxa"/>
            <w:vAlign w:val="bottom"/>
            <w:gridSpan w:val="10"/>
            <w:shd w:val="clear" w:color="auto" w:fill="DCE2EF"/>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101.LAB†</w:t>
            </w:r>
          </w:p>
        </w:tc>
        <w:tc>
          <w:tcPr>
            <w:tcW w:w="9860" w:type="dxa"/>
            <w:vAlign w:val="bottom"/>
            <w:gridSpan w:val="10"/>
          </w:tcPr>
          <w:p>
            <w:pPr>
              <w:spacing w:after="0"/>
              <w:rPr>
                <w:sz w:val="20"/>
                <w:szCs w:val="20"/>
                <w:color w:val="auto"/>
              </w:rPr>
            </w:pPr>
            <w:r>
              <w:rPr>
                <w:rFonts w:ascii="Arial" w:cs="Arial" w:eastAsia="Arial" w:hAnsi="Arial"/>
                <w:sz w:val="16"/>
                <w:szCs w:val="16"/>
                <w:color w:val="auto"/>
              </w:rPr>
              <w:t>Inline XBRL Taxonomy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DCE2EF"/>
          </w:tcPr>
          <w:p>
            <w:pPr>
              <w:spacing w:after="0"/>
              <w:rPr>
                <w:sz w:val="20"/>
                <w:szCs w:val="20"/>
                <w:color w:val="auto"/>
              </w:rPr>
            </w:pPr>
            <w:r>
              <w:rPr>
                <w:rFonts w:ascii="Arial" w:cs="Arial" w:eastAsia="Arial" w:hAnsi="Arial"/>
                <w:sz w:val="16"/>
                <w:szCs w:val="16"/>
                <w:color w:val="auto"/>
              </w:rPr>
              <w:t>101.PRE†</w:t>
            </w:r>
          </w:p>
        </w:tc>
        <w:tc>
          <w:tcPr>
            <w:tcW w:w="9860" w:type="dxa"/>
            <w:vAlign w:val="bottom"/>
            <w:gridSpan w:val="10"/>
            <w:shd w:val="clear" w:color="auto" w:fill="DCE2EF"/>
          </w:tcPr>
          <w:p>
            <w:pPr>
              <w:spacing w:after="0"/>
              <w:rPr>
                <w:sz w:val="20"/>
                <w:szCs w:val="20"/>
                <w:color w:val="auto"/>
              </w:rPr>
            </w:pPr>
            <w:r>
              <w:rPr>
                <w:rFonts w:ascii="Arial" w:cs="Arial" w:eastAsia="Arial" w:hAnsi="Arial"/>
                <w:sz w:val="16"/>
                <w:szCs w:val="16"/>
                <w:color w:val="auto"/>
              </w:rPr>
              <w:t>Inline XBRL Presentation Linkbase Document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104†</w:t>
            </w:r>
          </w:p>
        </w:tc>
        <w:tc>
          <w:tcPr>
            <w:tcW w:w="9860" w:type="dxa"/>
            <w:vAlign w:val="bottom"/>
            <w:gridSpan w:val="10"/>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720" w:hanging="641"/>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arrangement.</w:t>
      </w:r>
    </w:p>
    <w:p>
      <w:pPr>
        <w:spacing w:after="0" w:line="44"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color w:val="auto"/>
        </w:rPr>
        <w:t>†Indicates filed herewith.</w:t>
      </w:r>
    </w:p>
    <w:p>
      <w:pPr>
        <w:spacing w:after="0" w:line="84"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ABM Industries Incorporated</w:t>
      </w: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6"/>
          <w:szCs w:val="16"/>
          <w:u w:val="single" w:color="auto"/>
          <w:color w:val="auto"/>
        </w:rPr>
        <w:t>March 12, 2025</w:t>
      </w:r>
      <w:r>
        <w:rPr>
          <w:sz w:val="20"/>
          <w:szCs w:val="20"/>
          <w:color w:val="auto"/>
        </w:rPr>
        <w:tab/>
      </w:r>
      <w:r>
        <w:rPr>
          <w:rFonts w:ascii="Arial" w:cs="Arial" w:eastAsia="Arial" w:hAnsi="Arial"/>
          <w:sz w:val="16"/>
          <w:szCs w:val="16"/>
          <w:u w:val="single" w:color="auto"/>
          <w:color w:val="auto"/>
        </w:rPr>
        <w:t>/s/ Earl R. Ellis</w:t>
      </w:r>
    </w:p>
    <w:p>
      <w:pPr>
        <w:spacing w:after="0" w:line="24"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Earl R. Ellis</w:t>
      </w:r>
    </w:p>
    <w:p>
      <w:pPr>
        <w:ind w:left="6440"/>
        <w:spacing w:after="0" w:line="210" w:lineRule="auto"/>
        <w:rPr>
          <w:sz w:val="20"/>
          <w:szCs w:val="20"/>
          <w:color w:val="auto"/>
        </w:rPr>
      </w:pPr>
      <w:r>
        <w:rPr>
          <w:rFonts w:ascii="Arial" w:cs="Arial" w:eastAsia="Arial" w:hAnsi="Arial"/>
          <w:sz w:val="16"/>
          <w:szCs w:val="16"/>
          <w:color w:val="auto"/>
        </w:rPr>
        <w:t>Executive Vice President and Chief Financial Officer</w:t>
      </w:r>
    </w:p>
    <w:p>
      <w:pPr>
        <w:ind w:left="644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6"/>
          <w:szCs w:val="16"/>
          <w:u w:val="single" w:color="auto"/>
          <w:color w:val="auto"/>
        </w:rPr>
        <w:t>March 12, 2025</w:t>
      </w:r>
      <w:r>
        <w:rPr>
          <w:sz w:val="20"/>
          <w:szCs w:val="20"/>
          <w:color w:val="auto"/>
        </w:rPr>
        <w:tab/>
      </w:r>
      <w:r>
        <w:rPr>
          <w:rFonts w:ascii="Arial" w:cs="Arial" w:eastAsia="Arial" w:hAnsi="Arial"/>
          <w:sz w:val="16"/>
          <w:szCs w:val="16"/>
          <w:u w:val="single" w:color="auto"/>
          <w:color w:val="auto"/>
        </w:rPr>
        <w:t>/s/ Dean A. Chin</w:t>
      </w:r>
    </w:p>
    <w:p>
      <w:pPr>
        <w:spacing w:after="0" w:line="24"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Dean A. Chin</w:t>
      </w:r>
    </w:p>
    <w:p>
      <w:pPr>
        <w:ind w:left="6440"/>
        <w:spacing w:after="0" w:line="210" w:lineRule="auto"/>
        <w:rPr>
          <w:sz w:val="20"/>
          <w:szCs w:val="20"/>
          <w:color w:val="auto"/>
        </w:rPr>
      </w:pPr>
      <w:r>
        <w:rPr>
          <w:rFonts w:ascii="Arial" w:cs="Arial" w:eastAsia="Arial" w:hAnsi="Arial"/>
          <w:sz w:val="16"/>
          <w:szCs w:val="16"/>
          <w:color w:val="auto"/>
        </w:rPr>
        <w:t>Senior Vice President, Chief Accounting Officer, Corporate</w:t>
      </w:r>
    </w:p>
    <w:p>
      <w:pPr>
        <w:ind w:left="6440"/>
        <w:spacing w:after="0" w:line="210" w:lineRule="auto"/>
        <w:rPr>
          <w:sz w:val="20"/>
          <w:szCs w:val="20"/>
          <w:color w:val="auto"/>
        </w:rPr>
      </w:pPr>
      <w:r>
        <w:rPr>
          <w:rFonts w:ascii="Arial" w:cs="Arial" w:eastAsia="Arial" w:hAnsi="Arial"/>
          <w:sz w:val="16"/>
          <w:szCs w:val="16"/>
          <w:color w:val="auto"/>
        </w:rPr>
        <w:t>Controller and Treasurer</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49"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EXECUTIVE EMPLOYMENT AGREEMENT</w:t>
      </w:r>
    </w:p>
    <w:p>
      <w:pPr>
        <w:spacing w:after="0" w:line="229"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21"/>
          <w:szCs w:val="21"/>
          <w:b w:val="1"/>
          <w:bCs w:val="1"/>
          <w:color w:val="auto"/>
        </w:rPr>
        <w:t xml:space="preserve">THIS EXECUTIVE EMPLOYMENT AGREEMENT </w:t>
      </w:r>
      <w:r>
        <w:rPr>
          <w:rFonts w:ascii="Times New Roman" w:cs="Times New Roman" w:eastAsia="Times New Roman" w:hAnsi="Times New Roman"/>
          <w:sz w:val="21"/>
          <w:szCs w:val="21"/>
          <w:color w:val="auto"/>
        </w:rPr>
        <w:t>(“Agreement”) is effective September 1, 2021 “Effective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Raul Valentin (“Executive”) and ABM Industries Incorporated, a Delaware corporation (“Company” or “ABM”).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consideration of the terms and commitments contained in this Agreement, the parties agree to and acknowledge the following:</w:t>
      </w:r>
    </w:p>
    <w:p>
      <w:pPr>
        <w:spacing w:after="0" w:line="225" w:lineRule="exact"/>
        <w:rPr>
          <w:sz w:val="20"/>
          <w:szCs w:val="20"/>
          <w:color w:val="auto"/>
        </w:rPr>
      </w:pPr>
    </w:p>
    <w:p>
      <w:pPr>
        <w:ind w:left="660" w:hanging="653"/>
        <w:spacing w:after="0" w:line="255" w:lineRule="auto"/>
        <w:tabs>
          <w:tab w:leader="none" w:pos="660"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EMPLOYMENT. </w:t>
      </w:r>
      <w:r>
        <w:rPr>
          <w:rFonts w:ascii="Times New Roman" w:cs="Times New Roman" w:eastAsia="Times New Roman" w:hAnsi="Times New Roman"/>
          <w:sz w:val="21"/>
          <w:szCs w:val="21"/>
          <w:color w:val="auto"/>
        </w:rPr>
        <w:t>The Company agrees to employ Executive, and Executive hereby accepts such employment,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 set forth in this Agreement.</w:t>
      </w:r>
    </w:p>
    <w:p>
      <w:pPr>
        <w:spacing w:after="0" w:line="131" w:lineRule="exact"/>
        <w:rPr>
          <w:rFonts w:ascii="Times New Roman" w:cs="Times New Roman" w:eastAsia="Times New Roman" w:hAnsi="Times New Roman"/>
          <w:sz w:val="21"/>
          <w:szCs w:val="21"/>
          <w:b w:val="1"/>
          <w:bCs w:val="1"/>
          <w:color w:val="auto"/>
        </w:rPr>
      </w:pPr>
    </w:p>
    <w:p>
      <w:pPr>
        <w:jc w:val="both"/>
        <w:ind w:left="660" w:hanging="653"/>
        <w:spacing w:after="0" w:line="227" w:lineRule="auto"/>
        <w:tabs>
          <w:tab w:leader="none" w:pos="660"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DUTIES, RESPONSIBILITIES AND TITLE. </w:t>
      </w:r>
      <w:r>
        <w:rPr>
          <w:rFonts w:ascii="Times New Roman" w:cs="Times New Roman" w:eastAsia="Times New Roman" w:hAnsi="Times New Roman"/>
          <w:sz w:val="21"/>
          <w:szCs w:val="21"/>
          <w:color w:val="auto"/>
        </w:rPr>
        <w:t>Executive’s title shall be Executive Vice President and Chief Human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Resources Officer and such other titles as may be assigned from time to time by the Company. Executive shall have and perform such duties, functions and responsibilities relating to Executive's employment with Company as may be assigned from time to time by the Company, consistent with such position. Executive shall report directly to the Chief Executive Officer of the Company and shall provide the services hereunder at the Company’s office located in New York City.</w:t>
      </w:r>
    </w:p>
    <w:p>
      <w:pPr>
        <w:spacing w:after="0" w:line="147" w:lineRule="exact"/>
        <w:rPr>
          <w:rFonts w:ascii="Times New Roman" w:cs="Times New Roman" w:eastAsia="Times New Roman" w:hAnsi="Times New Roman"/>
          <w:sz w:val="21"/>
          <w:szCs w:val="21"/>
          <w:b w:val="1"/>
          <w:bCs w:val="1"/>
          <w:color w:val="auto"/>
        </w:rPr>
      </w:pPr>
    </w:p>
    <w:p>
      <w:pPr>
        <w:ind w:left="660" w:hanging="653"/>
        <w:spacing w:after="0" w:line="255" w:lineRule="auto"/>
        <w:tabs>
          <w:tab w:leader="none" w:pos="660"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COMPENSATION. </w:t>
      </w:r>
      <w:r>
        <w:rPr>
          <w:rFonts w:ascii="Times New Roman" w:cs="Times New Roman" w:eastAsia="Times New Roman" w:hAnsi="Times New Roman"/>
          <w:sz w:val="21"/>
          <w:szCs w:val="21"/>
          <w:color w:val="auto"/>
        </w:rPr>
        <w:t>During Executive’s employment hereunder, Company agrees to compensate Executive,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agrees to accept as compensation in full, as follows:</w:t>
      </w:r>
    </w:p>
    <w:p>
      <w:pPr>
        <w:spacing w:after="0" w:line="135" w:lineRule="exact"/>
        <w:rPr>
          <w:rFonts w:ascii="Times New Roman" w:cs="Times New Roman" w:eastAsia="Times New Roman" w:hAnsi="Times New Roman"/>
          <w:sz w:val="21"/>
          <w:szCs w:val="21"/>
          <w:b w:val="1"/>
          <w:bCs w:val="1"/>
          <w:color w:val="auto"/>
        </w:rPr>
      </w:pPr>
    </w:p>
    <w:p>
      <w:pPr>
        <w:ind w:left="1300" w:hanging="645"/>
        <w:spacing w:after="0" w:line="22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3.1 BASE SALARY. The Company shall pay to Executive an annual base salary (the “Base Salary”) in an amount to be determined by the Board of Directors or its applicable committee (as applicable, the “Committee”) in its sole discretion. The Base Salary shall be subject to applicable state and federal withholdings and shall be paid according to the Company’s standard payroll practices.</w:t>
      </w:r>
    </w:p>
    <w:p>
      <w:pPr>
        <w:spacing w:after="0" w:line="153" w:lineRule="exact"/>
        <w:rPr>
          <w:rFonts w:ascii="Times New Roman" w:cs="Times New Roman" w:eastAsia="Times New Roman" w:hAnsi="Times New Roman"/>
          <w:sz w:val="21"/>
          <w:szCs w:val="21"/>
          <w:b w:val="1"/>
          <w:bCs w:val="1"/>
          <w:color w:val="auto"/>
        </w:rPr>
      </w:pPr>
    </w:p>
    <w:p>
      <w:pPr>
        <w:ind w:left="1300" w:hanging="645"/>
        <w:spacing w:after="0" w:line="22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3.2 BONUS. Executive will be eligible for annual incentive awards pursuant to the terms of the Cash Incentive Program or any applicable successor program (“Cash Bonus”), in an amount to be determined by the Board of Directors or the Committee in its sole discretion. The target amount for Executive’s Cash Bonus shall initially be sixty percent (60%) of Base Salary (“Target Cash Bonus”). Executive’s actual Cash Bonus may range from 0% to an amount greater than Target Cash Bonus. The Cash Bonus, if any, earned for a fiscal year will be paid no later than the March 15 following the completion of the performance year.</w:t>
      </w:r>
    </w:p>
    <w:p>
      <w:pPr>
        <w:spacing w:after="0" w:line="152" w:lineRule="exact"/>
        <w:rPr>
          <w:rFonts w:ascii="Times New Roman" w:cs="Times New Roman" w:eastAsia="Times New Roman" w:hAnsi="Times New Roman"/>
          <w:sz w:val="21"/>
          <w:szCs w:val="21"/>
          <w:b w:val="1"/>
          <w:bCs w:val="1"/>
          <w:color w:val="auto"/>
        </w:rPr>
      </w:pPr>
    </w:p>
    <w:p>
      <w:pPr>
        <w:ind w:left="1300" w:hanging="645"/>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3.3 EQUITY. Executive will be eligible to receive annual awards under the 2021 Equity and Incentive Compensation Plan, as amended and restated, or any applicable successor plan (“Equity Plan”), subject to the terms and conditions of the applicable plan and as determined by the Committee in its discretion.</w:t>
      </w:r>
    </w:p>
    <w:p>
      <w:pPr>
        <w:spacing w:after="0" w:line="150" w:lineRule="exact"/>
        <w:rPr>
          <w:rFonts w:ascii="Times New Roman" w:cs="Times New Roman" w:eastAsia="Times New Roman" w:hAnsi="Times New Roman"/>
          <w:sz w:val="21"/>
          <w:szCs w:val="21"/>
          <w:b w:val="1"/>
          <w:bCs w:val="1"/>
          <w:color w:val="auto"/>
        </w:rPr>
      </w:pPr>
    </w:p>
    <w:p>
      <w:pPr>
        <w:ind w:left="1300" w:hanging="645"/>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3.4 REIMBURSEMENTS. The Company shall reimburse Executive for all reasonable and necessary out-of-pocket expenses incurred by Executive in connection with the performance of Executive’s duties hereunder, in accordance with the Company’s expense reimbursement policies and procedures.</w:t>
      </w:r>
    </w:p>
    <w:p>
      <w:pPr>
        <w:spacing w:after="0" w:line="150" w:lineRule="exact"/>
        <w:rPr>
          <w:rFonts w:ascii="Times New Roman" w:cs="Times New Roman" w:eastAsia="Times New Roman" w:hAnsi="Times New Roman"/>
          <w:sz w:val="21"/>
          <w:szCs w:val="21"/>
          <w:b w:val="1"/>
          <w:bCs w:val="1"/>
          <w:color w:val="auto"/>
        </w:rPr>
      </w:pPr>
    </w:p>
    <w:p>
      <w:pPr>
        <w:ind w:left="1300" w:hanging="645"/>
        <w:spacing w:after="0" w:line="25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3.5 BENEFITS. Executive will be eligible to participate in the Company’s health, welfare and retirement benefit plans generally available for executive officers from time to time.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60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660" w:hanging="653"/>
        <w:spacing w:after="0" w:line="220" w:lineRule="auto"/>
        <w:tabs>
          <w:tab w:leader="none" w:pos="6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WITH LAWS AND POLICIES; EMPLOYEE PROTECTIONS. Executive shall dedicate Executive’s full business time and attention to the performance of duties hereunder, perform Executive’s duties in good faith and to a professional standard, and fully comply with all laws and regulations pertaining to the performance of Executive’s responsibilities, all ethical rules, ABM’s Code of Business Conduct and Ethics, ABM’s Recoupment Policy as well as any and all of policies, procedures and instructions of ABM, in each case as in effect from time to time; provided, it shall not be a violation of the foregoing for Executive to manage Executive’s personal, financial and legal affairs to the extent that they do not interfere with Executive’s ability to perform Executive’s duties to the Company. Prior to joining or agreeing to serve on corporate, civil or charitable boards or committees, Executive shall obtain approval of the Chief Executive Officer or otherwise as required by ABM’s Corporate Governance Guidelines as in effect from time to time.</w:t>
      </w:r>
    </w:p>
    <w:p>
      <w:pPr>
        <w:spacing w:after="0" w:line="184" w:lineRule="exact"/>
        <w:rPr>
          <w:rFonts w:ascii="Times New Roman" w:cs="Times New Roman" w:eastAsia="Times New Roman" w:hAnsi="Times New Roman"/>
          <w:sz w:val="21"/>
          <w:szCs w:val="21"/>
          <w:color w:val="auto"/>
        </w:rPr>
      </w:pPr>
    </w:p>
    <w:p>
      <w:pPr>
        <w:jc w:val="both"/>
        <w:ind w:left="660" w:hanging="8"/>
        <w:spacing w:after="0" w:line="262" w:lineRule="auto"/>
        <w:tabs>
          <w:tab w:leader="none" w:pos="1305" w:val="left"/>
        </w:tabs>
        <w:numPr>
          <w:ilvl w:val="1"/>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Nothing in this Agreement or otherwise limits Executive’s ability to communicate directly with and provide information, including documents, not otherwise protected from disclosure by any applicable law or privilege to the Securities and Exchange Commission (the “SEC”) or any other federal, state or local governmental agency or commission (“Government Agency”) regarding possible legal violations, without disclosure to the Company. The Company may not retaliate against Executive for any of these activities, and nothing in this Agreement or otherwise requires Executive to waive any monetary award or other payment that Executive might become entitled to from the SEC or any other Government Agency.</w:t>
      </w:r>
    </w:p>
    <w:p>
      <w:pPr>
        <w:spacing w:after="0" w:line="183" w:lineRule="exact"/>
        <w:rPr>
          <w:rFonts w:ascii="Times New Roman" w:cs="Times New Roman" w:eastAsia="Times New Roman" w:hAnsi="Times New Roman"/>
          <w:sz w:val="21"/>
          <w:szCs w:val="21"/>
          <w:b w:val="1"/>
          <w:bCs w:val="1"/>
          <w:color w:val="auto"/>
        </w:rPr>
      </w:pPr>
    </w:p>
    <w:p>
      <w:pPr>
        <w:jc w:val="both"/>
        <w:ind w:left="660" w:hanging="8"/>
        <w:spacing w:after="0" w:line="258" w:lineRule="auto"/>
        <w:tabs>
          <w:tab w:leader="none" w:pos="1305" w:val="left"/>
        </w:tabs>
        <w:numPr>
          <w:ilvl w:val="1"/>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Pursuant to Section 7 of the Defend Trade Secrets Act of 2016 (which added 18 U.S.C. § 1833(b)), the Company and Executive acknowledge and agree that Executive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 Nothing in this Agreement or otherwise is intended to conflict with 18 U.S.C. § 1833(b) or create liability for disclosures of trade secrets that are expressly allowed by such Section.</w:t>
      </w:r>
    </w:p>
    <w:p>
      <w:pPr>
        <w:spacing w:after="0" w:line="164" w:lineRule="exact"/>
        <w:rPr>
          <w:sz w:val="20"/>
          <w:szCs w:val="20"/>
          <w:color w:val="auto"/>
        </w:rPr>
      </w:pPr>
    </w:p>
    <w:p>
      <w:pPr>
        <w:jc w:val="both"/>
        <w:ind w:left="660" w:hanging="653"/>
        <w:spacing w:after="0" w:line="223" w:lineRule="auto"/>
        <w:tabs>
          <w:tab w:leader="none" w:pos="660"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RESTRICTIVE COVENANTS. </w:t>
      </w:r>
      <w:r>
        <w:rPr>
          <w:rFonts w:ascii="Times New Roman" w:cs="Times New Roman" w:eastAsia="Times New Roman" w:hAnsi="Times New Roman"/>
          <w:sz w:val="21"/>
          <w:szCs w:val="21"/>
          <w:color w:val="auto"/>
        </w:rPr>
        <w:t>In consideration of the compensation, contract term, potential Severance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continued employment provided by Company, as well as the access Company will provide Executive to its Confidential Information, as defined below, and current and prospective customers, all as necessary for the performance of Executive’s duties hereunder, Executive hereby agrees to the following during Executive’s employment and thereafter as provided, except that if Executive’s employment is terminated under circumstances qualifying Executive for payments under the Change-in-Control Agreement (as defined below), the applicable restrictive covenants set forth in such Change-in-Control Agreement shall supersede Sections 5.3, 5.4, 5.5 and 5.6 below:</w:t>
      </w:r>
    </w:p>
    <w:p>
      <w:pPr>
        <w:spacing w:after="0" w:line="153" w:lineRule="exact"/>
        <w:rPr>
          <w:rFonts w:ascii="Times New Roman" w:cs="Times New Roman" w:eastAsia="Times New Roman" w:hAnsi="Times New Roman"/>
          <w:sz w:val="21"/>
          <w:szCs w:val="21"/>
          <w:b w:val="1"/>
          <w:bCs w:val="1"/>
          <w:color w:val="auto"/>
        </w:rPr>
      </w:pPr>
    </w:p>
    <w:p>
      <w:pPr>
        <w:ind w:left="1300" w:hanging="645"/>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7.1 CONFIDENTIAL INFORMATION DEFINED. Confidential Information includes but is not limited to: (i) Company and its subsidiary companies’ trade secrets, know-how, ideas, applications, systems, processes and other confidential information which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60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640"/>
        <w:spacing w:after="0" w:line="216" w:lineRule="auto"/>
        <w:rPr>
          <w:sz w:val="20"/>
          <w:szCs w:val="20"/>
          <w:color w:val="auto"/>
        </w:rPr>
      </w:pPr>
      <w:r>
        <w:rPr>
          <w:rFonts w:ascii="Times New Roman" w:cs="Times New Roman" w:eastAsia="Times New Roman" w:hAnsi="Times New Roman"/>
          <w:sz w:val="21"/>
          <w:szCs w:val="21"/>
          <w:color w:val="auto"/>
        </w:rPr>
        <w:t>is not generally known to and/or readily ascertainable through proper means by the general public; (ii) plans for business development, marketing, business plans and strategies, budgets and financial statements of any kind, costs and suppliers, including methods, policies, procedures, practices, devices and other means used by the Company and its subsidiaries in the operation of its business, pricing plans and strategies, as well as information about the Company and affiliated entity pricing structures and fees, unpublished financial information, contract provisions, training materials, profit margins and bid information; (iii) information regarding the skills, abilities, performance and compensation of other employees of the Company or its subsidiaries, or of the employees of any company that contracts to provide services to the Company or its subsidiaries; (iv) information of third parties to which Executive had access by virtue of Executive’s employment, including, but not limited to information on customers, prospective customers, and/or vendors, including current or prospective customers’ names, contact information, organizational structure(s), and their representatives responsible for considering the entry or entering into agreements for those services, and/or products provided by the Company and its subsidiaries; customer leads or referrals; customer preferences, needs, and requirements (including customer likes and dislikes, as well as supply and staffing requirements) and the manner in which they have been met by the Company or its subsidiaries; customer billing procedures, credit limits and payment practices,; and customer information with respect to contract and relationship terms and conditions, pricing, costs, profits, sales, markets, plans for future business and other development; purchasing techniques; supplier lists; (v) information contained in the Company’s LCMS database, JDE , LMS or similar systems; (vi) any and all information related to past, current or future acquisitions between the Company or Company-affiliated entities including information used or relied upon for said acquisition (“Confidential Information”). Notwithstanding the generality of the foregoing, Confidential Information shall not include: (x) information known to Executive prior to Executive’s discussions with the Company regarding Executive’s employment with the Company; (y) contact information contained on Executive’s rolodex (other than for officers, directors, employees, and/or independent contractors of the Company and Company-affiliated entities); or (z) information that is or becomes generally known in the industry or part of the public domain.</w:t>
      </w:r>
    </w:p>
    <w:p>
      <w:pPr>
        <w:spacing w:after="0" w:line="159" w:lineRule="exact"/>
        <w:rPr>
          <w:sz w:val="20"/>
          <w:szCs w:val="20"/>
          <w:color w:val="auto"/>
        </w:rPr>
      </w:pPr>
    </w:p>
    <w:p>
      <w:pPr>
        <w:jc w:val="both"/>
        <w:ind w:left="640" w:hanging="644"/>
        <w:spacing w:after="0" w:line="231" w:lineRule="auto"/>
        <w:tabs>
          <w:tab w:leader="none" w:pos="620"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1"/>
          <w:szCs w:val="21"/>
          <w:color w:val="auto"/>
        </w:rPr>
        <w:t>NON-DISCLOSURE. The Company and Executive acknowledge and agree that the Company has invested significant effort, time and expense to develop its Confidential Information. Except in the proper performance of this Agreement, Executive agrees to hold all Confidential Information in the strictest confidence, and to refrain from making any unauthorized use or disclosure of such information both during Executive’s employment and at all times thereafter. Except in the proper performance of this Agreement, Executive shall not directly or indirectly disclose, reveal, transfer or deliver to any other person or business, any Confidential Information which was obtained directly or indirectly by Executive from, or for, the Company or its subsidiaries or by virtue of Executive’s employment. This Confidential Information has unique value to the Company and its subsidiaries, is not generally known or readily available by proper means to their competitors or the general public, and could only be developed by others after investing significant effort, time, and expense. Executive understands that Company or its subsidiaries would not make such Confidential Information available to Executive unless the Company was assured that all such Confidential Information will be held in trust and confidence in accordance with this Agreement and applicable law. Executive hereby acknowledges and agrees to use this Confidential Information solely for the benefit of the Company and its affiliated entities. In addition, Executive agrees that at all times after the voluntary or involuntary termination of Executive’s employment, Executive shall not attempt to seek, seek, attempt to solicit, solicit, or accept work from of any customer or active customer prospect of Company or any other Company-affiliated entity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980" w:top="60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640" w:right="20"/>
        <w:spacing w:after="0" w:line="251" w:lineRule="auto"/>
        <w:rPr>
          <w:sz w:val="20"/>
          <w:szCs w:val="20"/>
          <w:color w:val="auto"/>
        </w:rPr>
      </w:pPr>
      <w:r>
        <w:rPr>
          <w:rFonts w:ascii="Times New Roman" w:cs="Times New Roman" w:eastAsia="Times New Roman" w:hAnsi="Times New Roman"/>
          <w:sz w:val="21"/>
          <w:szCs w:val="21"/>
          <w:color w:val="auto"/>
        </w:rPr>
        <w:t>through the direct or indirect use of any Confidential Information or by any other unfair or unlawful business practice.</w:t>
      </w:r>
    </w:p>
    <w:p>
      <w:pPr>
        <w:spacing w:after="0" w:line="140" w:lineRule="exact"/>
        <w:rPr>
          <w:sz w:val="20"/>
          <w:szCs w:val="20"/>
          <w:color w:val="auto"/>
        </w:rPr>
      </w:pPr>
    </w:p>
    <w:p>
      <w:pPr>
        <w:jc w:val="both"/>
        <w:ind w:left="640" w:hanging="644"/>
        <w:spacing w:after="0" w:line="216" w:lineRule="auto"/>
        <w:tabs>
          <w:tab w:leader="none" w:pos="620" w:val="left"/>
        </w:tabs>
        <w:rPr>
          <w:sz w:val="20"/>
          <w:szCs w:val="20"/>
          <w:color w:val="auto"/>
        </w:rPr>
      </w:pPr>
      <w:r>
        <w:rPr>
          <w:rFonts w:ascii="Times New Roman" w:cs="Times New Roman" w:eastAsia="Times New Roman" w:hAnsi="Times New Roman"/>
          <w:sz w:val="21"/>
          <w:szCs w:val="21"/>
          <w:color w:val="auto"/>
        </w:rPr>
        <w:t>7.3</w:t>
      </w:r>
      <w:r>
        <w:rPr>
          <w:sz w:val="20"/>
          <w:szCs w:val="20"/>
          <w:color w:val="auto"/>
        </w:rPr>
        <w:tab/>
      </w:r>
      <w:r>
        <w:rPr>
          <w:rFonts w:ascii="Times New Roman" w:cs="Times New Roman" w:eastAsia="Times New Roman" w:hAnsi="Times New Roman"/>
          <w:sz w:val="21"/>
          <w:szCs w:val="21"/>
          <w:color w:val="auto"/>
        </w:rPr>
        <w:t>NON-SOLICITATION OF EMPLOYEES. Executive acknowledges and agrees that the Company has developed its work force as the result of its investment of substantial time, effort, and expense. During the course and solely as a result of Executive’s employment with the Company, Executive will come into contact with officers, directors, employees, and/or independent contractors of the Company and Company-affiliated entities, develop relationships with and acquire information regarding their knowledge, skills, abilities, salaries, commissions, benefits, and/or other matters that are not generally known to the public. Executive further acknowledges and agrees that hiring, recruiting, soliciting, or inducing the termination of such individuals will cause increased expenses and a loss of business. Accordingly, Executive agrees that while employed by the Company and for a period of twelve (12) months following the termination of Executive’s employment (whether termination is voluntary or involuntary), Executive will not directly or indirectly solicit, hire, recruit or otherwise encourage, assist in or arrange for any officer, director, employee, and/or independent contractor to terminate his/her business relationship with the Company or any other Company-affiliated entity except in the proper performance of this Agreement. This prohibition against solicitation shall include but not be limited to: (i) identifying to other companies or their agents, recruiting or staffing firms, or other third parties the Company officers, directors, employees, or independent contractors who have specialized knowledge concerning the Company’s business, operations, processes, methods, or other confidential affairs or who have contacts, experience, or relationships with particular customers; (ii) disclosing or commenting to other companies or their agents, recruiting or staffing firms, or other third parties regarding the quality or quantity of work, specialized knowledge, or personal characteristics of any person still engaged by Company or any other Company-affiliated entity; and (iii) providing such information to prospective companies or their agents, recruiting or staffing firms, or other third parties preceding possible engagement; provided, nothing in this Section 5.3 shall prevent Executive from serving as a reference in response to a bona fide inquiry regarding an employee or former employee of the Company.</w:t>
      </w:r>
    </w:p>
    <w:p>
      <w:pPr>
        <w:spacing w:after="0" w:line="163" w:lineRule="exact"/>
        <w:rPr>
          <w:sz w:val="20"/>
          <w:szCs w:val="20"/>
          <w:color w:val="auto"/>
        </w:rPr>
      </w:pPr>
    </w:p>
    <w:p>
      <w:pPr>
        <w:jc w:val="both"/>
        <w:ind w:left="640" w:hanging="644"/>
        <w:spacing w:after="0" w:line="217" w:lineRule="auto"/>
        <w:tabs>
          <w:tab w:leader="none" w:pos="620" w:val="left"/>
        </w:tabs>
        <w:rPr>
          <w:sz w:val="20"/>
          <w:szCs w:val="20"/>
          <w:color w:val="auto"/>
        </w:rPr>
      </w:pPr>
      <w:r>
        <w:rPr>
          <w:rFonts w:ascii="Times New Roman" w:cs="Times New Roman" w:eastAsia="Times New Roman" w:hAnsi="Times New Roman"/>
          <w:sz w:val="21"/>
          <w:szCs w:val="21"/>
          <w:color w:val="auto"/>
        </w:rPr>
        <w:t>7.4</w:t>
      </w:r>
      <w:r>
        <w:rPr>
          <w:sz w:val="20"/>
          <w:szCs w:val="20"/>
          <w:color w:val="auto"/>
        </w:rPr>
        <w:tab/>
      </w:r>
      <w:r>
        <w:rPr>
          <w:rFonts w:ascii="Times New Roman" w:cs="Times New Roman" w:eastAsia="Times New Roman" w:hAnsi="Times New Roman"/>
          <w:sz w:val="21"/>
          <w:szCs w:val="21"/>
          <w:color w:val="auto"/>
        </w:rPr>
        <w:t>NON-SOLICITATION OF CUSTOMERS. Executive acknowledges and agrees that the Company and its subsidiaries have identified, solicited, and developed their customers and developed customer relationships as the result of their investment of significant time, effort, and expense and that the Company has a legitimate business interest in protecting these relationships. Executive further acknowledges that Executive would not have been privy to these relationships were it not for Executive’s employment by the Company. Executive further acknowledges and agrees that the loss of such customers and clients would damage the Company and potentially cause the Company great and irreparable harm. Consequently, Executive covenants and agrees that during and for twelve</w:t>
      </w:r>
    </w:p>
    <w:p>
      <w:pPr>
        <w:spacing w:after="0" w:line="1" w:lineRule="exact"/>
        <w:rPr>
          <w:sz w:val="20"/>
          <w:szCs w:val="20"/>
          <w:color w:val="auto"/>
        </w:rPr>
      </w:pPr>
    </w:p>
    <w:p>
      <w:pPr>
        <w:jc w:val="both"/>
        <w:ind w:left="640" w:hanging="3"/>
        <w:spacing w:after="0"/>
        <w:tabs>
          <w:tab w:leader="none" w:pos="1057"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following the termination of Executive’s employment with the Company (whether such termination is voluntary or involuntary), Executive shall not, directly or indirectly, for the benefit of any person or entity other than the Company, attempt to seek, seek, attempt to solicit, solicit, or accept work from any customer, client or active customer prospect: (i) with whom Executive developed a relationship while employed by Company or otherwise obtained Confidential Information about for the purpose of diverting business from Company or an affiliated entity; and (ii) that is located in a state or foreign country in which: (a) the Executive performed work, services, or engaged in business activity on behalf of the Company within the twelve (12) month period preceding the effective date of Executive’s termination of employment; and/or (b) where the Company has business operations and Executive was provided Confidential Information regarding the Company’s business activities in those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980" w:top="601" w:right="339" w:bottom="1440" w:gutter="0" w:footer="0" w:header="0"/>
        </w:sectPr>
      </w:pPr>
    </w:p>
    <w:bookmarkStart w:id="44" w:name="page45"/>
    <w:bookmarkEnd w:id="44"/>
    <w:p>
      <w:pPr>
        <w:ind w:left="920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line="251" w:lineRule="auto"/>
        <w:rPr>
          <w:sz w:val="20"/>
          <w:szCs w:val="20"/>
          <w:color w:val="auto"/>
        </w:rPr>
      </w:pPr>
      <w:r>
        <w:rPr>
          <w:rFonts w:ascii="Times New Roman" w:cs="Times New Roman" w:eastAsia="Times New Roman" w:hAnsi="Times New Roman"/>
          <w:sz w:val="21"/>
          <w:szCs w:val="21"/>
          <w:color w:val="auto"/>
        </w:rPr>
        <w:t>territories within the twelve (12) month period preceding the effective date of Executive’s termination of employment.</w:t>
      </w:r>
    </w:p>
    <w:p>
      <w:pPr>
        <w:spacing w:after="0" w:line="140" w:lineRule="exact"/>
        <w:rPr>
          <w:sz w:val="20"/>
          <w:szCs w:val="20"/>
          <w:color w:val="auto"/>
        </w:rPr>
      </w:pPr>
    </w:p>
    <w:p>
      <w:pPr>
        <w:jc w:val="both"/>
        <w:ind w:left="180" w:hanging="644"/>
        <w:spacing w:after="0" w:line="217" w:lineRule="auto"/>
        <w:tabs>
          <w:tab w:leader="none" w:pos="160" w:val="left"/>
        </w:tabs>
        <w:rPr>
          <w:sz w:val="20"/>
          <w:szCs w:val="20"/>
          <w:color w:val="auto"/>
        </w:rPr>
      </w:pPr>
      <w:r>
        <w:rPr>
          <w:rFonts w:ascii="Times New Roman" w:cs="Times New Roman" w:eastAsia="Times New Roman" w:hAnsi="Times New Roman"/>
          <w:sz w:val="21"/>
          <w:szCs w:val="21"/>
          <w:color w:val="auto"/>
        </w:rPr>
        <w:t>7.5</w:t>
      </w:r>
      <w:r>
        <w:rPr>
          <w:sz w:val="20"/>
          <w:szCs w:val="20"/>
          <w:color w:val="auto"/>
        </w:rPr>
        <w:tab/>
      </w:r>
      <w:r>
        <w:rPr>
          <w:rFonts w:ascii="Times New Roman" w:cs="Times New Roman" w:eastAsia="Times New Roman" w:hAnsi="Times New Roman"/>
          <w:sz w:val="21"/>
          <w:szCs w:val="21"/>
          <w:color w:val="auto"/>
        </w:rPr>
        <w:t>POST EMPLOYMENT COMPETITION. Executive agrees that, while employed by the Company and for a period of twelve (12) months following Executive’s termination of employment (whether such termination is voluntary or involuntary), Executive shall not work, perform services for, or engage in any business, enterprise, or operation that engages in a Competing Business (as defined below) in a Restricted Territory (as defined below). For purposes of this Agreement, “Competing Business” means the provision of any goods, products, or services that are the same or substantially similar to those provided by the Company, or any Company-affiliated entity of which Executive had Confidential Information, in the twelve (12) month period preceding the effective date of Executive’s termination of employment. Executive acknowledges that the Company and its subsidiaries are engaged in business in various states throughout the U.S. and various international locations. Accordingly, and in view of the nature of Executive’s nationwide position and responsibilities, “Restricted Territory” as used herein means each state and each foreign country: (i) in which Executive performed work, services, or engaged in business activity on behalf of the Company within the twelve (12) month period preceding the effective date of Executive’s termination of employment; and/or (ii) where the Company has business operations and Executive was provided Confidential Information regarding the Company’s business activities in those territories within the twelve (12) month period preceding the effective date of Executive’s termination of employment. The restrictions in Section 5.5 shall only apply if, within the twelve (12) month period prior to the effective date of Executive’s termination, Executive was employed by the Company to perform sales, marketing, and/or operational activities, or was directly involved in corporate development and strategy (i.e., mergers, acquisitions, divestitures and/or other corporate strategic initiatives) for the Company or its subsidiaries/affiliates.</w:t>
      </w:r>
    </w:p>
    <w:p>
      <w:pPr>
        <w:spacing w:after="0" w:line="151" w:lineRule="exact"/>
        <w:rPr>
          <w:sz w:val="20"/>
          <w:szCs w:val="20"/>
          <w:color w:val="auto"/>
        </w:rPr>
      </w:pPr>
    </w:p>
    <w:p>
      <w:pPr>
        <w:jc w:val="both"/>
        <w:ind w:left="180" w:hanging="644"/>
        <w:spacing w:after="0" w:line="226" w:lineRule="auto"/>
        <w:tabs>
          <w:tab w:leader="none" w:pos="160" w:val="left"/>
        </w:tabs>
        <w:rPr>
          <w:sz w:val="20"/>
          <w:szCs w:val="20"/>
          <w:color w:val="auto"/>
        </w:rPr>
      </w:pPr>
      <w:r>
        <w:rPr>
          <w:rFonts w:ascii="Times New Roman" w:cs="Times New Roman" w:eastAsia="Times New Roman" w:hAnsi="Times New Roman"/>
          <w:sz w:val="21"/>
          <w:szCs w:val="21"/>
          <w:color w:val="auto"/>
        </w:rPr>
        <w:t>7.6</w:t>
      </w:r>
      <w:r>
        <w:rPr>
          <w:sz w:val="20"/>
          <w:szCs w:val="20"/>
          <w:color w:val="auto"/>
        </w:rPr>
        <w:tab/>
      </w:r>
      <w:r>
        <w:rPr>
          <w:rFonts w:ascii="Times New Roman" w:cs="Times New Roman" w:eastAsia="Times New Roman" w:hAnsi="Times New Roman"/>
          <w:sz w:val="21"/>
          <w:szCs w:val="21"/>
          <w:color w:val="auto"/>
        </w:rPr>
        <w:t>NON-DISPARAGEMENT. Following the termination of Executive’s employment for any reason, Executive agrees not to make any statement or take any action which disparages, defames, or places in a negative light the Company, Company-affiliated entities, or its or their reputation, goodwill, commercial interests or past and present officers, directors, employees, consultants, and/or agents, and the Company shall instruct its directors and executive officers to not make any statement or take any action which disparages, defames, or places in a negative light Executive.</w:t>
      </w:r>
    </w:p>
    <w:p>
      <w:pPr>
        <w:spacing w:after="0" w:line="153" w:lineRule="exact"/>
        <w:rPr>
          <w:sz w:val="20"/>
          <w:szCs w:val="20"/>
          <w:color w:val="auto"/>
        </w:rPr>
      </w:pPr>
    </w:p>
    <w:p>
      <w:pPr>
        <w:jc w:val="both"/>
        <w:ind w:left="180" w:hanging="644"/>
        <w:spacing w:after="0" w:line="251" w:lineRule="auto"/>
        <w:tabs>
          <w:tab w:leader="none" w:pos="160" w:val="left"/>
        </w:tabs>
        <w:rPr>
          <w:sz w:val="20"/>
          <w:szCs w:val="20"/>
          <w:color w:val="auto"/>
        </w:rPr>
      </w:pPr>
      <w:r>
        <w:rPr>
          <w:rFonts w:ascii="Times New Roman" w:cs="Times New Roman" w:eastAsia="Times New Roman" w:hAnsi="Times New Roman"/>
          <w:sz w:val="21"/>
          <w:szCs w:val="21"/>
          <w:color w:val="auto"/>
        </w:rPr>
        <w:t>7.7</w:t>
      </w:r>
      <w:r>
        <w:rPr>
          <w:sz w:val="20"/>
          <w:szCs w:val="20"/>
          <w:color w:val="auto"/>
        </w:rPr>
        <w:tab/>
      </w:r>
      <w:r>
        <w:rPr>
          <w:rFonts w:ascii="Times New Roman" w:cs="Times New Roman" w:eastAsia="Times New Roman" w:hAnsi="Times New Roman"/>
          <w:sz w:val="21"/>
          <w:szCs w:val="21"/>
          <w:color w:val="auto"/>
        </w:rPr>
        <w:t>CREATIONS. The terms and conditions set forth in Appendix A attached hereto are hereby incorporated by reference as though fully set forth herein.</w:t>
      </w:r>
    </w:p>
    <w:p>
      <w:pPr>
        <w:spacing w:after="0" w:line="136" w:lineRule="exact"/>
        <w:rPr>
          <w:sz w:val="20"/>
          <w:szCs w:val="20"/>
          <w:color w:val="auto"/>
        </w:rPr>
      </w:pPr>
    </w:p>
    <w:p>
      <w:pPr>
        <w:jc w:val="both"/>
        <w:ind w:left="180" w:hanging="644"/>
        <w:spacing w:after="0" w:line="219" w:lineRule="auto"/>
        <w:tabs>
          <w:tab w:leader="none" w:pos="160" w:val="left"/>
        </w:tabs>
        <w:rPr>
          <w:sz w:val="20"/>
          <w:szCs w:val="20"/>
          <w:color w:val="auto"/>
        </w:rPr>
      </w:pPr>
      <w:r>
        <w:rPr>
          <w:rFonts w:ascii="Times New Roman" w:cs="Times New Roman" w:eastAsia="Times New Roman" w:hAnsi="Times New Roman"/>
          <w:sz w:val="21"/>
          <w:szCs w:val="21"/>
          <w:color w:val="auto"/>
        </w:rPr>
        <w:t>7.8</w:t>
      </w:r>
      <w:r>
        <w:rPr>
          <w:sz w:val="20"/>
          <w:szCs w:val="20"/>
          <w:color w:val="auto"/>
        </w:rPr>
        <w:tab/>
      </w:r>
      <w:r>
        <w:rPr>
          <w:rFonts w:ascii="Times New Roman" w:cs="Times New Roman" w:eastAsia="Times New Roman" w:hAnsi="Times New Roman"/>
          <w:sz w:val="21"/>
          <w:szCs w:val="21"/>
          <w:color w:val="auto"/>
        </w:rPr>
        <w:t>CONFIDENTIAL INFORMATION OF OTHERS; NO CONFLICTS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Executive will not use, disclose to the Company or induce the Company to use any legally protected confidential, proprietary or trade secret information or material belonging to others which comes into Executive’s knowledge or possession at any time, nor will Executive use any such legally protected information or material in the course of Executive’s employment with the Company. Executive has no other agreements or relationships with or commitments to any other person or entity that conflicts with Executive’s obligations to the Company as an employee of the Company or under this Agreement, and Executive represents that Executive’s employment will not require Executive to violate any legal obligations to any third-party. In the event Executive believes that Executive’s work at the Company would make it difficult for Executive not to disclose to the Company any legally protected confidential, proprietary or trade secret information or materials belonging to others, Executive will immediately inform the Company’s Chief Human Resources Officer. Executive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20"/>
          </w:cols>
          <w:pgMar w:left="1440" w:top="60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1"/>
          <w:szCs w:val="21"/>
          <w:color w:val="auto"/>
        </w:rPr>
        <w:t>has not entered into, and Executive agrees Executive will not enter into, any oral or written agreement in conflict with this Agreement.</w:t>
      </w:r>
    </w:p>
    <w:p>
      <w:pPr>
        <w:spacing w:after="0" w:line="140" w:lineRule="exact"/>
        <w:rPr>
          <w:sz w:val="20"/>
          <w:szCs w:val="20"/>
          <w:color w:val="auto"/>
        </w:rPr>
      </w:pPr>
    </w:p>
    <w:p>
      <w:pPr>
        <w:jc w:val="both"/>
        <w:ind w:left="640" w:hanging="644"/>
        <w:spacing w:after="0" w:line="228" w:lineRule="auto"/>
        <w:tabs>
          <w:tab w:leader="none" w:pos="620" w:val="left"/>
        </w:tabs>
        <w:rPr>
          <w:sz w:val="20"/>
          <w:szCs w:val="20"/>
          <w:color w:val="auto"/>
        </w:rPr>
      </w:pPr>
      <w:r>
        <w:rPr>
          <w:rFonts w:ascii="Times New Roman" w:cs="Times New Roman" w:eastAsia="Times New Roman" w:hAnsi="Times New Roman"/>
          <w:sz w:val="21"/>
          <w:szCs w:val="21"/>
          <w:color w:val="auto"/>
        </w:rPr>
        <w:t>7.9</w:t>
      </w:r>
      <w:r>
        <w:rPr>
          <w:sz w:val="20"/>
          <w:szCs w:val="20"/>
          <w:color w:val="auto"/>
        </w:rPr>
        <w:tab/>
      </w:r>
      <w:r>
        <w:rPr>
          <w:rFonts w:ascii="Times New Roman" w:cs="Times New Roman" w:eastAsia="Times New Roman" w:hAnsi="Times New Roman"/>
          <w:sz w:val="21"/>
          <w:szCs w:val="21"/>
          <w:color w:val="auto"/>
        </w:rPr>
        <w:t>COOPERATION WITH LEGAL MATTERS. During Executive’s employment with Company and thereafter, Executive shall reasonably cooperate with Company and any Company-affiliated entity in its or their investigation, defense or prosecution of any potential, current or future legal matter in any forum, including but not limited to lawsuits, administrative charges, audits, arbitrations, and internal and external investigations. Executive’s cooperation shall include, but is not limited to, reviewing and preparing documents and reports, meeting with attorneys representing any Company-affiliated entity, providing truthful testimony, and communicating Executive’s knowledge of relevant facts to any attorneys, experts, consultants, investigators, employees or other representatives working on behalf of an Company-affiliated entity. Except as required by law, Executive agrees to treat all information regarding any such actual or potential investigation or claim as confidential. Executive also agrees not to discuss or assist in any litigation, potential litigation, claims, or potential claim with any individual (or their attorney or investigator) who is pursuing, or considering pursuing, any claims against the Company or a Company-affiliated entity unless required by law. In performing the tasks outlined in this Section 5.9, Executive shall be bound by the covenants of good faith and veracity set forth in ABM’s Code of Business Conduct and Ethics and by all legal obligations. Nothing herein is intended to prevent Executive from complying in good faith with any subpoena or other affirmative legal obligation. Executive agrees to notify the Company immediately in the event there is a request for information or inquiry pertaining to the Company, any Company-affiliated entity, or Executive’s knowledge of or employment with the Company. In performing responsibilities under this Section following termination of employment for any reason, Executive shall be compensated for Executive’s time at an hourly rate of $250 per hour. However, during any period in which Executive is an employee of the Company, Executive shall not be so compensated.</w:t>
      </w:r>
    </w:p>
    <w:p>
      <w:pPr>
        <w:spacing w:after="0" w:line="156" w:lineRule="exact"/>
        <w:rPr>
          <w:sz w:val="20"/>
          <w:szCs w:val="20"/>
          <w:color w:val="auto"/>
        </w:rPr>
      </w:pPr>
    </w:p>
    <w:p>
      <w:pPr>
        <w:jc w:val="both"/>
        <w:ind w:left="640" w:hanging="644"/>
        <w:spacing w:after="0" w:line="220" w:lineRule="auto"/>
        <w:tabs>
          <w:tab w:leader="none" w:pos="620" w:val="left"/>
        </w:tabs>
        <w:rPr>
          <w:sz w:val="20"/>
          <w:szCs w:val="20"/>
          <w:color w:val="auto"/>
        </w:rPr>
      </w:pPr>
      <w:r>
        <w:rPr>
          <w:rFonts w:ascii="Times New Roman" w:cs="Times New Roman" w:eastAsia="Times New Roman" w:hAnsi="Times New Roman"/>
          <w:sz w:val="21"/>
          <w:szCs w:val="21"/>
          <w:color w:val="auto"/>
        </w:rPr>
        <w:t>7.10</w:t>
        <w:tab/>
        <w:t>REMEDIES AND DAMAGES. The parties agree that compliance with Sections 5.1 – 5.7 of the Agreement and Appendix A is necessary to protect the business, reputation and goodwill of the Company and, in the case of Section 5.5 of the Agreement, the reputation and goodwill of Executive, that the restrictions contained herein are reasonable, and that any breach of Section 5 may result in irreparable and continuing harm to the Company or to Executive, for which monetary damages will not provide adequate relief. Accordingly, in the event of any actual or threatened breach of any covenant or promise made by either party in Section 5, Company and Executive agree that both parties shall be entitled to all appropriate remedies, including temporary restraining orders and injunctions enjoining or restraining such actual or threatened breach. Each of the Company and Executive hereby consents to the issuance thereof forthwith by any court of competent jurisdiction.</w:t>
      </w:r>
    </w:p>
    <w:p>
      <w:pPr>
        <w:spacing w:after="0" w:line="158" w:lineRule="exact"/>
        <w:rPr>
          <w:sz w:val="20"/>
          <w:szCs w:val="20"/>
          <w:color w:val="auto"/>
        </w:rPr>
      </w:pPr>
    </w:p>
    <w:p>
      <w:pPr>
        <w:jc w:val="both"/>
        <w:ind w:left="620" w:hanging="644"/>
        <w:spacing w:after="0" w:line="226" w:lineRule="auto"/>
        <w:tabs>
          <w:tab w:leader="none" w:pos="600" w:val="left"/>
        </w:tabs>
        <w:rPr>
          <w:sz w:val="20"/>
          <w:szCs w:val="20"/>
          <w:color w:val="auto"/>
        </w:rPr>
      </w:pPr>
      <w:r>
        <w:rPr>
          <w:rFonts w:ascii="Times New Roman" w:cs="Times New Roman" w:eastAsia="Times New Roman" w:hAnsi="Times New Roman"/>
          <w:sz w:val="21"/>
          <w:szCs w:val="21"/>
          <w:color w:val="auto"/>
        </w:rPr>
        <w:t>7.11</w:t>
        <w:tab/>
        <w:t>LIMITATIONS. Nothing in this Agreement shall be binding upon the parties to the extent it is void or unenforceable for any reason in the State of New York, including, without limitation, as a result of any law regulating competition or proscribing unlawful business practices; provided, however, that to the extent that any provision in this Agreement could be modified to render it enforceable under applicable law, it shall be deemed so modified and enforced to the fullest extent allowed by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980" w:top="60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hanging="653"/>
        <w:spacing w:after="0" w:line="222" w:lineRule="auto"/>
        <w:tabs>
          <w:tab w:leader="none" w:pos="66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AT-WILL EMPLOYMENT</w:t>
      </w:r>
      <w:r>
        <w:rPr>
          <w:rFonts w:ascii="Times New Roman" w:cs="Times New Roman" w:eastAsia="Times New Roman" w:hAnsi="Times New Roman"/>
          <w:sz w:val="21"/>
          <w:szCs w:val="21"/>
          <w:color w:val="auto"/>
        </w:rPr>
        <w:t>. The employment of Executive shall be “at-will” at all times. The Company or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terminate Executive’s 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Following the termination of Executive’s employment for any reason, the Company shall pay to Executive all compensation to which Executive is entitled up through the date of termination, including accrued but unpaid Base Salary, any accrued and unused paid time off and any incurred but unpaid reimbursements (together “Accrued Obligations”). Thereafter, all obligations of the Company under this Agreement shall cease other than those set forth in Section 7.</w:t>
      </w:r>
    </w:p>
    <w:p>
      <w:pPr>
        <w:spacing w:after="0" w:line="147" w:lineRule="exact"/>
        <w:rPr>
          <w:rFonts w:ascii="Times New Roman" w:cs="Times New Roman" w:eastAsia="Times New Roman" w:hAnsi="Times New Roman"/>
          <w:sz w:val="21"/>
          <w:szCs w:val="21"/>
          <w:color w:val="auto"/>
        </w:rPr>
      </w:pPr>
    </w:p>
    <w:p>
      <w:pPr>
        <w:ind w:left="660" w:hanging="653"/>
        <w:spacing w:after="0"/>
        <w:tabs>
          <w:tab w:leader="none" w:pos="660" w:val="left"/>
        </w:tabs>
        <w:numPr>
          <w:ilvl w:val="0"/>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EMPLOYMENT.</w:t>
      </w:r>
    </w:p>
    <w:p>
      <w:pPr>
        <w:spacing w:after="0" w:line="192" w:lineRule="exact"/>
        <w:rPr>
          <w:rFonts w:ascii="Times New Roman" w:cs="Times New Roman" w:eastAsia="Times New Roman" w:hAnsi="Times New Roman"/>
          <w:sz w:val="21"/>
          <w:szCs w:val="21"/>
          <w:b w:val="1"/>
          <w:bCs w:val="1"/>
          <w:color w:val="auto"/>
        </w:rPr>
      </w:pPr>
    </w:p>
    <w:p>
      <w:pPr>
        <w:ind w:left="1300" w:hanging="645"/>
        <w:spacing w:after="0" w:line="21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9.1 TERMINATION BY COMPANY FOR CAUSE. Where the Company terminates Executive’s employment for Cause, all obligations of the Company under this Agreement shall cease; provided the Company shall pay Executive the Accrued Obligations within thirty (30) days of the termination of Executive’s employment. For purposes of this Agreement, “Cause” shall mean the occurrence of one of the following: (i) Executive’s willful misconduct, dishonesty, or insubordination; (ii) Executive’s conviction (or entry of a plea bargain admitting criminal guilt) of any felony or a misdemeanor involving moral turpitude; (iii) drug or alcohol abuse that has a material effect on the performance of Executive’s duties and responsibilities under this Agreement; (iv) Executive’s willful and repeated failure to substantially perform Executive’s duties and responsibilities under this Agreement for reasons other than death or Disability, as defined below; (v) Executive’s willful and repeated inattention to duty for reasons other than death or Disability; (vi) Executive’s material and willful violation of the Company’s Code of Business Conduct; and (vii) any other material and willful breach of this Agreement by Executive. No Cause shall exist until the Company has given Executive written notice describing the circumstances giving rise to Cause in reasonable detail and, to the extent such circumstances are susceptible to remedy, Executive has failed to remedy such circumstances within fifteen (15) days of receiving such notice.</w:t>
      </w:r>
    </w:p>
    <w:p>
      <w:pPr>
        <w:spacing w:after="0" w:line="153" w:lineRule="exact"/>
        <w:rPr>
          <w:rFonts w:ascii="Times New Roman" w:cs="Times New Roman" w:eastAsia="Times New Roman" w:hAnsi="Times New Roman"/>
          <w:sz w:val="21"/>
          <w:szCs w:val="21"/>
          <w:b w:val="1"/>
          <w:bCs w:val="1"/>
          <w:color w:val="auto"/>
        </w:rPr>
      </w:pPr>
    </w:p>
    <w:p>
      <w:pPr>
        <w:ind w:left="1300" w:hanging="645"/>
        <w:spacing w:after="0" w:line="23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9.2 TERMINATION BY THE COMPANY WITHOUT CAUSE OR TERMINATION BY THE EXECUTIVE FOR GOOD REASON. Where the Company terminates Executive’s employment without Cause, or Executive terminates Executive’s employment for Good Reason (as defined below), Executive shall be entitled to: (i) a payment equal in the aggregate to 2 times the sum of (A) Executive’s Base Salary and (B) Executive’s Target Cash Bonus, which payment shall be paid in equal installments (no less frequently than monthly) over the 24-month period following Executive’s separation from service, provided that any amounts otherwise payable prior to the effective date of the release referenced below shall be paid in a lump sum within 7 days following the effective date of such release; (ii) eighteen (18) months’ medical benefits coverage, which may be provided through COBRA reimbursement; (iii) Executive’s prorated Cash Bonus for the year of termination based on the Committee’s determination of actual performance following the end of the performance period; and (iv) any earned but unpaid Cash Bonus in respect of any completed fiscal year that has ended prior to the date of such termination (the amounts set forth in clauses (i) through (iv) collectively, the “Severance Benefits”); provided that Executive’s eligibility to receive the Severance Benefits is conditioned on: (A) Executive having first signed a release agreement in the form provided by the Company and reasonably acceptable to Executive, but containing no further post-employment restrictions or covenants other than those to which Executive is already subject hereunder, and the release becoming irrevocable by its terms within sixty (60) calendar days following the date of Executive’s termination of employment; and (B)</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60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720"/>
        <w:spacing w:after="0" w:line="219" w:lineRule="auto"/>
        <w:rPr>
          <w:sz w:val="20"/>
          <w:szCs w:val="20"/>
          <w:color w:val="auto"/>
        </w:rPr>
      </w:pPr>
      <w:r>
        <w:rPr>
          <w:rFonts w:ascii="Times New Roman" w:cs="Times New Roman" w:eastAsia="Times New Roman" w:hAnsi="Times New Roman"/>
          <w:sz w:val="21"/>
          <w:szCs w:val="21"/>
          <w:color w:val="auto"/>
        </w:rPr>
        <w:t>Executive’s continued compliance with all continuing obligations under this Agreement, including but not limited to those set forth in Section 5. Executive shall not have any other rights or claims under this Agreement. For purposes of this Agreement, “Good Reason” shall mean the occurrence of one or more of the following events without Executive's prior written consent: (x) a material reduction in the Executive's Base Salary, (y) a material reduction in the Target Cash Bonus, or (z) the Company requires the Executive to change Executive’s principal location of work by more than 50 miles. No Good Reason shall exist unless Executive has provided notice of such circumstances giving rise to Good Reason in reasonable detail to the Company within 30 days following the occurrence of such circumstances and, to the extent such circumstances are susceptible to remedy, the Company has failed to remedy such circumstances within thirty (30) days of receiving such notice, and Executive shall have resigned within 30 days following expiration of such cure period. For the avoidance of doubt, in the event Executive becomes entitled to receive Severance Benefits, any such Severance Benefits that remain unpaid upon Executive’s death shall be paid to Executive’s estate.</w:t>
      </w:r>
    </w:p>
    <w:p>
      <w:pPr>
        <w:spacing w:after="0" w:line="177" w:lineRule="exact"/>
        <w:rPr>
          <w:sz w:val="20"/>
          <w:szCs w:val="20"/>
          <w:color w:val="auto"/>
        </w:rPr>
      </w:pPr>
    </w:p>
    <w:p>
      <w:pPr>
        <w:jc w:val="both"/>
        <w:ind w:left="720" w:hanging="725"/>
        <w:spacing w:after="0" w:line="262" w:lineRule="auto"/>
        <w:tabs>
          <w:tab w:leader="none" w:pos="700" w:val="left"/>
        </w:tabs>
        <w:rPr>
          <w:sz w:val="20"/>
          <w:szCs w:val="20"/>
          <w:color w:val="auto"/>
        </w:rPr>
      </w:pPr>
      <w:r>
        <w:rPr>
          <w:rFonts w:ascii="Times New Roman" w:cs="Times New Roman" w:eastAsia="Times New Roman" w:hAnsi="Times New Roman"/>
          <w:sz w:val="21"/>
          <w:szCs w:val="21"/>
          <w:color w:val="auto"/>
        </w:rPr>
        <w:t>9.3</w:t>
      </w:r>
      <w:r>
        <w:rPr>
          <w:sz w:val="20"/>
          <w:szCs w:val="20"/>
          <w:color w:val="auto"/>
        </w:rPr>
        <w:tab/>
      </w:r>
      <w:r>
        <w:rPr>
          <w:rFonts w:ascii="Times New Roman" w:cs="Times New Roman" w:eastAsia="Times New Roman" w:hAnsi="Times New Roman"/>
          <w:sz w:val="21"/>
          <w:szCs w:val="21"/>
          <w:color w:val="auto"/>
        </w:rPr>
        <w:t>7.3 VOLUNTARY TERMINATION BY EXECUTIVE. Executive may give written notice of Executive’s resignation of employment at any time during this Agreement pursuant to Section 6, and thereafter, all obligations of the Company under this Agreement shall cease; provided the Company shall pay Executive the Accrued Obligations within thirty (30) days of the termination of Executive’s employment or earlier as required by law. Executive is requested to provide sixty (60) days’ written notice of Executive’s resignation or as much time as reasonable under the circumstances. Company reserves the right to relieve Executive of Executive’s duties at the Company’s discretion following notice of Executive’s intent to resign.</w:t>
      </w:r>
    </w:p>
    <w:p>
      <w:pPr>
        <w:spacing w:after="0" w:line="184" w:lineRule="exact"/>
        <w:rPr>
          <w:sz w:val="20"/>
          <w:szCs w:val="20"/>
          <w:color w:val="auto"/>
        </w:rPr>
      </w:pPr>
    </w:p>
    <w:p>
      <w:pPr>
        <w:jc w:val="both"/>
        <w:ind w:left="720" w:hanging="725"/>
        <w:spacing w:after="0" w:line="261" w:lineRule="auto"/>
        <w:tabs>
          <w:tab w:leader="none" w:pos="700" w:val="left"/>
        </w:tabs>
        <w:rPr>
          <w:sz w:val="20"/>
          <w:szCs w:val="20"/>
          <w:color w:val="auto"/>
        </w:rPr>
      </w:pPr>
      <w:r>
        <w:rPr>
          <w:rFonts w:ascii="Times New Roman" w:cs="Times New Roman" w:eastAsia="Times New Roman" w:hAnsi="Times New Roman"/>
          <w:sz w:val="21"/>
          <w:szCs w:val="21"/>
          <w:color w:val="auto"/>
        </w:rPr>
        <w:t>9.4</w:t>
      </w:r>
      <w:r>
        <w:rPr>
          <w:sz w:val="20"/>
          <w:szCs w:val="20"/>
          <w:color w:val="auto"/>
        </w:rPr>
        <w:tab/>
      </w:r>
      <w:r>
        <w:rPr>
          <w:rFonts w:ascii="Times New Roman" w:cs="Times New Roman" w:eastAsia="Times New Roman" w:hAnsi="Times New Roman"/>
          <w:sz w:val="21"/>
          <w:szCs w:val="21"/>
          <w:color w:val="auto"/>
        </w:rPr>
        <w:t>7.4 RETIREMENT. With respect to equity-based awards granted following the Effective Date, in the event that Executive retires voluntarily from ABM following reaching age 60 with a minimum of 10 years of service, Executive’s then-outstanding equity-based awards under the Equity Plan (including any awards issued by an acquirer or successor to ABM in exchange or substitution for such awards) that were granted at least one year prior to such retirement will not be forfeited but will continue to be eligible for vesting, exercise and settlement, as applicable, on the originally scheduled vesting dates (and, for the avoidance of doubt with respect to performance-based awards, to the extent the applicable performance criteria originally set forth in such awards are met), subject to Executive’s continued compliance with the covenants set forth in Section 5 hereof.</w:t>
      </w:r>
    </w:p>
    <w:p>
      <w:pPr>
        <w:spacing w:after="0" w:line="170" w:lineRule="exact"/>
        <w:rPr>
          <w:sz w:val="20"/>
          <w:szCs w:val="20"/>
          <w:color w:val="auto"/>
        </w:rPr>
      </w:pPr>
    </w:p>
    <w:p>
      <w:pPr>
        <w:jc w:val="both"/>
        <w:ind w:left="720" w:hanging="725"/>
        <w:spacing w:after="0" w:line="261" w:lineRule="auto"/>
        <w:tabs>
          <w:tab w:leader="none" w:pos="700" w:val="left"/>
        </w:tabs>
        <w:rPr>
          <w:sz w:val="20"/>
          <w:szCs w:val="20"/>
          <w:color w:val="auto"/>
        </w:rPr>
      </w:pPr>
      <w:r>
        <w:rPr>
          <w:rFonts w:ascii="Times New Roman" w:cs="Times New Roman" w:eastAsia="Times New Roman" w:hAnsi="Times New Roman"/>
          <w:sz w:val="21"/>
          <w:szCs w:val="21"/>
          <w:color w:val="auto"/>
        </w:rPr>
        <w:t>9.5</w:t>
      </w:r>
      <w:r>
        <w:rPr>
          <w:sz w:val="20"/>
          <w:szCs w:val="20"/>
          <w:color w:val="auto"/>
        </w:rPr>
        <w:tab/>
      </w:r>
      <w:r>
        <w:rPr>
          <w:rFonts w:ascii="Times New Roman" w:cs="Times New Roman" w:eastAsia="Times New Roman" w:hAnsi="Times New Roman"/>
          <w:sz w:val="21"/>
          <w:szCs w:val="21"/>
          <w:color w:val="auto"/>
        </w:rPr>
        <w:t>7.5 DEATH OR DISABILITY. Executive’s employment hereunder shall automatically terminate upon the death of Executive and may be terminated at the Company’s discretion as a result of Executive’s Disability. “Disability” means Executive’s substantial inability to perform Executive’s essential duties and responsibilities under this Agreement for either 90 consecutive days or a total of 120 days out of 365 consecutive days as a result of a physical or mental illness, injury or impairment, all as determined in good faith by the Company. If Executive’s employment is terminated by the Company due to Executive’s death or Disability, then (i) Executive, or, upon death, to Executive’s designated beneficiary or estate, as applicable, shall be eligible to receive (A) any earned but unpaid Cash Bonus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60"/>
          </w:cols>
          <w:pgMar w:left="900" w:top="601" w:right="339" w:bottom="1440" w:gutter="0" w:footer="0" w:header="0"/>
        </w:sectPr>
      </w:pPr>
    </w:p>
    <w:bookmarkStart w:id="48" w:name="page49"/>
    <w:bookmarkEnd w:id="48"/>
    <w:p>
      <w:pPr>
        <w:ind w:left="974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respect of any completed fiscal year that has ended prior to the date of such termination and (B) a prorated Target</w:t>
            </w:r>
          </w:p>
        </w:tc>
      </w:tr>
      <w:tr>
        <w:trPr>
          <w:trHeight w:val="269"/>
        </w:trPr>
        <w:tc>
          <w:tcPr>
            <w:tcW w:w="480" w:type="dxa"/>
            <w:vAlign w:val="bottom"/>
          </w:tcPr>
          <w:p>
            <w:pPr>
              <w:spacing w:after="0"/>
              <w:rPr>
                <w:sz w:val="23"/>
                <w:szCs w:val="23"/>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Cash Bonus based on the length of performance in the applicable performance period prior to death or Disability</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and (ii) Executive’s then-outstanding equity-based awards under the Equity Plan (including any awards issued by</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an acquirer or successor to ABM in exchange or substitution for such awards) (x) that are subject to time-based</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vesting will not be forfeited but will become immediately fully vested and (y) that are subject to performance-</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based vesting for then-ongoing performance periods shall immediately become fully vested with respect to the</w:t>
            </w:r>
          </w:p>
        </w:tc>
      </w:tr>
      <w:tr>
        <w:trPr>
          <w:trHeight w:val="269"/>
        </w:trPr>
        <w:tc>
          <w:tcPr>
            <w:tcW w:w="480" w:type="dxa"/>
            <w:vAlign w:val="bottom"/>
          </w:tcPr>
          <w:p>
            <w:pPr>
              <w:spacing w:after="0"/>
              <w:rPr>
                <w:sz w:val="23"/>
                <w:szCs w:val="23"/>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number of shares that would have become earned and vested if the target level of performance was met. In the case</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of Disability, Executive’s eligibility to receive the foregoing is conditioned on: (i) Executive having first signed a</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release agreement in the form provided by the Company and reasonably acceptable to Executive, but containing no</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further post-employment restrictions or covenants other than those to which Executive is already subject hereunder,</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and the release becoming irrevocable by its terms within sixty (60) calendar days following the date of Executive’s</w:t>
            </w:r>
          </w:p>
        </w:tc>
      </w:tr>
      <w:tr>
        <w:trPr>
          <w:trHeight w:val="269"/>
        </w:trPr>
        <w:tc>
          <w:tcPr>
            <w:tcW w:w="480" w:type="dxa"/>
            <w:vAlign w:val="bottom"/>
          </w:tcPr>
          <w:p>
            <w:pPr>
              <w:spacing w:after="0"/>
              <w:rPr>
                <w:sz w:val="23"/>
                <w:szCs w:val="23"/>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termination of employment; and (ii) Executive’s continued compliance with all continuing obligations under this</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Agreement, including but not limited to those set forth in Section 5. Thereafter, Executive and Executive’s</w:t>
            </w:r>
          </w:p>
        </w:tc>
      </w:tr>
      <w:tr>
        <w:trPr>
          <w:trHeight w:val="280"/>
        </w:trPr>
        <w:tc>
          <w:tcPr>
            <w:tcW w:w="480" w:type="dxa"/>
            <w:vAlign w:val="bottom"/>
          </w:tcPr>
          <w:p>
            <w:pPr>
              <w:spacing w:after="0"/>
              <w:rPr>
                <w:sz w:val="24"/>
                <w:szCs w:val="24"/>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designated beneficiary or estate, as applicable, shall not have any other rights or claims under this Agreement.</w:t>
            </w:r>
          </w:p>
        </w:tc>
      </w:tr>
      <w:tr>
        <w:trPr>
          <w:trHeight w:val="446"/>
        </w:trPr>
        <w:tc>
          <w:tcPr>
            <w:tcW w:w="480" w:type="dxa"/>
            <w:vAlign w:val="bottom"/>
          </w:tcPr>
          <w:p>
            <w:pPr>
              <w:jc w:val="right"/>
              <w:ind w:right="113"/>
              <w:spacing w:after="0"/>
              <w:rPr>
                <w:sz w:val="20"/>
                <w:szCs w:val="20"/>
                <w:color w:val="auto"/>
              </w:rPr>
            </w:pPr>
            <w:r>
              <w:rPr>
                <w:rFonts w:ascii="Times New Roman" w:cs="Times New Roman" w:eastAsia="Times New Roman" w:hAnsi="Times New Roman"/>
                <w:sz w:val="21"/>
                <w:szCs w:val="21"/>
                <w:color w:val="auto"/>
                <w:w w:val="91"/>
              </w:rPr>
              <w:t>9.6</w:t>
            </w: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7.6   TIMING OF PAYMENTS. For the avoidance of doubt and without limiting the generality of Section 10.7,</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the parties intend that, except as expressly provided otherwise, any payments that become payable to Executive</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pursuant to Section 7.2 are intended to be exempt from, or compliant with, Section 409A of the Internal Revenue</w:t>
            </w:r>
          </w:p>
        </w:tc>
      </w:tr>
      <w:tr>
        <w:trPr>
          <w:trHeight w:val="269"/>
        </w:trPr>
        <w:tc>
          <w:tcPr>
            <w:tcW w:w="480" w:type="dxa"/>
            <w:vAlign w:val="bottom"/>
          </w:tcPr>
          <w:p>
            <w:pPr>
              <w:spacing w:after="0"/>
              <w:rPr>
                <w:sz w:val="23"/>
                <w:szCs w:val="23"/>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Code (“Section 409A”), and except as expressly provided otherwise shall be paid within the short-term deferral</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period within the meaning of Treasury Regulation section 1.409A-1(b)(4) to the extent required to be paid no later</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than March 15th of the calendar year following the calendar year in which Executive incurs a separation from</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service or shall be deemed to be paid under a “separation pay plan” within the meaning of Section 409A to the</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extent applicable. Any Cash Bonus or prorated Cash Bonus that becomes payable to Executive pursuant to Section</w:t>
            </w:r>
          </w:p>
        </w:tc>
      </w:tr>
      <w:tr>
        <w:trPr>
          <w:trHeight w:val="269"/>
        </w:trPr>
        <w:tc>
          <w:tcPr>
            <w:tcW w:w="480" w:type="dxa"/>
            <w:vAlign w:val="bottom"/>
          </w:tcPr>
          <w:p>
            <w:pPr>
              <w:spacing w:after="0"/>
              <w:rPr>
                <w:sz w:val="23"/>
                <w:szCs w:val="23"/>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7.2(iii) shall be paid to Executive following the end of the applicable performance period when such payments are</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made to other participants and in accordance with the terms of the applicable plan or program, provided that in no</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event shall any such payment be made to Executive later than March 15th of the calendar year following the end of</w:t>
            </w:r>
          </w:p>
        </w:tc>
      </w:tr>
      <w:tr>
        <w:trPr>
          <w:trHeight w:val="280"/>
        </w:trPr>
        <w:tc>
          <w:tcPr>
            <w:tcW w:w="480" w:type="dxa"/>
            <w:vAlign w:val="bottom"/>
          </w:tcPr>
          <w:p>
            <w:pPr>
              <w:spacing w:after="0"/>
              <w:rPr>
                <w:sz w:val="24"/>
                <w:szCs w:val="24"/>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the performance year.</w:t>
            </w:r>
          </w:p>
        </w:tc>
      </w:tr>
      <w:tr>
        <w:trPr>
          <w:trHeight w:val="446"/>
        </w:trPr>
        <w:tc>
          <w:tcPr>
            <w:tcW w:w="480" w:type="dxa"/>
            <w:vAlign w:val="bottom"/>
          </w:tcPr>
          <w:p>
            <w:pPr>
              <w:jc w:val="right"/>
              <w:ind w:right="113"/>
              <w:spacing w:after="0"/>
              <w:rPr>
                <w:sz w:val="20"/>
                <w:szCs w:val="20"/>
                <w:color w:val="auto"/>
              </w:rPr>
            </w:pPr>
            <w:r>
              <w:rPr>
                <w:rFonts w:ascii="Times New Roman" w:cs="Times New Roman" w:eastAsia="Times New Roman" w:hAnsi="Times New Roman"/>
                <w:sz w:val="21"/>
                <w:szCs w:val="21"/>
                <w:color w:val="auto"/>
                <w:w w:val="91"/>
              </w:rPr>
              <w:t>9.7</w:t>
            </w:r>
          </w:p>
        </w:tc>
        <w:tc>
          <w:tcPr>
            <w:tcW w:w="72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7.7</w:t>
            </w:r>
          </w:p>
        </w:tc>
        <w:tc>
          <w:tcPr>
            <w:tcW w:w="94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PAYMENTS AND BENEFITS WITH RESPECT TO A CHANGE IN CONTROL. Notwithstanding</w:t>
            </w:r>
          </w:p>
        </w:tc>
      </w:tr>
      <w:tr>
        <w:trPr>
          <w:trHeight w:val="280"/>
        </w:trPr>
        <w:tc>
          <w:tcPr>
            <w:tcW w:w="480" w:type="dxa"/>
            <w:vAlign w:val="bottom"/>
          </w:tcPr>
          <w:p>
            <w:pPr>
              <w:spacing w:after="0"/>
              <w:rPr>
                <w:sz w:val="24"/>
                <w:szCs w:val="24"/>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anything to the contrary in this Agreement or otherwise, if Executive’s employment is terminated under</w:t>
            </w:r>
          </w:p>
        </w:tc>
      </w:tr>
    </w:tbl>
    <w:p>
      <w:pPr>
        <w:jc w:val="both"/>
        <w:ind w:left="720"/>
        <w:spacing w:after="0" w:line="262" w:lineRule="auto"/>
        <w:rPr>
          <w:sz w:val="20"/>
          <w:szCs w:val="20"/>
          <w:color w:val="auto"/>
        </w:rPr>
      </w:pPr>
      <w:r>
        <w:rPr>
          <w:rFonts w:ascii="Times New Roman" w:cs="Times New Roman" w:eastAsia="Times New Roman" w:hAnsi="Times New Roman"/>
          <w:sz w:val="21"/>
          <w:szCs w:val="21"/>
          <w:color w:val="auto"/>
        </w:rPr>
        <w:t>circumstances qualifying Executive for payments under the Change-in-Control Agreement between Executive and ABM (or any successor or amendment to such agreement, as applicable, the “Change-in-Control Agreement”), Executive shall not be entitled to the Severance Benefits under this Agreement and, alternatively, Executive’s entitlement to payments and benefits, if any, shall be governed by the terms of such Change-in-Control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60"/>
          </w:cols>
          <w:pgMar w:left="900" w:top="60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953"/>
        </w:trPr>
        <w:tc>
          <w:tcPr>
            <w:tcW w:w="480" w:type="dxa"/>
            <w:vAlign w:val="bottom"/>
          </w:tcPr>
          <w:p>
            <w:pPr>
              <w:jc w:val="right"/>
              <w:ind w:right="113"/>
              <w:spacing w:after="0"/>
              <w:rPr>
                <w:sz w:val="20"/>
                <w:szCs w:val="20"/>
                <w:color w:val="auto"/>
              </w:rPr>
            </w:pPr>
            <w:r>
              <w:rPr>
                <w:rFonts w:ascii="Times New Roman" w:cs="Times New Roman" w:eastAsia="Times New Roman" w:hAnsi="Times New Roman"/>
                <w:sz w:val="21"/>
                <w:szCs w:val="21"/>
                <w:color w:val="auto"/>
                <w:w w:val="91"/>
              </w:rPr>
              <w:t>9.8</w:t>
            </w:r>
          </w:p>
        </w:tc>
        <w:tc>
          <w:tcPr>
            <w:tcW w:w="7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7.8</w:t>
            </w:r>
          </w:p>
        </w:tc>
        <w:tc>
          <w:tcPr>
            <w:tcW w:w="9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EXCESS PARACHUTE PAYMENTS. Notwithstanding any provision of this Agreement or any other</w:t>
            </w:r>
          </w:p>
        </w:tc>
      </w:tr>
      <w:tr>
        <w:trPr>
          <w:trHeight w:val="269"/>
        </w:trPr>
        <w:tc>
          <w:tcPr>
            <w:tcW w:w="480" w:type="dxa"/>
            <w:vAlign w:val="bottom"/>
          </w:tcPr>
          <w:p>
            <w:pPr>
              <w:spacing w:after="0"/>
              <w:rPr>
                <w:sz w:val="23"/>
                <w:szCs w:val="23"/>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agreement or plan to the contrary (including without limitation any lesser protection of Executive under any</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equity-based award agreement), if any amount or benefit to be paid or provided under this Agreement or any other</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agreement or plan would be an “excess parachute payment” under Section 280G of the Code (an “Excess</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Parachute Payment”) (including after taking into account the value, to the maximum extent permitted by Section</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280G of the Code, of the covenants herein), but for the application of this sentence, then the payments and benefits</w:t>
            </w:r>
          </w:p>
        </w:tc>
      </w:tr>
      <w:tr>
        <w:trPr>
          <w:trHeight w:val="269"/>
        </w:trPr>
        <w:tc>
          <w:tcPr>
            <w:tcW w:w="480" w:type="dxa"/>
            <w:vAlign w:val="bottom"/>
          </w:tcPr>
          <w:p>
            <w:pPr>
              <w:spacing w:after="0"/>
              <w:rPr>
                <w:sz w:val="23"/>
                <w:szCs w:val="23"/>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to be paid or provided under this Agreement and any other agreements and plans will be reduced to the minimum</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extent necessary (but in no event to less than zero) so that no portion of any such payment or benefit, as so</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reduced, constitutes an Excess Parachute Payment; provided, however, that the foregoing reduction will not be</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made if such reduction would result in Executive receiving an amount determined on an after-tax basis, taking into</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account the excise tax imposed pursuant to Section 4999 of the Code, or any successor provision thereto, any tax</w:t>
            </w:r>
          </w:p>
        </w:tc>
      </w:tr>
      <w:tr>
        <w:trPr>
          <w:trHeight w:val="269"/>
        </w:trPr>
        <w:tc>
          <w:tcPr>
            <w:tcW w:w="480" w:type="dxa"/>
            <w:vAlign w:val="bottom"/>
          </w:tcPr>
          <w:p>
            <w:pPr>
              <w:spacing w:after="0"/>
              <w:rPr>
                <w:sz w:val="23"/>
                <w:szCs w:val="23"/>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imposed by any comparable provision of state law and any applicable federal, state and local income and</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employment taxes (the “After-Tax Amount”) that is less than 90% of the After-Tax Amount of the payments and</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benefits that he would have received without regard to this clause. Whether requested by the Executive or the</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Company, the determination of whether any reduction in such payments or benefits to be provided under this</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Agreement or otherwise is required pursuant to the preceding sentence, and the value to be assigned to the</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Executive’s covenants herein for purposes of determining the amount, if any, of the Excess Parachute Payment will</w:t>
            </w:r>
          </w:p>
        </w:tc>
      </w:tr>
      <w:tr>
        <w:trPr>
          <w:trHeight w:val="269"/>
        </w:trPr>
        <w:tc>
          <w:tcPr>
            <w:tcW w:w="480" w:type="dxa"/>
            <w:vAlign w:val="bottom"/>
          </w:tcPr>
          <w:p>
            <w:pPr>
              <w:spacing w:after="0"/>
              <w:rPr>
                <w:sz w:val="23"/>
                <w:szCs w:val="23"/>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be made at the expense of the Company by the Company’s independent accountants or benefits consultant. The</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fact that the Executive’s right to payments or benefits may be reduced by reason of the limitations contained in this</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Section will not of itself limit or otherwise affect any other rights of the Executive pursuant to this Agreement or</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any other agreement or plan. In the event that any payment or benefit intended to be provided is required to be</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reduced pursuant to this Section, then the Company shall in good faith determine the appropriate treatment of</w:t>
            </w:r>
          </w:p>
        </w:tc>
      </w:tr>
      <w:tr>
        <w:trPr>
          <w:trHeight w:val="269"/>
        </w:trPr>
        <w:tc>
          <w:tcPr>
            <w:tcW w:w="480" w:type="dxa"/>
            <w:vAlign w:val="bottom"/>
          </w:tcPr>
          <w:p>
            <w:pPr>
              <w:spacing w:after="0"/>
              <w:rPr>
                <w:sz w:val="23"/>
                <w:szCs w:val="23"/>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payments or benefits, consistent with the requirements of Section 409A that produces the most advantageous</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economic outcome for the Executive, and its determination shall be final and binding on the Executive. The</w:t>
            </w:r>
          </w:p>
        </w:tc>
      </w:tr>
      <w:tr>
        <w:trPr>
          <w:trHeight w:val="255"/>
        </w:trPr>
        <w:tc>
          <w:tcPr>
            <w:tcW w:w="480" w:type="dxa"/>
            <w:vAlign w:val="bottom"/>
          </w:tcPr>
          <w:p>
            <w:pPr>
              <w:spacing w:after="0"/>
              <w:rPr>
                <w:sz w:val="22"/>
                <w:szCs w:val="22"/>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Company will provide the Executive with all information reasonably required or requested by the Executive to</w:t>
            </w:r>
          </w:p>
        </w:tc>
      </w:tr>
      <w:tr>
        <w:trPr>
          <w:trHeight w:val="280"/>
        </w:trPr>
        <w:tc>
          <w:tcPr>
            <w:tcW w:w="480" w:type="dxa"/>
            <w:vAlign w:val="bottom"/>
          </w:tcPr>
          <w:p>
            <w:pPr>
              <w:spacing w:after="0"/>
              <w:rPr>
                <w:sz w:val="24"/>
                <w:szCs w:val="24"/>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demonstrate to the Executive that it has complied with the immediately preceding sentence.</w:t>
            </w:r>
          </w:p>
        </w:tc>
      </w:tr>
      <w:tr>
        <w:trPr>
          <w:trHeight w:val="446"/>
        </w:trPr>
        <w:tc>
          <w:tcPr>
            <w:tcW w:w="480" w:type="dxa"/>
            <w:vAlign w:val="bottom"/>
          </w:tcPr>
          <w:p>
            <w:pPr>
              <w:jc w:val="right"/>
              <w:ind w:right="113"/>
              <w:spacing w:after="0"/>
              <w:rPr>
                <w:sz w:val="20"/>
                <w:szCs w:val="20"/>
                <w:color w:val="auto"/>
              </w:rPr>
            </w:pPr>
            <w:r>
              <w:rPr>
                <w:rFonts w:ascii="Times New Roman" w:cs="Times New Roman" w:eastAsia="Times New Roman" w:hAnsi="Times New Roman"/>
                <w:sz w:val="21"/>
                <w:szCs w:val="21"/>
                <w:color w:val="auto"/>
                <w:w w:val="91"/>
              </w:rPr>
              <w:t>9.9</w:t>
            </w: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7.9  ACTIONS UPON TERMINATION. Upon termination of Executive’s employment for any reason, Executive</w:t>
            </w:r>
          </w:p>
        </w:tc>
      </w:tr>
      <w:tr>
        <w:trPr>
          <w:trHeight w:val="280"/>
        </w:trPr>
        <w:tc>
          <w:tcPr>
            <w:tcW w:w="480" w:type="dxa"/>
            <w:vAlign w:val="bottom"/>
          </w:tcPr>
          <w:p>
            <w:pPr>
              <w:spacing w:after="0"/>
              <w:rPr>
                <w:sz w:val="24"/>
                <w:szCs w:val="24"/>
                <w:color w:val="auto"/>
              </w:rPr>
            </w:pPr>
          </w:p>
        </w:tc>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shall be deemed to have immediately resigned as an officer and/or director of the Company and of any Company</w:t>
            </w:r>
          </w:p>
        </w:tc>
      </w:tr>
    </w:tbl>
    <w:p>
      <w:pPr>
        <w:jc w:val="both"/>
        <w:ind w:left="720"/>
        <w:spacing w:after="0" w:line="259" w:lineRule="auto"/>
        <w:rPr>
          <w:sz w:val="20"/>
          <w:szCs w:val="20"/>
          <w:color w:val="auto"/>
        </w:rPr>
      </w:pPr>
      <w:r>
        <w:rPr>
          <w:rFonts w:ascii="Times New Roman" w:cs="Times New Roman" w:eastAsia="Times New Roman" w:hAnsi="Times New Roman"/>
          <w:sz w:val="21"/>
          <w:szCs w:val="21"/>
          <w:color w:val="auto"/>
        </w:rPr>
        <w:t>subsidiaries or affiliates, including any LLCs or joint ventures, as applicable. Further, if during employment Executive held any membership or position as a representative of the Company for any outside organization (such as BOMA, IREM, IFMA or BSCIA), or as a trustee for a union trust fund (such as a Taft-Hartley or similar fund), upon termination of Executive’s employment for any reason, Executive shall be deemed to have resigned from such membership or position, or trustee position, and shall cooperate fully with the Company in any process whereby the Company designates a new representative to replace the position vacated by Executive. Executive also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60"/>
          </w:cols>
          <w:pgMar w:left="900" w:top="60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1300"/>
        <w:spacing w:after="0" w:line="270" w:lineRule="auto"/>
        <w:rPr>
          <w:sz w:val="20"/>
          <w:szCs w:val="20"/>
          <w:color w:val="auto"/>
        </w:rPr>
      </w:pPr>
      <w:r>
        <w:rPr>
          <w:rFonts w:ascii="Times New Roman" w:cs="Times New Roman" w:eastAsia="Times New Roman" w:hAnsi="Times New Roman"/>
          <w:sz w:val="21"/>
          <w:szCs w:val="21"/>
          <w:color w:val="auto"/>
        </w:rPr>
        <w:t>agrees that all property (including without limitation all equipment, tangible proprietary information, documents, records, notes, contracts and computer-generated materials) furnished to or created or prepared by Executive incident to Executive’s employment with the Company belongs to the Company and shall be promptly returned to the Company upon termination of Executive’s employment.</w:t>
      </w:r>
    </w:p>
    <w:p>
      <w:pPr>
        <w:spacing w:after="0" w:line="163" w:lineRule="exact"/>
        <w:rPr>
          <w:sz w:val="20"/>
          <w:szCs w:val="20"/>
          <w:color w:val="auto"/>
        </w:rPr>
      </w:pPr>
    </w:p>
    <w:p>
      <w:pPr>
        <w:jc w:val="both"/>
        <w:ind w:left="1300" w:hanging="725"/>
        <w:spacing w:after="0" w:line="266" w:lineRule="auto"/>
        <w:tabs>
          <w:tab w:leader="none" w:pos="1280" w:val="left"/>
        </w:tabs>
        <w:rPr>
          <w:sz w:val="20"/>
          <w:szCs w:val="20"/>
          <w:color w:val="auto"/>
        </w:rPr>
      </w:pPr>
      <w:r>
        <w:rPr>
          <w:rFonts w:ascii="Times New Roman" w:cs="Times New Roman" w:eastAsia="Times New Roman" w:hAnsi="Times New Roman"/>
          <w:sz w:val="21"/>
          <w:szCs w:val="21"/>
          <w:color w:val="auto"/>
        </w:rPr>
        <w:t>9.10</w:t>
      </w:r>
      <w:r>
        <w:rPr>
          <w:sz w:val="20"/>
          <w:szCs w:val="20"/>
          <w:color w:val="auto"/>
        </w:rPr>
        <w:tab/>
      </w:r>
      <w:r>
        <w:rPr>
          <w:rFonts w:ascii="Times New Roman" w:cs="Times New Roman" w:eastAsia="Times New Roman" w:hAnsi="Times New Roman"/>
          <w:sz w:val="21"/>
          <w:szCs w:val="21"/>
          <w:color w:val="auto"/>
        </w:rPr>
        <w:t>7.10 WITHHOLDING AUTHORIZATION. To the fullest extent permitted under the laws of the State of Employment hereunder, Executive authorizes Company to withhold from any Severance Benefits otherwise due to Executive and from any other funds held for Executive’s benefit by Company, any undisputed damages or losses sustained by Company as a result of any material breach or other material violation of this Agreement by Executive, pending resolution of any underlying dispute.</w:t>
      </w:r>
    </w:p>
    <w:p>
      <w:pPr>
        <w:spacing w:after="0" w:line="136" w:lineRule="exact"/>
        <w:rPr>
          <w:sz w:val="20"/>
          <w:szCs w:val="20"/>
          <w:color w:val="auto"/>
        </w:rPr>
      </w:pPr>
    </w:p>
    <w:p>
      <w:pPr>
        <w:ind w:left="660" w:hanging="653"/>
        <w:spacing w:after="0"/>
        <w:tabs>
          <w:tab w:leader="none" w:pos="660"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NOTICES.</w:t>
      </w:r>
    </w:p>
    <w:p>
      <w:pPr>
        <w:spacing w:after="0" w:line="192" w:lineRule="exact"/>
        <w:rPr>
          <w:rFonts w:ascii="Times New Roman" w:cs="Times New Roman" w:eastAsia="Times New Roman" w:hAnsi="Times New Roman"/>
          <w:sz w:val="21"/>
          <w:szCs w:val="21"/>
          <w:b w:val="1"/>
          <w:bCs w:val="1"/>
          <w:color w:val="auto"/>
        </w:rPr>
      </w:pPr>
    </w:p>
    <w:p>
      <w:pPr>
        <w:jc w:val="right"/>
        <w:ind w:left="1300" w:hanging="645"/>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10.1   ADDRESSES. Any notice required or permitted to be given pursuant to this Agreement shall be in writing and delivered in person, or sent prepaid by certified mail, overnight express, or electronically to the party named at the address set forth below or at such other address as either party may hereafter designate in writing to the other party:</w:t>
      </w:r>
    </w:p>
    <w:p>
      <w:pPr>
        <w:spacing w:after="0" w:line="173" w:lineRule="exact"/>
        <w:rPr>
          <w:sz w:val="20"/>
          <w:szCs w:val="20"/>
          <w:color w:val="auto"/>
        </w:rPr>
      </w:pPr>
    </w:p>
    <w:p>
      <w:pPr>
        <w:ind w:left="1300"/>
        <w:spacing w:after="0"/>
        <w:tabs>
          <w:tab w:leader="none" w:pos="2220" w:val="left"/>
        </w:tabs>
        <w:rPr>
          <w:sz w:val="20"/>
          <w:szCs w:val="20"/>
          <w:color w:val="auto"/>
        </w:rPr>
      </w:pPr>
      <w:r>
        <w:rPr>
          <w:rFonts w:ascii="Times New Roman" w:cs="Times New Roman" w:eastAsia="Times New Roman" w:hAnsi="Times New Roman"/>
          <w:sz w:val="18"/>
          <w:szCs w:val="18"/>
          <w:color w:val="auto"/>
        </w:rPr>
        <w:t>Executive:</w:t>
      </w:r>
      <w:r>
        <w:rPr>
          <w:sz w:val="20"/>
          <w:szCs w:val="20"/>
          <w:color w:val="auto"/>
        </w:rPr>
        <w:tab/>
      </w:r>
      <w:r>
        <w:rPr>
          <w:rFonts w:ascii="Times New Roman" w:cs="Times New Roman" w:eastAsia="Times New Roman" w:hAnsi="Times New Roman"/>
          <w:sz w:val="17"/>
          <w:szCs w:val="17"/>
          <w:color w:val="auto"/>
        </w:rPr>
        <w:t>Address on File</w:t>
      </w:r>
    </w:p>
    <w:p>
      <w:pPr>
        <w:spacing w:after="0" w:line="250" w:lineRule="exact"/>
        <w:rPr>
          <w:sz w:val="20"/>
          <w:szCs w:val="20"/>
          <w:color w:val="auto"/>
        </w:rPr>
      </w:pPr>
    </w:p>
    <w:p>
      <w:pPr>
        <w:ind w:left="1300"/>
        <w:spacing w:after="0"/>
        <w:tabs>
          <w:tab w:leader="none" w:pos="2200" w:val="left"/>
        </w:tabs>
        <w:rPr>
          <w:sz w:val="20"/>
          <w:szCs w:val="20"/>
          <w:color w:val="auto"/>
        </w:rPr>
      </w:pPr>
      <w:r>
        <w:rPr>
          <w:rFonts w:ascii="Times New Roman" w:cs="Times New Roman" w:eastAsia="Times New Roman" w:hAnsi="Times New Roman"/>
          <w:sz w:val="18"/>
          <w:szCs w:val="18"/>
          <w:color w:val="auto"/>
        </w:rPr>
        <w:t>Company:</w:t>
      </w:r>
      <w:r>
        <w:rPr>
          <w:sz w:val="20"/>
          <w:szCs w:val="20"/>
          <w:color w:val="auto"/>
        </w:rPr>
        <w:tab/>
      </w:r>
      <w:r>
        <w:rPr>
          <w:rFonts w:ascii="Times New Roman" w:cs="Times New Roman" w:eastAsia="Times New Roman" w:hAnsi="Times New Roman"/>
          <w:sz w:val="17"/>
          <w:szCs w:val="17"/>
          <w:color w:val="auto"/>
        </w:rPr>
        <w:t>ABM Industries Incorporated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One Liberty Plaza, New York, NY 10006</w:t>
      </w:r>
    </w:p>
    <w:p>
      <w:pPr>
        <w:spacing w:after="0" w:line="23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Copy:</w:t>
        <w:tab/>
        <w:t>ABM Industries Incorporated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One Liberty Plaza, New York, NY 10006</w:t>
      </w:r>
    </w:p>
    <w:p>
      <w:pPr>
        <w:spacing w:after="0" w:line="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82" w:lineRule="exact"/>
        <w:rPr>
          <w:sz w:val="20"/>
          <w:szCs w:val="20"/>
          <w:color w:val="auto"/>
        </w:rPr>
      </w:pPr>
    </w:p>
    <w:p>
      <w:pPr>
        <w:ind w:left="1300" w:hanging="644"/>
        <w:spacing w:after="0" w:line="251" w:lineRule="auto"/>
        <w:tabs>
          <w:tab w:leader="none" w:pos="1280" w:val="left"/>
        </w:tabs>
        <w:rPr>
          <w:sz w:val="20"/>
          <w:szCs w:val="20"/>
          <w:color w:val="auto"/>
        </w:rPr>
      </w:pPr>
      <w:r>
        <w:rPr>
          <w:rFonts w:ascii="Times New Roman" w:cs="Times New Roman" w:eastAsia="Times New Roman" w:hAnsi="Times New Roman"/>
          <w:sz w:val="21"/>
          <w:szCs w:val="21"/>
          <w:color w:val="auto"/>
        </w:rPr>
        <w:t>10.2</w:t>
        <w:tab/>
        <w:t>RECEIPT. Any such notice shall be assumed to have been received when delivered in person or 48 hours after being sent in the manner specified above.</w:t>
      </w:r>
    </w:p>
    <w:p>
      <w:pPr>
        <w:spacing w:after="0" w:line="136" w:lineRule="exact"/>
        <w:rPr>
          <w:sz w:val="20"/>
          <w:szCs w:val="20"/>
          <w:color w:val="auto"/>
        </w:rPr>
      </w:pPr>
    </w:p>
    <w:p>
      <w:pPr>
        <w:jc w:val="both"/>
        <w:ind w:left="660" w:hanging="653"/>
        <w:spacing w:after="0" w:line="229" w:lineRule="auto"/>
        <w:tabs>
          <w:tab w:leader="none" w:pos="648" w:val="left"/>
        </w:tabs>
        <w:numPr>
          <w:ilvl w:val="0"/>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INDEMNIFICATION</w:t>
      </w:r>
      <w:r>
        <w:rPr>
          <w:rFonts w:ascii="Times New Roman" w:cs="Times New Roman" w:eastAsia="Times New Roman" w:hAnsi="Times New Roman"/>
          <w:sz w:val="21"/>
          <w:szCs w:val="21"/>
          <w:color w:val="auto"/>
        </w:rPr>
        <w:t>.The Company shall indemnify, defend, and hold Executive harmless to the fullest extent provided under the Company’s Articles of Incorporation, Bylaws, or any other operating document. In addition, the Executive shall be included under the Company’s Directors and Officers Liability Insurance Policy. For the avoidance of doubt, this Section 9 shall survive the termination of this Agreement.</w:t>
      </w:r>
    </w:p>
    <w:p>
      <w:pPr>
        <w:spacing w:after="0" w:line="153" w:lineRule="exact"/>
        <w:rPr>
          <w:rFonts w:ascii="Times New Roman" w:cs="Times New Roman" w:eastAsia="Times New Roman" w:hAnsi="Times New Roman"/>
          <w:sz w:val="21"/>
          <w:szCs w:val="21"/>
          <w:b w:val="1"/>
          <w:bCs w:val="1"/>
          <w:color w:val="auto"/>
        </w:rPr>
      </w:pPr>
    </w:p>
    <w:p>
      <w:pPr>
        <w:ind w:left="660" w:hanging="653"/>
        <w:spacing w:after="0"/>
        <w:tabs>
          <w:tab w:leader="none" w:pos="660" w:val="left"/>
        </w:tabs>
        <w:numPr>
          <w:ilvl w:val="0"/>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PROVISIONS.</w:t>
      </w:r>
    </w:p>
    <w:p>
      <w:pPr>
        <w:spacing w:after="0" w:line="192" w:lineRule="exact"/>
        <w:rPr>
          <w:rFonts w:ascii="Times New Roman" w:cs="Times New Roman" w:eastAsia="Times New Roman" w:hAnsi="Times New Roman"/>
          <w:sz w:val="21"/>
          <w:szCs w:val="21"/>
          <w:b w:val="1"/>
          <w:bCs w:val="1"/>
          <w:color w:val="auto"/>
        </w:rPr>
      </w:pPr>
    </w:p>
    <w:p>
      <w:pPr>
        <w:ind w:left="1300" w:hanging="645"/>
        <w:spacing w:after="0" w:line="25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12.1 GOVERNING LAW. This Agreement shall be interpreted and enforced in accordance with the laws of the State of Employment, which, for purposes of this Agreement, shall mean the state of New York.</w:t>
      </w:r>
    </w:p>
    <w:p>
      <w:pPr>
        <w:spacing w:after="0" w:line="139" w:lineRule="exact"/>
        <w:rPr>
          <w:rFonts w:ascii="Times New Roman" w:cs="Times New Roman" w:eastAsia="Times New Roman" w:hAnsi="Times New Roman"/>
          <w:sz w:val="21"/>
          <w:szCs w:val="21"/>
          <w:b w:val="1"/>
          <w:bCs w:val="1"/>
          <w:color w:val="auto"/>
        </w:rPr>
      </w:pPr>
    </w:p>
    <w:p>
      <w:pPr>
        <w:ind w:left="1300" w:hanging="645"/>
        <w:spacing w:after="0" w:line="25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12.2 NO WAIVER. Failure by either party to enforce any term or condition of this Agreement at any time shall not preclude that party from enforcing that provision, or any other provision of this Agreement, at any later time.</w:t>
      </w:r>
    </w:p>
    <w:p>
      <w:pPr>
        <w:spacing w:after="0" w:line="139" w:lineRule="exact"/>
        <w:rPr>
          <w:rFonts w:ascii="Times New Roman" w:cs="Times New Roman" w:eastAsia="Times New Roman" w:hAnsi="Times New Roman"/>
          <w:sz w:val="21"/>
          <w:szCs w:val="21"/>
          <w:b w:val="1"/>
          <w:bCs w:val="1"/>
          <w:color w:val="auto"/>
        </w:rPr>
      </w:pPr>
    </w:p>
    <w:p>
      <w:pPr>
        <w:ind w:left="1300" w:hanging="645"/>
        <w:spacing w:after="0" w:line="22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12.3 SEVERABILITY. It is the desire and intent of the parties that the provisions of this Agreement be enforced to the fullest extent permissible under the law and public policies applied in each jurisdiction in which enforcement is sought. Accordingly, in the event that any provision of this Agreement would be held in any jurisdiction to be invalid, prohibited or unenforceable for any reason, such provision, as to such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60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640"/>
        <w:spacing w:after="0" w:line="224" w:lineRule="auto"/>
        <w:rPr>
          <w:sz w:val="20"/>
          <w:szCs w:val="20"/>
          <w:color w:val="auto"/>
        </w:rPr>
      </w:pPr>
      <w:r>
        <w:rPr>
          <w:rFonts w:ascii="Times New Roman" w:cs="Times New Roman" w:eastAsia="Times New Roman" w:hAnsi="Times New Roman"/>
          <w:sz w:val="21"/>
          <w:szCs w:val="21"/>
          <w:color w:val="auto"/>
        </w:rPr>
        <w:t>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either automatically deemed so narrowly drawn, or any court of competent jurisdiction is hereby expressly authorized to redraw it in that manner, without invalidating the remaining provisions of this Agreement or affecting the validity or enforceability of such provision in any other jurisdiction.</w:t>
      </w:r>
    </w:p>
    <w:p>
      <w:pPr>
        <w:spacing w:after="0" w:line="153" w:lineRule="exact"/>
        <w:rPr>
          <w:sz w:val="20"/>
          <w:szCs w:val="20"/>
          <w:color w:val="auto"/>
        </w:rPr>
      </w:pPr>
    </w:p>
    <w:p>
      <w:pPr>
        <w:jc w:val="both"/>
        <w:ind w:left="640" w:hanging="644"/>
        <w:spacing w:after="0" w:line="235" w:lineRule="auto"/>
        <w:tabs>
          <w:tab w:leader="none" w:pos="620" w:val="left"/>
        </w:tabs>
        <w:rPr>
          <w:sz w:val="20"/>
          <w:szCs w:val="20"/>
          <w:color w:val="auto"/>
        </w:rPr>
      </w:pPr>
      <w:r>
        <w:rPr>
          <w:rFonts w:ascii="Times New Roman" w:cs="Times New Roman" w:eastAsia="Times New Roman" w:hAnsi="Times New Roman"/>
          <w:sz w:val="21"/>
          <w:szCs w:val="21"/>
          <w:color w:val="auto"/>
        </w:rPr>
        <w:t>12.4</w:t>
        <w:tab/>
        <w:t>SURVIVAL. All terms and conditions of this Agreement which by reasonable implication are meant to survive the termination of this Agreement, including but not limited to the provisions of Sections 5.1 – 5.9 of this Agreement, shall remain in full force and effect after the termination of this Agreement.</w:t>
      </w:r>
    </w:p>
    <w:p>
      <w:pPr>
        <w:spacing w:after="0" w:line="151" w:lineRule="exact"/>
        <w:rPr>
          <w:sz w:val="20"/>
          <w:szCs w:val="20"/>
          <w:color w:val="auto"/>
        </w:rPr>
      </w:pPr>
    </w:p>
    <w:p>
      <w:pPr>
        <w:jc w:val="both"/>
        <w:ind w:left="640" w:hanging="644"/>
        <w:spacing w:after="0" w:line="251" w:lineRule="auto"/>
        <w:tabs>
          <w:tab w:leader="none" w:pos="620" w:val="left"/>
        </w:tabs>
        <w:rPr>
          <w:sz w:val="20"/>
          <w:szCs w:val="20"/>
          <w:color w:val="auto"/>
        </w:rPr>
      </w:pPr>
      <w:r>
        <w:rPr>
          <w:rFonts w:ascii="Times New Roman" w:cs="Times New Roman" w:eastAsia="Times New Roman" w:hAnsi="Times New Roman"/>
          <w:sz w:val="21"/>
          <w:szCs w:val="21"/>
          <w:color w:val="auto"/>
        </w:rPr>
        <w:t>12.5</w:t>
        <w:tab/>
        <w:t>SUCCESSORS. This Agreement is binding upon and shall inure to the benefit of the parties’ respective successors, assigns, administrators and legal representatives and Executive’s heirs and executors.</w:t>
      </w:r>
    </w:p>
    <w:p>
      <w:pPr>
        <w:spacing w:after="0" w:line="140" w:lineRule="exact"/>
        <w:rPr>
          <w:sz w:val="20"/>
          <w:szCs w:val="20"/>
          <w:color w:val="auto"/>
        </w:rPr>
      </w:pPr>
    </w:p>
    <w:p>
      <w:pPr>
        <w:jc w:val="both"/>
        <w:ind w:left="640" w:hanging="644"/>
        <w:spacing w:after="0"/>
        <w:tabs>
          <w:tab w:leader="none" w:pos="620" w:val="left"/>
        </w:tabs>
        <w:rPr>
          <w:sz w:val="20"/>
          <w:szCs w:val="20"/>
          <w:color w:val="auto"/>
        </w:rPr>
      </w:pPr>
      <w:r>
        <w:rPr>
          <w:rFonts w:ascii="Times New Roman" w:cs="Times New Roman" w:eastAsia="Times New Roman" w:hAnsi="Times New Roman"/>
          <w:sz w:val="21"/>
          <w:szCs w:val="21"/>
          <w:color w:val="auto"/>
        </w:rPr>
        <w:t>12.6</w:t>
        <w:tab/>
        <w:t>REPRESENTATIONS BY EXECUTIVE. Executive represents and agrees that Executive has carefully read and fully understands all of the provisions of this Agreement, that Executive is voluntarily entering into this Agreement and has been given an opportunity to review all aspects of this Agreement with an attorney, if Executive chooses to do so. Executive understands and agrees that Executive's employment with the Company is at-will and that nothing in this Agreement is intended to create a contract of employment for any fixed or definite term. Executive understands Executive is also now eligible for Severance Benefits to which Executive was not previously entitled and acknowledges the value of such benefits. Executive also represents that Executive will not make any unauthorized use of any confidential or proprietary information of any third party in the performance of Executive’s duties under this Agreement and that Executive is under no obligation to any prior employer or other entity that would preclude or interfere with the full and good faith performance of Executive's obligations hereunder.</w:t>
      </w:r>
    </w:p>
    <w:p>
      <w:pPr>
        <w:spacing w:after="0" w:line="165" w:lineRule="exact"/>
        <w:rPr>
          <w:sz w:val="20"/>
          <w:szCs w:val="20"/>
          <w:color w:val="auto"/>
        </w:rPr>
      </w:pPr>
    </w:p>
    <w:p>
      <w:pPr>
        <w:jc w:val="both"/>
        <w:ind w:left="640" w:hanging="644"/>
        <w:spacing w:after="0" w:line="231" w:lineRule="auto"/>
        <w:tabs>
          <w:tab w:leader="none" w:pos="620" w:val="left"/>
        </w:tabs>
        <w:rPr>
          <w:sz w:val="20"/>
          <w:szCs w:val="20"/>
          <w:color w:val="auto"/>
        </w:rPr>
      </w:pPr>
      <w:r>
        <w:rPr>
          <w:rFonts w:ascii="Times New Roman" w:cs="Times New Roman" w:eastAsia="Times New Roman" w:hAnsi="Times New Roman"/>
          <w:sz w:val="21"/>
          <w:szCs w:val="21"/>
          <w:color w:val="auto"/>
        </w:rPr>
        <w:t>12.7</w:t>
        <w:tab/>
        <w:t>SECTION 409A. Without limiting the generality of Section 7.6, the parties intend for the payments and benefits under this Agreement to be exempt from Section 409A or, if not so exempt, to be paid or provided in a manner which complies with the requirements of such section, and intend that this Agreement shall be construed and administered in accordance with such intention. If any payments or benefits due to Executive hereunder would cause the application of an accelerated or additional tax under Section 409A, such payments or benefits shall be restructured in a mutually agreed upon manner that to the extent possible preserves the economic benefit and original intent thereof but does not cause such an accelerated or additional tax. For purposes of the limitations on nonqualified deferred compensation under Section 409A, each payment of compensation under this Agreement shall be treated as a separate payment of compensation.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 (6) month period immediately following Executive’s separation from service shall instead be paid on the first business day after the date that is six (6) months following Executive’s termination date (or death, if earlier). In the event that any payment under this Agreement may be made in two calendar years, depending on the timing of execution of a release, such payment shall be made in the later calendar year, to the extent required by Section 409A. Notwithstanding anything to the contrary in this Agreement, all (A) reimbursements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980" w:top="60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640"/>
        <w:spacing w:after="0" w:line="222" w:lineRule="auto"/>
        <w:rPr>
          <w:sz w:val="20"/>
          <w:szCs w:val="20"/>
          <w:color w:val="auto"/>
        </w:rPr>
      </w:pPr>
      <w:r>
        <w:rPr>
          <w:rFonts w:ascii="Times New Roman" w:cs="Times New Roman" w:eastAsia="Times New Roman" w:hAnsi="Times New Roman"/>
          <w:sz w:val="21"/>
          <w:szCs w:val="21"/>
          <w:color w:val="auto"/>
        </w:rPr>
        <w:t>and (B) in-kind benefits provided under this Agreement shall be made or provided in accordance with the requirements of Section 409A, including, where applicable, the requirement that (x) the amount of expenses eligible for reimbursement, or in kind benefits provided, during a calendar year may not affect the expenses eligible for reimbursement, or in kind benefits to be provided, in any other calendar year; (y) the reimbursement of an eligible expense will be made no later than the last day of the calendar year following the year in which the expense is incurred; and (z) the right to reimbursement or in kind benefits is not subject to liquidation or exchange for another benefit.</w:t>
      </w:r>
    </w:p>
    <w:p>
      <w:pPr>
        <w:spacing w:after="0" w:line="156" w:lineRule="exact"/>
        <w:rPr>
          <w:sz w:val="20"/>
          <w:szCs w:val="20"/>
          <w:color w:val="auto"/>
        </w:rPr>
      </w:pPr>
    </w:p>
    <w:p>
      <w:pPr>
        <w:jc w:val="both"/>
        <w:ind w:left="640" w:hanging="644"/>
        <w:spacing w:after="0" w:line="229" w:lineRule="auto"/>
        <w:tabs>
          <w:tab w:leader="none" w:pos="620" w:val="left"/>
        </w:tabs>
        <w:rPr>
          <w:sz w:val="20"/>
          <w:szCs w:val="20"/>
          <w:color w:val="auto"/>
        </w:rPr>
      </w:pPr>
      <w:r>
        <w:rPr>
          <w:rFonts w:ascii="Times New Roman" w:cs="Times New Roman" w:eastAsia="Times New Roman" w:hAnsi="Times New Roman"/>
          <w:sz w:val="21"/>
          <w:szCs w:val="21"/>
          <w:color w:val="auto"/>
        </w:rPr>
        <w:t>12.8</w:t>
        <w:tab/>
        <w:t>COUNTERPARTS. This Agreement may be executed in several counterparts, each of which shall be deemed as an original, but all of which together shall constitute one and the same instrument binding on all of the parties hereto, notwithstanding that all of the parties are not signatory to the same counterpart. This Agreement may be executed either by original, facsimile, or electronic copy, each of which will be equally binding.</w:t>
      </w:r>
    </w:p>
    <w:p>
      <w:pPr>
        <w:spacing w:after="0" w:line="153" w:lineRule="exact"/>
        <w:rPr>
          <w:sz w:val="20"/>
          <w:szCs w:val="20"/>
          <w:color w:val="auto"/>
        </w:rPr>
      </w:pPr>
    </w:p>
    <w:p>
      <w:pPr>
        <w:jc w:val="both"/>
        <w:ind w:left="640" w:hanging="644"/>
        <w:spacing w:after="0" w:line="226" w:lineRule="auto"/>
        <w:tabs>
          <w:tab w:leader="none" w:pos="620" w:val="left"/>
        </w:tabs>
        <w:rPr>
          <w:sz w:val="20"/>
          <w:szCs w:val="20"/>
          <w:color w:val="auto"/>
        </w:rPr>
      </w:pPr>
      <w:r>
        <w:rPr>
          <w:rFonts w:ascii="Times New Roman" w:cs="Times New Roman" w:eastAsia="Times New Roman" w:hAnsi="Times New Roman"/>
          <w:sz w:val="21"/>
          <w:szCs w:val="21"/>
          <w:color w:val="auto"/>
        </w:rPr>
        <w:t>12.9</w:t>
        <w:tab/>
        <w:t xml:space="preserve">ENTIRE AGREEMENT. Unless otherwise specified herein, this Agreement, together with Appendix A, sets forth every contract, understanding and arrangement as to the employment relationship between Executive and the Company (other than the Change in Control Agreement and any equity award agreement under the Equity Plan;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in the event that this Agreement conflicts with the terms of any equity award agreement,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shall govern unless otherwise expressly stated in such equity award agreement).</w:t>
      </w:r>
    </w:p>
    <w:p>
      <w:pPr>
        <w:spacing w:after="0" w:line="153" w:lineRule="exact"/>
        <w:rPr>
          <w:sz w:val="20"/>
          <w:szCs w:val="20"/>
          <w:color w:val="auto"/>
        </w:rPr>
      </w:pPr>
    </w:p>
    <w:p>
      <w:pPr>
        <w:jc w:val="both"/>
        <w:ind w:left="1280" w:hanging="644"/>
        <w:spacing w:after="0" w:line="235" w:lineRule="auto"/>
        <w:rPr>
          <w:sz w:val="20"/>
          <w:szCs w:val="20"/>
          <w:color w:val="auto"/>
        </w:rPr>
      </w:pPr>
      <w:r>
        <w:rPr>
          <w:rFonts w:ascii="Times New Roman" w:cs="Times New Roman" w:eastAsia="Times New Roman" w:hAnsi="Times New Roman"/>
          <w:sz w:val="21"/>
          <w:szCs w:val="21"/>
          <w:color w:val="auto"/>
        </w:rPr>
        <w:t>12.9.a 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51" w:lineRule="exact"/>
        <w:rPr>
          <w:sz w:val="20"/>
          <w:szCs w:val="20"/>
          <w:color w:val="auto"/>
        </w:rPr>
      </w:pPr>
    </w:p>
    <w:p>
      <w:pPr>
        <w:jc w:val="both"/>
        <w:ind w:left="1280" w:hanging="644"/>
        <w:spacing w:after="0" w:line="251" w:lineRule="auto"/>
        <w:rPr>
          <w:sz w:val="20"/>
          <w:szCs w:val="20"/>
          <w:color w:val="auto"/>
        </w:rPr>
      </w:pPr>
      <w:r>
        <w:rPr>
          <w:rFonts w:ascii="Times New Roman" w:cs="Times New Roman" w:eastAsia="Times New Roman" w:hAnsi="Times New Roman"/>
          <w:sz w:val="21"/>
          <w:szCs w:val="21"/>
          <w:color w:val="auto"/>
        </w:rPr>
        <w:t>12.9.b AMENDMENTS. This Agreement may not be amended except in a writing signed by the Executive and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980" w:top="60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0" w:lineRule="exact"/>
        <w:rPr>
          <w:sz w:val="20"/>
          <w:szCs w:val="20"/>
          <w:color w:val="auto"/>
        </w:rPr>
      </w:pPr>
    </w:p>
    <w:p>
      <w:pPr>
        <w:ind w:left="660" w:right="1360" w:hanging="644"/>
        <w:spacing w:after="0" w:line="509"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Executive and Company have executed this Agreement as of the date set forth above.</w:t>
      </w:r>
      <w:r>
        <w:rPr>
          <w:rFonts w:ascii="Times New Roman" w:cs="Times New Roman" w:eastAsia="Times New Roman" w:hAnsi="Times New Roman"/>
          <w:sz w:val="21"/>
          <w:szCs w:val="21"/>
          <w:b w:val="1"/>
          <w:bCs w:val="1"/>
          <w:color w:val="auto"/>
        </w:rPr>
        <w:t xml:space="preserve"> Executive: </w:t>
      </w:r>
      <w:r>
        <w:rPr>
          <w:rFonts w:ascii="Times New Roman" w:cs="Times New Roman" w:eastAsia="Times New Roman" w:hAnsi="Times New Roman"/>
          <w:sz w:val="21"/>
          <w:szCs w:val="21"/>
          <w:color w:val="auto"/>
        </w:rPr>
        <w:t>Raul Valentin</w:t>
      </w:r>
    </w:p>
    <w:p>
      <w:pPr>
        <w:spacing w:after="0" w:line="391" w:lineRule="exact"/>
        <w:rPr>
          <w:sz w:val="20"/>
          <w:szCs w:val="20"/>
          <w:color w:val="auto"/>
        </w:rPr>
      </w:pPr>
    </w:p>
    <w:p>
      <w:pPr>
        <w:ind w:left="1140"/>
        <w:spacing w:after="0"/>
        <w:tabs>
          <w:tab w:leader="none" w:pos="2260" w:val="left"/>
        </w:tabs>
        <w:rPr>
          <w:sz w:val="20"/>
          <w:szCs w:val="20"/>
          <w:color w:val="auto"/>
        </w:rPr>
      </w:pPr>
      <w:r>
        <w:rPr>
          <w:rFonts w:ascii="Times New Roman" w:cs="Times New Roman" w:eastAsia="Times New Roman" w:hAnsi="Times New Roman"/>
          <w:sz w:val="21"/>
          <w:szCs w:val="21"/>
          <w:color w:val="auto"/>
        </w:rPr>
        <w:t>Signature:</w:t>
        <w:tab/>
        <w:t>/s/ Raul Valentin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-6985</wp:posOffset>
            </wp:positionV>
            <wp:extent cx="17291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729105" cy="8255"/>
                    </a:xfrm>
                    <a:prstGeom prst="rect">
                      <a:avLst/>
                    </a:prstGeom>
                    <a:noFill/>
                  </pic:spPr>
                </pic:pic>
              </a:graphicData>
            </a:graphic>
          </wp:anchor>
        </w:drawing>
      </w:r>
    </w:p>
    <w:p>
      <w:pPr>
        <w:spacing w:after="0" w:line="196" w:lineRule="exact"/>
        <w:rPr>
          <w:sz w:val="20"/>
          <w:szCs w:val="20"/>
          <w:color w:val="auto"/>
        </w:rPr>
      </w:pPr>
    </w:p>
    <w:tbl>
      <w:tblPr>
        <w:tblLayout w:type="fixed"/>
        <w:tblInd w:w="700" w:type="dxa"/>
        <w:tblCellMar>
          <w:top w:w="0" w:type="dxa"/>
          <w:left w:w="0" w:type="dxa"/>
          <w:bottom w:w="0" w:type="dxa"/>
          <w:right w:w="0" w:type="dxa"/>
        </w:tblCellMar>
      </w:tblPr>
      <w:tr>
        <w:trPr>
          <w:trHeight w:val="241"/>
        </w:trPr>
        <w:tc>
          <w:tcPr>
            <w:tcW w:w="960" w:type="dxa"/>
            <w:vAlign w:val="bottom"/>
            <w:gridSpan w:val="2"/>
          </w:tcPr>
          <w:p>
            <w:pPr>
              <w:ind w:left="440"/>
              <w:spacing w:after="0"/>
              <w:rPr>
                <w:sz w:val="20"/>
                <w:szCs w:val="20"/>
                <w:color w:val="auto"/>
              </w:rPr>
            </w:pPr>
            <w:r>
              <w:rPr>
                <w:rFonts w:ascii="Times New Roman" w:cs="Times New Roman" w:eastAsia="Times New Roman" w:hAnsi="Times New Roman"/>
                <w:sz w:val="21"/>
                <w:szCs w:val="21"/>
                <w:color w:val="auto"/>
              </w:rPr>
              <w:t>Date:</w:t>
            </w:r>
          </w:p>
        </w:tc>
        <w:tc>
          <w:tcPr>
            <w:tcW w:w="1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21"/>
                <w:szCs w:val="21"/>
                <w:color w:val="auto"/>
              </w:rPr>
              <w:t>September 20, 2021</w:t>
            </w:r>
          </w:p>
        </w:tc>
        <w:tc>
          <w:tcPr>
            <w:tcW w:w="1420" w:type="dxa"/>
            <w:vAlign w:val="bottom"/>
            <w:gridSpan w:val="2"/>
          </w:tcPr>
          <w:p>
            <w:pPr>
              <w:spacing w:after="0"/>
              <w:rPr>
                <w:sz w:val="21"/>
                <w:szCs w:val="21"/>
                <w:color w:val="auto"/>
              </w:rPr>
            </w:pPr>
          </w:p>
        </w:tc>
      </w:tr>
      <w:tr>
        <w:trPr>
          <w:trHeight w:val="971"/>
        </w:trPr>
        <w:tc>
          <w:tcPr>
            <w:tcW w:w="108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Company:</w:t>
            </w:r>
          </w:p>
        </w:tc>
        <w:tc>
          <w:tcPr>
            <w:tcW w:w="452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ABM Industries Incorporated</w:t>
            </w:r>
          </w:p>
        </w:tc>
      </w:tr>
      <w:tr>
        <w:trPr>
          <w:trHeight w:val="903"/>
        </w:trPr>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4"/>
          </w:tcPr>
          <w:p>
            <w:pPr>
              <w:ind w:left="160"/>
              <w:spacing w:after="0"/>
              <w:rPr>
                <w:sz w:val="20"/>
                <w:szCs w:val="20"/>
                <w:color w:val="auto"/>
              </w:rPr>
            </w:pPr>
            <w:r>
              <w:rPr>
                <w:rFonts w:ascii="Times New Roman" w:cs="Times New Roman" w:eastAsia="Times New Roman" w:hAnsi="Times New Roman"/>
                <w:sz w:val="21"/>
                <w:szCs w:val="21"/>
                <w:color w:val="auto"/>
              </w:rPr>
              <w:t>Signature:   /s/ Andrea Newborn</w:t>
            </w:r>
          </w:p>
        </w:tc>
      </w:tr>
      <w:tr>
        <w:trPr>
          <w:trHeight w:val="20"/>
        </w:trPr>
        <w:tc>
          <w:tcPr>
            <w:tcW w:w="9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0"/>
        </w:trPr>
        <w:tc>
          <w:tcPr>
            <w:tcW w:w="9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Title:</w:t>
            </w:r>
          </w:p>
        </w:tc>
        <w:tc>
          <w:tcPr>
            <w:tcW w:w="140" w:type="dxa"/>
            <w:vAlign w:val="bottom"/>
            <w:tcBorders>
              <w:bottom w:val="single" w:sz="8" w:color="auto"/>
            </w:tcBorders>
            <w:gridSpan w:val="2"/>
          </w:tcPr>
          <w:p>
            <w:pPr>
              <w:spacing w:after="0"/>
              <w:rPr>
                <w:sz w:val="24"/>
                <w:szCs w:val="24"/>
                <w:color w:val="auto"/>
              </w:rPr>
            </w:pPr>
          </w:p>
        </w:tc>
        <w:tc>
          <w:tcPr>
            <w:tcW w:w="45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21"/>
                <w:szCs w:val="21"/>
                <w:color w:val="auto"/>
              </w:rPr>
              <w:t>Executive Vice President and General Counsel</w:t>
            </w:r>
          </w:p>
        </w:tc>
      </w:tr>
      <w:tr>
        <w:trPr>
          <w:trHeight w:val="450"/>
        </w:trPr>
        <w:tc>
          <w:tcPr>
            <w:tcW w:w="960" w:type="dxa"/>
            <w:vAlign w:val="bottom"/>
            <w:gridSpan w:val="2"/>
          </w:tcPr>
          <w:p>
            <w:pPr>
              <w:ind w:left="440"/>
              <w:spacing w:after="0"/>
              <w:rPr>
                <w:sz w:val="20"/>
                <w:szCs w:val="20"/>
                <w:color w:val="auto"/>
              </w:rPr>
            </w:pPr>
            <w:r>
              <w:rPr>
                <w:rFonts w:ascii="Times New Roman" w:cs="Times New Roman" w:eastAsia="Times New Roman" w:hAnsi="Times New Roman"/>
                <w:sz w:val="21"/>
                <w:szCs w:val="21"/>
                <w:color w:val="auto"/>
              </w:rPr>
              <w:t>Date:</w:t>
            </w: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21"/>
                <w:szCs w:val="21"/>
                <w:color w:val="auto"/>
              </w:rPr>
              <w:t>September 17, 2021</w:t>
            </w:r>
          </w:p>
        </w:tc>
        <w:tc>
          <w:tcPr>
            <w:tcW w:w="142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60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233" w:lineRule="exact"/>
        <w:rPr>
          <w:sz w:val="20"/>
          <w:szCs w:val="20"/>
          <w:color w:val="auto"/>
        </w:rPr>
      </w:pPr>
    </w:p>
    <w:p>
      <w:pPr>
        <w:ind w:left="1300" w:hanging="648"/>
        <w:spacing w:after="0" w:line="258" w:lineRule="auto"/>
        <w:tabs>
          <w:tab w:leader="none" w:pos="112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ASSIGNMENT. Executive hereby assigns, and agrees to assign, to the Company, without additional compensation, Executive’s entire right, title and interest in and to (a) all Creations, and (b) all benefits, privileges, causes of action and remedies relating to the Creations, whether before or hereafter accrued (including, without limitation, the exclusive rights to apply for and maintain all such registrations, renewals and/or extensions; to sue for all past, present or future infringements or other violations of any rights in the Creation; and to settle and retain proceeds from any such actions). As used herein, the term Creations includes, but is not limited to, creations,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the Company or its affiliates, and that are made, conceived or developed by Executive (either alone or jointly with others), or result from or are suggested by any work performed by Executive (either alone or jointly with others) for or on behalf of the Company or its affiliates: (i) during the period of Executive’s employment with the Company, whether or not made, conceived or developed during regular business hours; or (ii) after termination of Executive’s employment if based on Confidential Information. Executive agrees that all such Creations are the sole property of the Company or any other entity designated by it, and, to the maximum extent permitted by applicable law, any copyrightable Creation will be deemed a work made for hire. If the State of Employment is California, Executive UNDERSTANDS THAT THIS PARAGRAPH DOES NOT APPLY TO ANY CREATION WHICH QUALIFIES FULLY UNDER THE PROVISIONS OF SECTION 2870 OF THE LABOR CODE OF THE STATE OF CALIFORNIA, A COPY OF WHICH IS ATTACHED BELOW. Executive understands that nothing in this Agreement is intended to expand the scope of protection provided to Executive by Sections 2870 through 2872 of the California Labor Code.</w:t>
      </w:r>
    </w:p>
    <w:p>
      <w:pPr>
        <w:spacing w:after="0" w:line="200" w:lineRule="exact"/>
        <w:rPr>
          <w:rFonts w:ascii="Times New Roman" w:cs="Times New Roman" w:eastAsia="Times New Roman" w:hAnsi="Times New Roman"/>
          <w:sz w:val="21"/>
          <w:szCs w:val="21"/>
          <w:color w:val="auto"/>
        </w:rPr>
      </w:pPr>
    </w:p>
    <w:p>
      <w:pPr>
        <w:spacing w:after="0" w:line="238" w:lineRule="exact"/>
        <w:rPr>
          <w:rFonts w:ascii="Times New Roman" w:cs="Times New Roman" w:eastAsia="Times New Roman" w:hAnsi="Times New Roman"/>
          <w:sz w:val="21"/>
          <w:szCs w:val="21"/>
          <w:color w:val="auto"/>
        </w:rPr>
      </w:pPr>
    </w:p>
    <w:p>
      <w:pPr>
        <w:ind w:left="1300" w:hanging="648"/>
        <w:spacing w:after="0" w:line="261" w:lineRule="auto"/>
        <w:tabs>
          <w:tab w:leader="none" w:pos="1067"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 Executive agrees to disclose promptly and fully to Executive’s immediate supervisor at the Company, and to hold in confidence for the sole right, benefit and use of Company, any and all Creations made, conceived or developed by Executive (either alone or jointly with others) during Executive’s employment with the Company, or within one (1) year after the termination of Executive’s employment if based on Confidential Information. Such disclosure will be received and held in confidence by the Company. In addition, Executive agrees to keep and maintain adequate and current written records on the development of all Creations made, conceived or developed by Executive (either alone or jointly with others) during Executive’s period of employment or during the one-year period following termination of Executive’s employment, which records will be available to and remain the sole property of the Company at all times.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60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4" w:lineRule="exact"/>
        <w:rPr>
          <w:sz w:val="20"/>
          <w:szCs w:val="20"/>
          <w:color w:val="auto"/>
        </w:rPr>
      </w:pPr>
    </w:p>
    <w:p>
      <w:pPr>
        <w:ind w:left="1300" w:hanging="648"/>
        <w:spacing w:after="0" w:line="259" w:lineRule="auto"/>
        <w:tabs>
          <w:tab w:leader="none" w:pos="107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WITH REGISTRATION. Executive agrees that Executive will, at the Company’s request, promptly execute a written assignment of title for any Creation required to be assigned by Section B. Executive further agrees to perform, during and after Executive’s employment, all acts deemed necessary or desirable by the Company to assist it (at its expense) in obtaining and enforcing the full benefits, enjoyment, rights and title throughout the world in the Creation assigned to the Company pursuant to Section B. Such acts may include, but are not limited to, execution of documents and assistance or cooperation in legal proceedings. Should the Company be unable to secure Executive’s signature on any document necessary to apply for, prosecute, obtain, or enforce any patent, copyright, or other right or protection relating to any Creation, whether due to Executive’s mental or physical incapacity or any other cause, Executive hereby irrevocably designates and appoints the Company and each of its duly authorized officers and agents as Executive’s agent and attorney-in-fact, to undertake such acts in Executive’s name as if executed and delivered by Executive, and Executive waives and quitclaims to the Company any and all claims of any nature whatsoever that Executive may not have or may later have for infringement of any intellectual property rights in the Creations. The Company will compensate Executive at a reasonable rate for time actually spent by Executive at the Company’s request on such assistance at any time following termination of Executive’s employment with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CALIFORNIA LABOR CODESECTION 2870-2872</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55" w:lineRule="exact"/>
        <w:rPr>
          <w:sz w:val="20"/>
          <w:szCs w:val="20"/>
          <w:color w:val="auto"/>
        </w:rPr>
      </w:pPr>
    </w:p>
    <w:p>
      <w:pPr>
        <w:ind w:left="1300" w:hanging="648"/>
        <w:spacing w:after="0" w:line="291" w:lineRule="auto"/>
        <w:tabs>
          <w:tab w:leader="none" w:pos="130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at the time of conception or reduction to practice of the invention to the employer’s business, or actual or demonstrably anticipated research or development of the employer; or</w:t>
      </w:r>
    </w:p>
    <w:p>
      <w:pPr>
        <w:spacing w:after="0" w:line="139"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 from any work performed by the employee for the employer.</w:t>
      </w:r>
    </w:p>
    <w:p>
      <w:pPr>
        <w:spacing w:after="0" w:line="242" w:lineRule="exact"/>
        <w:rPr>
          <w:rFonts w:ascii="Times New Roman" w:cs="Times New Roman" w:eastAsia="Times New Roman" w:hAnsi="Times New Roman"/>
          <w:sz w:val="21"/>
          <w:szCs w:val="21"/>
          <w:color w:val="auto"/>
        </w:rPr>
      </w:pPr>
    </w:p>
    <w:p>
      <w:pPr>
        <w:jc w:val="both"/>
        <w:ind w:firstLine="7"/>
        <w:spacing w:after="0" w:line="283" w:lineRule="auto"/>
        <w:tabs>
          <w:tab w:leader="none" w:pos="33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3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6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1"/>
          <w:szCs w:val="21"/>
          <w:color w:val="auto"/>
        </w:rPr>
        <w:t>2872. If an employment agreement entered into after January 1, 1980, contains a provision requiring the employee to assign or offer to assign any of his or her rights in any invention to his or her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60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1"/>
          <w:szCs w:val="21"/>
          <w:color w:val="auto"/>
        </w:rPr>
        <w:t>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60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CHANGE IN CONTROL AGREEMENT</w:t>
      </w:r>
    </w:p>
    <w:p>
      <w:pPr>
        <w:spacing w:after="0" w:line="233"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21"/>
          <w:szCs w:val="21"/>
          <w:color w:val="auto"/>
        </w:rPr>
        <w:t>This Change in Control Agreement (this “Agreement”), effective as September 1, 2021 is made between ABM Industries Incorporated, a Delaware corporation (the “Company”) and the individual executing this Agreement as the Executive on the signature page (the “Executive”).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33" w:lineRule="exact"/>
        <w:rPr>
          <w:sz w:val="20"/>
          <w:szCs w:val="20"/>
          <w:color w:val="auto"/>
        </w:rPr>
      </w:pPr>
    </w:p>
    <w:p>
      <w:pPr>
        <w:ind w:right="760" w:firstLine="652"/>
        <w:spacing w:after="0" w:line="291" w:lineRule="auto"/>
        <w:tabs>
          <w:tab w:leader="none" w:pos="106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is a senior executive of the Company and has made and is expected to continue to make major contributions to the short- and long-term profitability, growth and financial strength of the Company;</w:t>
      </w:r>
    </w:p>
    <w:p>
      <w:pPr>
        <w:spacing w:after="0" w:line="139" w:lineRule="exact"/>
        <w:rPr>
          <w:rFonts w:ascii="Times New Roman" w:cs="Times New Roman" w:eastAsia="Times New Roman" w:hAnsi="Times New Roman"/>
          <w:sz w:val="21"/>
          <w:szCs w:val="21"/>
          <w:color w:val="auto"/>
        </w:rPr>
      </w:pPr>
    </w:p>
    <w:p>
      <w:pPr>
        <w:ind w:right="160" w:firstLine="652"/>
        <w:spacing w:after="0" w:line="270" w:lineRule="auto"/>
        <w:tabs>
          <w:tab w:leader="none" w:pos="105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recognizes that the possibility of a Change in Control, as hereinafter defined, exists and that such possibility, and the uncertainty it may create among management, may result in the distraction or departure of management personnel, to the detriment of the Company and its stockholders, including a reduction of the value received by stockholders in a Change in Control transaction;</w:t>
      </w:r>
    </w:p>
    <w:p>
      <w:pPr>
        <w:spacing w:after="0" w:line="162" w:lineRule="exact"/>
        <w:rPr>
          <w:rFonts w:ascii="Times New Roman" w:cs="Times New Roman" w:eastAsia="Times New Roman" w:hAnsi="Times New Roman"/>
          <w:sz w:val="21"/>
          <w:szCs w:val="21"/>
          <w:color w:val="auto"/>
        </w:rPr>
      </w:pPr>
    </w:p>
    <w:p>
      <w:pPr>
        <w:ind w:right="40" w:firstLine="652"/>
        <w:spacing w:after="0" w:line="291" w:lineRule="auto"/>
        <w:tabs>
          <w:tab w:leader="none" w:pos="105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desires to assure itself of both present and future continuity of management and to establish fixed severance benefits for certain of its senior executives, including the Executive, applicable in the event of a Change in Control; and</w:t>
      </w:r>
    </w:p>
    <w:p>
      <w:pPr>
        <w:spacing w:after="0" w:line="139" w:lineRule="exact"/>
        <w:rPr>
          <w:rFonts w:ascii="Times New Roman" w:cs="Times New Roman" w:eastAsia="Times New Roman" w:hAnsi="Times New Roman"/>
          <w:sz w:val="21"/>
          <w:szCs w:val="21"/>
          <w:color w:val="auto"/>
        </w:rPr>
      </w:pPr>
    </w:p>
    <w:p>
      <w:pPr>
        <w:ind w:right="180" w:firstLine="652"/>
        <w:spacing w:after="0" w:line="304" w:lineRule="auto"/>
        <w:tabs>
          <w:tab w:leader="none" w:pos="106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desires to provide additional inducement for the Executive to continue to remain in the employ of the Company. Accordingly, the Company and the Executive agree as follows:</w:t>
      </w:r>
    </w:p>
    <w:p>
      <w:pPr>
        <w:spacing w:after="0" w:line="100" w:lineRule="exact"/>
        <w:rPr>
          <w:rFonts w:ascii="Times New Roman" w:cs="Times New Roman" w:eastAsia="Times New Roman" w:hAnsi="Times New Roman"/>
          <w:sz w:val="21"/>
          <w:szCs w:val="21"/>
          <w:color w:val="auto"/>
        </w:rPr>
      </w:pPr>
    </w:p>
    <w:p>
      <w:pPr>
        <w:ind w:left="1940" w:right="760" w:hanging="643"/>
        <w:spacing w:after="0" w:line="251" w:lineRule="auto"/>
        <w:tabs>
          <w:tab w:leader="none" w:pos="194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Defined Terms</w:t>
      </w:r>
      <w:r>
        <w:rPr>
          <w:rFonts w:ascii="Times New Roman" w:cs="Times New Roman" w:eastAsia="Times New Roman" w:hAnsi="Times New Roman"/>
          <w:sz w:val="21"/>
          <w:szCs w:val="21"/>
          <w:color w:val="auto"/>
        </w:rPr>
        <w:t>. In addition to terms defined elsewhere herein, the following terms have the following meanings when used in this Agreement with initial capital letters:</w:t>
      </w:r>
    </w:p>
    <w:p>
      <w:pPr>
        <w:spacing w:after="0" w:line="139" w:lineRule="exact"/>
        <w:rPr>
          <w:rFonts w:ascii="Times New Roman" w:cs="Times New Roman" w:eastAsia="Times New Roman" w:hAnsi="Times New Roman"/>
          <w:sz w:val="21"/>
          <w:szCs w:val="21"/>
          <w:color w:val="auto"/>
        </w:rPr>
      </w:pPr>
    </w:p>
    <w:p>
      <w:pPr>
        <w:ind w:right="220" w:firstLine="1942"/>
        <w:spacing w:after="0" w:line="235" w:lineRule="auto"/>
        <w:tabs>
          <w:tab w:leader="none" w:pos="2577"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“After-Tax Amount” means the amount to be received by an Executive determined on an after-tax basis taking into account the excise tax imposed pursuant to Section 4999 of the Code, any tax imposed by any comparable provision of state law and any applicable federal, state and local income and employment taxes.</w:t>
      </w:r>
    </w:p>
    <w:p>
      <w:pPr>
        <w:spacing w:after="0" w:line="150" w:lineRule="exact"/>
        <w:rPr>
          <w:rFonts w:ascii="Times New Roman" w:cs="Times New Roman" w:eastAsia="Times New Roman" w:hAnsi="Times New Roman"/>
          <w:sz w:val="21"/>
          <w:szCs w:val="21"/>
          <w:color w:val="auto"/>
        </w:rPr>
      </w:pPr>
    </w:p>
    <w:p>
      <w:pPr>
        <w:ind w:right="140" w:firstLine="1942"/>
        <w:spacing w:after="0" w:line="251" w:lineRule="auto"/>
        <w:tabs>
          <w:tab w:leader="none" w:pos="2575"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Pay” means the Executive’s annual base salary rate as in effect at the time a determination is required to be made under Section 4.</w:t>
      </w:r>
    </w:p>
    <w:p>
      <w:pPr>
        <w:spacing w:after="0" w:line="139" w:lineRule="exact"/>
        <w:rPr>
          <w:rFonts w:ascii="Times New Roman" w:cs="Times New Roman" w:eastAsia="Times New Roman" w:hAnsi="Times New Roman"/>
          <w:sz w:val="21"/>
          <w:szCs w:val="21"/>
          <w:color w:val="auto"/>
        </w:rPr>
      </w:pPr>
    </w:p>
    <w:p>
      <w:pPr>
        <w:ind w:right="120" w:firstLine="1942"/>
        <w:spacing w:after="0"/>
        <w:tabs>
          <w:tab w:leader="none" w:pos="2577"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 means the Board of Directors of the Company; any action of the Board herein contemplated will be valid if adopted by a majority of the total number of directors then in office or a majority of the Incumbent Directors and, for purposes of interpreting, amending or waiving any portion of this Agreement, may be adopted by a majority of the Incumbent Directors by written action, whether or not unanimous, or may be delegated by specific action of the Board of Directors after the date hereof to any directorate committee comprised solely of Incumbent Directors who are also Independent Directors.</w:t>
      </w:r>
    </w:p>
    <w:p>
      <w:pPr>
        <w:spacing w:after="0" w:line="297" w:lineRule="exact"/>
        <w:rPr>
          <w:rFonts w:ascii="Times New Roman" w:cs="Times New Roman" w:eastAsia="Times New Roman" w:hAnsi="Times New Roman"/>
          <w:sz w:val="21"/>
          <w:szCs w:val="21"/>
          <w:color w:val="auto"/>
        </w:rPr>
      </w:pPr>
    </w:p>
    <w:p>
      <w:pPr>
        <w:ind w:right="1000" w:firstLine="1942"/>
        <w:spacing w:after="0" w:line="251" w:lineRule="auto"/>
        <w:tabs>
          <w:tab w:leader="none" w:pos="2575"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shall mean, with respect to the Executive: (i) the willful and continued failure to substantially perform the Executive’s duties and</w:t>
      </w:r>
    </w:p>
    <w:p>
      <w:pPr>
        <w:sectPr>
          <w:pgSz w:w="11900" w:h="16838" w:orient="portrait"/>
          <w:cols w:equalWidth="0" w:num="1">
            <w:col w:w="11240"/>
          </w:cols>
          <w:pgMar w:left="320" w:top="117" w:right="339" w:bottom="1440" w:gutter="0" w:footer="0" w:header="0"/>
        </w:sectPr>
      </w:pPr>
    </w:p>
    <w:bookmarkStart w:id="58" w:name="page59"/>
    <w:bookmarkEnd w:id="58"/>
    <w:p>
      <w:pPr>
        <w:spacing w:after="0" w:line="215" w:lineRule="auto"/>
        <w:rPr>
          <w:sz w:val="20"/>
          <w:szCs w:val="20"/>
          <w:color w:val="auto"/>
        </w:rPr>
      </w:pPr>
      <w:r>
        <w:rPr>
          <w:rFonts w:ascii="Times New Roman" w:cs="Times New Roman" w:eastAsia="Times New Roman" w:hAnsi="Times New Roman"/>
          <w:sz w:val="21"/>
          <w:szCs w:val="21"/>
          <w:color w:val="auto"/>
        </w:rPr>
        <w:t>responsibilities for reasons other than death or disability, after a written demand for substantial performance is delivered to him/her by the Company which specifically identifies the manner in which the Company believes that the Executive has not substantially performed the Executive’s duties; (ii) the Executive’s conviction (or entry of a plea bargain admitting criminal guilt) of any felony or a misdemeanor involving moral turpitude; (iii) intentional breach by the Executive of his/her fiduciary obligations to the Company or any securities laws applicable to the Company for which Executive has direct responsibility and of which he was not acting under instructions of the Board or under the belief, based on advice of Company counsel, that his conduct was appropriate; or (iv) intentional wrongful engagement by the Executive in any Competitive Activity; and, for purposes of this subsection (iv), any such act shall have been demonstrably and materially harmful to the Company. For purposes of this Agreement, no act or failure to act on the part of the Executive will be deemed “intentional” if it was due primarily to an error in judgment or negligence, but will be deemed “intentional” only if done or omitted to be done by the Executive not in good faith and without reasonable belief that the Executive’s action or omission was in the best interest of the Company. No Cause shall exist until the Company has given Executive written notice describing the circumstances giving rise to Cause in reasonable detail and, to the extent such circumstances are susceptible to remedy, Executive has failed to remedy such circumstances within fifteen</w:t>
      </w:r>
    </w:p>
    <w:p>
      <w:pPr>
        <w:spacing w:after="0" w:line="7" w:lineRule="exact"/>
        <w:rPr>
          <w:sz w:val="20"/>
          <w:szCs w:val="20"/>
          <w:color w:val="auto"/>
        </w:rPr>
      </w:pPr>
    </w:p>
    <w:p>
      <w:pPr>
        <w:ind w:left="420" w:hanging="413"/>
        <w:spacing w:after="0"/>
        <w:tabs>
          <w:tab w:leader="none" w:pos="4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receiving such notice.</w:t>
      </w:r>
    </w:p>
    <w:p>
      <w:pPr>
        <w:spacing w:after="0" w:line="160" w:lineRule="exact"/>
        <w:rPr>
          <w:rFonts w:ascii="Times New Roman" w:cs="Times New Roman" w:eastAsia="Times New Roman" w:hAnsi="Times New Roman"/>
          <w:sz w:val="21"/>
          <w:szCs w:val="21"/>
          <w:color w:val="auto"/>
        </w:rPr>
      </w:pPr>
    </w:p>
    <w:p>
      <w:pPr>
        <w:ind w:right="80" w:firstLine="1942"/>
        <w:spacing w:after="0" w:line="255" w:lineRule="auto"/>
        <w:tabs>
          <w:tab w:leader="none" w:pos="2577"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in Control” means that any of the following events occurs;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occurrence of such event constitutes a “change in effective ownership or control” of the Company, as defined in Section 409A:</w:t>
      </w:r>
    </w:p>
    <w:p>
      <w:pPr>
        <w:spacing w:after="0" w:line="136" w:lineRule="exact"/>
        <w:rPr>
          <w:sz w:val="20"/>
          <w:szCs w:val="20"/>
          <w:color w:val="auto"/>
        </w:rPr>
      </w:pPr>
    </w:p>
    <w:p>
      <w:pPr>
        <w:ind w:right="40" w:firstLine="1942"/>
        <w:spacing w:after="0" w:line="224" w:lineRule="auto"/>
        <w:tabs>
          <w:tab w:leader="none" w:pos="256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entity or group (within the meaning of Section 13(d)(3) or 14(d)(2) of the Exchange Act) (a “Person”)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after either such event, individuals who were members of the Board immediately prior to either such event cease to constitute a majority of the members of the Board; or</w:t>
      </w:r>
    </w:p>
    <w:p>
      <w:pPr>
        <w:spacing w:after="0" w:line="152" w:lineRule="exact"/>
        <w:rPr>
          <w:rFonts w:ascii="Times New Roman" w:cs="Times New Roman" w:eastAsia="Times New Roman" w:hAnsi="Times New Roman"/>
          <w:sz w:val="21"/>
          <w:szCs w:val="21"/>
          <w:color w:val="auto"/>
        </w:rPr>
      </w:pPr>
    </w:p>
    <w:p>
      <w:pPr>
        <w:ind w:left="2580" w:hanging="638"/>
        <w:spacing w:after="0"/>
        <w:tabs>
          <w:tab w:leader="none" w:pos="25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majority of the Board ceases to be comprised of Incumbent Directors; or</w:t>
      </w:r>
    </w:p>
    <w:p>
      <w:pPr>
        <w:spacing w:after="0" w:line="188" w:lineRule="exact"/>
        <w:rPr>
          <w:rFonts w:ascii="Times New Roman" w:cs="Times New Roman" w:eastAsia="Times New Roman" w:hAnsi="Times New Roman"/>
          <w:sz w:val="21"/>
          <w:szCs w:val="21"/>
          <w:color w:val="auto"/>
        </w:rPr>
      </w:pPr>
    </w:p>
    <w:p>
      <w:pPr>
        <w:ind w:right="40" w:firstLine="1942"/>
        <w:spacing w:after="0" w:line="220" w:lineRule="auto"/>
        <w:tabs>
          <w:tab w:leader="none" w:pos="25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(or, if it is such resulting entity, the Company) and (B) at least one-half of the members of the board of directors of the entity resulting from such Business Transaction were Incumbent Directors at the time of the execution of the initial agreement providing for such Business Transaction.</w:t>
      </w:r>
    </w:p>
    <w:p>
      <w:pPr>
        <w:spacing w:after="0" w:line="158" w:lineRule="exact"/>
        <w:rPr>
          <w:sz w:val="20"/>
          <w:szCs w:val="20"/>
          <w:color w:val="auto"/>
        </w:rPr>
      </w:pPr>
    </w:p>
    <w:p>
      <w:pPr>
        <w:ind w:left="2580" w:hanging="638"/>
        <w:spacing w:after="0"/>
        <w:tabs>
          <w:tab w:leader="none" w:pos="25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“Code”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89" w:right="339" w:bottom="1440" w:gutter="0" w:footer="0" w:header="0"/>
        </w:sectPr>
      </w:pPr>
    </w:p>
    <w:bookmarkStart w:id="59" w:name="page60"/>
    <w:bookmarkEnd w:id="59"/>
    <w:p>
      <w:pPr>
        <w:ind w:right="40" w:firstLine="1942"/>
        <w:spacing w:after="0" w:line="220" w:lineRule="auto"/>
        <w:tabs>
          <w:tab w:leader="none" w:pos="257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“Competitive Activity” means the Executive’s participation, without the written consent signed by an officer of the Company and authorized by the Board, in the management of any business enterprise if (i) such 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157" w:lineRule="exact"/>
        <w:rPr>
          <w:rFonts w:ascii="Times New Roman" w:cs="Times New Roman" w:eastAsia="Times New Roman" w:hAnsi="Times New Roman"/>
          <w:sz w:val="21"/>
          <w:szCs w:val="21"/>
          <w:color w:val="auto"/>
        </w:rPr>
      </w:pPr>
    </w:p>
    <w:p>
      <w:pPr>
        <w:ind w:firstLine="1942"/>
        <w:spacing w:after="0" w:line="220" w:lineRule="auto"/>
        <w:tabs>
          <w:tab w:leader="none" w:pos="257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Benefits” means the benefits and service credit for benefits as provided under any and all employee retirement income and welfare benefit policies, plans, programs or arrangements in which the Executive is entitled to participate, including without limitation any stock option, performance share, performance unit, stock purchase, stock appreciation, savings, pension, supplemental executive retirement, or other retirement income or welfare benefit, deferred compensation, incentive compensation, group or other life, health, medical/hospital or other insurance (whether funded by actual insurance or self-insured by the Company or a Subsidiary), disability, salary continuation, expense reimbursement and other employee benefit policies, plans, programs or arrangements that may now exist or any equivalent successor policies, plans, programs or arrangements that may be adopted hereafter by the Company or a Subsidiary, providing benefits and service credit for benefits at least as great in the aggregate as are payable thereunder immediately prior to a Change in Control.</w:t>
      </w:r>
    </w:p>
    <w:p>
      <w:pPr>
        <w:spacing w:after="0" w:line="157" w:lineRule="exact"/>
        <w:rPr>
          <w:rFonts w:ascii="Times New Roman" w:cs="Times New Roman" w:eastAsia="Times New Roman" w:hAnsi="Times New Roman"/>
          <w:sz w:val="21"/>
          <w:szCs w:val="21"/>
          <w:color w:val="auto"/>
        </w:rPr>
      </w:pPr>
    </w:p>
    <w:p>
      <w:pPr>
        <w:ind w:left="2580" w:hanging="638"/>
        <w:spacing w:after="0"/>
        <w:tabs>
          <w:tab w:leader="none" w:pos="25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“ERISA” means the Employee Retirement Income Security Act of 1976, as amended</w:t>
      </w:r>
    </w:p>
    <w:p>
      <w:pPr>
        <w:spacing w:after="0" w:line="188" w:lineRule="exact"/>
        <w:rPr>
          <w:rFonts w:ascii="Times New Roman" w:cs="Times New Roman" w:eastAsia="Times New Roman" w:hAnsi="Times New Roman"/>
          <w:sz w:val="21"/>
          <w:szCs w:val="21"/>
          <w:color w:val="auto"/>
        </w:rPr>
      </w:pPr>
    </w:p>
    <w:p>
      <w:pPr>
        <w:ind w:right="20" w:firstLine="1942"/>
        <w:spacing w:after="0" w:line="251" w:lineRule="auto"/>
        <w:tabs>
          <w:tab w:leader="none" w:pos="256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“Excess Parachute Payment” means a payment that creates an obligation for Executive to pay excise taxes under Section 280G of the Code.</w:t>
      </w:r>
    </w:p>
    <w:p>
      <w:pPr>
        <w:spacing w:after="0" w:line="139" w:lineRule="exact"/>
        <w:rPr>
          <w:rFonts w:ascii="Times New Roman" w:cs="Times New Roman" w:eastAsia="Times New Roman" w:hAnsi="Times New Roman"/>
          <w:sz w:val="21"/>
          <w:szCs w:val="21"/>
          <w:color w:val="auto"/>
        </w:rPr>
      </w:pPr>
    </w:p>
    <w:p>
      <w:pPr>
        <w:ind w:left="2580" w:hanging="638"/>
        <w:spacing w:after="0"/>
        <w:tabs>
          <w:tab w:leader="none" w:pos="25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“Exchange Act” means the Securities Exchange Act of 1934, as amended.</w:t>
      </w:r>
    </w:p>
    <w:p>
      <w:pPr>
        <w:spacing w:after="0" w:line="188" w:lineRule="exact"/>
        <w:rPr>
          <w:rFonts w:ascii="Times New Roman" w:cs="Times New Roman" w:eastAsia="Times New Roman" w:hAnsi="Times New Roman"/>
          <w:sz w:val="21"/>
          <w:szCs w:val="21"/>
          <w:color w:val="auto"/>
        </w:rPr>
      </w:pPr>
    </w:p>
    <w:p>
      <w:pPr>
        <w:ind w:right="940" w:firstLine="1942"/>
        <w:spacing w:after="0" w:line="251" w:lineRule="auto"/>
        <w:tabs>
          <w:tab w:leader="none" w:pos="256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“Good Reason” means the occurrence of one or more of the following events, without the Executive’s prior written consent:</w:t>
      </w:r>
    </w:p>
    <w:p>
      <w:pPr>
        <w:spacing w:after="0" w:line="140" w:lineRule="exact"/>
        <w:rPr>
          <w:sz w:val="20"/>
          <w:szCs w:val="20"/>
          <w:color w:val="auto"/>
        </w:rPr>
      </w:pPr>
    </w:p>
    <w:p>
      <w:pPr>
        <w:ind w:right="140" w:firstLine="1942"/>
        <w:spacing w:after="0" w:line="226" w:lineRule="auto"/>
        <w:tabs>
          <w:tab w:leader="none" w:pos="256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elect or reelect or otherwise to maintain the Executive in the office or the position he had with the Company immediately prior to a Change in Control, or a substantially equivalent or better office or position than that which he had with the Company immediately prior to the Change in Control, in either such case with the Company, any legal successor to the Company or, if the Company merges with or into another entity with substantial operations, with respect to the business of the Company and its Subsidiaries substantially as conducted immediately prior to the Change in Control;</w:t>
      </w:r>
    </w:p>
    <w:p>
      <w:pPr>
        <w:spacing w:after="0" w:line="152" w:lineRule="exact"/>
        <w:rPr>
          <w:rFonts w:ascii="Times New Roman" w:cs="Times New Roman" w:eastAsia="Times New Roman" w:hAnsi="Times New Roman"/>
          <w:sz w:val="21"/>
          <w:szCs w:val="21"/>
          <w:color w:val="auto"/>
        </w:rPr>
      </w:pPr>
    </w:p>
    <w:p>
      <w:pPr>
        <w:ind w:right="120" w:firstLine="1942"/>
        <w:spacing w:after="0" w:line="235" w:lineRule="auto"/>
        <w:tabs>
          <w:tab w:leader="none" w:pos="2574"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of the Company to remedy any of the following within 30 calendar days after receipt by the Company of written notice thereof from the Executive: (A) a significant adverse change in the nature or scope of the authorities, powers or functions attached to the position with the Company which the Executive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88" w:right="339" w:bottom="1440" w:gutter="0" w:footer="0" w:header="0"/>
        </w:sectPr>
      </w:pPr>
    </w:p>
    <w:bookmarkStart w:id="60" w:name="page61"/>
    <w:bookmarkEnd w:id="60"/>
    <w:p>
      <w:pPr>
        <w:ind w:right="140"/>
        <w:spacing w:after="0" w:line="226" w:lineRule="auto"/>
        <w:rPr>
          <w:sz w:val="20"/>
          <w:szCs w:val="20"/>
          <w:color w:val="auto"/>
        </w:rPr>
      </w:pPr>
      <w:r>
        <w:rPr>
          <w:rFonts w:ascii="Times New Roman" w:cs="Times New Roman" w:eastAsia="Times New Roman" w:hAnsi="Times New Roman"/>
          <w:sz w:val="21"/>
          <w:szCs w:val="21"/>
          <w:color w:val="auto"/>
        </w:rPr>
        <w:t>immediately prior to the Change in Control; (B) a material reduction in the Executive’s Base Pay, (C) a material reduction in the Executive’s Incentive Pay Opportunity or Incentive Pay Target, or (D) the termination or denial of the Executive’s rights to material Employee Benefits or a material reduction in the scope or value thereof, unless such termination or reduction referred to in clauses (B), (C) or (D) applies on a substantially similar basis to all executives of the Company and its parent entities or such right is replaced with a right with a substantially similar scope or value;</w:t>
      </w:r>
    </w:p>
    <w:p>
      <w:pPr>
        <w:spacing w:after="0" w:line="150" w:lineRule="exact"/>
        <w:rPr>
          <w:sz w:val="20"/>
          <w:szCs w:val="20"/>
          <w:color w:val="auto"/>
        </w:rPr>
      </w:pPr>
    </w:p>
    <w:p>
      <w:pPr>
        <w:ind w:left="2580" w:hanging="638"/>
        <w:spacing w:after="0"/>
        <w:tabs>
          <w:tab w:leader="none" w:pos="25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requires the Executive to change Executive’s principal location of work by more than</w:t>
      </w:r>
    </w:p>
    <w:p>
      <w:pPr>
        <w:spacing w:after="0"/>
        <w:rPr>
          <w:sz w:val="20"/>
          <w:szCs w:val="20"/>
          <w:color w:val="auto"/>
        </w:rPr>
      </w:pPr>
      <w:r>
        <w:rPr>
          <w:rFonts w:ascii="Times New Roman" w:cs="Times New Roman" w:eastAsia="Times New Roman" w:hAnsi="Times New Roman"/>
          <w:sz w:val="21"/>
          <w:szCs w:val="21"/>
          <w:color w:val="auto"/>
        </w:rPr>
        <w:t>35 miles;</w:t>
      </w:r>
    </w:p>
    <w:p>
      <w:pPr>
        <w:spacing w:after="0" w:line="164" w:lineRule="exact"/>
        <w:rPr>
          <w:sz w:val="20"/>
          <w:szCs w:val="20"/>
          <w:color w:val="auto"/>
        </w:rPr>
      </w:pPr>
    </w:p>
    <w:p>
      <w:pPr>
        <w:ind w:right="100" w:firstLine="1942"/>
        <w:spacing w:after="0" w:line="229" w:lineRule="auto"/>
        <w:tabs>
          <w:tab w:leader="none" w:pos="256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transfer of all or substantially all of the Company’s business and/or assets, the failure of the successor or successors to which all or substantially all of its business and/or assets have been transferred to assume (by operation of law, agreement or otherwise) pursuant to Section 12 hereof all duties and obligations of the Company under this Agreement; or</w:t>
      </w:r>
    </w:p>
    <w:p>
      <w:pPr>
        <w:spacing w:after="0" w:line="153" w:lineRule="exact"/>
        <w:rPr>
          <w:rFonts w:ascii="Times New Roman" w:cs="Times New Roman" w:eastAsia="Times New Roman" w:hAnsi="Times New Roman"/>
          <w:sz w:val="21"/>
          <w:szCs w:val="21"/>
          <w:color w:val="auto"/>
        </w:rPr>
      </w:pPr>
    </w:p>
    <w:p>
      <w:pPr>
        <w:ind w:right="140" w:firstLine="1942"/>
        <w:spacing w:after="0" w:line="235" w:lineRule="auto"/>
        <w:tabs>
          <w:tab w:leader="none" w:pos="2575"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or effect of the foregoing, any material breach of this Agreement or any Other Employment Agreement (as defined below) by the Company or any successor thereto which is not remedied by the Company within 10 calendar days after receipt by the Company of written notice from the Executive of such breach.</w:t>
      </w:r>
    </w:p>
    <w:p>
      <w:pPr>
        <w:spacing w:after="0" w:line="1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color w:val="auto"/>
        </w:rPr>
        <w:t>A termination of employment by the Executive for one of the reasons set forth in clauses (i) - (iv) above, will not constitute “Good Reason” unless, within the 60-day period immediately following the occurrence of such Good Reason event, the Executive has given written notice to the Company specifying in reasonable detail the event or events relied upon for such termination and the Company has not remedied such event or events within 30 days of the receipt of such notice, and the Executive terminates employment within the 90-day period thereafter (and, in any event, during the Severance Period). The Company and the Executive may mutually waive in writing any of the foregoing provisions with respect to an event or events that otherwise would constitute Good Reason.</w:t>
      </w:r>
    </w:p>
    <w:p>
      <w:pPr>
        <w:spacing w:after="0" w:line="200" w:lineRule="exact"/>
        <w:rPr>
          <w:sz w:val="20"/>
          <w:szCs w:val="20"/>
          <w:color w:val="auto"/>
        </w:rPr>
      </w:pPr>
    </w:p>
    <w:p>
      <w:pPr>
        <w:spacing w:after="0" w:line="207" w:lineRule="exact"/>
        <w:rPr>
          <w:sz w:val="20"/>
          <w:szCs w:val="20"/>
          <w:color w:val="auto"/>
        </w:rPr>
      </w:pPr>
    </w:p>
    <w:p>
      <w:pPr>
        <w:ind w:firstLine="1942"/>
        <w:spacing w:after="0" w:line="221" w:lineRule="auto"/>
        <w:tabs>
          <w:tab w:leader="none" w:pos="256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“Incumbent Directors” means the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155" w:lineRule="exact"/>
        <w:rPr>
          <w:rFonts w:ascii="Times New Roman" w:cs="Times New Roman" w:eastAsia="Times New Roman" w:hAnsi="Times New Roman"/>
          <w:sz w:val="21"/>
          <w:szCs w:val="21"/>
          <w:color w:val="auto"/>
        </w:rPr>
      </w:pPr>
    </w:p>
    <w:p>
      <w:pPr>
        <w:ind w:right="420" w:firstLine="1942"/>
        <w:spacing w:after="0" w:line="251" w:lineRule="auto"/>
        <w:tabs>
          <w:tab w:leader="none" w:pos="257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 Pay” means compensation in addition to Base Pay determined by reference to one or more performance measures, whether payable in cash, securities or otherwise.</w:t>
      </w:r>
    </w:p>
    <w:p>
      <w:pPr>
        <w:spacing w:after="0" w:line="139" w:lineRule="exact"/>
        <w:rPr>
          <w:rFonts w:ascii="Times New Roman" w:cs="Times New Roman" w:eastAsia="Times New Roman" w:hAnsi="Times New Roman"/>
          <w:sz w:val="21"/>
          <w:szCs w:val="21"/>
          <w:color w:val="auto"/>
        </w:rPr>
      </w:pPr>
    </w:p>
    <w:p>
      <w:pPr>
        <w:ind w:right="580" w:firstLine="1942"/>
        <w:spacing w:after="0" w:line="251" w:lineRule="auto"/>
        <w:tabs>
          <w:tab w:leader="none" w:pos="257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 Pay Opportunity” means the maximum amount of Incentive Pay that the Executive would receive pursuant to any Incentive Pay Plan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89" w:right="339" w:bottom="1440" w:gutter="0" w:footer="0" w:header="0"/>
        </w:sectPr>
      </w:pPr>
    </w:p>
    <w:bookmarkStart w:id="61" w:name="page62"/>
    <w:bookmarkEnd w:id="61"/>
    <w:p>
      <w:pPr>
        <w:ind w:right="60"/>
        <w:spacing w:after="0"/>
        <w:rPr>
          <w:sz w:val="20"/>
          <w:szCs w:val="20"/>
          <w:color w:val="auto"/>
        </w:rPr>
      </w:pPr>
      <w:r>
        <w:rPr>
          <w:rFonts w:ascii="Times New Roman" w:cs="Times New Roman" w:eastAsia="Times New Roman" w:hAnsi="Times New Roman"/>
          <w:sz w:val="21"/>
          <w:szCs w:val="21"/>
          <w:color w:val="auto"/>
        </w:rPr>
        <w:t>existence immediately prior to a Change in Control (disregarding the effects of the Change in Control, including without limitation increased depreciation or amortization, financing expense and transaction costs), assuming satisfaction of all thresholds or other conditions thereto established (i) prior to the Change in Control or (ii) after the Change in Control either (A) with the Executive’s specific prior written approval or (B) by action of a committee of the Board comprised solely of Independent Directors.</w:t>
      </w:r>
    </w:p>
    <w:p>
      <w:pPr>
        <w:spacing w:after="0" w:line="324" w:lineRule="exact"/>
        <w:rPr>
          <w:sz w:val="20"/>
          <w:szCs w:val="20"/>
          <w:color w:val="auto"/>
        </w:rPr>
      </w:pPr>
    </w:p>
    <w:p>
      <w:pPr>
        <w:ind w:right="220" w:firstLine="1942"/>
        <w:spacing w:after="0" w:line="235" w:lineRule="auto"/>
        <w:tabs>
          <w:tab w:leader="none" w:pos="257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 Pay Plan” means any plan, program, agreement or arrangement (excluding employee stock options, restricted stock or other rights the value of which is determined solely by reference to the value of the Company’s common stock).</w:t>
      </w:r>
    </w:p>
    <w:p>
      <w:pPr>
        <w:spacing w:after="0" w:line="150" w:lineRule="exact"/>
        <w:rPr>
          <w:rFonts w:ascii="Times New Roman" w:cs="Times New Roman" w:eastAsia="Times New Roman" w:hAnsi="Times New Roman"/>
          <w:sz w:val="21"/>
          <w:szCs w:val="21"/>
          <w:color w:val="auto"/>
        </w:rPr>
      </w:pPr>
    </w:p>
    <w:p>
      <w:pPr>
        <w:ind w:right="200" w:firstLine="1942"/>
        <w:spacing w:after="0" w:line="229" w:lineRule="auto"/>
        <w:tabs>
          <w:tab w:leader="none" w:pos="257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 Pay Target” means the amount or value of Incentive Pay the Executive would have received assuming that the Incentive Pay Plans in effect immediately prior to the Change in Control continue unchanged and are satisfied at the target level and, if applicable, any conditions to entitlement to payment at the target level thereunder that are not measured by the Company’s results of operation are satisfied at the target level.</w:t>
      </w:r>
    </w:p>
    <w:p>
      <w:pPr>
        <w:spacing w:after="0" w:line="153" w:lineRule="exact"/>
        <w:rPr>
          <w:rFonts w:ascii="Times New Roman" w:cs="Times New Roman" w:eastAsia="Times New Roman" w:hAnsi="Times New Roman"/>
          <w:sz w:val="21"/>
          <w:szCs w:val="21"/>
          <w:color w:val="auto"/>
        </w:rPr>
      </w:pPr>
    </w:p>
    <w:p>
      <w:pPr>
        <w:ind w:right="460" w:firstLine="1942"/>
        <w:spacing w:after="0" w:line="235" w:lineRule="auto"/>
        <w:tabs>
          <w:tab w:leader="none" w:pos="25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“Independent Directors” means directors who qualify as “independent” directors under then-applicable New York Stock Exchange rules applicable to compensation committees (whether or not the Company’s securities continue to be listed for trading thereon).</w:t>
      </w:r>
    </w:p>
    <w:p>
      <w:pPr>
        <w:spacing w:after="0" w:line="150" w:lineRule="exact"/>
        <w:rPr>
          <w:rFonts w:ascii="Times New Roman" w:cs="Times New Roman" w:eastAsia="Times New Roman" w:hAnsi="Times New Roman"/>
          <w:sz w:val="21"/>
          <w:szCs w:val="21"/>
          <w:color w:val="auto"/>
        </w:rPr>
      </w:pPr>
    </w:p>
    <w:p>
      <w:pPr>
        <w:ind w:right="120" w:firstLine="1942"/>
        <w:spacing w:after="0" w:line="235" w:lineRule="auto"/>
        <w:tabs>
          <w:tab w:leader="none" w:pos="257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Agreement” means an agreement, contract or understanding (including any option or equity plan or agreement) other than this Agreement, heretofore or hereafter entered into by the Executive with the Company or any Subsidiary.</w:t>
      </w:r>
    </w:p>
    <w:p>
      <w:pPr>
        <w:spacing w:after="0" w:line="150" w:lineRule="exact"/>
        <w:rPr>
          <w:rFonts w:ascii="Times New Roman" w:cs="Times New Roman" w:eastAsia="Times New Roman" w:hAnsi="Times New Roman"/>
          <w:sz w:val="21"/>
          <w:szCs w:val="21"/>
          <w:color w:val="auto"/>
        </w:rPr>
      </w:pPr>
    </w:p>
    <w:p>
      <w:pPr>
        <w:jc w:val="both"/>
        <w:ind w:right="100" w:firstLine="1942"/>
        <w:spacing w:after="0" w:line="229" w:lineRule="auto"/>
        <w:tabs>
          <w:tab w:leader="none" w:pos="256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“Retirement Plans” means the benefit plans of the Company that are intended to be qualified under Section 401(a) of the Code and any supplemental executive retirement benefit plan or any other plan that is a successor thereto as such Retirement Plans were in effect immediately prior to the Change in Control and if the Executive was a participant in such Retirement Plan immediately prior to the Change in Control.</w:t>
      </w:r>
    </w:p>
    <w:p>
      <w:pPr>
        <w:spacing w:after="0" w:line="153" w:lineRule="exact"/>
        <w:rPr>
          <w:rFonts w:ascii="Times New Roman" w:cs="Times New Roman" w:eastAsia="Times New Roman" w:hAnsi="Times New Roman"/>
          <w:sz w:val="21"/>
          <w:szCs w:val="21"/>
          <w:color w:val="auto"/>
        </w:rPr>
      </w:pPr>
    </w:p>
    <w:p>
      <w:pPr>
        <w:ind w:left="2580" w:hanging="638"/>
        <w:spacing w:after="0"/>
        <w:tabs>
          <w:tab w:leader="none" w:pos="25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162(m)” means Section 162(m) of the Code.</w:t>
      </w:r>
    </w:p>
    <w:p>
      <w:pPr>
        <w:spacing w:after="0" w:line="188" w:lineRule="exact"/>
        <w:rPr>
          <w:rFonts w:ascii="Times New Roman" w:cs="Times New Roman" w:eastAsia="Times New Roman" w:hAnsi="Times New Roman"/>
          <w:sz w:val="21"/>
          <w:szCs w:val="21"/>
          <w:color w:val="auto"/>
        </w:rPr>
      </w:pPr>
    </w:p>
    <w:p>
      <w:pPr>
        <w:ind w:left="2580" w:hanging="638"/>
        <w:spacing w:after="0"/>
        <w:tabs>
          <w:tab w:leader="none" w:pos="25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409A” means Section 409A of the Code.</w:t>
      </w:r>
    </w:p>
    <w:p>
      <w:pPr>
        <w:spacing w:after="0" w:line="188" w:lineRule="exact"/>
        <w:rPr>
          <w:rFonts w:ascii="Times New Roman" w:cs="Times New Roman" w:eastAsia="Times New Roman" w:hAnsi="Times New Roman"/>
          <w:sz w:val="21"/>
          <w:szCs w:val="21"/>
          <w:color w:val="auto"/>
        </w:rPr>
      </w:pPr>
    </w:p>
    <w:p>
      <w:pPr>
        <w:ind w:firstLine="1942"/>
        <w:spacing w:after="0" w:line="235" w:lineRule="auto"/>
        <w:tabs>
          <w:tab w:leader="none" w:pos="256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“Severance Period” means the period of time commencing on the date of the first occurrence of a Change in Control and continuing until the earlier of (i) the second anniversary of the occurrence of the Change in Control and (ii) the Executive’s death.</w:t>
      </w:r>
    </w:p>
    <w:p>
      <w:pPr>
        <w:spacing w:after="0" w:line="150" w:lineRule="exact"/>
        <w:rPr>
          <w:rFonts w:ascii="Times New Roman" w:cs="Times New Roman" w:eastAsia="Times New Roman" w:hAnsi="Times New Roman"/>
          <w:sz w:val="21"/>
          <w:szCs w:val="21"/>
          <w:color w:val="auto"/>
        </w:rPr>
      </w:pPr>
    </w:p>
    <w:p>
      <w:pPr>
        <w:ind w:right="60" w:firstLine="1942"/>
        <w:spacing w:after="0" w:line="251" w:lineRule="auto"/>
        <w:tabs>
          <w:tab w:leader="none" w:pos="257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“Subsidiary” means an entity in which the Company directly or indirectly beneficially owns 50% or more of the outstanding Voting Stock.</w:t>
      </w:r>
    </w:p>
    <w:p>
      <w:pPr>
        <w:spacing w:after="0" w:line="139" w:lineRule="exact"/>
        <w:rPr>
          <w:rFonts w:ascii="Times New Roman" w:cs="Times New Roman" w:eastAsia="Times New Roman" w:hAnsi="Times New Roman"/>
          <w:sz w:val="21"/>
          <w:szCs w:val="21"/>
          <w:color w:val="auto"/>
        </w:rPr>
      </w:pPr>
    </w:p>
    <w:p>
      <w:pPr>
        <w:ind w:right="40" w:firstLine="1942"/>
        <w:spacing w:after="0" w:line="235" w:lineRule="auto"/>
        <w:tabs>
          <w:tab w:leader="none" w:pos="257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Date” means the date on which the Executive’s employment is terminated (the effective date of which will be the date of termination, or such other date that may be specified by the Executive if the termination is pursuant to Section 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88" w:right="339" w:bottom="1440" w:gutter="0" w:footer="0" w:header="0"/>
        </w:sectPr>
      </w:pPr>
    </w:p>
    <w:bookmarkStart w:id="62" w:name="page63"/>
    <w:bookmarkEnd w:id="62"/>
    <w:p>
      <w:pPr>
        <w:ind w:left="2580" w:hanging="638"/>
        <w:spacing w:after="0"/>
        <w:tabs>
          <w:tab w:leader="none" w:pos="25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“Voting Stock” means securities entitled to vote generally in the election of directors.</w:t>
      </w:r>
    </w:p>
    <w:p>
      <w:pPr>
        <w:spacing w:after="0" w:line="188" w:lineRule="exact"/>
        <w:rPr>
          <w:sz w:val="20"/>
          <w:szCs w:val="20"/>
          <w:color w:val="auto"/>
        </w:rPr>
      </w:pPr>
    </w:p>
    <w:p>
      <w:pPr>
        <w:ind w:right="280" w:firstLine="1942"/>
        <w:spacing w:after="0" w:line="235" w:lineRule="auto"/>
        <w:tabs>
          <w:tab w:leader="none" w:pos="2578"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“Welfare Benefits” means Employee Benefits that are provided under any “welfare plan” (within the meaning of Section 3(1) of ERISA) of the Company, and fringe benefits and other perquisites of employment, such as car allowances, club dues, financial planning and product discounts.</w:t>
      </w:r>
    </w:p>
    <w:p>
      <w:pPr>
        <w:spacing w:after="0" w:line="150" w:lineRule="exact"/>
        <w:rPr>
          <w:rFonts w:ascii="Times New Roman" w:cs="Times New Roman" w:eastAsia="Times New Roman" w:hAnsi="Times New Roman"/>
          <w:sz w:val="21"/>
          <w:szCs w:val="21"/>
          <w:color w:val="auto"/>
        </w:rPr>
      </w:pPr>
    </w:p>
    <w:p>
      <w:pPr>
        <w:ind w:left="1940" w:right="20" w:hanging="643"/>
        <w:spacing w:after="0"/>
        <w:tabs>
          <w:tab w:leader="none" w:pos="19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Operation of Agreement</w:t>
      </w:r>
      <w:r>
        <w:rPr>
          <w:rFonts w:ascii="Times New Roman" w:cs="Times New Roman" w:eastAsia="Times New Roman" w:hAnsi="Times New Roman"/>
          <w:sz w:val="21"/>
          <w:szCs w:val="21"/>
          <w:color w:val="auto"/>
        </w:rPr>
        <w:t xml:space="preserve">. This Agreement will be effective and binding immediately upon its execution, but, anything in this Agreement to the contrary notwithstanding, this Agreement will not be operative unless and until a Change in Control occurs. Upon the occurrence of a Change in Control, without further action, this Agreement will become immediately operative until the end of the Severance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prior to a Change in Control, the Executive ceases for any reason to be a full-time employee of the Company, thereupon without further action this Agreement will immediately terminate and be of no further effect.</w:t>
      </w:r>
    </w:p>
    <w:p>
      <w:pPr>
        <w:spacing w:after="0" w:line="270" w:lineRule="exact"/>
        <w:rPr>
          <w:rFonts w:ascii="Times New Roman" w:cs="Times New Roman" w:eastAsia="Times New Roman" w:hAnsi="Times New Roman"/>
          <w:sz w:val="21"/>
          <w:szCs w:val="21"/>
          <w:color w:val="auto"/>
        </w:rPr>
      </w:pPr>
    </w:p>
    <w:p>
      <w:pPr>
        <w:ind w:left="1940" w:right="160" w:hanging="643"/>
        <w:spacing w:after="0" w:line="229" w:lineRule="auto"/>
        <w:tabs>
          <w:tab w:leader="none" w:pos="19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Following a Change in Control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In the event of the occurrence of a Change in Control, the Executive’s employment may be terminated by the Company during the Severance Period and the Executive will be entitled to the benefits provided by Section 4 unless such termination is the result of the occurrence of one or more of the following events:</w:t>
      </w:r>
    </w:p>
    <w:p>
      <w:pPr>
        <w:spacing w:after="0" w:line="153" w:lineRule="exact"/>
        <w:rPr>
          <w:rFonts w:ascii="Times New Roman" w:cs="Times New Roman" w:eastAsia="Times New Roman" w:hAnsi="Times New Roman"/>
          <w:sz w:val="21"/>
          <w:szCs w:val="21"/>
          <w:color w:val="auto"/>
        </w:rPr>
      </w:pPr>
    </w:p>
    <w:p>
      <w:pPr>
        <w:ind w:left="2580" w:hanging="638"/>
        <w:spacing w:after="0"/>
        <w:tabs>
          <w:tab w:leader="none" w:pos="258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death;</w:t>
      </w:r>
    </w:p>
    <w:p>
      <w:pPr>
        <w:spacing w:after="0" w:line="188" w:lineRule="exact"/>
        <w:rPr>
          <w:sz w:val="20"/>
          <w:szCs w:val="20"/>
          <w:color w:val="auto"/>
        </w:rPr>
      </w:pPr>
    </w:p>
    <w:p>
      <w:pPr>
        <w:ind w:right="40" w:firstLine="1942"/>
        <w:spacing w:after="0" w:line="235" w:lineRule="auto"/>
        <w:tabs>
          <w:tab w:leader="none" w:pos="257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becomes permanently disabled within the meaning of, and begins actually to receive disability benefits pursuant to, the long-term disability plan in effect for, or applicable to, the Executive immediately prior to the Change in Control; or</w:t>
      </w:r>
    </w:p>
    <w:p>
      <w:pPr>
        <w:spacing w:after="0" w:line="150" w:lineRule="exact"/>
        <w:rPr>
          <w:rFonts w:ascii="Times New Roman" w:cs="Times New Roman" w:eastAsia="Times New Roman" w:hAnsi="Times New Roman"/>
          <w:sz w:val="21"/>
          <w:szCs w:val="21"/>
          <w:color w:val="auto"/>
        </w:rPr>
      </w:pPr>
    </w:p>
    <w:p>
      <w:pPr>
        <w:ind w:left="2580" w:hanging="638"/>
        <w:spacing w:after="0"/>
        <w:tabs>
          <w:tab w:leader="none" w:pos="25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w:t>
      </w:r>
    </w:p>
    <w:p>
      <w:pPr>
        <w:spacing w:after="0" w:line="21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1"/>
          <w:szCs w:val="21"/>
          <w:color w:val="auto"/>
        </w:rPr>
        <w:t xml:space="preserve">If, during the Severance Period, the Executive’s employment is terminated by the Company other than pursuant to Section 3(a)(i), 3(a)(ii) or 3(a)(iii), the Executive will be entitled to the benefits provided by Section 4;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termination constitutes a “separation from service” as defined in Section 409A.</w:t>
      </w:r>
    </w:p>
    <w:p>
      <w:pPr>
        <w:spacing w:after="0" w:line="146" w:lineRule="exact"/>
        <w:rPr>
          <w:sz w:val="20"/>
          <w:szCs w:val="20"/>
          <w:color w:val="auto"/>
        </w:rPr>
      </w:pPr>
    </w:p>
    <w:p>
      <w:pPr>
        <w:ind w:firstLine="1942"/>
        <w:spacing w:after="0" w:line="235" w:lineRule="auto"/>
        <w:tabs>
          <w:tab w:leader="none" w:pos="257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occurrence of a Change in Control, the Executive may terminate employment with the Company for Good Reason, with the right to severance compensation as provided in Section 4, regardless of whether any other reason, other than Cause, for such termination exists or has occurred, including without limitation other employment.</w:t>
      </w:r>
    </w:p>
    <w:p>
      <w:pPr>
        <w:spacing w:after="0" w:line="150" w:lineRule="exact"/>
        <w:rPr>
          <w:rFonts w:ascii="Times New Roman" w:cs="Times New Roman" w:eastAsia="Times New Roman" w:hAnsi="Times New Roman"/>
          <w:sz w:val="21"/>
          <w:szCs w:val="21"/>
          <w:color w:val="auto"/>
        </w:rPr>
      </w:pPr>
    </w:p>
    <w:p>
      <w:pPr>
        <w:ind w:right="20" w:firstLine="1942"/>
        <w:spacing w:after="0" w:line="226" w:lineRule="auto"/>
        <w:tabs>
          <w:tab w:leader="none" w:pos="257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will (i) be construed as creating an express or implied contract of employment, changing the status of Executive as an employee at will, giving Executive any right to be retained in the employ of the Company, or giving Executive the right to any particular level of compensation or benefits or (ii) interfere in any way with the right of the Company to terminate the employment of the Executive at any time with or without Cause, subject in either case to the obligations of the Company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388" w:right="379" w:bottom="1440" w:gutter="0" w:footer="0" w:header="0"/>
        </w:sectPr>
      </w:pPr>
    </w:p>
    <w:bookmarkStart w:id="63" w:name="page64"/>
    <w:bookmarkEnd w:id="63"/>
    <w:p>
      <w:pPr>
        <w:ind w:left="1920" w:right="120" w:hanging="643"/>
        <w:spacing w:after="0" w:line="222" w:lineRule="auto"/>
        <w:tabs>
          <w:tab w:leader="none" w:pos="19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Compensation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If, following the occurrence of a Change in Control, the Company terminates the Executive’s employment during the Severance Period other than pursuant to Section 3(a)(i), 3(a)(ii) or 3(a)(iii), or if the Executive terminates Executive’s employment pursuant to Section 3(b) (any such termination, a “Triggering Termination”), then,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Triggering Termination constitutes a “separation from service” as defined in Section 409A, the Company will pay to the Executive the amounts described in Annex A within fifteen business days after the Termination Date (subject to the provisions of subsection (d) of this Section).</w:t>
      </w:r>
    </w:p>
    <w:p>
      <w:pPr>
        <w:spacing w:after="0" w:line="156" w:lineRule="exact"/>
        <w:rPr>
          <w:rFonts w:ascii="Times New Roman" w:cs="Times New Roman" w:eastAsia="Times New Roman" w:hAnsi="Times New Roman"/>
          <w:sz w:val="21"/>
          <w:szCs w:val="21"/>
          <w:color w:val="auto"/>
        </w:rPr>
      </w:pPr>
    </w:p>
    <w:p>
      <w:pPr>
        <w:ind w:left="-20" w:firstLine="1942"/>
        <w:spacing w:after="0" w:line="224" w:lineRule="auto"/>
        <w:tabs>
          <w:tab w:leader="none" w:pos="2557"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rights of the Executive at law or in equity, if the Company fails to make any payment or provide any benefit required to be made or provided hereunder on a timely basis, the Company will pay interest on the amount or value thereof at an annualized rate of interest equal to the “prime rate” as set forth from time to time during the relevant period in The Wall Street Journal “Money Rates” column, plus 200 basis points, compounded monthly, or, if less, the maximum rate legally allowed. Such interest will be payable as it accrues on demand. Any change in such prime rate will be effective on and as of the date of such change.</w:t>
      </w:r>
    </w:p>
    <w:p>
      <w:pPr>
        <w:spacing w:after="0" w:line="152" w:lineRule="exact"/>
        <w:rPr>
          <w:rFonts w:ascii="Times New Roman" w:cs="Times New Roman" w:eastAsia="Times New Roman" w:hAnsi="Times New Roman"/>
          <w:sz w:val="21"/>
          <w:szCs w:val="21"/>
          <w:color w:val="auto"/>
        </w:rPr>
      </w:pPr>
    </w:p>
    <w:p>
      <w:pPr>
        <w:ind w:left="-20" w:firstLine="1942"/>
        <w:spacing w:after="0" w:line="219" w:lineRule="auto"/>
        <w:tabs>
          <w:tab w:leader="none" w:pos="2555"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expressly provided by the applicable plan, program or agreement, after the occurrence of a Change in Control, the Company will pay in cash to the Executive a lump sum amount equal to the sum of (i) any unpaid Incentive Pay that has been earned, accrued, allocated or awarded to the Executive for any performance period that by its terms as in effect prior to a Triggering Termination has been completed (any such period, a “Completed Performance Period”) (regardless of whether payment of such compensation would otherwise be contingent on the continuing performance of services by the Executive) and (ii) the Pro Rata Portion of the Incentive Pay Target in effect for any subsequent performance period. For this purpose, “Pro Rata Portion” means (x) the number of days from and including the first day immediately following the last day of the immediately preceding Completed Performance Period to and including the Termination Date, divided by (y) the total number of days in such subsequent performance period. Such payments will be made at the earlier of (x) the date prescribed for payment pursuant to the applicable plan, program or agreement and (y) within five business days after the Termination Date, and will be payable and calculated disregarding any otherwise applicable vesting requirements.</w:t>
      </w:r>
    </w:p>
    <w:p>
      <w:pPr>
        <w:spacing w:after="0" w:line="155" w:lineRule="exact"/>
        <w:rPr>
          <w:rFonts w:ascii="Times New Roman" w:cs="Times New Roman" w:eastAsia="Times New Roman" w:hAnsi="Times New Roman"/>
          <w:sz w:val="21"/>
          <w:szCs w:val="21"/>
          <w:color w:val="auto"/>
        </w:rPr>
      </w:pPr>
    </w:p>
    <w:p>
      <w:pPr>
        <w:ind w:left="-20" w:right="40" w:firstLine="1942"/>
        <w:spacing w:after="0"/>
        <w:tabs>
          <w:tab w:leader="none" w:pos="2557"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required in order to avoid accelerated taxation and/or tax penalties under Section 409A, amounts that would otherwise be payable and benefits that would otherwise be provided pursuant to this Agreement during the six-month period immediately following the Executive’s termination of employment shall instead be paid on the first business day after the date that is six months following the Executive’s termination of employment (or upon the Executive’s death, if earlier). In addition, for purposes of this Agreement, each amount to be paid or benefit to be provided shall be construed as a separate identified payment for purposes of Section 409A, and any payments described in Annex A that are due within the “short-term deferral period” as defined in Section 409A shall not be treated as deferred compensation unless applicable law requires otherwise.</w:t>
      </w:r>
    </w:p>
    <w:p>
      <w:pPr>
        <w:spacing w:after="0" w:line="244" w:lineRule="exact"/>
        <w:rPr>
          <w:rFonts w:ascii="Times New Roman" w:cs="Times New Roman" w:eastAsia="Times New Roman" w:hAnsi="Times New Roman"/>
          <w:sz w:val="21"/>
          <w:szCs w:val="21"/>
          <w:color w:val="auto"/>
        </w:rPr>
      </w:pPr>
    </w:p>
    <w:p>
      <w:pPr>
        <w:ind w:left="1920" w:right="500" w:hanging="643"/>
        <w:spacing w:after="0" w:line="235" w:lineRule="auto"/>
        <w:tabs>
          <w:tab w:leader="none" w:pos="19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Payments and Benefits.</w:t>
      </w:r>
      <w:r>
        <w:rPr>
          <w:rFonts w:ascii="Times New Roman" w:cs="Times New Roman" w:eastAsia="Times New Roman" w:hAnsi="Times New Roman"/>
          <w:sz w:val="21"/>
          <w:szCs w:val="21"/>
          <w:color w:val="auto"/>
        </w:rPr>
        <w:t xml:space="preserve"> Notwithstanding any provision of this Agreement or any Other Agreement to the contrary (including without limitation any lesser protection of Executive under any equity-based award agreement),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40" w:top="1389" w:right="339" w:bottom="1440" w:gutter="0" w:footer="0" w:header="0"/>
        </w:sectPr>
      </w:pPr>
    </w:p>
    <w:bookmarkStart w:id="64" w:name="page65"/>
    <w:bookmarkEnd w:id="64"/>
    <w:p>
      <w:pPr>
        <w:ind w:left="820"/>
        <w:spacing w:after="0" w:line="216" w:lineRule="auto"/>
        <w:rPr>
          <w:sz w:val="20"/>
          <w:szCs w:val="20"/>
          <w:color w:val="auto"/>
        </w:rPr>
      </w:pPr>
      <w:r>
        <w:rPr>
          <w:rFonts w:ascii="Times New Roman" w:cs="Times New Roman" w:eastAsia="Times New Roman" w:hAnsi="Times New Roman"/>
          <w:sz w:val="21"/>
          <w:szCs w:val="21"/>
          <w:color w:val="auto"/>
        </w:rPr>
        <w:t>amount or benefit to be paid or provided under this Agreement or any Other Agreement would be an Excess Parachute Payment (including after taking into account the value, to the maximum extent permitted by Section 280G of the Code, of the covenants in Section 9 hereof), but for the application of this sentence, then the payments and benefits to be paid or provided under this Agreement and any Other Agreement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After-Tax Amount that is less than 90% of the After-Tax Amount of the payments and benefits that he or she would have received under Section 4 or under any Other Agreement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in Section 9 hereof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5 will not of itself limit or otherwise affect any other rights of the Executive pursuant to this Agreement or any Other Agreement. In the event that any payment or benefit intended to be provided is required to be reduced pursuant to this Section 5, then the Company shall in good faith determine the appropriate treatment of payments or benefits, consistent with the requirements of Section 409A that produces the most advantageous economic outcome for the Executive, and its determination shall be final and binding on the Executive. The Company will provide the Executive with all information reasonably required or requested by the Executive to demonstrate to the Executive that it has complied with the immediately preceding sentence.</w:t>
      </w:r>
    </w:p>
    <w:p>
      <w:pPr>
        <w:spacing w:after="0" w:line="200" w:lineRule="exact"/>
        <w:rPr>
          <w:sz w:val="20"/>
          <w:szCs w:val="20"/>
          <w:color w:val="auto"/>
        </w:rPr>
      </w:pPr>
    </w:p>
    <w:p>
      <w:pPr>
        <w:spacing w:after="0" w:line="205" w:lineRule="exact"/>
        <w:rPr>
          <w:sz w:val="20"/>
          <w:szCs w:val="20"/>
          <w:color w:val="auto"/>
        </w:rPr>
      </w:pPr>
    </w:p>
    <w:p>
      <w:pPr>
        <w:ind w:left="820" w:right="20" w:hanging="643"/>
        <w:spacing w:after="0"/>
        <w:tabs>
          <w:tab w:leader="none" w:pos="8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 Protections; Defend Trade Secrets Act.</w:t>
      </w:r>
      <w:r>
        <w:rPr>
          <w:rFonts w:ascii="Times New Roman" w:cs="Times New Roman" w:eastAsia="Times New Roman" w:hAnsi="Times New Roman"/>
          <w:sz w:val="21"/>
          <w:szCs w:val="21"/>
          <w:color w:val="auto"/>
        </w:rPr>
        <w:t xml:space="preserve"> Nothing in this Agreement or otherwise limits Executive’s ability to communicate directly with and provide information, including documents, not otherwise protected from disclosure by any applicable law or privilege to the Securities and Exchange Commission (the “SEC”), or any other federal, state or local governmental agency or commission or self-regulatory organization (each such agency, commission or organization, a “Government Agency”) regarding possible legal violations, without disclosure to the Company. The Company may not retaliate against Executive for any of these activities, and nothing in this Agreement requires Executive to waive any monetary award or other relief that Executive might become entitled to from the SEC or any other Government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20"/>
          </w:cols>
          <w:pgMar w:left="1440" w:top="1389" w:right="339" w:bottom="1440" w:gutter="0" w:footer="0" w:header="0"/>
        </w:sectPr>
      </w:pPr>
    </w:p>
    <w:bookmarkStart w:id="65" w:name="page66"/>
    <w:bookmarkEnd w:id="65"/>
    <w:p>
      <w:pPr>
        <w:ind w:left="-20" w:right="20" w:firstLine="1942"/>
        <w:spacing w:after="0"/>
        <w:tabs>
          <w:tab w:leader="none" w:pos="2557"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Defend Trade Secrets Act of 2016, Executive and the Company acknowledge and agree that Executive shall not have criminal or civil liability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w:t>
      </w:r>
    </w:p>
    <w:p>
      <w:pPr>
        <w:spacing w:after="0" w:line="218" w:lineRule="exact"/>
        <w:rPr>
          <w:rFonts w:ascii="Times New Roman" w:cs="Times New Roman" w:eastAsia="Times New Roman" w:hAnsi="Times New Roman"/>
          <w:sz w:val="21"/>
          <w:szCs w:val="21"/>
          <w:color w:val="auto"/>
        </w:rPr>
      </w:pPr>
    </w:p>
    <w:p>
      <w:pPr>
        <w:ind w:left="1920" w:right="40" w:hanging="643"/>
        <w:spacing w:after="0" w:line="221" w:lineRule="auto"/>
        <w:tabs>
          <w:tab w:leader="none" w:pos="192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Mitigation Obligation; Other Agreements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The Company hereby acknowledges that it will be difficult and may be impossible for the Executive to find reasonably comparable employment following the Termination Date. Accordingly, the payment of the severance compensation by the Company to the Executive in accordance with the terms of this Agreement is hereby acknowledged by the Company to be reasonable, and the Executive will not be required to mitigate the amount of any payment provided for in this Agreement by seeking other employment or otherwise, nor will any profits, income, earnings or other benefits from any source whatsoever create any mitigation, offset, reduction or any other obligation on the part of the Executive hereunder or otherwise.</w:t>
      </w:r>
    </w:p>
    <w:p>
      <w:pPr>
        <w:spacing w:after="0" w:line="155" w:lineRule="exact"/>
        <w:rPr>
          <w:rFonts w:ascii="Times New Roman" w:cs="Times New Roman" w:eastAsia="Times New Roman" w:hAnsi="Times New Roman"/>
          <w:sz w:val="21"/>
          <w:szCs w:val="21"/>
          <w:color w:val="auto"/>
        </w:rPr>
      </w:pPr>
    </w:p>
    <w:p>
      <w:pPr>
        <w:ind w:left="-20" w:firstLine="1942"/>
        <w:spacing w:after="0"/>
        <w:tabs>
          <w:tab w:leader="none" w:pos="2557"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of employment pursuant to Section 3 will not affect any rights that the Executive may have pursuant to any agreement, policy, plan, program or arrangement of the Company or Subsidiary providing Employee Benefits, which rights will be governed by the terms thereof. To the extent that the Executive receives payments by reason of his or her termination of employment pursuant to any other employment or severance agreement or employee plan (collectively, “Other Employment Agreements”), the amounts otherwise receivable under Section 4 will be reduced by the amounts actually paid pursuant to the Other Employment Agreements, but not below zero, to avoid duplication of payments so that the total amount payable or value of benefits receivable hereunder and under the Other Employment Agreements is not less than the amounts so payable or value so receivable had such benefits been paid in full hereunder. In the event that this Agreement conflicts with the terms of any equity award agreement, this Agreement shall govern unless otherwise expressly stated in such equity award agreement.</w:t>
      </w:r>
    </w:p>
    <w:p>
      <w:pPr>
        <w:spacing w:after="0" w:line="191" w:lineRule="exact"/>
        <w:rPr>
          <w:rFonts w:ascii="Times New Roman" w:cs="Times New Roman" w:eastAsia="Times New Roman" w:hAnsi="Times New Roman"/>
          <w:sz w:val="21"/>
          <w:szCs w:val="21"/>
          <w:color w:val="auto"/>
        </w:rPr>
      </w:pPr>
    </w:p>
    <w:p>
      <w:pPr>
        <w:ind w:left="1920" w:right="60" w:hanging="643"/>
        <w:spacing w:after="0" w:line="221" w:lineRule="auto"/>
        <w:tabs>
          <w:tab w:leader="none" w:pos="192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Fees and Expenses</w:t>
      </w:r>
      <w:r>
        <w:rPr>
          <w:rFonts w:ascii="Times New Roman" w:cs="Times New Roman" w:eastAsia="Times New Roman" w:hAnsi="Times New Roman"/>
          <w:sz w:val="21"/>
          <w:szCs w:val="21"/>
          <w:color w:val="auto"/>
        </w:rPr>
        <w:t>. It is the intent of the Company that the Executive not be required to incur legal fees and the related expenses associated with the interpretation, enforcement or defense of Executive’s rights in connection with any dispute arising under this Agreement because the cost and expense thereof would substantially detract from the benefits intended to be extended to the Executive hereunder. Accordingly, if it should appear to the Executive that the Company has failed to comply with any of its obligations under this Agreement or in the event that the Company or any other person takes or threatens to take any action to declare this Agreement void or unenforceable, or institutes any proceeding designed to deny, or to recover from, the Executive the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40" w:top="1389" w:right="339" w:bottom="1440" w:gutter="0" w:footer="0" w:header="0"/>
        </w:sectPr>
      </w:pPr>
    </w:p>
    <w:bookmarkStart w:id="66" w:name="page67"/>
    <w:bookmarkEnd w:id="66"/>
    <w:p>
      <w:pPr>
        <w:ind w:left="1880" w:right="20"/>
        <w:spacing w:after="0" w:line="217" w:lineRule="auto"/>
        <w:rPr>
          <w:sz w:val="20"/>
          <w:szCs w:val="20"/>
          <w:color w:val="auto"/>
        </w:rPr>
      </w:pPr>
      <w:r>
        <w:rPr>
          <w:rFonts w:ascii="Times New Roman" w:cs="Times New Roman" w:eastAsia="Times New Roman" w:hAnsi="Times New Roman"/>
          <w:sz w:val="21"/>
          <w:szCs w:val="21"/>
          <w:color w:val="auto"/>
        </w:rPr>
        <w:t xml:space="preserve">provided or intended to be provided to the Executive hereunder, the Company irrevocably authorizes the Executive from time to time to retain counsel of Executive’s choice, at the expense of the Company as hereafter provided, to advise and represent the Executive in connection with any such dispute or proceeding. Without respect to whether the Executive prevails, in whole or in part, in connection with any of the foregoing, the Company will pay and be solely financially responsible for any and all reasonable attorneys’ and related fees and expenses incurred by the Executive in connection with any of the foregoing;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in regard to such matters, the Executive has not acted in bad faith or with no colorable claim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success. The Executive shall promptly submit a written request for reimbursement of such expenses, but in no event later than ninety days following the date on which such expenses were incurred, accompanied by such evidence of fees and expenses incurred as the Company may reasonably require, and such reimbursements will be made within thirty business days after delivery of the Executive’s written requests for payment. For the avoidance of doubt, (i) the amount of expenses eligible for reimbursement provided to the Executive during any calendar year will not affect the amount of expenses eligible for reimbursement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may not be liquidated or exchanged for any other benefit.</w:t>
      </w:r>
    </w:p>
    <w:p>
      <w:pPr>
        <w:spacing w:after="0" w:line="158" w:lineRule="exact"/>
        <w:rPr>
          <w:sz w:val="20"/>
          <w:szCs w:val="20"/>
          <w:color w:val="auto"/>
        </w:rPr>
      </w:pPr>
    </w:p>
    <w:p>
      <w:pPr>
        <w:ind w:left="1880" w:right="180" w:hanging="643"/>
        <w:spacing w:after="0" w:line="229" w:lineRule="auto"/>
        <w:tabs>
          <w:tab w:leader="none" w:pos="18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Competitive Activity; Confidentiality; Nonsolicitation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For the period following the Termination Date specified in Paragraph (4) of Annex A (the “Non-Competition Period”), subject to the Executive’s receipt of benefits under Section 4, the Executive will not, without the prior written consent of the Company, which consent will not be unreasonably withheld, engage in any Competitive Activity.</w:t>
      </w:r>
    </w:p>
    <w:p>
      <w:pPr>
        <w:spacing w:after="0" w:line="153" w:lineRule="exact"/>
        <w:rPr>
          <w:rFonts w:ascii="Times New Roman" w:cs="Times New Roman" w:eastAsia="Times New Roman" w:hAnsi="Times New Roman"/>
          <w:sz w:val="21"/>
          <w:szCs w:val="21"/>
          <w:color w:val="auto"/>
        </w:rPr>
      </w:pPr>
    </w:p>
    <w:p>
      <w:pPr>
        <w:ind w:left="-60" w:firstLine="1942"/>
        <w:spacing w:after="0" w:line="236" w:lineRule="auto"/>
        <w:tabs>
          <w:tab w:leader="none" w:pos="2517"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that it will disclose to Executive its confidential or proprietary information (as defined in this Section (b)) to the extent necessary for Executive to carry out Executive’s obligations to the Company. The Executive hereby covenants and agrees that, subject to Section 6(a), Executive will not, without the prior written consent of the Company, during the term of his employment with the Company and two years after the Termination Date disclose to any person not employed by the Company, or use in connection with engaging in competition with the Company, any confidential or proprietary information of the Company. For purposes of this Agreement, the term “confidential or proprietary information” will include all information of any nature and in any form that is owned by the Company and that is not publicly available (other than by Executive’s breach of this Section 9(b)) or generally known to persons engaged in businesses similar or related to those of the Company. Confidential or proprietary information will include, without limitation, the Company’s financial matters, customers, employees, industry contracts, strategic business plans, product development (or other proprietary product data), marketing plans, and all other secrets and all other information of a confidential or proprietary nature. For purposes of the preceding two sentences, the term “Company” will also include any Subsidiary (collectively, the “Restricted Group”). The obligations imposed by this Section 9(b)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80" w:top="1388" w:right="379" w:bottom="1440" w:gutter="0" w:footer="0" w:header="0"/>
        </w:sectPr>
      </w:pPr>
    </w:p>
    <w:bookmarkStart w:id="67" w:name="page68"/>
    <w:bookmarkEnd w:id="67"/>
    <w:p>
      <w:pPr>
        <w:ind w:right="380"/>
        <w:spacing w:after="0" w:line="235" w:lineRule="auto"/>
        <w:rPr>
          <w:sz w:val="20"/>
          <w:szCs w:val="20"/>
          <w:color w:val="auto"/>
        </w:rPr>
      </w:pPr>
      <w:r>
        <w:rPr>
          <w:rFonts w:ascii="Times New Roman" w:cs="Times New Roman" w:eastAsia="Times New Roman" w:hAnsi="Times New Roman"/>
          <w:sz w:val="21"/>
          <w:szCs w:val="21"/>
          <w:color w:val="auto"/>
        </w:rPr>
        <w:t>be subject to Section 6(a) and will not apply (i) during the term of his employment with the Company, in the course of the business of and for the benefit of the Company and (ii) if such confidential or proprietary information has become, through no fault of the Executive, generally known to the public.</w:t>
      </w:r>
    </w:p>
    <w:p>
      <w:pPr>
        <w:spacing w:after="0" w:line="151" w:lineRule="exact"/>
        <w:rPr>
          <w:sz w:val="20"/>
          <w:szCs w:val="20"/>
          <w:color w:val="auto"/>
        </w:rPr>
      </w:pPr>
    </w:p>
    <w:p>
      <w:pPr>
        <w:ind w:right="20" w:firstLine="1942"/>
        <w:spacing w:after="0" w:line="226" w:lineRule="auto"/>
        <w:tabs>
          <w:tab w:leader="none" w:pos="2575"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hereby covenants and agrees that, for a period ending one year after the Termination Date, Executive will not, without the prior written consent of the Company, which consent will not unreasonably be withheld as to Executive’s personal assistant, on behalf of Executive or on behalf of any person, firm or company, directly or indirectly, attempt to influence, persuade or induce, or assist any other person in so persuading or inducing, any employee of the Restricted Group to give up, or to not commence, employment or a business relationship with the Restricted Group.</w:t>
      </w:r>
    </w:p>
    <w:p>
      <w:pPr>
        <w:spacing w:after="0" w:line="152" w:lineRule="exact"/>
        <w:rPr>
          <w:rFonts w:ascii="Times New Roman" w:cs="Times New Roman" w:eastAsia="Times New Roman" w:hAnsi="Times New Roman"/>
          <w:sz w:val="21"/>
          <w:szCs w:val="21"/>
          <w:color w:val="auto"/>
        </w:rPr>
      </w:pPr>
    </w:p>
    <w:p>
      <w:pPr>
        <w:ind w:right="20" w:firstLine="1942"/>
        <w:spacing w:after="0" w:line="221" w:lineRule="auto"/>
        <w:tabs>
          <w:tab w:leader="none" w:pos="2577"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and the Company agree that the covenants contained in this Section 9 are reasonable under the circumstances and subject to the provisions of Section 15 of this Agreement. Executive acknowledges and agrees that the remedy at law available to the Company for breach of any of Executive’s obligations under this Section 9 would be inadequate and that damages flowing from such a breach may not readily be susceptible to being measured in monetary terms. Accordingly, Executive acknowledges, consents and agrees that, in addition to any other rights or remedies that the Company may have at law, in equity or under this Agreement, upon adequate proof of Executive’s violation of any such provision of this Agreement, the Company will be entitled to immediate injunctive relief and may obtain a temporary order restraining any threatened or further breach, without the necessity of proof of actual damage.</w:t>
      </w:r>
    </w:p>
    <w:p>
      <w:pPr>
        <w:spacing w:after="0" w:line="155" w:lineRule="exact"/>
        <w:rPr>
          <w:rFonts w:ascii="Times New Roman" w:cs="Times New Roman" w:eastAsia="Times New Roman" w:hAnsi="Times New Roman"/>
          <w:sz w:val="21"/>
          <w:szCs w:val="21"/>
          <w:color w:val="auto"/>
        </w:rPr>
      </w:pPr>
    </w:p>
    <w:p>
      <w:pPr>
        <w:ind w:left="1940" w:right="160" w:hanging="643"/>
        <w:spacing w:after="0" w:line="235" w:lineRule="auto"/>
        <w:tabs>
          <w:tab w:leader="none" w:pos="19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Rights</w:t>
      </w:r>
      <w:r>
        <w:rPr>
          <w:rFonts w:ascii="Times New Roman" w:cs="Times New Roman" w:eastAsia="Times New Roman" w:hAnsi="Times New Roman"/>
          <w:sz w:val="21"/>
          <w:szCs w:val="21"/>
          <w:color w:val="auto"/>
        </w:rPr>
        <w:t>. Nothing expressed or implied in this Agreement will create any right or duty on the part of the Company or the Executive to have the Executive remain in the employment of the Company or any Subsidiary prior to or following any Change in Control.</w:t>
      </w:r>
    </w:p>
    <w:p>
      <w:pPr>
        <w:spacing w:after="0" w:line="150" w:lineRule="exact"/>
        <w:rPr>
          <w:rFonts w:ascii="Times New Roman" w:cs="Times New Roman" w:eastAsia="Times New Roman" w:hAnsi="Times New Roman"/>
          <w:sz w:val="21"/>
          <w:szCs w:val="21"/>
          <w:color w:val="auto"/>
        </w:rPr>
      </w:pPr>
    </w:p>
    <w:p>
      <w:pPr>
        <w:jc w:val="both"/>
        <w:ind w:left="1940" w:right="340" w:hanging="643"/>
        <w:spacing w:after="0" w:line="235" w:lineRule="auto"/>
        <w:tabs>
          <w:tab w:leader="none" w:pos="193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Company may withhold from any amounts payable under this Agreement all federal, state, city or other taxes as the Company is required to withhold pursuant to any applicable law, regulation or ruling.</w:t>
      </w:r>
    </w:p>
    <w:p>
      <w:pPr>
        <w:spacing w:after="0" w:line="150" w:lineRule="exact"/>
        <w:rPr>
          <w:rFonts w:ascii="Times New Roman" w:cs="Times New Roman" w:eastAsia="Times New Roman" w:hAnsi="Times New Roman"/>
          <w:sz w:val="21"/>
          <w:szCs w:val="21"/>
          <w:color w:val="auto"/>
        </w:rPr>
      </w:pPr>
    </w:p>
    <w:p>
      <w:pPr>
        <w:ind w:left="1940" w:hanging="643"/>
        <w:spacing w:after="0" w:line="220" w:lineRule="auto"/>
        <w:tabs>
          <w:tab w:leader="none" w:pos="19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Binding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The Company will require any successor (whether direct or indirect, by purchase, merger, consolidation, reorganization or otherwise) to all or substantially all of the business or assets of the Company, by agreement in form and substance reasonably satisfactory to the Executive (to the extent not assumed by operation of law),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will thereafter be deemed the “Company” for the purposes of this Agreement),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89" w:right="339" w:bottom="1440" w:gutter="0" w:footer="0" w:header="0"/>
        </w:sectPr>
      </w:pPr>
    </w:p>
    <w:bookmarkStart w:id="68" w:name="page69"/>
    <w:bookmarkEnd w:id="68"/>
    <w:p>
      <w:pPr>
        <w:ind w:left="1880"/>
        <w:spacing w:after="0"/>
        <w:rPr>
          <w:sz w:val="20"/>
          <w:szCs w:val="20"/>
          <w:color w:val="auto"/>
        </w:rPr>
      </w:pPr>
      <w:r>
        <w:rPr>
          <w:rFonts w:ascii="Times New Roman" w:cs="Times New Roman" w:eastAsia="Times New Roman" w:hAnsi="Times New Roman"/>
          <w:sz w:val="21"/>
          <w:szCs w:val="21"/>
          <w:color w:val="auto"/>
        </w:rPr>
        <w:t>will not otherwise be assignable, transferable or delegable by the Company.</w:t>
      </w:r>
    </w:p>
    <w:p>
      <w:pPr>
        <w:spacing w:after="0" w:line="188" w:lineRule="exact"/>
        <w:rPr>
          <w:sz w:val="20"/>
          <w:szCs w:val="20"/>
          <w:color w:val="auto"/>
        </w:rPr>
      </w:pPr>
    </w:p>
    <w:p>
      <w:pPr>
        <w:ind w:left="-60" w:right="120" w:firstLine="1942"/>
        <w:spacing w:after="0" w:line="251" w:lineRule="auto"/>
        <w:tabs>
          <w:tab w:leader="none" w:pos="2517"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will inure to the benefit of and be enforceable by the Executive’s personal or legal representatives, executors, administrators, successors, heirs, distributees and legatees.</w:t>
      </w:r>
    </w:p>
    <w:p>
      <w:pPr>
        <w:spacing w:after="0" w:line="139" w:lineRule="exact"/>
        <w:rPr>
          <w:rFonts w:ascii="Times New Roman" w:cs="Times New Roman" w:eastAsia="Times New Roman" w:hAnsi="Times New Roman"/>
          <w:sz w:val="21"/>
          <w:szCs w:val="21"/>
          <w:color w:val="auto"/>
        </w:rPr>
      </w:pPr>
    </w:p>
    <w:p>
      <w:pPr>
        <w:ind w:left="-60" w:right="140" w:firstLine="1942"/>
        <w:spacing w:after="0" w:line="222" w:lineRule="auto"/>
        <w:tabs>
          <w:tab w:leader="none" w:pos="2515"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personal in nature and neither of the parties hereto will, without the consent of the other, assign, transfer or delegate this Agreement or any rights or obligations hereunder except as expressly provided in Sections 12(a) and 12(b). Without limiting the generality or effect of the foregoing, the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12(c), the Company will have no liability to pay any amount so attempted to be assigned, transferred or delegated.</w:t>
      </w:r>
    </w:p>
    <w:p>
      <w:pPr>
        <w:spacing w:after="0" w:line="156" w:lineRule="exact"/>
        <w:rPr>
          <w:rFonts w:ascii="Times New Roman" w:cs="Times New Roman" w:eastAsia="Times New Roman" w:hAnsi="Times New Roman"/>
          <w:sz w:val="21"/>
          <w:szCs w:val="21"/>
          <w:color w:val="auto"/>
        </w:rPr>
      </w:pPr>
    </w:p>
    <w:p>
      <w:pPr>
        <w:ind w:left="1880" w:right="120" w:hanging="643"/>
        <w:spacing w:after="0" w:line="220" w:lineRule="auto"/>
        <w:tabs>
          <w:tab w:leader="none" w:pos="188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or UPS, addressed to the Company (to the attention of the Secretary of the Company) at its principal executive office and to the Executive at Executive’s principal residence, or to such other address as any party may have furnished to the other in writing and in accordance herewith, except that notices of changes of address will be effective only upon receipt.</w:t>
      </w:r>
    </w:p>
    <w:p>
      <w:pPr>
        <w:spacing w:after="0" w:line="151" w:lineRule="exact"/>
        <w:rPr>
          <w:rFonts w:ascii="Times New Roman" w:cs="Times New Roman" w:eastAsia="Times New Roman" w:hAnsi="Times New Roman"/>
          <w:sz w:val="21"/>
          <w:szCs w:val="21"/>
          <w:color w:val="auto"/>
        </w:rPr>
      </w:pPr>
    </w:p>
    <w:p>
      <w:pPr>
        <w:ind w:left="1880" w:hanging="643"/>
        <w:spacing w:after="0" w:line="221" w:lineRule="auto"/>
        <w:tabs>
          <w:tab w:leader="none" w:pos="188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validity, interpretation, construction and performance of this Agreement will be governed by and construed in accordance with the substantive laws of the State of Delaware and federal law, without giving effect to the principles of conflict of laws of such State, except as expressly provided herein. In the event the Company exercises its discretion under Section 9(d) to bring an action to enforce the covenants contained in Section 9 in a court of competent jurisdiction where the Executive has breached or threatened to breach such covenants, and in no other event, the parties agree that the court may apply the law of the jurisdiction in which such action is pending in order to enforce the covenants to the fullest extent permissible.</w:t>
      </w:r>
    </w:p>
    <w:p>
      <w:pPr>
        <w:spacing w:after="0" w:line="155" w:lineRule="exact"/>
        <w:rPr>
          <w:rFonts w:ascii="Times New Roman" w:cs="Times New Roman" w:eastAsia="Times New Roman" w:hAnsi="Times New Roman"/>
          <w:sz w:val="21"/>
          <w:szCs w:val="21"/>
          <w:color w:val="auto"/>
        </w:rPr>
      </w:pPr>
    </w:p>
    <w:p>
      <w:pPr>
        <w:ind w:left="1880" w:right="20" w:hanging="643"/>
        <w:spacing w:after="0" w:line="226" w:lineRule="auto"/>
        <w:tabs>
          <w:tab w:leader="none" w:pos="188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w:t>
      </w:r>
      <w:r>
        <w:rPr>
          <w:rFonts w:ascii="Times New Roman" w:cs="Times New Roman" w:eastAsia="Times New Roman" w:hAnsi="Times New Roman"/>
          <w:sz w:val="21"/>
          <w:szCs w:val="21"/>
          <w:color w:val="auto"/>
        </w:rPr>
        <w:t>. If any provision of this Agreement or the application of any provision hereof to any person or circumstance is held invalid, unenforceable or otherwise illegal, including without limitation Section 9, the remainder of this Agreement and the application of such provision to any other person or circumstance will not be affected, and the provision so held to be invalid, unenforceable or otherwise illegal will be reformed to the extent (and only to the extent) necessary to make it enforceable, valid or legal.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80" w:top="1388" w:right="379" w:bottom="1440" w:gutter="0" w:footer="0" w:header="0"/>
        </w:sectPr>
      </w:pPr>
    </w:p>
    <w:bookmarkStart w:id="69" w:name="page70"/>
    <w:bookmarkEnd w:id="69"/>
    <w:p>
      <w:pPr>
        <w:ind w:left="820" w:right="140"/>
        <w:spacing w:after="0" w:line="235" w:lineRule="auto"/>
        <w:rPr>
          <w:sz w:val="20"/>
          <w:szCs w:val="20"/>
          <w:color w:val="auto"/>
        </w:rPr>
      </w:pPr>
      <w:r>
        <w:rPr>
          <w:rFonts w:ascii="Times New Roman" w:cs="Times New Roman" w:eastAsia="Times New Roman" w:hAnsi="Times New Roman"/>
          <w:sz w:val="21"/>
          <w:szCs w:val="21"/>
          <w:color w:val="auto"/>
        </w:rPr>
        <w:t>covenant in Section 9 should be deemed invalid, illegal or unenforceable because its time, geographical area, or restricted activity, is considered excessive, such covenant will be modified to the minimum extent necessary to render the modified covenant valid, legal and enforceable.</w:t>
      </w:r>
    </w:p>
    <w:p>
      <w:pPr>
        <w:spacing w:after="0" w:line="151" w:lineRule="exact"/>
        <w:rPr>
          <w:sz w:val="20"/>
          <w:szCs w:val="20"/>
          <w:color w:val="auto"/>
        </w:rPr>
      </w:pPr>
    </w:p>
    <w:p>
      <w:pPr>
        <w:ind w:left="820" w:hanging="643"/>
        <w:spacing w:after="0" w:line="219" w:lineRule="auto"/>
        <w:tabs>
          <w:tab w:leader="none" w:pos="8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 The headings used in this Agreement are intended for convenience or reference only and will not in any manner amplify, limit, modify or otherwise be used in the construction or interpretation of any provision of this Agreement. References to Sections are to Sections of this Agreement. References to Paragraphs are to Paragraphs of an Annex to this Agreement. Any reference in this Agreement to a provision of a statute, rule or regulation will also include any successor provision thereto.</w:t>
      </w:r>
    </w:p>
    <w:p>
      <w:pPr>
        <w:spacing w:after="0" w:line="150" w:lineRule="exact"/>
        <w:rPr>
          <w:rFonts w:ascii="Times New Roman" w:cs="Times New Roman" w:eastAsia="Times New Roman" w:hAnsi="Times New Roman"/>
          <w:sz w:val="21"/>
          <w:szCs w:val="21"/>
          <w:color w:val="auto"/>
        </w:rPr>
      </w:pPr>
    </w:p>
    <w:p>
      <w:pPr>
        <w:ind w:left="820" w:right="40" w:hanging="643"/>
        <w:spacing w:after="0" w:line="229" w:lineRule="auto"/>
        <w:tabs>
          <w:tab w:leader="none" w:pos="8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Notwithstanding any provision of this Agreement to the contrary, the parties’ respective rights and obligations under Sections 3(c), 4, 5, 6, 7, 8, 9, 10, 11, 12(b), 17 and 19 will survive any termination or expiration of this Agreement or the termination of the Executive’s employment following a Change in Control for any reason whatsoever.</w:t>
      </w:r>
    </w:p>
    <w:p>
      <w:pPr>
        <w:spacing w:after="0" w:line="153" w:lineRule="exact"/>
        <w:rPr>
          <w:rFonts w:ascii="Times New Roman" w:cs="Times New Roman" w:eastAsia="Times New Roman" w:hAnsi="Times New Roman"/>
          <w:sz w:val="21"/>
          <w:szCs w:val="21"/>
          <w:color w:val="auto"/>
        </w:rPr>
      </w:pPr>
    </w:p>
    <w:p>
      <w:pPr>
        <w:ind w:left="820" w:right="360" w:hanging="643"/>
        <w:spacing w:after="0" w:line="224" w:lineRule="auto"/>
        <w:tabs>
          <w:tab w:leader="none" w:pos="8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Beneficiaries</w:t>
      </w:r>
      <w:r>
        <w:rPr>
          <w:rFonts w:ascii="Times New Roman" w:cs="Times New Roman" w:eastAsia="Times New Roman" w:hAnsi="Times New Roman"/>
          <w:sz w:val="21"/>
          <w:szCs w:val="21"/>
          <w:color w:val="auto"/>
        </w:rPr>
        <w:t>. The Executive will be entitled to select (and change, to the extent permitted under any applicable law) a beneficiary or beneficiaries to receive any compensation or benefit payable hereunder following the Executive’s death, and may change such election, in either case by giving the Company written notice thereof in accordance with Section 13. In the event of the Executive’s death or a judicial determination of the Executive’s incompetence, reference in this Agreement to the “Executive” will be deemed, where appropriate, to the Executive’s beneficiary, estate or other legal representative.</w:t>
      </w:r>
    </w:p>
    <w:p>
      <w:pPr>
        <w:spacing w:after="0" w:line="152" w:lineRule="exact"/>
        <w:rPr>
          <w:rFonts w:ascii="Times New Roman" w:cs="Times New Roman" w:eastAsia="Times New Roman" w:hAnsi="Times New Roman"/>
          <w:sz w:val="21"/>
          <w:szCs w:val="21"/>
          <w:color w:val="auto"/>
        </w:rPr>
      </w:pPr>
    </w:p>
    <w:p>
      <w:pPr>
        <w:ind w:left="820" w:right="40" w:hanging="643"/>
        <w:spacing w:after="0" w:line="251" w:lineRule="auto"/>
        <w:tabs>
          <w:tab w:leader="none" w:pos="8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each of which will be deemed to be an original but all of which together will constitute one and the same agreement.</w:t>
      </w:r>
    </w:p>
    <w:p>
      <w:pPr>
        <w:spacing w:after="0" w:line="139" w:lineRule="exact"/>
        <w:rPr>
          <w:rFonts w:ascii="Times New Roman" w:cs="Times New Roman" w:eastAsia="Times New Roman" w:hAnsi="Times New Roman"/>
          <w:sz w:val="21"/>
          <w:szCs w:val="21"/>
          <w:color w:val="auto"/>
        </w:rPr>
      </w:pPr>
    </w:p>
    <w:p>
      <w:pPr>
        <w:ind w:left="820" w:right="40" w:hanging="643"/>
        <w:spacing w:after="0" w:line="229" w:lineRule="auto"/>
        <w:tabs>
          <w:tab w:leader="none" w:pos="8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To the extent applicable, it is intended that this Agreement comply with the provisions of Section 409A. This Agreement will be administered in a manner consistent with this intent, and any provision that would cause the Agreement to fail to satisfy Section 409A will have no force and effect until amended to comply with Section 409A (which amendment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80"/>
          </w:cols>
          <w:pgMar w:left="1440" w:top="1389" w:right="379" w:bottom="1440" w:gutter="0" w:footer="0" w:header="0"/>
        </w:sectPr>
      </w:pPr>
    </w:p>
    <w:bookmarkStart w:id="70" w:name="page71"/>
    <w:bookmarkEnd w:id="70"/>
    <w:p>
      <w:pPr>
        <w:ind w:left="820"/>
        <w:spacing w:after="0" w:line="251" w:lineRule="auto"/>
        <w:rPr>
          <w:sz w:val="20"/>
          <w:szCs w:val="20"/>
          <w:color w:val="auto"/>
        </w:rPr>
      </w:pPr>
      <w:r>
        <w:rPr>
          <w:rFonts w:ascii="Times New Roman" w:cs="Times New Roman" w:eastAsia="Times New Roman" w:hAnsi="Times New Roman"/>
          <w:sz w:val="21"/>
          <w:szCs w:val="21"/>
          <w:color w:val="auto"/>
        </w:rPr>
        <w:t>retroactive to the extent permitted by Section 409A and may be made by the Company without the consent of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020"/>
          </w:cols>
          <w:pgMar w:left="1440" w:top="1388" w:right="4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21"/>
          <w:szCs w:val="21"/>
          <w:color w:val="auto"/>
        </w:rPr>
        <w:t>IN WITNESS WHEREOF, the parties have caused this Agreement to be duly executed and delivered as of the date first above written.</w:t>
      </w:r>
    </w:p>
    <w:p>
      <w:pPr>
        <w:spacing w:after="0" w:line="200" w:lineRule="exact"/>
        <w:rPr>
          <w:sz w:val="20"/>
          <w:szCs w:val="20"/>
          <w:color w:val="auto"/>
        </w:rPr>
      </w:pPr>
    </w:p>
    <w:p>
      <w:pPr>
        <w:spacing w:after="0" w:line="393" w:lineRule="exact"/>
        <w:rPr>
          <w:sz w:val="20"/>
          <w:szCs w:val="20"/>
          <w:color w:val="auto"/>
        </w:rPr>
      </w:pPr>
    </w:p>
    <w:p>
      <w:pPr>
        <w:ind w:left="700"/>
        <w:spacing w:after="0"/>
        <w:tabs>
          <w:tab w:leader="none" w:pos="1860" w:val="left"/>
        </w:tabs>
        <w:rPr>
          <w:sz w:val="20"/>
          <w:szCs w:val="20"/>
          <w:color w:val="auto"/>
        </w:rPr>
      </w:pPr>
      <w:r>
        <w:rPr>
          <w:rFonts w:ascii="Times New Roman" w:cs="Times New Roman" w:eastAsia="Times New Roman" w:hAnsi="Times New Roman"/>
          <w:sz w:val="21"/>
          <w:szCs w:val="21"/>
          <w:b w:val="1"/>
          <w:bCs w:val="1"/>
          <w:color w:val="auto"/>
        </w:rPr>
        <w:t>Executive:</w:t>
        <w:tab/>
        <w:t>Raul Valentin</w:t>
      </w:r>
    </w:p>
    <w:p>
      <w:pPr>
        <w:spacing w:after="0" w:line="200" w:lineRule="exact"/>
        <w:rPr>
          <w:sz w:val="20"/>
          <w:szCs w:val="20"/>
          <w:color w:val="auto"/>
        </w:rPr>
      </w:pPr>
    </w:p>
    <w:p>
      <w:pPr>
        <w:spacing w:after="0" w:line="396" w:lineRule="exact"/>
        <w:rPr>
          <w:sz w:val="20"/>
          <w:szCs w:val="20"/>
          <w:color w:val="auto"/>
        </w:rPr>
      </w:pPr>
    </w:p>
    <w:p>
      <w:pPr>
        <w:ind w:left="1140"/>
        <w:spacing w:after="0"/>
        <w:tabs>
          <w:tab w:leader="none" w:pos="2260" w:val="left"/>
        </w:tabs>
        <w:rPr>
          <w:sz w:val="20"/>
          <w:szCs w:val="20"/>
          <w:color w:val="auto"/>
        </w:rPr>
      </w:pPr>
      <w:r>
        <w:rPr>
          <w:rFonts w:ascii="Times New Roman" w:cs="Times New Roman" w:eastAsia="Times New Roman" w:hAnsi="Times New Roman"/>
          <w:sz w:val="21"/>
          <w:szCs w:val="21"/>
          <w:color w:val="auto"/>
        </w:rPr>
        <w:t>Signature:</w:t>
        <w:tab/>
        <w:t>/s/ Raul Valentin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-6985</wp:posOffset>
            </wp:positionV>
            <wp:extent cx="17291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729105" cy="8255"/>
                    </a:xfrm>
                    <a:prstGeom prst="rect">
                      <a:avLst/>
                    </a:prstGeom>
                    <a:noFill/>
                  </pic:spPr>
                </pic:pic>
              </a:graphicData>
            </a:graphic>
          </wp:anchor>
        </w:drawing>
      </w:r>
    </w:p>
    <w:p>
      <w:pPr>
        <w:spacing w:after="0" w:line="101" w:lineRule="exact"/>
        <w:rPr>
          <w:sz w:val="20"/>
          <w:szCs w:val="20"/>
          <w:color w:val="auto"/>
        </w:rPr>
      </w:pPr>
    </w:p>
    <w:p>
      <w:pPr>
        <w:ind w:left="1140"/>
        <w:spacing w:after="0"/>
        <w:tabs>
          <w:tab w:leader="none" w:pos="20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September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-6985</wp:posOffset>
            </wp:positionV>
            <wp:extent cx="2051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51050" cy="8255"/>
                    </a:xfrm>
                    <a:prstGeom prst="rect">
                      <a:avLst/>
                    </a:prstGeom>
                    <a:noFill/>
                  </pic:spPr>
                </pic:pic>
              </a:graphicData>
            </a:graphic>
          </wp:anchor>
        </w:drawing>
      </w:r>
    </w:p>
    <w:p>
      <w:pPr>
        <w:spacing w:after="0" w:line="205" w:lineRule="exact"/>
        <w:rPr>
          <w:sz w:val="20"/>
          <w:szCs w:val="20"/>
          <w:color w:val="auto"/>
        </w:rPr>
      </w:pPr>
    </w:p>
    <w:p>
      <w:pPr>
        <w:ind w:left="700"/>
        <w:spacing w:after="0"/>
        <w:tabs>
          <w:tab w:leader="none" w:pos="1860" w:val="left"/>
        </w:tabs>
        <w:rPr>
          <w:sz w:val="20"/>
          <w:szCs w:val="20"/>
          <w:color w:val="auto"/>
        </w:rPr>
      </w:pPr>
      <w:r>
        <w:rPr>
          <w:rFonts w:ascii="Times New Roman" w:cs="Times New Roman" w:eastAsia="Times New Roman" w:hAnsi="Times New Roman"/>
          <w:sz w:val="21"/>
          <w:szCs w:val="21"/>
          <w:b w:val="1"/>
          <w:bCs w:val="1"/>
          <w:color w:val="auto"/>
        </w:rPr>
        <w:t>Company:</w:t>
        <w:tab/>
        <w:t>ABM Industries Incorporated</w:t>
      </w:r>
    </w:p>
    <w:p>
      <w:pPr>
        <w:spacing w:after="0" w:line="233" w:lineRule="exact"/>
        <w:rPr>
          <w:sz w:val="20"/>
          <w:szCs w:val="20"/>
          <w:color w:val="auto"/>
        </w:rPr>
      </w:pPr>
    </w:p>
    <w:p>
      <w:pPr>
        <w:ind w:left="1140"/>
        <w:spacing w:after="0"/>
        <w:tabs>
          <w:tab w:leader="none" w:pos="2260" w:val="left"/>
        </w:tabs>
        <w:rPr>
          <w:sz w:val="20"/>
          <w:szCs w:val="20"/>
          <w:color w:val="auto"/>
        </w:rPr>
      </w:pPr>
      <w:r>
        <w:rPr>
          <w:rFonts w:ascii="Times New Roman" w:cs="Times New Roman" w:eastAsia="Times New Roman" w:hAnsi="Times New Roman"/>
          <w:sz w:val="21"/>
          <w:szCs w:val="21"/>
          <w:color w:val="auto"/>
        </w:rPr>
        <w:t>Signature:</w:t>
        <w:tab/>
        <w:t>/s/ Andrea Newborn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-6985</wp:posOffset>
            </wp:positionV>
            <wp:extent cx="19259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925955" cy="8255"/>
                    </a:xfrm>
                    <a:prstGeom prst="rect">
                      <a:avLst/>
                    </a:prstGeom>
                    <a:noFill/>
                  </pic:spPr>
                </pic:pic>
              </a:graphicData>
            </a:graphic>
          </wp:anchor>
        </w:drawing>
      </w:r>
    </w:p>
    <w:p>
      <w:pPr>
        <w:spacing w:after="0" w:line="20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Name, Title: Andrea Newborn, Executive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-6985</wp:posOffset>
            </wp:positionV>
            <wp:extent cx="27857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1"/>
          <w:szCs w:val="2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-13970</wp:posOffset>
            </wp:positionV>
            <wp:extent cx="17329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198" w:lineRule="exact"/>
        <w:rPr>
          <w:sz w:val="20"/>
          <w:szCs w:val="20"/>
          <w:color w:val="auto"/>
        </w:rPr>
      </w:pPr>
    </w:p>
    <w:p>
      <w:pPr>
        <w:ind w:left="1140"/>
        <w:spacing w:after="0"/>
        <w:tabs>
          <w:tab w:leader="none" w:pos="20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September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-6985</wp:posOffset>
            </wp:positionV>
            <wp:extent cx="2051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5105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#89834151v8</w:t>
      </w:r>
    </w:p>
    <w:p>
      <w:pPr>
        <w:sectPr>
          <w:pgSz w:w="11900" w:h="16838" w:orient="portrait"/>
          <w:cols w:equalWidth="0" w:num="1">
            <w:col w:w="10139"/>
          </w:cols>
          <w:pgMar w:left="320" w:top="1440" w:right="1440" w:bottom="1440" w:gutter="0" w:footer="0" w:header="0"/>
        </w:sectPr>
      </w:pPr>
    </w:p>
    <w:bookmarkStart w:id="73" w:name="page74"/>
    <w:bookmarkEnd w:id="73"/>
    <w:p>
      <w:pPr>
        <w:spacing w:after="0" w:line="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SEVERANCE COMPENSATION, ETC.</w:t>
      </w:r>
    </w:p>
    <w:p>
      <w:pPr>
        <w:spacing w:after="0" w:line="219" w:lineRule="exact"/>
        <w:rPr>
          <w:sz w:val="20"/>
          <w:szCs w:val="20"/>
          <w:color w:val="auto"/>
        </w:rPr>
      </w:pPr>
    </w:p>
    <w:p>
      <w:pPr>
        <w:jc w:val="both"/>
        <w:ind w:right="120" w:firstLine="330"/>
        <w:spacing w:after="0" w:line="229" w:lineRule="auto"/>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 sum payment in an amount equal to two and one-half (2.5) times the sum of (A) Base Pay (at the rate in effect for the year in which the Termination Date occurs), plus (B) Incentive Pay Target (or, if the Incentive Pay Target shall not have been established or shall be reduced after a Change in Control, the highest aggregate Incentive Pay Target as in effect for any of the three fiscal years immediately preceding the year in which the Change in Control occurred).</w:t>
      </w:r>
    </w:p>
    <w:p>
      <w:pPr>
        <w:spacing w:after="0" w:line="153" w:lineRule="exact"/>
        <w:rPr>
          <w:rFonts w:ascii="Times New Roman" w:cs="Times New Roman" w:eastAsia="Times New Roman" w:hAnsi="Times New Roman"/>
          <w:sz w:val="21"/>
          <w:szCs w:val="21"/>
          <w:color w:val="auto"/>
        </w:rPr>
      </w:pPr>
    </w:p>
    <w:p>
      <w:pPr>
        <w:ind w:right="280" w:firstLine="330"/>
        <w:spacing w:after="0" w:line="229" w:lineRule="auto"/>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Executive’s then-outstanding equity-based awards under the Equity Plan (including any awards issued by an acquirer or successor to the Company in exchange or substitution for such awards) will not be forfeited but will become fully vested;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any performance awards with respect to then-ongoing performance periods shall be vested with respect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number of shares that would have become earned and vested if the target level of performance was met.</w:t>
      </w:r>
    </w:p>
    <w:p>
      <w:pPr>
        <w:spacing w:after="0" w:line="153" w:lineRule="exact"/>
        <w:rPr>
          <w:rFonts w:ascii="Times New Roman" w:cs="Times New Roman" w:eastAsia="Times New Roman" w:hAnsi="Times New Roman"/>
          <w:sz w:val="21"/>
          <w:szCs w:val="21"/>
          <w:color w:val="auto"/>
        </w:rPr>
      </w:pPr>
    </w:p>
    <w:p>
      <w:pPr>
        <w:ind w:right="20" w:firstLine="330"/>
        <w:spacing w:after="0" w:line="221" w:lineRule="auto"/>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lieu of providing any continuation of Welfare Benefits to the Executive and his or her dependents following the Termination Date (</w:t>
      </w:r>
      <w:r>
        <w:rPr>
          <w:rFonts w:ascii="Times New Roman" w:cs="Times New Roman" w:eastAsia="Times New Roman" w:hAnsi="Times New Roman"/>
          <w:sz w:val="21"/>
          <w:szCs w:val="21"/>
          <w:i w:val="1"/>
          <w:iCs w:val="1"/>
          <w:color w:val="auto"/>
        </w:rPr>
        <w:t>it being understood</w:t>
      </w:r>
      <w:r>
        <w:rPr>
          <w:rFonts w:ascii="Times New Roman" w:cs="Times New Roman" w:eastAsia="Times New Roman" w:hAnsi="Times New Roman"/>
          <w:sz w:val="21"/>
          <w:szCs w:val="21"/>
          <w:color w:val="auto"/>
        </w:rPr>
        <w:t xml:space="preserve"> that this is not intended to supersede any right of the Executive and his or her dependents to COBRA continuation following the Termination Date), a lump sum payment in an amount equal to the present value of such Welfare Benefits, if such Welfare Benefits were provided for a period of 18 months following the Termination Date. For purposes of the immediately preceding sentence, the value of such Welfare Benefits shall be measured immediately prior to the Termination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applicable for purposes of calculating service or age to determine the value of such Welfare Benefits, assuming that the Executive had remained actively employed on a full-time basis for a period of 18 months following the Termination Date).</w:t>
      </w:r>
    </w:p>
    <w:p>
      <w:pPr>
        <w:spacing w:after="0" w:line="155" w:lineRule="exact"/>
        <w:rPr>
          <w:rFonts w:ascii="Times New Roman" w:cs="Times New Roman" w:eastAsia="Times New Roman" w:hAnsi="Times New Roman"/>
          <w:sz w:val="21"/>
          <w:szCs w:val="21"/>
          <w:color w:val="auto"/>
        </w:rPr>
      </w:pPr>
    </w:p>
    <w:p>
      <w:pPr>
        <w:ind w:left="640" w:hanging="310"/>
        <w:spacing w:after="0"/>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Non-Competition Period contemplated by Section 9(a) will be 12 months from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31.1</w:t>
      </w:r>
    </w:p>
    <w:p>
      <w:pPr>
        <w:jc w:val="center"/>
        <w:spacing w:after="0" w:line="232" w:lineRule="auto"/>
        <w:rPr>
          <w:sz w:val="20"/>
          <w:szCs w:val="20"/>
          <w:color w:val="auto"/>
        </w:rPr>
      </w:pPr>
      <w:r>
        <w:rPr>
          <w:rFonts w:ascii="Arial" w:cs="Arial" w:eastAsia="Arial" w:hAnsi="Arial"/>
          <w:sz w:val="18"/>
          <w:szCs w:val="18"/>
          <w:b w:val="1"/>
          <w:bCs w:val="1"/>
          <w:color w:val="auto"/>
        </w:rPr>
        <w:t>CERTIFICATION OF CHIEF EXECUTIVE OFFICER</w:t>
      </w:r>
    </w:p>
    <w:p>
      <w:pPr>
        <w:jc w:val="center"/>
        <w:spacing w:after="0" w:line="218" w:lineRule="auto"/>
        <w:rPr>
          <w:sz w:val="20"/>
          <w:szCs w:val="20"/>
          <w:color w:val="auto"/>
        </w:rPr>
      </w:pPr>
      <w:r>
        <w:rPr>
          <w:rFonts w:ascii="Arial" w:cs="Arial" w:eastAsia="Arial" w:hAnsi="Arial"/>
          <w:sz w:val="18"/>
          <w:szCs w:val="18"/>
          <w:b w:val="1"/>
          <w:bCs w:val="1"/>
          <w:color w:val="auto"/>
        </w:rPr>
        <w:t>PURSUANT TO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183" w:lineRule="exact"/>
        <w:rPr>
          <w:sz w:val="20"/>
          <w:szCs w:val="20"/>
          <w:color w:val="auto"/>
        </w:rPr>
      </w:pPr>
    </w:p>
    <w:p>
      <w:pPr>
        <w:ind w:left="340" w:hanging="333"/>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96" w:lineRule="exact"/>
        <w:rPr>
          <w:rFonts w:ascii="Arial" w:cs="Arial" w:eastAsia="Arial" w:hAnsi="Arial"/>
          <w:sz w:val="18"/>
          <w:szCs w:val="18"/>
          <w:color w:val="auto"/>
        </w:rPr>
      </w:pPr>
    </w:p>
    <w:p>
      <w:pPr>
        <w:jc w:val="both"/>
        <w:ind w:left="340" w:hanging="333"/>
        <w:spacing w:after="0" w:line="227" w:lineRule="auto"/>
        <w:tabs>
          <w:tab w:leader="none" w:pos="3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8"/>
          <w:szCs w:val="18"/>
          <w:color w:val="auto"/>
        </w:rPr>
      </w:pPr>
    </w:p>
    <w:p>
      <w:pPr>
        <w:ind w:left="340" w:hanging="333"/>
        <w:spacing w:after="0" w:line="239" w:lineRule="auto"/>
        <w:tabs>
          <w:tab w:leader="none" w:pos="4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340" w:hanging="333"/>
        <w:spacing w:after="0" w:line="220" w:lineRule="auto"/>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64" w:lineRule="exact"/>
        <w:rPr>
          <w:rFonts w:ascii="Arial" w:cs="Arial" w:eastAsia="Arial" w:hAnsi="Arial"/>
          <w:sz w:val="18"/>
          <w:szCs w:val="18"/>
          <w:color w:val="auto"/>
        </w:rPr>
      </w:pPr>
    </w:p>
    <w:p>
      <w:pPr>
        <w:jc w:val="both"/>
        <w:ind w:left="660" w:hanging="330"/>
        <w:spacing w:after="0" w:line="232" w:lineRule="auto"/>
        <w:tabs>
          <w:tab w:leader="none" w:pos="7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70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679"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7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8"/>
          <w:szCs w:val="18"/>
          <w:color w:val="auto"/>
        </w:rPr>
      </w:pPr>
    </w:p>
    <w:p>
      <w:pPr>
        <w:jc w:val="both"/>
        <w:ind w:left="340" w:hanging="333"/>
        <w:spacing w:after="0" w:line="232" w:lineRule="auto"/>
        <w:tabs>
          <w:tab w:leader="none" w:pos="4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8"/>
          <w:szCs w:val="18"/>
          <w:color w:val="auto"/>
        </w:rPr>
      </w:pPr>
    </w:p>
    <w:p>
      <w:pPr>
        <w:ind w:left="660" w:hanging="330"/>
        <w:spacing w:after="0" w:line="254" w:lineRule="auto"/>
        <w:tabs>
          <w:tab w:leader="none" w:pos="73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8"/>
          <w:szCs w:val="18"/>
          <w:color w:val="auto"/>
        </w:rPr>
      </w:pPr>
    </w:p>
    <w:p>
      <w:pPr>
        <w:ind w:left="660" w:hanging="330"/>
        <w:spacing w:after="0" w:line="239" w:lineRule="auto"/>
        <w:tabs>
          <w:tab w:leader="none" w:pos="756"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March 12, 2025</w:t>
      </w:r>
    </w:p>
    <w:p>
      <w:pPr>
        <w:ind w:left="4200"/>
        <w:spacing w:after="0" w:line="202" w:lineRule="auto"/>
        <w:rPr>
          <w:sz w:val="20"/>
          <w:szCs w:val="20"/>
          <w:color w:val="auto"/>
        </w:rPr>
      </w:pPr>
      <w:r>
        <w:rPr>
          <w:rFonts w:ascii="Arial" w:cs="Arial" w:eastAsia="Arial" w:hAnsi="Arial"/>
          <w:sz w:val="18"/>
          <w:szCs w:val="18"/>
          <w:color w:val="auto"/>
        </w:rPr>
        <w:t>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-109220</wp:posOffset>
            </wp:positionV>
            <wp:extent cx="7581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58190" cy="8255"/>
                    </a:xfrm>
                    <a:prstGeom prst="rect">
                      <a:avLst/>
                    </a:prstGeom>
                    <a:noFill/>
                  </pic:spPr>
                </pic:pic>
              </a:graphicData>
            </a:graphic>
          </wp:anchor>
        </w:drawing>
      </w:r>
    </w:p>
    <w:p>
      <w:pPr>
        <w:ind w:left="4200"/>
        <w:spacing w:after="0" w:line="218"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1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EXHIBIT 31.2</w:t>
      </w:r>
    </w:p>
    <w:p>
      <w:pPr>
        <w:jc w:val="center"/>
        <w:spacing w:after="0" w:line="202" w:lineRule="auto"/>
        <w:rPr>
          <w:sz w:val="20"/>
          <w:szCs w:val="20"/>
          <w:color w:val="auto"/>
        </w:rPr>
      </w:pPr>
      <w:r>
        <w:rPr>
          <w:rFonts w:ascii="Arial" w:cs="Arial" w:eastAsia="Arial" w:hAnsi="Arial"/>
          <w:sz w:val="18"/>
          <w:szCs w:val="18"/>
          <w:b w:val="1"/>
          <w:bCs w:val="1"/>
          <w:color w:val="auto"/>
        </w:rPr>
        <w:t>CERTIFICATION OF CHIEF FINANCIAL OFFICER</w:t>
      </w:r>
    </w:p>
    <w:p>
      <w:pPr>
        <w:jc w:val="center"/>
        <w:spacing w:after="0" w:line="218" w:lineRule="auto"/>
        <w:rPr>
          <w:sz w:val="20"/>
          <w:szCs w:val="20"/>
          <w:color w:val="auto"/>
        </w:rPr>
      </w:pPr>
      <w:r>
        <w:rPr>
          <w:rFonts w:ascii="Arial" w:cs="Arial" w:eastAsia="Arial" w:hAnsi="Arial"/>
          <w:sz w:val="18"/>
          <w:szCs w:val="18"/>
          <w:b w:val="1"/>
          <w:bCs w:val="1"/>
          <w:color w:val="auto"/>
        </w:rPr>
        <w:t>PURSUANT TO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 Earl R. Ellis, certify that:</w:t>
      </w:r>
    </w:p>
    <w:p>
      <w:pPr>
        <w:spacing w:after="0" w:line="183" w:lineRule="exact"/>
        <w:rPr>
          <w:sz w:val="20"/>
          <w:szCs w:val="20"/>
          <w:color w:val="auto"/>
        </w:rPr>
      </w:pPr>
    </w:p>
    <w:p>
      <w:pPr>
        <w:ind w:left="340" w:hanging="333"/>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96" w:lineRule="exact"/>
        <w:rPr>
          <w:rFonts w:ascii="Arial" w:cs="Arial" w:eastAsia="Arial" w:hAnsi="Arial"/>
          <w:sz w:val="18"/>
          <w:szCs w:val="18"/>
          <w:color w:val="auto"/>
        </w:rPr>
      </w:pPr>
    </w:p>
    <w:p>
      <w:pPr>
        <w:jc w:val="both"/>
        <w:ind w:left="340" w:hanging="333"/>
        <w:spacing w:after="0" w:line="227" w:lineRule="auto"/>
        <w:tabs>
          <w:tab w:leader="none" w:pos="3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8"/>
          <w:szCs w:val="18"/>
          <w:color w:val="auto"/>
        </w:rPr>
      </w:pPr>
    </w:p>
    <w:p>
      <w:pPr>
        <w:ind w:left="340" w:hanging="333"/>
        <w:spacing w:after="0" w:line="239" w:lineRule="auto"/>
        <w:tabs>
          <w:tab w:leader="none" w:pos="426"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340" w:hanging="333"/>
        <w:spacing w:after="0" w:line="220"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64" w:lineRule="exact"/>
        <w:rPr>
          <w:rFonts w:ascii="Arial" w:cs="Arial" w:eastAsia="Arial" w:hAnsi="Arial"/>
          <w:sz w:val="18"/>
          <w:szCs w:val="18"/>
          <w:color w:val="auto"/>
        </w:rPr>
      </w:pPr>
    </w:p>
    <w:p>
      <w:pPr>
        <w:jc w:val="both"/>
        <w:ind w:left="660" w:hanging="330"/>
        <w:spacing w:after="0" w:line="232" w:lineRule="auto"/>
        <w:tabs>
          <w:tab w:leader="none" w:pos="7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70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679"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8"/>
          <w:szCs w:val="18"/>
          <w:color w:val="auto"/>
        </w:rPr>
      </w:pPr>
    </w:p>
    <w:p>
      <w:pPr>
        <w:jc w:val="both"/>
        <w:ind w:left="660" w:hanging="330"/>
        <w:spacing w:after="0" w:line="232" w:lineRule="auto"/>
        <w:tabs>
          <w:tab w:leader="none" w:pos="7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8"/>
          <w:szCs w:val="18"/>
          <w:color w:val="auto"/>
        </w:rPr>
      </w:pPr>
    </w:p>
    <w:p>
      <w:pPr>
        <w:jc w:val="both"/>
        <w:ind w:left="340" w:hanging="333"/>
        <w:spacing w:after="0" w:line="232" w:lineRule="auto"/>
        <w:tabs>
          <w:tab w:leader="none" w:pos="42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8"/>
          <w:szCs w:val="18"/>
          <w:color w:val="auto"/>
        </w:rPr>
      </w:pPr>
    </w:p>
    <w:p>
      <w:pPr>
        <w:ind w:left="660" w:hanging="330"/>
        <w:spacing w:after="0" w:line="239" w:lineRule="auto"/>
        <w:tabs>
          <w:tab w:leader="none" w:pos="73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8"/>
          <w:szCs w:val="18"/>
          <w:color w:val="auto"/>
        </w:rPr>
      </w:pPr>
    </w:p>
    <w:p>
      <w:pPr>
        <w:ind w:left="660" w:hanging="330"/>
        <w:spacing w:after="0" w:line="239" w:lineRule="auto"/>
        <w:tabs>
          <w:tab w:leader="none" w:pos="7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-7620</wp:posOffset>
            </wp:positionV>
            <wp:extent cx="7581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58190" cy="8255"/>
                    </a:xfrm>
                    <a:prstGeom prst="rect">
                      <a:avLst/>
                    </a:prstGeom>
                    <a:noFill/>
                  </pic:spPr>
                </pic:pic>
              </a:graphicData>
            </a:graphic>
          </wp:anchor>
        </w:drawing>
      </w:r>
    </w:p>
    <w:p>
      <w:pPr>
        <w:ind w:left="4200"/>
        <w:spacing w:after="0" w:line="202" w:lineRule="auto"/>
        <w:rPr>
          <w:sz w:val="20"/>
          <w:szCs w:val="20"/>
          <w:color w:val="auto"/>
        </w:rPr>
      </w:pPr>
      <w:r>
        <w:rPr>
          <w:rFonts w:ascii="Arial" w:cs="Arial" w:eastAsia="Arial" w:hAnsi="Arial"/>
          <w:sz w:val="18"/>
          <w:szCs w:val="18"/>
          <w:color w:val="auto"/>
        </w:rPr>
        <w:t>Earl R. Ellis</w:t>
      </w:r>
    </w:p>
    <w:p>
      <w:pPr>
        <w:ind w:left="4200"/>
        <w:spacing w:after="0" w:line="203" w:lineRule="auto"/>
        <w:rPr>
          <w:sz w:val="20"/>
          <w:szCs w:val="20"/>
          <w:color w:val="auto"/>
        </w:rPr>
      </w:pPr>
      <w:r>
        <w:rPr>
          <w:rFonts w:ascii="Arial" w:cs="Arial" w:eastAsia="Arial" w:hAnsi="Arial"/>
          <w:sz w:val="18"/>
          <w:szCs w:val="18"/>
          <w:color w:val="auto"/>
        </w:rPr>
        <w:t>Chief Financial Officer</w:t>
      </w:r>
    </w:p>
    <w:p>
      <w:pPr>
        <w:ind w:left="4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1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 32</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jc w:val="center"/>
        <w:ind w:right="-19"/>
        <w:spacing w:after="0" w:line="218" w:lineRule="auto"/>
        <w:rPr>
          <w:sz w:val="20"/>
          <w:szCs w:val="20"/>
          <w:color w:val="auto"/>
        </w:rPr>
      </w:pPr>
      <w:r>
        <w:rPr>
          <w:rFonts w:ascii="Arial" w:cs="Arial" w:eastAsia="Arial" w:hAnsi="Arial"/>
          <w:sz w:val="18"/>
          <w:szCs w:val="18"/>
          <w:b w:val="1"/>
          <w:bCs w:val="1"/>
          <w:color w:val="auto"/>
        </w:rPr>
        <w:t>RULE 13a-14(b) OR 15d-14(b) AND</w:t>
      </w:r>
    </w:p>
    <w:p>
      <w:pPr>
        <w:jc w:val="center"/>
        <w:ind w:right="-19"/>
        <w:spacing w:after="0" w:line="202" w:lineRule="auto"/>
        <w:rPr>
          <w:sz w:val="20"/>
          <w:szCs w:val="20"/>
          <w:color w:val="auto"/>
        </w:rPr>
      </w:pPr>
      <w:r>
        <w:rPr>
          <w:rFonts w:ascii="Arial" w:cs="Arial" w:eastAsia="Arial" w:hAnsi="Arial"/>
          <w:sz w:val="18"/>
          <w:szCs w:val="18"/>
          <w:b w:val="1"/>
          <w:bCs w:val="1"/>
          <w:color w:val="auto"/>
        </w:rPr>
        <w:t>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January 31, 2024, as filed with the Securities and Exchange Commission on the date hereof (the “Report”), Scott Salmirs, Chief Executive Officer of the Company, and Earl R. Ellis, Chief Financial Officer of the Company, each certifies for the purpose of complying with Rule 13a-14(b) or Rule 15d-14(b) of the</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Securities Exchange Act of 1934, as amended (the “Exchange Act”), and Section 1350 of Chapter 63 of Title 18 of the United States Code, that:</w:t>
      </w:r>
    </w:p>
    <w:p>
      <w:pPr>
        <w:spacing w:after="0" w:line="99" w:lineRule="exact"/>
        <w:rPr>
          <w:sz w:val="20"/>
          <w:szCs w:val="20"/>
          <w:color w:val="auto"/>
        </w:rPr>
      </w:pPr>
    </w:p>
    <w:p>
      <w:pPr>
        <w:ind w:left="1060" w:hanging="408"/>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42" w:lineRule="exact"/>
        <w:rPr>
          <w:rFonts w:ascii="Arial" w:cs="Arial" w:eastAsia="Arial" w:hAnsi="Arial"/>
          <w:sz w:val="18"/>
          <w:szCs w:val="18"/>
          <w:color w:val="auto"/>
        </w:rPr>
      </w:pPr>
    </w:p>
    <w:p>
      <w:pPr>
        <w:ind w:left="1300" w:right="20" w:hanging="648"/>
        <w:spacing w:after="0" w:line="239" w:lineRule="auto"/>
        <w:tabs>
          <w:tab w:leader="none" w:pos="10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-7620</wp:posOffset>
            </wp:positionV>
            <wp:extent cx="7581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58190" cy="8255"/>
                    </a:xfrm>
                    <a:prstGeom prst="rect">
                      <a:avLst/>
                    </a:prstGeom>
                    <a:noFill/>
                  </pic:spPr>
                </pic:pic>
              </a:graphicData>
            </a:graphic>
          </wp:anchor>
        </w:drawing>
      </w:r>
    </w:p>
    <w:p>
      <w:pPr>
        <w:ind w:left="4200"/>
        <w:spacing w:after="0" w:line="202" w:lineRule="auto"/>
        <w:rPr>
          <w:sz w:val="20"/>
          <w:szCs w:val="20"/>
          <w:color w:val="auto"/>
        </w:rPr>
      </w:pPr>
      <w:r>
        <w:rPr>
          <w:rFonts w:ascii="Arial" w:cs="Arial" w:eastAsia="Arial" w:hAnsi="Arial"/>
          <w:sz w:val="18"/>
          <w:szCs w:val="18"/>
          <w:color w:val="auto"/>
        </w:rPr>
        <w:t>Scott Salmirs</w:t>
      </w:r>
    </w:p>
    <w:p>
      <w:pPr>
        <w:ind w:left="4200"/>
        <w:spacing w:after="0" w:line="203" w:lineRule="auto"/>
        <w:rPr>
          <w:sz w:val="20"/>
          <w:szCs w:val="20"/>
          <w:color w:val="auto"/>
        </w:rPr>
      </w:pPr>
      <w:r>
        <w:rPr>
          <w:rFonts w:ascii="Arial" w:cs="Arial" w:eastAsia="Arial" w:hAnsi="Arial"/>
          <w:sz w:val="18"/>
          <w:szCs w:val="18"/>
          <w:color w:val="auto"/>
        </w:rPr>
        <w:t>Chief Executive Officer</w:t>
      </w:r>
    </w:p>
    <w:p>
      <w:pPr>
        <w:ind w:left="42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March 12, 2025</w:t>
      </w:r>
    </w:p>
    <w:p>
      <w:pPr>
        <w:ind w:left="4200"/>
        <w:spacing w:after="0" w:line="202" w:lineRule="auto"/>
        <w:rPr>
          <w:sz w:val="20"/>
          <w:szCs w:val="20"/>
          <w:color w:val="auto"/>
        </w:rPr>
      </w:pPr>
      <w:r>
        <w:rPr>
          <w:rFonts w:ascii="Arial" w:cs="Arial" w:eastAsia="Arial" w:hAnsi="Arial"/>
          <w:sz w:val="18"/>
          <w:szCs w:val="18"/>
          <w:color w:val="auto"/>
        </w:rPr>
        <w:t>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-109220</wp:posOffset>
            </wp:positionV>
            <wp:extent cx="7581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58190" cy="8255"/>
                    </a:xfrm>
                    <a:prstGeom prst="rect">
                      <a:avLst/>
                    </a:prstGeom>
                    <a:noFill/>
                  </pic:spPr>
                </pic:pic>
              </a:graphicData>
            </a:graphic>
          </wp:anchor>
        </w:drawing>
      </w:r>
    </w:p>
    <w:p>
      <w:pPr>
        <w:ind w:left="4200"/>
        <w:spacing w:after="0" w:line="203" w:lineRule="auto"/>
        <w:rPr>
          <w:sz w:val="20"/>
          <w:szCs w:val="20"/>
          <w:color w:val="auto"/>
        </w:rPr>
      </w:pPr>
      <w:r>
        <w:rPr>
          <w:rFonts w:ascii="Arial" w:cs="Arial" w:eastAsia="Arial" w:hAnsi="Arial"/>
          <w:sz w:val="18"/>
          <w:szCs w:val="18"/>
          <w:color w:val="auto"/>
        </w:rPr>
        <w:t>Chief Financial Officer</w:t>
      </w:r>
    </w:p>
    <w:p>
      <w:pPr>
        <w:ind w:left="4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1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5"/>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3"/>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lvl w:ilvl="1">
      <w:lvlJc w:val="left"/>
      <w:lvlText w:val="◦"/>
      <w:numFmt w:val="bullet"/>
      <w:start w:val="1"/>
    </w:lvl>
  </w:abstractNum>
  <w:abstractNum w:abstractNumId="14">
    <w:nsid w:val="7724C67E"/>
    <w:multiLevelType w:val="hybridMultilevel"/>
    <w:lvl w:ilvl="0">
      <w:lvlJc w:val="left"/>
      <w:lvlText w:val="•"/>
      <w:numFmt w:val="bullet"/>
      <w:start w:val="1"/>
    </w:lvl>
    <w:lvl w:ilvl="1">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4"/>
    </w:lvl>
    <w:lvl w:ilvl="1">
      <w:lvlJc w:val="left"/>
      <w:lvlText w:val="%2."/>
      <w:numFmt w:val="decimal"/>
      <w:start w:val="5"/>
    </w:lvl>
  </w:abstractNum>
  <w:abstractNum w:abstractNumId="22">
    <w:nsid w:val="3855585C"/>
    <w:multiLevelType w:val="hybridMultilevel"/>
    <w:lvl w:ilvl="0">
      <w:lvlJc w:val="left"/>
      <w:lvlText w:val="%1."/>
      <w:numFmt w:val="decimal"/>
      <w:start w:val="7"/>
    </w:lvl>
  </w:abstractNum>
  <w:abstractNum w:abstractNumId="23">
    <w:nsid w:val="70A64E2A"/>
    <w:multiLevelType w:val="hybridMultilevel"/>
    <w:lvl w:ilvl="0">
      <w:lvlJc w:val="left"/>
      <w:lvlText w:val="(%1)"/>
      <w:numFmt w:val="decimal"/>
      <w:start w:val="12"/>
    </w:lvl>
  </w:abstractNum>
  <w:abstractNum w:abstractNumId="24">
    <w:nsid w:val="6A2342EC"/>
    <w:multiLevelType w:val="hybridMultilevel"/>
    <w:lvl w:ilvl="0">
      <w:lvlJc w:val="left"/>
      <w:lvlText w:val="%1."/>
      <w:numFmt w:val="decimal"/>
      <w:start w:val="8"/>
    </w:lvl>
  </w:abstractNum>
  <w:abstractNum w:abstractNumId="25">
    <w:nsid w:val="2A487CB0"/>
    <w:multiLevelType w:val="hybridMultilevel"/>
    <w:lvl w:ilvl="0">
      <w:lvlJc w:val="left"/>
      <w:lvlText w:val="%1."/>
      <w:numFmt w:val="decimal"/>
      <w:start w:val="10"/>
    </w:lvl>
  </w:abstractNum>
  <w:abstractNum w:abstractNumId="26">
    <w:nsid w:val="1D4ED43B"/>
    <w:multiLevelType w:val="hybridMultilevel"/>
    <w:lvl w:ilvl="0">
      <w:lvlJc w:val="left"/>
      <w:lvlText w:val="%1."/>
      <w:numFmt w:val="decimal"/>
      <w:start w:val="11"/>
    </w:lvl>
  </w:abstractNum>
  <w:abstractNum w:abstractNumId="27">
    <w:nsid w:val="725A06FB"/>
    <w:multiLevelType w:val="hybridMultilevel"/>
    <w:lvl w:ilvl="0">
      <w:lvlJc w:val="left"/>
      <w:lvlText w:val="%1."/>
      <w:numFmt w:val="upperLetter"/>
      <w:start w:val="1"/>
    </w:lvl>
  </w:abstractNum>
  <w:abstractNum w:abstractNumId="28">
    <w:nsid w:val="2CD89A32"/>
    <w:multiLevelType w:val="hybridMultilevel"/>
    <w:lvl w:ilvl="0">
      <w:lvlJc w:val="left"/>
      <w:lvlText w:val="%1."/>
      <w:numFmt w:val="upperLetter"/>
      <w:start w:val="3"/>
    </w:lvl>
  </w:abstractNum>
  <w:abstractNum w:abstractNumId="29">
    <w:nsid w:val="57E4CCAF"/>
    <w:multiLevelType w:val="hybridMultilevel"/>
    <w:lvl w:ilvl="0">
      <w:lvlJc w:val="left"/>
      <w:lvlText w:val="%1"/>
      <w:numFmt w:val="lowerLetter"/>
      <w:start w:val="1"/>
    </w:lvl>
    <w:lvl w:ilvl="1">
      <w:lvlJc w:val="left"/>
      <w:lvlText w:val="%2."/>
      <w:numFmt w:val="decimal"/>
      <w:start w:val="1"/>
    </w:lvl>
  </w:abstractNum>
  <w:abstractNum w:abstractNumId="30">
    <w:nsid w:val="7A6D8D3C"/>
    <w:multiLevelType w:val="hybridMultilevel"/>
    <w:lvl w:ilvl="0">
      <w:lvlJc w:val="left"/>
      <w:lvlText w:val="(%1)"/>
      <w:numFmt w:val="lowerLetter"/>
      <w:start w:val="2"/>
    </w:lvl>
    <w:lvl w:ilvl="1">
      <w:lvlJc w:val="left"/>
      <w:lvlText w:val="%2"/>
      <w:numFmt w:val="decimal"/>
      <w:start w:val="1"/>
    </w:lvl>
  </w:abstractNum>
  <w:abstractNum w:abstractNumId="31">
    <w:nsid w:val="4B588F5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2">
    <w:nsid w:val="542289EC"/>
    <w:multiLevelType w:val="hybridMultilevel"/>
    <w:lvl w:ilvl="0">
      <w:lvlJc w:val="left"/>
      <w:lvlText w:val="(%1)"/>
      <w:numFmt w:val="decimal"/>
      <w:start w:val="15"/>
    </w:lvl>
    <w:lvl w:ilvl="1">
      <w:lvlJc w:val="left"/>
      <w:lvlText w:val="(%2)"/>
      <w:numFmt w:val="lowerLetter"/>
      <w:start w:val="5"/>
    </w:lvl>
  </w:abstractNum>
  <w:abstractNum w:abstractNumId="33">
    <w:nsid w:val="6DE91B18"/>
    <w:multiLevelType w:val="hybridMultilevel"/>
    <w:lvl w:ilvl="0">
      <w:lvlJc w:val="left"/>
      <w:lvlText w:val="(%1)"/>
      <w:numFmt w:val="lowerRoman"/>
      <w:start w:val="1"/>
    </w:lvl>
  </w:abstractNum>
  <w:abstractNum w:abstractNumId="34">
    <w:nsid w:val="38437FDB"/>
    <w:multiLevelType w:val="hybridMultilevel"/>
    <w:lvl w:ilvl="0">
      <w:lvlJc w:val="left"/>
      <w:lvlText w:val="(%1)"/>
      <w:numFmt w:val="lowerLetter"/>
      <w:start w:val="6"/>
    </w:lvl>
  </w:abstractNum>
  <w:abstractNum w:abstractNumId="35">
    <w:nsid w:val="7644A45C"/>
    <w:multiLevelType w:val="hybridMultilevel"/>
    <w:lvl w:ilvl="0">
      <w:lvlJc w:val="left"/>
      <w:lvlText w:val="(%1)"/>
      <w:numFmt w:val="lowerLetter"/>
      <w:start w:val="7"/>
    </w:lvl>
  </w:abstractNum>
  <w:abstractNum w:abstractNumId="36">
    <w:nsid w:val="32FFF902"/>
    <w:multiLevelType w:val="hybridMultilevel"/>
    <w:lvl w:ilvl="0">
      <w:lvlJc w:val="left"/>
      <w:lvlText w:val="(%1)"/>
      <w:numFmt w:val="lowerRoman"/>
      <w:start w:val="1"/>
    </w:lvl>
  </w:abstractNum>
  <w:abstractNum w:abstractNumId="37">
    <w:nsid w:val="684A481A"/>
    <w:multiLevelType w:val="hybridMultilevel"/>
    <w:lvl w:ilvl="0">
      <w:lvlJc w:val="left"/>
      <w:lvlText w:val="(%1)"/>
      <w:numFmt w:val="lowerRoman"/>
      <w:start w:val="3"/>
    </w:lvl>
  </w:abstractNum>
  <w:abstractNum w:abstractNumId="38">
    <w:nsid w:val="579478FE"/>
    <w:multiLevelType w:val="hybridMultilevel"/>
    <w:lvl w:ilvl="0">
      <w:lvlJc w:val="left"/>
      <w:lvlText w:val="(%1)"/>
      <w:numFmt w:val="lowerRoman"/>
      <w:start w:val="4"/>
    </w:lvl>
  </w:abstractNum>
  <w:abstractNum w:abstractNumId="39">
    <w:nsid w:val="749ABB43"/>
    <w:multiLevelType w:val="hybridMultilevel"/>
    <w:lvl w:ilvl="0">
      <w:lvlJc w:val="left"/>
      <w:lvlText w:val="(%1)"/>
      <w:numFmt w:val="lowerLetter"/>
      <w:start w:val="13"/>
    </w:lvl>
  </w:abstractNum>
  <w:abstractNum w:abstractNumId="40">
    <w:nsid w:val="3DC240FB"/>
    <w:multiLevelType w:val="hybridMultilevel"/>
    <w:lvl w:ilvl="0">
      <w:lvlJc w:val="left"/>
      <w:lvlText w:val="(%1)"/>
      <w:numFmt w:val="lowerLetter"/>
      <w:start w:val="16"/>
    </w:lvl>
  </w:abstractNum>
  <w:abstractNum w:abstractNumId="41">
    <w:nsid w:val="1BA026FA"/>
    <w:multiLevelType w:val="hybridMultilevel"/>
    <w:lvl w:ilvl="0">
      <w:lvlJc w:val="left"/>
      <w:lvlText w:val="(%1)"/>
      <w:numFmt w:val="lowerLetter"/>
      <w:start w:val="26"/>
    </w:lvl>
  </w:abstractNum>
  <w:abstractNum w:abstractNumId="42">
    <w:nsid w:val="79A1DEAA"/>
    <w:multiLevelType w:val="hybridMultilevel"/>
    <w:lvl w:ilvl="0">
      <w:lvlJc w:val="left"/>
      <w:lvlText w:val="%1"/>
      <w:numFmt w:val="decimal"/>
      <w:start w:val="1"/>
    </w:lvl>
    <w:lvl w:ilvl="1">
      <w:lvlJc w:val="left"/>
      <w:lvlText w:val="(%2)"/>
      <w:numFmt w:val="lowerLetter"/>
      <w:start w:val="27"/>
    </w:lvl>
  </w:abstractNum>
  <w:abstractNum w:abstractNumId="43">
    <w:nsid w:val="75C6C33A"/>
    <w:multiLevelType w:val="hybridMultilevel"/>
    <w:lvl w:ilvl="0">
      <w:lvlJc w:val="left"/>
      <w:lvlText w:val="%1."/>
      <w:numFmt w:val="decimal"/>
      <w:start w:val="2"/>
    </w:lvl>
    <w:lvl w:ilvl="1">
      <w:lvlJc w:val="left"/>
      <w:lvlText w:val="(%2)"/>
      <w:numFmt w:val="lowerLetter"/>
      <w:start w:val="9"/>
    </w:lvl>
  </w:abstractNum>
  <w:abstractNum w:abstractNumId="44">
    <w:nsid w:val="12E685FB"/>
    <w:multiLevelType w:val="hybridMultilevel"/>
    <w:lvl w:ilvl="0">
      <w:lvlJc w:val="left"/>
      <w:lvlText w:val="(%1)"/>
      <w:numFmt w:val="lowerRoman"/>
      <w:start w:val="2"/>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decimal"/>
      <w:start w:val="4"/>
    </w:lvl>
    <w:lvl w:ilvl="1">
      <w:lvlJc w:val="left"/>
      <w:lvlText w:val="(%2)"/>
      <w:numFmt w:val="lowerLetter"/>
      <w:start w:val="1"/>
    </w:lvl>
  </w:abstractNum>
  <w:abstractNum w:abstractNumId="47">
    <w:nsid w:val="374A3FE6"/>
    <w:multiLevelType w:val="hybridMultilevel"/>
    <w:lvl w:ilvl="0">
      <w:lvlJc w:val="left"/>
      <w:lvlText w:val="%1."/>
      <w:numFmt w:val="decimal"/>
      <w:start w:val="6"/>
    </w:lvl>
  </w:abstractNum>
  <w:abstractNum w:abstractNumId="48">
    <w:nsid w:val="4F4EF005"/>
    <w:multiLevelType w:val="hybridMultilevel"/>
    <w:lvl w:ilvl="0">
      <w:lvlJc w:val="left"/>
      <w:lvlText w:val="%1"/>
      <w:numFmt w:val="decimal"/>
      <w:start w:val="1"/>
    </w:lvl>
    <w:lvl w:ilvl="1">
      <w:lvlJc w:val="left"/>
      <w:lvlText w:val="(%2)"/>
      <w:numFmt w:val="lowerLetter"/>
      <w:start w:val="1"/>
    </w:lvl>
  </w:abstractNum>
  <w:abstractNum w:abstractNumId="49">
    <w:nsid w:val="23F9C13C"/>
    <w:multiLevelType w:val="hybridMultilevel"/>
    <w:lvl w:ilvl="0">
      <w:lvlJc w:val="left"/>
      <w:lvlText w:val="%1."/>
      <w:numFmt w:val="decimal"/>
      <w:start w:val="7"/>
    </w:lvl>
    <w:lvl w:ilvl="1">
      <w:lvlJc w:val="left"/>
      <w:lvlText w:val="(%2)"/>
      <w:numFmt w:val="lowerLetter"/>
      <w:start w:val="1"/>
    </w:lvl>
  </w:abstractNum>
  <w:abstractNum w:abstractNumId="50">
    <w:nsid w:val="649BB77C"/>
    <w:multiLevelType w:val="hybridMultilevel"/>
    <w:lvl w:ilvl="0">
      <w:lvlJc w:val="left"/>
      <w:lvlText w:val="%1."/>
      <w:numFmt w:val="decimal"/>
      <w:start w:val="9"/>
    </w:lvl>
    <w:lvl w:ilvl="1">
      <w:lvlJc w:val="left"/>
      <w:lvlText w:val="(%2)"/>
      <w:numFmt w:val="lowerLetter"/>
      <w:start w:val="1"/>
    </w:lvl>
  </w:abstractNum>
  <w:abstractNum w:abstractNumId="51">
    <w:nsid w:val="275AC794"/>
    <w:multiLevelType w:val="hybridMultilevel"/>
    <w:lvl w:ilvl="0">
      <w:lvlJc w:val="left"/>
      <w:lvlText w:val="%1"/>
      <w:numFmt w:val="decimal"/>
      <w:start w:val="1"/>
    </w:lvl>
    <w:lvl w:ilvl="1">
      <w:lvlJc w:val="left"/>
      <w:lvlText w:val="(%2)"/>
      <w:numFmt w:val="lowerLetter"/>
      <w:start w:val="2"/>
    </w:lvl>
  </w:abstractNum>
  <w:abstractNum w:abstractNumId="52">
    <w:nsid w:val="39386575"/>
    <w:multiLevelType w:val="hybridMultilevel"/>
    <w:lvl w:ilvl="0">
      <w:lvlJc w:val="left"/>
      <w:lvlText w:val="%1."/>
      <w:numFmt w:val="decimal"/>
      <w:start w:val="10"/>
    </w:lvl>
    <w:lvl w:ilvl="1">
      <w:lvlJc w:val="left"/>
      <w:lvlText w:val="%2"/>
      <w:numFmt w:val="lowerLetter"/>
      <w:start w:val="1"/>
    </w:lvl>
  </w:abstractNum>
  <w:abstractNum w:abstractNumId="53">
    <w:nsid w:val="1CF10FD8"/>
    <w:multiLevelType w:val="hybridMultilevel"/>
    <w:lvl w:ilvl="0">
      <w:lvlJc w:val="left"/>
      <w:lvlText w:val="%1"/>
      <w:numFmt w:val="decimal"/>
      <w:start w:val="1"/>
    </w:lvl>
    <w:lvl w:ilvl="1">
      <w:lvlJc w:val="left"/>
      <w:lvlText w:val="(%2)"/>
      <w:numFmt w:val="lowerLetter"/>
      <w:start w:val="1"/>
    </w:lvl>
  </w:abstractNum>
  <w:abstractNum w:abstractNumId="54">
    <w:nsid w:val="180115BE"/>
    <w:multiLevelType w:val="hybridMultilevel"/>
    <w:lvl w:ilvl="0">
      <w:lvlJc w:val="left"/>
      <w:lvlText w:val="%1."/>
      <w:numFmt w:val="decimal"/>
      <w:start w:val="13"/>
    </w:lvl>
    <w:lvl w:ilvl="1">
      <w:lvlJc w:val="left"/>
      <w:lvlText w:val="%2"/>
      <w:numFmt w:val="lowerLetter"/>
      <w:start w:val="1"/>
    </w:lvl>
  </w:abstractNum>
  <w:abstractNum w:abstractNumId="55">
    <w:nsid w:val="235BA861"/>
    <w:multiLevelType w:val="hybridMultilevel"/>
    <w:lvl w:ilvl="0">
      <w:lvlJc w:val="left"/>
      <w:lvlText w:val="%1."/>
      <w:numFmt w:val="decimal"/>
      <w:start w:val="16"/>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75" Type="http://schemas.openxmlformats.org/officeDocument/2006/relationships/hyperlink" Target="https://www.sec.gov/Archives/edgar/data/771497/000095017025030050/ab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2025-03-12T10:06:17Z</dcterms:created>
  <dcterms:modified xsi:type="dcterms:W3CDTF">2025-03-12T10:06:17Z</dcterms:modified>
</cp:coreProperties>
</file>